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D642E1">
      <w:pPr>
        <w:pStyle w:val="4"/>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default" w:ascii="Times New Roman" w:hAnsi="Times New Roman" w:eastAsia="宋体" w:cs="Times New Roman"/>
          <w:b w:val="0"/>
          <w:bCs/>
          <w:color w:val="000000" w:themeColor="text1"/>
          <w:sz w:val="28"/>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8"/>
          <w:szCs w:val="21"/>
          <w:highlight w:val="none"/>
          <w14:textFill>
            <w14:solidFill>
              <w14:schemeClr w14:val="tx1"/>
            </w14:solidFill>
          </w14:textFill>
        </w:rPr>
        <w:t>无油轴承用铜合金板</w:t>
      </w:r>
    </w:p>
    <w:p w14:paraId="33E66102">
      <w:pPr>
        <w:pStyle w:val="5"/>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default" w:ascii="Times New Roman" w:hAnsi="Times New Roman" w:eastAsia="宋体" w:cs="Times New Roman"/>
          <w:b w:val="0"/>
          <w:bCs/>
          <w:color w:val="000000" w:themeColor="text1"/>
          <w:sz w:val="28"/>
          <w:szCs w:val="21"/>
          <w:highlight w:val="none"/>
          <w:lang w:val="de-DE"/>
          <w14:textFill>
            <w14:solidFill>
              <w14:schemeClr w14:val="tx1"/>
            </w14:solidFill>
          </w14:textFill>
        </w:rPr>
      </w:pPr>
      <w:r>
        <w:rPr>
          <w:rFonts w:hint="default" w:ascii="Times New Roman" w:hAnsi="Times New Roman" w:eastAsia="宋体" w:cs="Times New Roman"/>
          <w:b w:val="0"/>
          <w:bCs/>
          <w:color w:val="000000" w:themeColor="text1"/>
          <w:sz w:val="28"/>
          <w:szCs w:val="21"/>
          <w:highlight w:val="none"/>
          <w14:textFill>
            <w14:solidFill>
              <w14:schemeClr w14:val="tx1"/>
            </w14:solidFill>
          </w14:textFill>
        </w:rPr>
        <w:t>编制说明（</w:t>
      </w:r>
      <w:r>
        <w:rPr>
          <w:rFonts w:hint="eastAsia" w:ascii="Times New Roman" w:hAnsi="Times New Roman" w:cs="Times New Roman"/>
          <w:b w:val="0"/>
          <w:bCs/>
          <w:color w:val="000000" w:themeColor="text1"/>
          <w:sz w:val="28"/>
          <w:szCs w:val="21"/>
          <w:highlight w:val="none"/>
          <w:lang w:eastAsia="zh-CN"/>
          <w14:textFill>
            <w14:solidFill>
              <w14:schemeClr w14:val="tx1"/>
            </w14:solidFill>
          </w14:textFill>
        </w:rPr>
        <w:t>讨论</w:t>
      </w:r>
      <w:r>
        <w:rPr>
          <w:rFonts w:hint="default" w:ascii="Times New Roman" w:hAnsi="Times New Roman" w:eastAsia="宋体" w:cs="Times New Roman"/>
          <w:b w:val="0"/>
          <w:bCs/>
          <w:color w:val="000000" w:themeColor="text1"/>
          <w:sz w:val="28"/>
          <w:szCs w:val="21"/>
          <w:highlight w:val="none"/>
          <w14:textFill>
            <w14:solidFill>
              <w14:schemeClr w14:val="tx1"/>
            </w14:solidFill>
          </w14:textFill>
        </w:rPr>
        <w:t>稿）</w:t>
      </w:r>
    </w:p>
    <w:p w14:paraId="4756C6AF">
      <w:pPr>
        <w:pStyle w:val="6"/>
        <w:keepNext/>
        <w:keepLines/>
        <w:pageBreakBefore w:val="0"/>
        <w:widowControl w:val="0"/>
        <w:kinsoku/>
        <w:wordWrap/>
        <w:overflowPunct/>
        <w:topLinePunct w:val="0"/>
        <w:autoSpaceDE/>
        <w:autoSpaceDN/>
        <w:bidi w:val="0"/>
        <w:adjustRightInd/>
        <w:snapToGrid/>
        <w:spacing w:before="157" w:beforeLines="50" w:after="0" w:line="372" w:lineRule="auto"/>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一、工作简况</w:t>
      </w:r>
    </w:p>
    <w:p w14:paraId="218FE068">
      <w:pPr>
        <w:pStyle w:val="7"/>
        <w:keepNext/>
        <w:keepLines/>
        <w:pageBreakBefore w:val="0"/>
        <w:widowControl w:val="0"/>
        <w:kinsoku/>
        <w:wordWrap/>
        <w:overflowPunct/>
        <w:topLinePunct w:val="0"/>
        <w:autoSpaceDE/>
        <w:autoSpaceDN/>
        <w:bidi w:val="0"/>
        <w:adjustRightInd/>
        <w:snapToGrid/>
        <w:spacing w:before="157" w:beforeLines="50" w:after="0"/>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1.1任务来源</w:t>
      </w:r>
    </w:p>
    <w:p w14:paraId="2CAA27BA">
      <w:pPr>
        <w:pStyle w:val="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根据国家标准化管理委员会下达的2025 年第十批推荐性国家标准计划及相关标准外文版计划的通知（国标委发〔2025〕58号），其中附件一（202</w:t>
      </w:r>
      <w:r>
        <w:rPr>
          <w:rFonts w:hint="eastAsia" w:cs="Times New Roman"/>
          <w:b w:val="0"/>
          <w:bCs/>
          <w:color w:val="000000" w:themeColor="text1"/>
          <w:highlight w:val="none"/>
          <w:lang w:val="en-US" w:eastAsia="zh-CN"/>
          <w14:textFill>
            <w14:solidFill>
              <w14:schemeClr w14:val="tx1"/>
            </w14:solidFill>
          </w14:textFill>
        </w:rPr>
        <w:t>5</w:t>
      </w:r>
      <w:r>
        <w:rPr>
          <w:rFonts w:hint="default" w:ascii="Times New Roman" w:hAnsi="Times New Roman" w:eastAsia="宋体" w:cs="Times New Roman"/>
          <w:b w:val="0"/>
          <w:bCs/>
          <w:color w:val="000000" w:themeColor="text1"/>
          <w:highlight w:val="none"/>
          <w14:textFill>
            <w14:solidFill>
              <w14:schemeClr w14:val="tx1"/>
            </w14:solidFill>
          </w14:textFill>
        </w:rPr>
        <w:t>年第</w:t>
      </w:r>
      <w:r>
        <w:rPr>
          <w:rFonts w:hint="eastAsia" w:cs="Times New Roman"/>
          <w:b w:val="0"/>
          <w:bCs/>
          <w:color w:val="000000" w:themeColor="text1"/>
          <w:highlight w:val="none"/>
          <w:lang w:eastAsia="zh-CN"/>
          <w14:textFill>
            <w14:solidFill>
              <w14:schemeClr w14:val="tx1"/>
            </w14:solidFill>
          </w14:textFill>
        </w:rPr>
        <w:t>十</w:t>
      </w:r>
      <w:r>
        <w:rPr>
          <w:rFonts w:hint="default" w:ascii="Times New Roman" w:hAnsi="Times New Roman" w:eastAsia="宋体" w:cs="Times New Roman"/>
          <w:b w:val="0"/>
          <w:bCs/>
          <w:color w:val="000000" w:themeColor="text1"/>
          <w:highlight w:val="none"/>
          <w14:textFill>
            <w14:solidFill>
              <w14:schemeClr w14:val="tx1"/>
            </w14:solidFill>
          </w14:textFill>
        </w:rPr>
        <w:t>批推荐性国家标准计划项目汇总表）序号第</w:t>
      </w:r>
      <w:r>
        <w:rPr>
          <w:rFonts w:hint="eastAsia" w:cs="Times New Roman"/>
          <w:b w:val="0"/>
          <w:bCs/>
          <w:color w:val="000000" w:themeColor="text1"/>
          <w:highlight w:val="none"/>
          <w:lang w:val="en-US" w:eastAsia="zh-CN"/>
          <w14:textFill>
            <w14:solidFill>
              <w14:schemeClr w14:val="tx1"/>
            </w14:solidFill>
          </w14:textFill>
        </w:rPr>
        <w:t>114</w:t>
      </w:r>
      <w:r>
        <w:rPr>
          <w:rFonts w:hint="default" w:ascii="Times New Roman" w:hAnsi="Times New Roman" w:eastAsia="宋体" w:cs="Times New Roman"/>
          <w:b w:val="0"/>
          <w:bCs/>
          <w:color w:val="000000" w:themeColor="text1"/>
          <w:highlight w:val="none"/>
          <w14:textFill>
            <w14:solidFill>
              <w14:schemeClr w14:val="tx1"/>
            </w14:solidFill>
          </w14:textFill>
        </w:rPr>
        <w:t>项（项目计划为20255675-T-610）《无油轴承用铜合金板》国家标准由宁波兴业盛泰集团有限公司、宁波兴业鑫泰新型电子材料有限公司、中铝洛阳铜加工有限公司</w:t>
      </w:r>
      <w:r>
        <w:rPr>
          <w:rFonts w:hint="eastAsia" w:cs="Times New Roman"/>
          <w:b w:val="0"/>
          <w:bCs/>
          <w:color w:val="000000" w:themeColor="text1"/>
          <w:highlight w:val="none"/>
          <w:lang w:eastAsia="zh-CN"/>
          <w14:textFill>
            <w14:solidFill>
              <w14:schemeClr w14:val="tx1"/>
            </w14:solidFill>
          </w14:textFill>
        </w:rPr>
        <w:t>、</w:t>
      </w:r>
      <w:bookmarkStart w:id="7" w:name="_GoBack"/>
      <w:bookmarkEnd w:id="7"/>
      <w:r>
        <w:rPr>
          <w:rFonts w:hint="eastAsia" w:cs="Times New Roman"/>
          <w:b w:val="0"/>
          <w:bCs/>
          <w:color w:val="000000" w:themeColor="text1"/>
          <w:highlight w:val="none"/>
          <w:lang w:eastAsia="zh-CN"/>
          <w14:textFill>
            <w14:solidFill>
              <w14:schemeClr w14:val="tx1"/>
            </w14:solidFill>
          </w14:textFill>
        </w:rPr>
        <w:t>有研工程技术研究院有限公司</w:t>
      </w:r>
      <w:r>
        <w:rPr>
          <w:rFonts w:hint="default" w:ascii="Times New Roman" w:hAnsi="Times New Roman" w:eastAsia="宋体" w:cs="Times New Roman"/>
          <w:b w:val="0"/>
          <w:bCs/>
          <w:color w:val="000000" w:themeColor="text1"/>
          <w:highlight w:val="none"/>
          <w:lang w:eastAsia="zh-CN"/>
          <w14:textFill>
            <w14:solidFill>
              <w14:schemeClr w14:val="tx1"/>
            </w14:solidFill>
          </w14:textFill>
        </w:rPr>
        <w:t>负</w:t>
      </w:r>
      <w:r>
        <w:rPr>
          <w:rFonts w:hint="default" w:ascii="Times New Roman" w:hAnsi="Times New Roman" w:eastAsia="宋体" w:cs="Times New Roman"/>
          <w:b w:val="0"/>
          <w:bCs/>
          <w:color w:val="000000" w:themeColor="text1"/>
          <w:highlight w:val="none"/>
          <w14:textFill>
            <w14:solidFill>
              <w14:schemeClr w14:val="tx1"/>
            </w14:solidFill>
          </w14:textFill>
        </w:rPr>
        <w:t>责起草修订，并要求202</w:t>
      </w:r>
      <w:r>
        <w:rPr>
          <w:rFonts w:hint="eastAsia" w:cs="Times New Roman"/>
          <w:b w:val="0"/>
          <w:bCs/>
          <w:color w:val="000000" w:themeColor="text1"/>
          <w:highlight w:val="none"/>
          <w:lang w:val="en-US" w:eastAsia="zh-CN"/>
          <w14:textFill>
            <w14:solidFill>
              <w14:schemeClr w14:val="tx1"/>
            </w14:solidFill>
          </w14:textFill>
        </w:rPr>
        <w:t>6</w:t>
      </w:r>
      <w:r>
        <w:rPr>
          <w:rFonts w:hint="default" w:ascii="Times New Roman" w:hAnsi="Times New Roman" w:eastAsia="宋体" w:cs="Times New Roman"/>
          <w:b w:val="0"/>
          <w:bCs/>
          <w:color w:val="000000" w:themeColor="text1"/>
          <w:highlight w:val="none"/>
          <w14:textFill>
            <w14:solidFill>
              <w14:schemeClr w14:val="tx1"/>
            </w14:solidFill>
          </w14:textFill>
        </w:rPr>
        <w:t>年全面完成指标修订工作。</w:t>
      </w:r>
    </w:p>
    <w:p w14:paraId="5AF247A0">
      <w:pPr>
        <w:pStyle w:val="7"/>
        <w:keepNext/>
        <w:keepLines/>
        <w:pageBreakBefore w:val="0"/>
        <w:widowControl w:val="0"/>
        <w:kinsoku/>
        <w:wordWrap/>
        <w:overflowPunct/>
        <w:topLinePunct w:val="0"/>
        <w:autoSpaceDE/>
        <w:autoSpaceDN/>
        <w:bidi w:val="0"/>
        <w:adjustRightInd/>
        <w:snapToGrid/>
        <w:spacing w:beforeLines="0" w:after="0"/>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1.2立项目的和意义</w:t>
      </w:r>
    </w:p>
    <w:p w14:paraId="68573F58">
      <w:pPr>
        <w:pStyle w:val="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无油轴承也叫复合轴承、无油滑动轴承、自润滑轴承等，属于滑动轴承的一种，凭借其无需外部供油即可实现长期稳定运行的特点，在现代化机械装备中扮演着不可或缺的角色。无油轴承是各类机电产品的重要基础件，具有性能稳定可靠，使用寿命长以及维修保养简便等优点。无油轴承作为一类特殊工况下运转的核心机械部件</w:t>
      </w:r>
      <w:r>
        <w:rPr>
          <w:rFonts w:hint="eastAsia" w:cs="Times New Roman"/>
          <w:b w:val="0"/>
          <w:bCs/>
          <w:color w:val="000000" w:themeColor="text1"/>
          <w:highlight w:val="none"/>
          <w:lang w:eastAsia="zh-CN"/>
          <w14:textFill>
            <w14:solidFill>
              <w14:schemeClr w14:val="tx1"/>
            </w14:solidFill>
          </w14:textFill>
        </w:rPr>
        <w:t>，</w:t>
      </w:r>
      <w:r>
        <w:rPr>
          <w:rFonts w:hint="default" w:ascii="Times New Roman" w:hAnsi="Times New Roman" w:eastAsia="宋体" w:cs="Times New Roman"/>
          <w:b w:val="0"/>
          <w:bCs/>
          <w:color w:val="000000" w:themeColor="text1"/>
          <w:highlight w:val="none"/>
          <w14:textFill>
            <w14:solidFill>
              <w14:schemeClr w14:val="tx1"/>
            </w14:solidFill>
          </w14:textFill>
        </w:rPr>
        <w:t>这类轴承能够在重载、低速、高温、腐蚀性介质以及难以形成油膜的</w:t>
      </w:r>
      <w:r>
        <w:rPr>
          <w:rFonts w:hint="eastAsia" w:cs="Times New Roman"/>
          <w:b w:val="0"/>
          <w:bCs/>
          <w:color w:val="000000" w:themeColor="text1"/>
          <w:highlight w:val="none"/>
          <w:lang w:val="en-US" w:eastAsia="zh-CN"/>
          <w14:textFill>
            <w14:solidFill>
              <w14:schemeClr w14:val="tx1"/>
            </w14:solidFill>
          </w14:textFill>
        </w:rPr>
        <w:t>环境</w:t>
      </w:r>
      <w:r>
        <w:rPr>
          <w:rFonts w:hint="default" w:ascii="Times New Roman" w:hAnsi="Times New Roman" w:eastAsia="宋体" w:cs="Times New Roman"/>
          <w:b w:val="0"/>
          <w:bCs/>
          <w:color w:val="000000" w:themeColor="text1"/>
          <w:highlight w:val="none"/>
          <w14:textFill>
            <w14:solidFill>
              <w14:schemeClr w14:val="tx1"/>
            </w14:solidFill>
          </w14:textFill>
        </w:rPr>
        <w:t>中，保持较低的摩擦系数和优异的耐磨性能</w:t>
      </w:r>
      <w:r>
        <w:rPr>
          <w:rFonts w:hint="eastAsia" w:cs="Times New Roman"/>
          <w:b w:val="0"/>
          <w:bCs/>
          <w:color w:val="000000" w:themeColor="text1"/>
          <w:highlight w:val="none"/>
          <w:lang w:eastAsia="zh-CN"/>
          <w14:textFill>
            <w14:solidFill>
              <w14:schemeClr w14:val="tx1"/>
            </w14:solidFill>
          </w14:textFill>
        </w:rPr>
        <w:t>。</w:t>
      </w:r>
      <w:r>
        <w:rPr>
          <w:rFonts w:hint="default" w:ascii="Times New Roman" w:hAnsi="Times New Roman" w:eastAsia="宋体" w:cs="Times New Roman"/>
          <w:b w:val="0"/>
          <w:bCs/>
          <w:color w:val="000000" w:themeColor="text1"/>
          <w:highlight w:val="none"/>
          <w14:textFill>
            <w14:solidFill>
              <w14:schemeClr w14:val="tx1"/>
            </w14:solidFill>
          </w14:textFill>
        </w:rPr>
        <w:t>铜合金因其具有承载能力强、熔点高、耐热性能好、耐热性能好、耐磨损性能高等特点，逐渐成为了无油轴承的主导材料，磷青铜合金是常用的无油轴承材料。随着</w:t>
      </w:r>
      <w:r>
        <w:rPr>
          <w:rFonts w:hint="eastAsia" w:cs="Times New Roman"/>
          <w:b w:val="0"/>
          <w:bCs/>
          <w:color w:val="000000" w:themeColor="text1"/>
          <w:highlight w:val="none"/>
          <w:lang w:eastAsia="zh-CN"/>
          <w14:textFill>
            <w14:solidFill>
              <w14:schemeClr w14:val="tx1"/>
            </w14:solidFill>
          </w14:textFill>
        </w:rPr>
        <w:t>“</w:t>
      </w:r>
      <w:r>
        <w:rPr>
          <w:rFonts w:hint="default" w:ascii="Times New Roman" w:hAnsi="Times New Roman" w:eastAsia="宋体" w:cs="Times New Roman"/>
          <w:b w:val="0"/>
          <w:bCs/>
          <w:color w:val="000000" w:themeColor="text1"/>
          <w:highlight w:val="none"/>
          <w14:textFill>
            <w14:solidFill>
              <w14:schemeClr w14:val="tx1"/>
            </w14:solidFill>
          </w14:textFill>
        </w:rPr>
        <w:t>中国制造2025</w:t>
      </w:r>
      <w:r>
        <w:rPr>
          <w:rFonts w:hint="eastAsia" w:cs="Times New Roman"/>
          <w:b w:val="0"/>
          <w:bCs/>
          <w:color w:val="000000" w:themeColor="text1"/>
          <w:highlight w:val="none"/>
          <w:lang w:eastAsia="zh-CN"/>
          <w14:textFill>
            <w14:solidFill>
              <w14:schemeClr w14:val="tx1"/>
            </w14:solidFill>
          </w14:textFill>
        </w:rPr>
        <w:t>”</w:t>
      </w:r>
      <w:r>
        <w:rPr>
          <w:rFonts w:hint="default" w:ascii="Times New Roman" w:hAnsi="Times New Roman" w:eastAsia="宋体" w:cs="Times New Roman"/>
          <w:b w:val="0"/>
          <w:bCs/>
          <w:color w:val="000000" w:themeColor="text1"/>
          <w:highlight w:val="none"/>
          <w14:textFill>
            <w14:solidFill>
              <w14:schemeClr w14:val="tx1"/>
            </w14:solidFill>
          </w14:textFill>
        </w:rPr>
        <w:t>战略的深入推进和高端装备制造业的快速发展，对高性能无油轴承的需求日益增长，</w:t>
      </w:r>
      <w:r>
        <w:rPr>
          <w:rFonts w:hint="eastAsia" w:cs="Times New Roman"/>
          <w:b w:val="0"/>
          <w:bCs/>
          <w:color w:val="000000" w:themeColor="text1"/>
          <w:highlight w:val="none"/>
          <w:lang w:val="en-US" w:eastAsia="zh-CN"/>
          <w14:textFill>
            <w14:solidFill>
              <w14:schemeClr w14:val="tx1"/>
            </w14:solidFill>
          </w14:textFill>
        </w:rPr>
        <w:t>也</w:t>
      </w:r>
      <w:r>
        <w:rPr>
          <w:rFonts w:hint="default" w:ascii="Times New Roman" w:hAnsi="Times New Roman" w:eastAsia="宋体" w:cs="Times New Roman"/>
          <w:b w:val="0"/>
          <w:bCs/>
          <w:color w:val="000000" w:themeColor="text1"/>
          <w:highlight w:val="none"/>
          <w14:textFill>
            <w14:solidFill>
              <w14:schemeClr w14:val="tx1"/>
            </w14:solidFill>
          </w14:textFill>
        </w:rPr>
        <w:t>对铜合金带材提出了更高要求。</w:t>
      </w:r>
    </w:p>
    <w:p w14:paraId="39B70284">
      <w:pPr>
        <w:pStyle w:val="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磷青铜合金中含有一定量的锡含量，由于锡具有自润滑的效果，锡含量越高其自润滑效果越好，使其广泛应用于轴承中。QSn6.5-0.1、QSn8-0.3、QSn10-0.3合金中锡含量从6.5-10%不等，具有非常好的自润滑及散热能力，加之具有良好的耐磨损特性以及抗疲劳性能，致使其广泛应用于无油轴承市场。随着现代科技的飞速发展，无油轴承的工作环境越来越复杂，要求轴承能长时间工作在高温、高载荷、强腐蚀等特殊环境下，同时要求机械产品节能降耗免维护，轴承产品向小型化、低摩擦、长寿命的方向发展，这对无油轴承材料提出了更高的要求。目前我国轴承市场用铜约10000吨/年，无油轴承出口占比较大，主要以低端产品为主，而高端产品仍主要依赖进口，而国内对于高锡磷青铜板研发投入不足，高锡磷青铜合金板（尤其是QSn10-0.3合金）产品质量不稳定，致使高端轴承材料目前仍难以产业化生产，因此发展适应于高端无油轴承用铜合金材料就显得十分重要。目前，我国铜加工业进入新常态，也进入转型升级的关键时期，大力发展高端无油轴承用铜合金材料对于我国有色金属工业改变传统模式、摆脱过剩产能、扩大有色金属应用将起到至关重要的作用。</w:t>
      </w:r>
    </w:p>
    <w:p w14:paraId="3EB3CC31">
      <w:pPr>
        <w:pStyle w:val="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rPr>
      </w:pPr>
      <w:r>
        <w:rPr>
          <w:rFonts w:hint="eastAsia" w:cs="Times New Roman"/>
          <w:b w:val="0"/>
          <w:bCs/>
          <w:color w:val="000000" w:themeColor="text1"/>
          <w:highlight w:val="none"/>
          <w:lang w:val="en-US" w:eastAsia="zh-CN"/>
          <w14:textFill>
            <w14:solidFill>
              <w14:schemeClr w14:val="tx1"/>
            </w14:solidFill>
          </w14:textFill>
        </w:rPr>
        <w:t>原</w:t>
      </w:r>
      <w:r>
        <w:rPr>
          <w:rFonts w:hint="default" w:ascii="Times New Roman" w:hAnsi="Times New Roman" w:eastAsia="宋体" w:cs="Times New Roman"/>
          <w:b w:val="0"/>
          <w:bCs/>
          <w:color w:val="000000" w:themeColor="text1"/>
          <w:highlight w:val="none"/>
          <w14:textFill>
            <w14:solidFill>
              <w14:schemeClr w14:val="tx1"/>
            </w14:solidFill>
          </w14:textFill>
        </w:rPr>
        <w:t>GB/T 37570标准自颁布实施以来已历时多年</w:t>
      </w:r>
      <w:r>
        <w:rPr>
          <w:rFonts w:hint="eastAsia" w:cs="Times New Roman"/>
          <w:b w:val="0"/>
          <w:bCs/>
          <w:color w:val="000000" w:themeColor="text1"/>
          <w:highlight w:val="none"/>
          <w:lang w:eastAsia="zh-CN"/>
          <w14:textFill>
            <w14:solidFill>
              <w14:schemeClr w14:val="tx1"/>
            </w14:solidFill>
          </w14:textFill>
        </w:rPr>
        <w:t>，</w:t>
      </w:r>
      <w:r>
        <w:rPr>
          <w:rFonts w:hint="default" w:ascii="Times New Roman" w:hAnsi="Times New Roman" w:eastAsia="宋体" w:cs="Times New Roman"/>
          <w:b w:val="0"/>
          <w:bCs/>
          <w:color w:val="000000" w:themeColor="text1"/>
          <w:highlight w:val="none"/>
          <w14:textFill>
            <w14:solidFill>
              <w14:schemeClr w14:val="tx1"/>
            </w14:solidFill>
          </w14:textFill>
        </w:rPr>
        <w:t>在此期间，国内无油轴承用材料的研发与应用取得了显著进展，材料体系构成日趋丰富，性能持续提升，不仅增强了轴承的承载能力与运行稳定性，也更好地适应了多种工况下对轴承性能的差异化需求。无油轴承材料的发展呈现出高性能、低成本、长寿命及绿色化等趋势</w:t>
      </w:r>
      <w:r>
        <w:rPr>
          <w:rFonts w:hint="eastAsia" w:cs="Times New Roman"/>
          <w:b w:val="0"/>
          <w:bCs/>
          <w:color w:val="000000" w:themeColor="text1"/>
          <w:highlight w:val="none"/>
          <w:lang w:eastAsia="zh-CN"/>
          <w14:textFill>
            <w14:solidFill>
              <w14:schemeClr w14:val="tx1"/>
            </w14:solidFill>
          </w14:textFill>
        </w:rPr>
        <w:t>，</w:t>
      </w:r>
      <w:r>
        <w:rPr>
          <w:rFonts w:hint="default" w:ascii="Times New Roman" w:hAnsi="Times New Roman" w:eastAsia="宋体" w:cs="Times New Roman"/>
          <w:b w:val="0"/>
          <w:bCs/>
          <w:color w:val="000000" w:themeColor="text1"/>
          <w:highlight w:val="none"/>
          <w14:textFill>
            <w14:solidFill>
              <w14:schemeClr w14:val="tx1"/>
            </w14:solidFill>
          </w14:textFill>
        </w:rPr>
        <w:t>为拓展标准的适用性，使其更贴近行业技术发展与实际应用，有必要纳入新增产品牌号。在当今以技术、标准、品牌、质量、服务为核心要素的经济发展新形态下，标准已成为推动产业升级与高质量发展的重要基石。为进一步落实《中国制造2025》战略规划及《深化标准化工作改革方案》的相关部署，通过标准修订提升产品质量与行业标准化水平显得尤为迫切。基于国内外无油轴承材料的技术发展水平、实际应用情况以及终端用户的需求变化，对GB/T 37570-2019《无油轴承用铜合金板》开展系统修订，将有助于统一产品评价体系、规范市场秩序，引导企业推进技术创新、提高产品一致性，从而推动铜及铜合金行业向更高质量、更高效率及更可持续的方向发展。此次修订还将为高端装备制造、新能源汽车、航空航天等重点领域提供更为可靠的配套材料支撑，进一步增强产业链的自主可控能力。</w:t>
      </w:r>
    </w:p>
    <w:p w14:paraId="60A5D341">
      <w:pPr>
        <w:pStyle w:val="7"/>
        <w:keepNext/>
        <w:keepLines/>
        <w:pageBreakBefore w:val="0"/>
        <w:widowControl w:val="0"/>
        <w:kinsoku/>
        <w:wordWrap/>
        <w:overflowPunct/>
        <w:topLinePunct w:val="0"/>
        <w:autoSpaceDE/>
        <w:autoSpaceDN/>
        <w:bidi w:val="0"/>
        <w:adjustRightInd/>
        <w:snapToGrid/>
        <w:spacing w:beforeLines="0" w:after="0"/>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1.3主要参加单位和工作成员所作的工作</w:t>
      </w:r>
    </w:p>
    <w:p w14:paraId="702847BE">
      <w:pPr>
        <w:pStyle w:val="2"/>
        <w:keepNext w:val="0"/>
        <w:keepLines w:val="0"/>
        <w:pageBreakBefore w:val="0"/>
        <w:widowControl w:val="0"/>
        <w:kinsoku/>
        <w:wordWrap/>
        <w:overflowPunct/>
        <w:topLinePunct w:val="0"/>
        <w:autoSpaceDE/>
        <w:autoSpaceDN/>
        <w:bidi w:val="0"/>
        <w:adjustRightInd/>
        <w:snapToGrid/>
        <w:spacing w:after="0" w:line="360" w:lineRule="auto"/>
        <w:ind w:firstLine="422" w:firstLineChars="200"/>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bCs w:val="0"/>
          <w:color w:val="000000" w:themeColor="text1"/>
          <w:highlight w:val="none"/>
          <w14:textFill>
            <w14:solidFill>
              <w14:schemeClr w14:val="tx1"/>
            </w14:solidFill>
          </w14:textFill>
        </w:rPr>
        <w:t>宁波兴业盛泰集团有限公司</w:t>
      </w:r>
      <w:r>
        <w:rPr>
          <w:rFonts w:hint="default" w:ascii="Times New Roman" w:hAnsi="Times New Roman" w:eastAsia="宋体" w:cs="Times New Roman"/>
          <w:b w:val="0"/>
          <w:bCs/>
          <w:color w:val="000000" w:themeColor="text1"/>
          <w:highlight w:val="none"/>
          <w14:textFill>
            <w14:solidFill>
              <w14:schemeClr w14:val="tx1"/>
            </w14:solidFill>
          </w14:textFill>
        </w:rPr>
        <w:t>（以下简称兴业盛泰）位于宁波市杭州湾新区，占地面积28万平方米，建筑面积15万平方米，是一家专业研究、生产高精度铜及铜合金板带的现代化集团公司，也是中国高精度铜板带行业的领先制造商。公司一直致力于高精度铜板带的专业化研究、生产、销售，先后通过ISO9001和TS16949质量管理、ISO14001环境管理和OHSAS18001职业健康安全管理体系，其“三环”品牌荣获“中国名牌”称号，是中国该领域仅有的三大“中国名牌”之一，公司是宁波杭州湾新区国家级高性能金属新材料基地的核心企业，于2012年被中国有色金属加工工业协会评为中国铜板带十强企业，先后获得国家高新技术企业、宁波市高成长企业、浙江省工业行业龙头骨干企业、宁波市信息化和工业化深度融合示范企业、宁波市810实力工程企业等荣誉称号，同时还是中国有色金属加工工业协会的副理事长单位、中国有色金属学会理事单位、上海有色金属学会副会长单位等，2015年“超大规模集成电路引线框架用铜带的产业化”列入国家火炬计划专项。</w:t>
      </w:r>
    </w:p>
    <w:p w14:paraId="5A24D84C">
      <w:pPr>
        <w:pStyle w:val="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兴业盛泰的主要产品有：高精度锌白铜带、集成电路引线框架铜带、高精度锡青铜带、高精度紫铜板带、高精度黄铜板带、高精度高铜铜带、高精度铜锡锌铜带等8大系列60多个牌号，是目前国内铜板带品种系列最全的生产企业之一。拥有水平连铸生产线11条，半连续铸造生产线10条，形成年25万吨的供坯能力，拥有热轧、粗轧、中精轧生产线多条，形成年产15万吨生产能力，连续3年稳居国内高精度铜合金板带产销量的首位。</w:t>
      </w:r>
    </w:p>
    <w:p w14:paraId="19BE4F4C">
      <w:pPr>
        <w:pStyle w:val="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先后承担国家“863”课题、国家发改委“双高一优”、国家发改委、工信部的“产业振兴和技术改造专项”以及科技部“十三五”“十四五”等重大项目；经过多年的发展及技术积累，兴业盛泰在高精度铜合金板带领域取得了多项研究成果和创新技术，在行业多个细分领域内占据市场“领头羊”的地位。近三年参与制修订国家和国家行业标准13项，企业拥有全部有效专利50余项，其中获得发明专利授权35项。</w:t>
      </w:r>
    </w:p>
    <w:p w14:paraId="16D60A4C">
      <w:pPr>
        <w:pStyle w:val="2"/>
        <w:keepNext w:val="0"/>
        <w:keepLines w:val="0"/>
        <w:pageBreakBefore w:val="0"/>
        <w:widowControl w:val="0"/>
        <w:kinsoku/>
        <w:wordWrap/>
        <w:overflowPunct/>
        <w:topLinePunct w:val="0"/>
        <w:autoSpaceDE/>
        <w:autoSpaceDN/>
        <w:bidi w:val="0"/>
        <w:adjustRightInd/>
        <w:snapToGrid/>
        <w:spacing w:after="0" w:line="360" w:lineRule="auto"/>
        <w:ind w:firstLine="422" w:firstLineChars="200"/>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bCs w:val="0"/>
          <w:color w:val="000000" w:themeColor="text1"/>
          <w:highlight w:val="none"/>
          <w14:textFill>
            <w14:solidFill>
              <w14:schemeClr w14:val="tx1"/>
            </w14:solidFill>
          </w14:textFill>
        </w:rPr>
        <w:t>宁波兴业鑫泰新型电子材料有限公司</w:t>
      </w:r>
      <w:r>
        <w:rPr>
          <w:rFonts w:hint="default" w:ascii="Times New Roman" w:hAnsi="Times New Roman" w:eastAsia="宋体" w:cs="Times New Roman"/>
          <w:b w:val="0"/>
          <w:bCs/>
          <w:color w:val="000000" w:themeColor="text1"/>
          <w:highlight w:val="none"/>
          <w14:textFill>
            <w14:solidFill>
              <w14:schemeClr w14:val="tx1"/>
            </w14:solidFill>
          </w14:textFill>
        </w:rPr>
        <w:t>（下称“兴业鑫泰”）是中国铜板带材十强企业之首的宁波兴业盛泰集团有限公司的全资子公司。兴业鑫泰成立于2011年，注册资本2亿元人民币，立足于高新技术材料的研发与生产，主要产品为高精度引线框架用铜带材系列、铜铬锆系列、中间合金系列。公司现有一条国际一流的生产线，所有设备均从德国、日本、美国、奥地利、韩国等先进国家引进，总耗资约6亿元人民币。该生产线计划产能2.5万吨/年，2016年中期正式投入试生产，目前已可实现规划产能。兴业鑫泰产品主要应用于汽车、电子信息、航空航天、海洋工业、手机等民族重点行业，客户包括泰科、莫仕、宏发、富士康、华为、Apple、OPPO、Vivo等行业内知名企业。公司为浙江省科技型中小企业、宁波市制造业百强企业（前50）</w:t>
      </w:r>
    </w:p>
    <w:p w14:paraId="7D94DC16">
      <w:pPr>
        <w:pStyle w:val="2"/>
        <w:keepNext w:val="0"/>
        <w:keepLines w:val="0"/>
        <w:pageBreakBefore w:val="0"/>
        <w:widowControl w:val="0"/>
        <w:kinsoku/>
        <w:wordWrap/>
        <w:overflowPunct/>
        <w:topLinePunct w:val="0"/>
        <w:autoSpaceDE/>
        <w:autoSpaceDN/>
        <w:bidi w:val="0"/>
        <w:adjustRightInd/>
        <w:snapToGrid/>
        <w:spacing w:after="0" w:line="360" w:lineRule="auto"/>
        <w:ind w:firstLine="422" w:firstLineChars="200"/>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bCs w:val="0"/>
          <w:color w:val="000000" w:themeColor="text1"/>
          <w:highlight w:val="none"/>
          <w14:textFill>
            <w14:solidFill>
              <w14:schemeClr w14:val="tx1"/>
            </w14:solidFill>
          </w14:textFill>
        </w:rPr>
        <w:t>中铝洛阳铜加工有限公司</w:t>
      </w:r>
      <w:r>
        <w:rPr>
          <w:rFonts w:hint="default" w:ascii="Times New Roman" w:hAnsi="Times New Roman" w:eastAsia="宋体" w:cs="Times New Roman"/>
          <w:b w:val="0"/>
          <w:bCs/>
          <w:color w:val="000000" w:themeColor="text1"/>
          <w:highlight w:val="none"/>
          <w14:textFill>
            <w14:solidFill>
              <w14:schemeClr w14:val="tx1"/>
            </w14:solidFill>
          </w14:textFill>
        </w:rPr>
        <w:t>是综合性有色金属加工企业，拥有铜及铜合金高精度电子带、大管大棒、弥散强化无氧铜、宽厚板等多条生产线，产品涉及铜及铜合金板、带、箔、管、棒、型材，广泛应用于电子信息通讯、新能源、汽车、海洋工程、轨道交通、国防、J工、核电等领域。拥有国家级企业技术中心、中国合格评定国家认可委员会认可的实验室、中国有色金属工业重金属加工材质检站、河南省铜镁材料和加工技术工程研究中心、中铝集团高性能铜板带加工技术重点实验室、有色行业铜及铜合金材料与加工工程技术研究中心。先后从德国、美国、法国、日本、英国、意大利等十二个国家引进了80台(套)先进的设备和检测仪器，为有色金属产品的研制和生产打下了坚实的基础。公司拥有一支高素质的科研技术研发队伍，具备丰富的生产技术经验和技术能力。</w:t>
      </w:r>
    </w:p>
    <w:p w14:paraId="7E13E2F2">
      <w:pPr>
        <w:pStyle w:val="2"/>
        <w:keepNext w:val="0"/>
        <w:keepLines w:val="0"/>
        <w:pageBreakBefore w:val="0"/>
        <w:widowControl w:val="0"/>
        <w:kinsoku/>
        <w:wordWrap/>
        <w:overflowPunct/>
        <w:topLinePunct w:val="0"/>
        <w:autoSpaceDE/>
        <w:autoSpaceDN/>
        <w:bidi w:val="0"/>
        <w:adjustRightInd/>
        <w:snapToGrid/>
        <w:spacing w:after="0" w:line="360" w:lineRule="auto"/>
        <w:ind w:firstLine="422" w:firstLineChars="200"/>
        <w:textAlignment w:val="auto"/>
        <w:rPr>
          <w:rFonts w:hint="default" w:ascii="Times New Roman" w:hAnsi="Times New Roman" w:eastAsia="宋体" w:cs="Times New Roman"/>
          <w:b w:val="0"/>
          <w:bCs/>
          <w:color w:val="000000" w:themeColor="text1"/>
          <w:highlight w:val="none"/>
          <w:lang w:eastAsia="zh-CN"/>
          <w14:textFill>
            <w14:solidFill>
              <w14:schemeClr w14:val="tx1"/>
            </w14:solidFill>
          </w14:textFill>
        </w:rPr>
      </w:pPr>
      <w:r>
        <w:rPr>
          <w:rFonts w:hint="default" w:ascii="Times New Roman" w:hAnsi="Times New Roman" w:eastAsia="宋体" w:cs="Times New Roman"/>
          <w:b/>
          <w:bCs w:val="0"/>
          <w:color w:val="000000" w:themeColor="text1"/>
          <w:highlight w:val="none"/>
          <w:lang w:eastAsia="zh-CN"/>
          <w14:textFill>
            <w14:solidFill>
              <w14:schemeClr w14:val="tx1"/>
            </w14:solidFill>
          </w14:textFill>
        </w:rPr>
        <w:t>有研工程技术研究院有限公司</w:t>
      </w:r>
      <w:r>
        <w:rPr>
          <w:rFonts w:hint="default" w:ascii="Times New Roman" w:hAnsi="Times New Roman" w:eastAsia="宋体" w:cs="Times New Roman"/>
          <w:b w:val="0"/>
          <w:bCs/>
          <w:color w:val="000000" w:themeColor="text1"/>
          <w:highlight w:val="none"/>
          <w:lang w:eastAsia="zh-CN"/>
          <w14:textFill>
            <w14:solidFill>
              <w14:schemeClr w14:val="tx1"/>
            </w14:solidFill>
          </w14:textFill>
        </w:rPr>
        <w:t>是国务院国资委管理的中央企业有研科技集团有限公司（原北京有色金属研究总院）的二级全资子公司。2018年1月11日在北京市怀柔科学城注册成立，承继了集团全部材料类研发资产和资质。主要从事有色金属新材料战略高技术和前沿技术研发，产业化关键技术和行业共性技术开发，中试生产和成果孵化转化。拥有有色金属材料制备加工国家重点实验室、智能传感功能材料国家重点实验室、国家有色金属新能源材料与制品工程技术研究中心、军用有色金属材料多品种小批量科研生产基地等四个国家级创新平台，担负国家第二批“大众创业、万众创新”示范基地的建设任务；下属单位历史上先后为“两弹一星”、“神舟飞船”、“载人航天”、“探月工程”等国家重点工程和有色金属行业提供了一大批新材料、新工艺、新技术和新设备，为我国有色金属工业体系建立和国防建设提供了强有力的科技支撑。</w:t>
      </w:r>
    </w:p>
    <w:p w14:paraId="7F99F015">
      <w:pPr>
        <w:pStyle w:val="9"/>
        <w:keepNext w:val="0"/>
        <w:keepLines w:val="0"/>
        <w:pageBreakBefore w:val="0"/>
        <w:widowControl w:val="0"/>
        <w:kinsoku/>
        <w:wordWrap/>
        <w:overflowPunct/>
        <w:topLinePunct w:val="0"/>
        <w:autoSpaceDE/>
        <w:autoSpaceDN/>
        <w:bidi w:val="0"/>
        <w:adjustRightInd/>
        <w:snapToGrid/>
        <w:spacing w:before="157" w:beforeLines="50"/>
        <w:jc w:val="center"/>
        <w:textAlignment w:val="auto"/>
      </w:pPr>
      <w:r>
        <w:rPr>
          <w:rFonts w:hint="default" w:ascii="Times New Roman" w:hAnsi="Times New Roman" w:eastAsia="宋体" w:cs="Times New Roman"/>
          <w:b w:val="0"/>
          <w:bCs/>
          <w:color w:val="000000" w:themeColor="text1"/>
          <w:highlight w:val="none"/>
          <w14:textFill>
            <w14:solidFill>
              <w14:schemeClr w14:val="tx1"/>
            </w14:solidFill>
          </w14:textFill>
        </w:rPr>
        <w:t>表</w:t>
      </w:r>
      <w:r>
        <w:rPr>
          <w:rFonts w:hint="default" w:ascii="Times New Roman" w:hAnsi="Times New Roman" w:eastAsia="宋体" w:cs="Times New Roman"/>
          <w:b w:val="0"/>
          <w:bCs/>
          <w:color w:val="000000" w:themeColor="text1"/>
          <w:highlight w:val="none"/>
          <w14:textFill>
            <w14:solidFill>
              <w14:schemeClr w14:val="tx1"/>
            </w14:solidFill>
          </w14:textFill>
        </w:rPr>
        <w:fldChar w:fldCharType="begin"/>
      </w:r>
      <w:r>
        <w:rPr>
          <w:rFonts w:hint="default" w:ascii="Times New Roman" w:hAnsi="Times New Roman" w:eastAsia="宋体" w:cs="Times New Roman"/>
          <w:b w:val="0"/>
          <w:bCs/>
          <w:color w:val="000000" w:themeColor="text1"/>
          <w:highlight w:val="none"/>
          <w14:textFill>
            <w14:solidFill>
              <w14:schemeClr w14:val="tx1"/>
            </w14:solidFill>
          </w14:textFill>
        </w:rPr>
        <w:instrText xml:space="preserve"> SEQ 表 \* ARABIC </w:instrText>
      </w:r>
      <w:r>
        <w:rPr>
          <w:rFonts w:hint="default" w:ascii="Times New Roman" w:hAnsi="Times New Roman" w:eastAsia="宋体" w:cs="Times New Roman"/>
          <w:b w:val="0"/>
          <w:bCs/>
          <w:color w:val="000000" w:themeColor="text1"/>
          <w:highlight w:val="none"/>
          <w14:textFill>
            <w14:solidFill>
              <w14:schemeClr w14:val="tx1"/>
            </w14:solidFill>
          </w14:textFill>
        </w:rPr>
        <w:fldChar w:fldCharType="separate"/>
      </w:r>
      <w:r>
        <w:rPr>
          <w:rFonts w:hint="default" w:ascii="Times New Roman" w:hAnsi="Times New Roman" w:eastAsia="宋体" w:cs="Times New Roman"/>
          <w:b w:val="0"/>
          <w:bCs/>
          <w:color w:val="000000" w:themeColor="text1"/>
          <w:highlight w:val="none"/>
          <w14:textFill>
            <w14:solidFill>
              <w14:schemeClr w14:val="tx1"/>
            </w14:solidFill>
          </w14:textFill>
        </w:rPr>
        <w:t>1</w:t>
      </w:r>
      <w:r>
        <w:rPr>
          <w:rFonts w:hint="default" w:ascii="Times New Roman" w:hAnsi="Times New Roman" w:eastAsia="宋体" w:cs="Times New Roman"/>
          <w:b w:val="0"/>
          <w:bCs/>
          <w:color w:val="000000" w:themeColor="text1"/>
          <w:highlight w:val="none"/>
          <w14:textFill>
            <w14:solidFill>
              <w14:schemeClr w14:val="tx1"/>
            </w14:solidFill>
          </w14:textFill>
        </w:rPr>
        <w:fldChar w:fldCharType="end"/>
      </w:r>
      <w:r>
        <w:rPr>
          <w:rFonts w:hint="eastAsia" w:ascii="Times New Roman" w:hAnsi="Times New Roman" w:cs="Times New Roman"/>
          <w:b w:val="0"/>
          <w:bCs/>
          <w:color w:val="000000" w:themeColor="text1"/>
          <w:highlight w:val="none"/>
          <w:lang w:val="en-US" w:eastAsia="zh-CN"/>
          <w14:textFill>
            <w14:solidFill>
              <w14:schemeClr w14:val="tx1"/>
            </w14:solidFill>
          </w14:textFill>
        </w:rPr>
        <w:t xml:space="preserve"> </w:t>
      </w:r>
      <w:r>
        <w:rPr>
          <w:rFonts w:hint="default" w:ascii="Times New Roman" w:hAnsi="Times New Roman" w:eastAsia="宋体" w:cs="Times New Roman"/>
          <w:b w:val="0"/>
          <w:bCs/>
          <w:color w:val="000000" w:themeColor="text1"/>
          <w:highlight w:val="none"/>
          <w14:textFill>
            <w14:solidFill>
              <w14:schemeClr w14:val="tx1"/>
            </w14:solidFill>
          </w14:textFill>
        </w:rPr>
        <w:t>标准编制组成员及职责</w:t>
      </w:r>
    </w:p>
    <w:tbl>
      <w:tblPr>
        <w:tblStyle w:val="20"/>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0"/>
        <w:gridCol w:w="1625"/>
        <w:gridCol w:w="6727"/>
      </w:tblGrid>
      <w:tr w14:paraId="16E7A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294A2">
            <w:pPr>
              <w:keepNext w:val="0"/>
              <w:keepLines w:val="0"/>
              <w:widowControl/>
              <w:suppressLineNumbers w:val="0"/>
              <w:jc w:val="center"/>
              <w:textAlignment w:val="center"/>
              <w:rPr>
                <w:rFonts w:hint="eastAsia" w:ascii="Times New Roman" w:hAnsi="Times New Roman" w:eastAsia="宋体" w:cs="Times New Roman"/>
                <w:b w:val="0"/>
                <w:bCs/>
                <w:color w:val="000000" w:themeColor="text1"/>
                <w:kern w:val="2"/>
                <w:sz w:val="21"/>
                <w:szCs w:val="22"/>
                <w:highlight w:val="none"/>
                <w:lang w:val="en-US" w:eastAsia="zh-CN" w:bidi="ar-SA"/>
                <w14:textFill>
                  <w14:solidFill>
                    <w14:schemeClr w14:val="tx1"/>
                  </w14:solidFill>
                </w14:textFill>
              </w:rPr>
            </w:pPr>
            <w:r>
              <w:rPr>
                <w:rFonts w:hint="eastAsia" w:ascii="Times New Roman" w:hAnsi="Times New Roman" w:eastAsia="宋体" w:cs="Times New Roman"/>
                <w:b w:val="0"/>
                <w:bCs/>
                <w:color w:val="000000" w:themeColor="text1"/>
                <w:kern w:val="2"/>
                <w:sz w:val="21"/>
                <w:szCs w:val="22"/>
                <w:highlight w:val="none"/>
                <w:lang w:val="en-US" w:eastAsia="zh-CN" w:bidi="ar-SA"/>
                <w14:textFill>
                  <w14:solidFill>
                    <w14:schemeClr w14:val="tx1"/>
                  </w14:solidFill>
                </w14:textFill>
              </w:rPr>
              <w:t>序号</w:t>
            </w: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D313F">
            <w:pPr>
              <w:keepNext w:val="0"/>
              <w:keepLines w:val="0"/>
              <w:widowControl/>
              <w:suppressLineNumbers w:val="0"/>
              <w:jc w:val="center"/>
              <w:textAlignment w:val="center"/>
              <w:rPr>
                <w:rFonts w:hint="eastAsia" w:ascii="Times New Roman" w:hAnsi="Times New Roman" w:eastAsia="宋体" w:cs="Times New Roman"/>
                <w:b w:val="0"/>
                <w:bCs/>
                <w:color w:val="000000" w:themeColor="text1"/>
                <w:kern w:val="2"/>
                <w:sz w:val="21"/>
                <w:szCs w:val="22"/>
                <w:highlight w:val="none"/>
                <w:lang w:val="en-US" w:eastAsia="zh-CN" w:bidi="ar-SA"/>
                <w14:textFill>
                  <w14:solidFill>
                    <w14:schemeClr w14:val="tx1"/>
                  </w14:solidFill>
                </w14:textFill>
              </w:rPr>
            </w:pPr>
            <w:r>
              <w:rPr>
                <w:rFonts w:hint="eastAsia" w:ascii="Times New Roman" w:hAnsi="Times New Roman" w:eastAsia="宋体" w:cs="Times New Roman"/>
                <w:b w:val="0"/>
                <w:bCs/>
                <w:color w:val="000000" w:themeColor="text1"/>
                <w:kern w:val="2"/>
                <w:sz w:val="21"/>
                <w:szCs w:val="22"/>
                <w:highlight w:val="none"/>
                <w:lang w:val="en-US" w:eastAsia="zh-CN" w:bidi="ar-SA"/>
                <w14:textFill>
                  <w14:solidFill>
                    <w14:schemeClr w14:val="tx1"/>
                  </w14:solidFill>
                </w14:textFill>
              </w:rPr>
              <w:t>起草人姓名</w:t>
            </w:r>
          </w:p>
        </w:tc>
        <w:tc>
          <w:tcPr>
            <w:tcW w:w="3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D8A73">
            <w:pPr>
              <w:keepNext w:val="0"/>
              <w:keepLines w:val="0"/>
              <w:widowControl/>
              <w:suppressLineNumbers w:val="0"/>
              <w:jc w:val="center"/>
              <w:textAlignment w:val="center"/>
              <w:rPr>
                <w:rFonts w:hint="eastAsia" w:ascii="Times New Roman" w:hAnsi="Times New Roman" w:eastAsia="宋体" w:cs="Times New Roman"/>
                <w:b w:val="0"/>
                <w:bCs/>
                <w:color w:val="000000" w:themeColor="text1"/>
                <w:kern w:val="2"/>
                <w:sz w:val="21"/>
                <w:szCs w:val="22"/>
                <w:highlight w:val="none"/>
                <w:lang w:val="en-US" w:eastAsia="zh-CN" w:bidi="ar-SA"/>
                <w14:textFill>
                  <w14:solidFill>
                    <w14:schemeClr w14:val="tx1"/>
                  </w14:solidFill>
                </w14:textFill>
              </w:rPr>
            </w:pPr>
            <w:r>
              <w:rPr>
                <w:rFonts w:hint="eastAsia" w:ascii="Times New Roman" w:hAnsi="Times New Roman" w:eastAsia="宋体" w:cs="Times New Roman"/>
                <w:b w:val="0"/>
                <w:bCs/>
                <w:color w:val="000000" w:themeColor="text1"/>
                <w:kern w:val="2"/>
                <w:sz w:val="21"/>
                <w:szCs w:val="22"/>
                <w:highlight w:val="none"/>
                <w:lang w:val="en-US" w:eastAsia="zh-CN" w:bidi="ar-SA"/>
                <w14:textFill>
                  <w14:solidFill>
                    <w14:schemeClr w14:val="tx1"/>
                  </w14:solidFill>
                </w14:textFill>
              </w:rPr>
              <w:t>职责及分工</w:t>
            </w:r>
          </w:p>
        </w:tc>
      </w:tr>
      <w:tr w14:paraId="1CC83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FCB23">
            <w:pPr>
              <w:keepNext w:val="0"/>
              <w:keepLines w:val="0"/>
              <w:widowControl/>
              <w:suppressLineNumbers w:val="0"/>
              <w:jc w:val="center"/>
              <w:textAlignment w:val="center"/>
              <w:rPr>
                <w:rFonts w:hint="eastAsia" w:ascii="Times New Roman" w:hAnsi="Times New Roman" w:eastAsia="宋体" w:cs="Times New Roman"/>
                <w:b w:val="0"/>
                <w:bCs/>
                <w:color w:val="000000" w:themeColor="text1"/>
                <w:kern w:val="2"/>
                <w:sz w:val="21"/>
                <w:szCs w:val="22"/>
                <w:highlight w:val="none"/>
                <w:lang w:val="en-US" w:eastAsia="zh-CN" w:bidi="ar-SA"/>
                <w14:textFill>
                  <w14:solidFill>
                    <w14:schemeClr w14:val="tx1"/>
                  </w14:solidFill>
                </w14:textFill>
              </w:rPr>
            </w:pPr>
            <w:r>
              <w:rPr>
                <w:rFonts w:hint="eastAsia" w:ascii="Times New Roman" w:hAnsi="Times New Roman" w:eastAsia="宋体" w:cs="Times New Roman"/>
                <w:b w:val="0"/>
                <w:bCs/>
                <w:color w:val="000000" w:themeColor="text1"/>
                <w:kern w:val="2"/>
                <w:sz w:val="21"/>
                <w:szCs w:val="22"/>
                <w:highlight w:val="none"/>
                <w:lang w:val="en-US" w:eastAsia="zh-CN" w:bidi="ar-SA"/>
                <w14:textFill>
                  <w14:solidFill>
                    <w14:schemeClr w14:val="tx1"/>
                  </w14:solidFill>
                </w14:textFill>
              </w:rPr>
              <w:t>1</w:t>
            </w: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3A063">
            <w:pPr>
              <w:keepNext w:val="0"/>
              <w:keepLines w:val="0"/>
              <w:widowControl/>
              <w:suppressLineNumbers w:val="0"/>
              <w:jc w:val="center"/>
              <w:textAlignment w:val="center"/>
              <w:rPr>
                <w:rFonts w:hint="eastAsia" w:ascii="Times New Roman" w:hAnsi="Times New Roman" w:eastAsia="宋体" w:cs="Times New Roman"/>
                <w:b w:val="0"/>
                <w:bCs/>
                <w:color w:val="000000" w:themeColor="text1"/>
                <w:kern w:val="2"/>
                <w:sz w:val="21"/>
                <w:szCs w:val="22"/>
                <w:highlight w:val="none"/>
                <w:lang w:val="en-US" w:eastAsia="zh-CN" w:bidi="ar-SA"/>
                <w14:textFill>
                  <w14:solidFill>
                    <w14:schemeClr w14:val="tx1"/>
                  </w14:solidFill>
                </w14:textFill>
              </w:rPr>
            </w:pPr>
          </w:p>
        </w:tc>
        <w:tc>
          <w:tcPr>
            <w:tcW w:w="3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6F42D">
            <w:pPr>
              <w:keepNext w:val="0"/>
              <w:keepLines w:val="0"/>
              <w:widowControl/>
              <w:suppressLineNumbers w:val="0"/>
              <w:jc w:val="center"/>
              <w:textAlignment w:val="center"/>
              <w:rPr>
                <w:rFonts w:hint="eastAsia" w:ascii="Times New Roman" w:hAnsi="Times New Roman" w:eastAsia="宋体" w:cs="Times New Roman"/>
                <w:b w:val="0"/>
                <w:bCs/>
                <w:color w:val="000000" w:themeColor="text1"/>
                <w:kern w:val="2"/>
                <w:sz w:val="21"/>
                <w:szCs w:val="22"/>
                <w:highlight w:val="none"/>
                <w:lang w:val="en-US" w:eastAsia="zh-CN" w:bidi="ar-SA"/>
                <w14:textFill>
                  <w14:solidFill>
                    <w14:schemeClr w14:val="tx1"/>
                  </w14:solidFill>
                </w14:textFill>
              </w:rPr>
            </w:pPr>
            <w:r>
              <w:rPr>
                <w:rFonts w:hint="eastAsia" w:ascii="Times New Roman" w:hAnsi="Times New Roman" w:eastAsia="宋体" w:cs="Times New Roman"/>
                <w:b w:val="0"/>
                <w:bCs/>
                <w:color w:val="000000" w:themeColor="text1"/>
                <w:kern w:val="2"/>
                <w:sz w:val="21"/>
                <w:szCs w:val="22"/>
                <w:highlight w:val="none"/>
                <w:lang w:val="en-US" w:eastAsia="zh-CN" w:bidi="ar-SA"/>
                <w14:textFill>
                  <w14:solidFill>
                    <w14:schemeClr w14:val="tx1"/>
                  </w14:solidFill>
                </w14:textFill>
              </w:rPr>
              <w:t>负责标准编制方案的确定、指标的审查和确定，负责标准协调管理；参与标准指标的讨论与确定</w:t>
            </w:r>
          </w:p>
        </w:tc>
      </w:tr>
      <w:tr w14:paraId="1D883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96134">
            <w:pPr>
              <w:keepNext w:val="0"/>
              <w:keepLines w:val="0"/>
              <w:widowControl/>
              <w:suppressLineNumbers w:val="0"/>
              <w:jc w:val="center"/>
              <w:textAlignment w:val="center"/>
              <w:rPr>
                <w:rFonts w:hint="eastAsia" w:ascii="Times New Roman" w:hAnsi="Times New Roman" w:eastAsia="宋体" w:cs="Times New Roman"/>
                <w:b w:val="0"/>
                <w:bCs/>
                <w:color w:val="000000" w:themeColor="text1"/>
                <w:kern w:val="2"/>
                <w:sz w:val="21"/>
                <w:szCs w:val="22"/>
                <w:highlight w:val="none"/>
                <w:lang w:val="en-US" w:eastAsia="zh-CN" w:bidi="ar-SA"/>
                <w14:textFill>
                  <w14:solidFill>
                    <w14:schemeClr w14:val="tx1"/>
                  </w14:solidFill>
                </w14:textFill>
              </w:rPr>
            </w:pPr>
            <w:r>
              <w:rPr>
                <w:rFonts w:hint="eastAsia" w:ascii="Times New Roman" w:hAnsi="Times New Roman" w:eastAsia="宋体" w:cs="Times New Roman"/>
                <w:b w:val="0"/>
                <w:bCs/>
                <w:color w:val="000000" w:themeColor="text1"/>
                <w:kern w:val="2"/>
                <w:sz w:val="21"/>
                <w:szCs w:val="22"/>
                <w:highlight w:val="none"/>
                <w:lang w:val="en-US" w:eastAsia="zh-CN" w:bidi="ar-SA"/>
                <w14:textFill>
                  <w14:solidFill>
                    <w14:schemeClr w14:val="tx1"/>
                  </w14:solidFill>
                </w14:textFill>
              </w:rPr>
              <w:t>2</w:t>
            </w: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E6FCC">
            <w:pPr>
              <w:keepNext w:val="0"/>
              <w:keepLines w:val="0"/>
              <w:widowControl/>
              <w:suppressLineNumbers w:val="0"/>
              <w:jc w:val="center"/>
              <w:textAlignment w:val="center"/>
              <w:rPr>
                <w:rFonts w:hint="eastAsia" w:ascii="Times New Roman" w:hAnsi="Times New Roman" w:eastAsia="宋体" w:cs="Times New Roman"/>
                <w:b w:val="0"/>
                <w:bCs/>
                <w:color w:val="000000" w:themeColor="text1"/>
                <w:kern w:val="2"/>
                <w:sz w:val="21"/>
                <w:szCs w:val="22"/>
                <w:highlight w:val="none"/>
                <w:lang w:val="en-US" w:eastAsia="zh-CN" w:bidi="ar-SA"/>
                <w14:textFill>
                  <w14:solidFill>
                    <w14:schemeClr w14:val="tx1"/>
                  </w14:solidFill>
                </w14:textFill>
              </w:rPr>
            </w:pPr>
          </w:p>
        </w:tc>
        <w:tc>
          <w:tcPr>
            <w:tcW w:w="3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8DD4A">
            <w:pPr>
              <w:keepNext w:val="0"/>
              <w:keepLines w:val="0"/>
              <w:widowControl/>
              <w:suppressLineNumbers w:val="0"/>
              <w:jc w:val="center"/>
              <w:textAlignment w:val="center"/>
              <w:rPr>
                <w:rFonts w:hint="eastAsia" w:ascii="Times New Roman" w:hAnsi="Times New Roman" w:eastAsia="宋体" w:cs="Times New Roman"/>
                <w:b w:val="0"/>
                <w:bCs/>
                <w:color w:val="000000" w:themeColor="text1"/>
                <w:kern w:val="2"/>
                <w:sz w:val="21"/>
                <w:szCs w:val="22"/>
                <w:highlight w:val="none"/>
                <w:lang w:val="en-US" w:eastAsia="zh-CN" w:bidi="ar-SA"/>
                <w14:textFill>
                  <w14:solidFill>
                    <w14:schemeClr w14:val="tx1"/>
                  </w14:solidFill>
                </w14:textFill>
              </w:rPr>
            </w:pPr>
            <w:r>
              <w:rPr>
                <w:rFonts w:hint="eastAsia" w:ascii="Times New Roman" w:hAnsi="Times New Roman" w:eastAsia="宋体" w:cs="Times New Roman"/>
                <w:b w:val="0"/>
                <w:bCs/>
                <w:color w:val="000000" w:themeColor="text1"/>
                <w:kern w:val="2"/>
                <w:sz w:val="21"/>
                <w:szCs w:val="22"/>
                <w:highlight w:val="none"/>
                <w:lang w:val="en-US" w:eastAsia="zh-CN" w:bidi="ar-SA"/>
                <w14:textFill>
                  <w14:solidFill>
                    <w14:schemeClr w14:val="tx1"/>
                  </w14:solidFill>
                </w14:textFill>
              </w:rPr>
              <w:t>标准执笔人，负责标准编制过程中各方案得编制，负责各种文件的编制；参与标准指标的讨论与确定</w:t>
            </w:r>
          </w:p>
        </w:tc>
      </w:tr>
      <w:tr w14:paraId="76AAF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42685">
            <w:pPr>
              <w:keepNext w:val="0"/>
              <w:keepLines w:val="0"/>
              <w:widowControl/>
              <w:suppressLineNumbers w:val="0"/>
              <w:jc w:val="center"/>
              <w:textAlignment w:val="center"/>
              <w:rPr>
                <w:rFonts w:hint="eastAsia" w:ascii="Times New Roman" w:hAnsi="Times New Roman" w:eastAsia="宋体" w:cs="Times New Roman"/>
                <w:b w:val="0"/>
                <w:bCs/>
                <w:color w:val="000000" w:themeColor="text1"/>
                <w:kern w:val="2"/>
                <w:sz w:val="21"/>
                <w:szCs w:val="22"/>
                <w:highlight w:val="none"/>
                <w:lang w:val="en-US" w:eastAsia="zh-CN" w:bidi="ar-SA"/>
                <w14:textFill>
                  <w14:solidFill>
                    <w14:schemeClr w14:val="tx1"/>
                  </w14:solidFill>
                </w14:textFill>
              </w:rPr>
            </w:pPr>
            <w:r>
              <w:rPr>
                <w:rFonts w:hint="eastAsia" w:ascii="Times New Roman" w:hAnsi="Times New Roman" w:eastAsia="宋体" w:cs="Times New Roman"/>
                <w:b w:val="0"/>
                <w:bCs/>
                <w:color w:val="000000" w:themeColor="text1"/>
                <w:kern w:val="2"/>
                <w:sz w:val="21"/>
                <w:szCs w:val="22"/>
                <w:highlight w:val="none"/>
                <w:lang w:val="en-US" w:eastAsia="zh-CN" w:bidi="ar-SA"/>
                <w14:textFill>
                  <w14:solidFill>
                    <w14:schemeClr w14:val="tx1"/>
                  </w14:solidFill>
                </w14:textFill>
              </w:rPr>
              <w:t>3</w:t>
            </w: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9B5DA">
            <w:pPr>
              <w:keepNext w:val="0"/>
              <w:keepLines w:val="0"/>
              <w:widowControl/>
              <w:suppressLineNumbers w:val="0"/>
              <w:jc w:val="center"/>
              <w:textAlignment w:val="center"/>
              <w:rPr>
                <w:rFonts w:hint="eastAsia" w:ascii="Times New Roman" w:hAnsi="Times New Roman" w:eastAsia="宋体" w:cs="Times New Roman"/>
                <w:b w:val="0"/>
                <w:bCs/>
                <w:color w:val="000000" w:themeColor="text1"/>
                <w:kern w:val="2"/>
                <w:sz w:val="21"/>
                <w:szCs w:val="22"/>
                <w:highlight w:val="none"/>
                <w:lang w:val="en-US" w:eastAsia="zh-CN" w:bidi="ar-SA"/>
                <w14:textFill>
                  <w14:solidFill>
                    <w14:schemeClr w14:val="tx1"/>
                  </w14:solidFill>
                </w14:textFill>
              </w:rPr>
            </w:pPr>
          </w:p>
        </w:tc>
        <w:tc>
          <w:tcPr>
            <w:tcW w:w="3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C91E0">
            <w:pPr>
              <w:keepNext w:val="0"/>
              <w:keepLines w:val="0"/>
              <w:widowControl/>
              <w:suppressLineNumbers w:val="0"/>
              <w:jc w:val="center"/>
              <w:textAlignment w:val="center"/>
              <w:rPr>
                <w:rFonts w:hint="eastAsia" w:ascii="Times New Roman" w:hAnsi="Times New Roman" w:eastAsia="宋体" w:cs="Times New Roman"/>
                <w:b w:val="0"/>
                <w:bCs/>
                <w:color w:val="000000" w:themeColor="text1"/>
                <w:kern w:val="2"/>
                <w:sz w:val="21"/>
                <w:szCs w:val="22"/>
                <w:highlight w:val="none"/>
                <w:lang w:val="en-US" w:eastAsia="zh-CN" w:bidi="ar-SA"/>
                <w14:textFill>
                  <w14:solidFill>
                    <w14:schemeClr w14:val="tx1"/>
                  </w14:solidFill>
                </w14:textFill>
              </w:rPr>
            </w:pPr>
            <w:r>
              <w:rPr>
                <w:rFonts w:hint="eastAsia" w:ascii="Times New Roman" w:hAnsi="Times New Roman" w:eastAsia="宋体" w:cs="Times New Roman"/>
                <w:b w:val="0"/>
                <w:bCs/>
                <w:color w:val="000000" w:themeColor="text1"/>
                <w:kern w:val="2"/>
                <w:sz w:val="21"/>
                <w:szCs w:val="22"/>
                <w:highlight w:val="none"/>
                <w:lang w:val="en-US" w:eastAsia="zh-CN" w:bidi="ar-SA"/>
                <w14:textFill>
                  <w14:solidFill>
                    <w14:schemeClr w14:val="tx1"/>
                  </w14:solidFill>
                </w14:textFill>
              </w:rPr>
              <w:t>负责宁波兴业盛泰实际生产箔材数据验证及标准指标确定</w:t>
            </w:r>
          </w:p>
        </w:tc>
      </w:tr>
      <w:tr w14:paraId="01D78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B9662">
            <w:pPr>
              <w:keepNext w:val="0"/>
              <w:keepLines w:val="0"/>
              <w:widowControl/>
              <w:suppressLineNumbers w:val="0"/>
              <w:jc w:val="center"/>
              <w:textAlignment w:val="center"/>
              <w:rPr>
                <w:rFonts w:hint="eastAsia" w:ascii="Times New Roman" w:hAnsi="Times New Roman" w:eastAsia="宋体" w:cs="Times New Roman"/>
                <w:b w:val="0"/>
                <w:bCs/>
                <w:color w:val="000000" w:themeColor="text1"/>
                <w:kern w:val="2"/>
                <w:sz w:val="21"/>
                <w:szCs w:val="22"/>
                <w:highlight w:val="none"/>
                <w:lang w:val="en-US" w:eastAsia="zh-CN" w:bidi="ar-SA"/>
                <w14:textFill>
                  <w14:solidFill>
                    <w14:schemeClr w14:val="tx1"/>
                  </w14:solidFill>
                </w14:textFill>
              </w:rPr>
            </w:pPr>
            <w:r>
              <w:rPr>
                <w:rFonts w:hint="eastAsia" w:ascii="Times New Roman" w:hAnsi="Times New Roman" w:eastAsia="宋体" w:cs="Times New Roman"/>
                <w:b w:val="0"/>
                <w:bCs/>
                <w:color w:val="000000" w:themeColor="text1"/>
                <w:kern w:val="2"/>
                <w:sz w:val="21"/>
                <w:szCs w:val="22"/>
                <w:highlight w:val="none"/>
                <w:lang w:val="en-US" w:eastAsia="zh-CN" w:bidi="ar-SA"/>
                <w14:textFill>
                  <w14:solidFill>
                    <w14:schemeClr w14:val="tx1"/>
                  </w14:solidFill>
                </w14:textFill>
              </w:rPr>
              <w:t>4</w:t>
            </w: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9C303">
            <w:pPr>
              <w:keepNext w:val="0"/>
              <w:keepLines w:val="0"/>
              <w:widowControl/>
              <w:suppressLineNumbers w:val="0"/>
              <w:jc w:val="center"/>
              <w:textAlignment w:val="center"/>
              <w:rPr>
                <w:rFonts w:hint="eastAsia" w:ascii="Times New Roman" w:hAnsi="Times New Roman" w:eastAsia="宋体" w:cs="Times New Roman"/>
                <w:b w:val="0"/>
                <w:bCs/>
                <w:color w:val="000000" w:themeColor="text1"/>
                <w:kern w:val="2"/>
                <w:sz w:val="21"/>
                <w:szCs w:val="22"/>
                <w:highlight w:val="none"/>
                <w:lang w:val="en-US" w:eastAsia="zh-CN" w:bidi="ar-SA"/>
                <w14:textFill>
                  <w14:solidFill>
                    <w14:schemeClr w14:val="tx1"/>
                  </w14:solidFill>
                </w14:textFill>
              </w:rPr>
            </w:pPr>
          </w:p>
        </w:tc>
        <w:tc>
          <w:tcPr>
            <w:tcW w:w="3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A0F73">
            <w:pPr>
              <w:keepNext w:val="0"/>
              <w:keepLines w:val="0"/>
              <w:widowControl/>
              <w:suppressLineNumbers w:val="0"/>
              <w:jc w:val="center"/>
              <w:textAlignment w:val="center"/>
              <w:rPr>
                <w:rFonts w:hint="eastAsia" w:ascii="Times New Roman" w:hAnsi="Times New Roman" w:eastAsia="宋体" w:cs="Times New Roman"/>
                <w:b w:val="0"/>
                <w:bCs/>
                <w:color w:val="000000" w:themeColor="text1"/>
                <w:kern w:val="2"/>
                <w:sz w:val="21"/>
                <w:szCs w:val="22"/>
                <w:highlight w:val="none"/>
                <w:lang w:val="en-US" w:eastAsia="zh-CN" w:bidi="ar-SA"/>
                <w14:textFill>
                  <w14:solidFill>
                    <w14:schemeClr w14:val="tx1"/>
                  </w14:solidFill>
                </w14:textFill>
              </w:rPr>
            </w:pPr>
            <w:r>
              <w:rPr>
                <w:rFonts w:hint="eastAsia" w:ascii="Times New Roman" w:hAnsi="Times New Roman" w:eastAsia="宋体" w:cs="Times New Roman"/>
                <w:b w:val="0"/>
                <w:bCs/>
                <w:color w:val="000000" w:themeColor="text1"/>
                <w:kern w:val="2"/>
                <w:sz w:val="21"/>
                <w:szCs w:val="22"/>
                <w:highlight w:val="none"/>
                <w:lang w:val="en-US" w:eastAsia="zh-CN" w:bidi="ar-SA"/>
                <w14:textFill>
                  <w14:solidFill>
                    <w14:schemeClr w14:val="tx1"/>
                  </w14:solidFill>
                </w14:textFill>
              </w:rPr>
              <w:t>负责指标的汇总计算；参与标准指标的讨论与确定</w:t>
            </w:r>
          </w:p>
        </w:tc>
      </w:tr>
      <w:tr w14:paraId="4DF85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DAE20">
            <w:pPr>
              <w:keepNext w:val="0"/>
              <w:keepLines w:val="0"/>
              <w:widowControl/>
              <w:suppressLineNumbers w:val="0"/>
              <w:jc w:val="center"/>
              <w:textAlignment w:val="center"/>
              <w:rPr>
                <w:rFonts w:hint="eastAsia" w:ascii="Times New Roman" w:hAnsi="Times New Roman" w:eastAsia="宋体" w:cs="Times New Roman"/>
                <w:b w:val="0"/>
                <w:bCs/>
                <w:color w:val="000000" w:themeColor="text1"/>
                <w:kern w:val="2"/>
                <w:sz w:val="21"/>
                <w:szCs w:val="22"/>
                <w:highlight w:val="none"/>
                <w:lang w:val="en-US" w:eastAsia="zh-CN" w:bidi="ar-SA"/>
                <w14:textFill>
                  <w14:solidFill>
                    <w14:schemeClr w14:val="tx1"/>
                  </w14:solidFill>
                </w14:textFill>
              </w:rPr>
            </w:pPr>
            <w:r>
              <w:rPr>
                <w:rFonts w:hint="eastAsia" w:ascii="Times New Roman" w:hAnsi="Times New Roman" w:eastAsia="宋体" w:cs="Times New Roman"/>
                <w:b w:val="0"/>
                <w:bCs/>
                <w:color w:val="000000" w:themeColor="text1"/>
                <w:kern w:val="2"/>
                <w:sz w:val="21"/>
                <w:szCs w:val="22"/>
                <w:highlight w:val="none"/>
                <w:lang w:val="en-US" w:eastAsia="zh-CN" w:bidi="ar-SA"/>
                <w14:textFill>
                  <w14:solidFill>
                    <w14:schemeClr w14:val="tx1"/>
                  </w14:solidFill>
                </w14:textFill>
              </w:rPr>
              <w:t>5</w:t>
            </w: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86A4A">
            <w:pPr>
              <w:keepNext w:val="0"/>
              <w:keepLines w:val="0"/>
              <w:widowControl/>
              <w:suppressLineNumbers w:val="0"/>
              <w:jc w:val="center"/>
              <w:textAlignment w:val="center"/>
              <w:rPr>
                <w:rFonts w:hint="eastAsia" w:ascii="Times New Roman" w:hAnsi="Times New Roman" w:eastAsia="宋体" w:cs="Times New Roman"/>
                <w:b w:val="0"/>
                <w:bCs/>
                <w:color w:val="000000" w:themeColor="text1"/>
                <w:kern w:val="2"/>
                <w:sz w:val="21"/>
                <w:szCs w:val="22"/>
                <w:highlight w:val="none"/>
                <w:lang w:val="en-US" w:eastAsia="zh-CN" w:bidi="ar-SA"/>
                <w14:textFill>
                  <w14:solidFill>
                    <w14:schemeClr w14:val="tx1"/>
                  </w14:solidFill>
                </w14:textFill>
              </w:rPr>
            </w:pPr>
          </w:p>
        </w:tc>
        <w:tc>
          <w:tcPr>
            <w:tcW w:w="3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613AE">
            <w:pPr>
              <w:keepNext w:val="0"/>
              <w:keepLines w:val="0"/>
              <w:widowControl/>
              <w:suppressLineNumbers w:val="0"/>
              <w:jc w:val="center"/>
              <w:textAlignment w:val="center"/>
              <w:rPr>
                <w:rFonts w:hint="eastAsia" w:ascii="Times New Roman" w:hAnsi="Times New Roman" w:eastAsia="宋体" w:cs="Times New Roman"/>
                <w:b w:val="0"/>
                <w:bCs/>
                <w:color w:val="000000" w:themeColor="text1"/>
                <w:kern w:val="2"/>
                <w:sz w:val="21"/>
                <w:szCs w:val="22"/>
                <w:highlight w:val="none"/>
                <w:lang w:val="en-US" w:eastAsia="zh-CN" w:bidi="ar-SA"/>
                <w14:textFill>
                  <w14:solidFill>
                    <w14:schemeClr w14:val="tx1"/>
                  </w14:solidFill>
                </w14:textFill>
              </w:rPr>
            </w:pPr>
            <w:r>
              <w:rPr>
                <w:rFonts w:hint="eastAsia" w:ascii="Times New Roman" w:hAnsi="Times New Roman" w:eastAsia="宋体" w:cs="Times New Roman"/>
                <w:b w:val="0"/>
                <w:bCs/>
                <w:color w:val="000000" w:themeColor="text1"/>
                <w:kern w:val="2"/>
                <w:sz w:val="21"/>
                <w:szCs w:val="22"/>
                <w:highlight w:val="none"/>
                <w:lang w:val="en-US" w:eastAsia="zh-CN" w:bidi="ar-SA"/>
                <w14:textFill>
                  <w14:solidFill>
                    <w14:schemeClr w14:val="tx1"/>
                  </w14:solidFill>
                </w14:textFill>
              </w:rPr>
              <w:t>负责兴业鑫泰板材数据的归集，对标准内容进行审查，参与标准讨论</w:t>
            </w:r>
          </w:p>
        </w:tc>
      </w:tr>
      <w:tr w14:paraId="60E5D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CFA1E">
            <w:pPr>
              <w:keepNext w:val="0"/>
              <w:keepLines w:val="0"/>
              <w:widowControl/>
              <w:suppressLineNumbers w:val="0"/>
              <w:jc w:val="center"/>
              <w:textAlignment w:val="center"/>
              <w:rPr>
                <w:rFonts w:hint="eastAsia" w:ascii="Times New Roman" w:hAnsi="Times New Roman" w:eastAsia="宋体" w:cs="Times New Roman"/>
                <w:b w:val="0"/>
                <w:bCs/>
                <w:color w:val="000000" w:themeColor="text1"/>
                <w:kern w:val="2"/>
                <w:sz w:val="21"/>
                <w:szCs w:val="22"/>
                <w:highlight w:val="none"/>
                <w:lang w:val="en-US" w:eastAsia="zh-CN" w:bidi="ar-SA"/>
                <w14:textFill>
                  <w14:solidFill>
                    <w14:schemeClr w14:val="tx1"/>
                  </w14:solidFill>
                </w14:textFill>
              </w:rPr>
            </w:pPr>
            <w:r>
              <w:rPr>
                <w:rFonts w:hint="eastAsia" w:ascii="Times New Roman" w:hAnsi="Times New Roman" w:eastAsia="宋体" w:cs="Times New Roman"/>
                <w:b w:val="0"/>
                <w:bCs/>
                <w:color w:val="000000" w:themeColor="text1"/>
                <w:kern w:val="2"/>
                <w:sz w:val="21"/>
                <w:szCs w:val="22"/>
                <w:highlight w:val="none"/>
                <w:lang w:val="en-US" w:eastAsia="zh-CN" w:bidi="ar-SA"/>
                <w14:textFill>
                  <w14:solidFill>
                    <w14:schemeClr w14:val="tx1"/>
                  </w14:solidFill>
                </w14:textFill>
              </w:rPr>
              <w:t>6</w:t>
            </w: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BAF15">
            <w:pPr>
              <w:keepNext w:val="0"/>
              <w:keepLines w:val="0"/>
              <w:widowControl/>
              <w:suppressLineNumbers w:val="0"/>
              <w:jc w:val="center"/>
              <w:textAlignment w:val="center"/>
              <w:rPr>
                <w:rFonts w:hint="eastAsia" w:ascii="Times New Roman" w:hAnsi="Times New Roman" w:eastAsia="宋体" w:cs="Times New Roman"/>
                <w:b w:val="0"/>
                <w:bCs/>
                <w:color w:val="000000" w:themeColor="text1"/>
                <w:kern w:val="2"/>
                <w:sz w:val="21"/>
                <w:szCs w:val="22"/>
                <w:highlight w:val="none"/>
                <w:lang w:val="en-US" w:eastAsia="zh-CN" w:bidi="ar-SA"/>
                <w14:textFill>
                  <w14:solidFill>
                    <w14:schemeClr w14:val="tx1"/>
                  </w14:solidFill>
                </w14:textFill>
              </w:rPr>
            </w:pPr>
          </w:p>
        </w:tc>
        <w:tc>
          <w:tcPr>
            <w:tcW w:w="362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03FBD96F">
            <w:pPr>
              <w:keepNext w:val="0"/>
              <w:keepLines w:val="0"/>
              <w:widowControl/>
              <w:suppressLineNumbers w:val="0"/>
              <w:jc w:val="center"/>
              <w:textAlignment w:val="center"/>
              <w:rPr>
                <w:rFonts w:hint="eastAsia" w:ascii="Times New Roman" w:hAnsi="Times New Roman" w:eastAsia="宋体" w:cs="Times New Roman"/>
                <w:b w:val="0"/>
                <w:bCs/>
                <w:color w:val="000000" w:themeColor="text1"/>
                <w:kern w:val="2"/>
                <w:sz w:val="21"/>
                <w:szCs w:val="22"/>
                <w:highlight w:val="none"/>
                <w:lang w:val="en-US" w:eastAsia="zh-CN" w:bidi="ar-SA"/>
                <w14:textFill>
                  <w14:solidFill>
                    <w14:schemeClr w14:val="tx1"/>
                  </w14:solidFill>
                </w14:textFill>
              </w:rPr>
            </w:pPr>
            <w:r>
              <w:rPr>
                <w:rFonts w:hint="eastAsia" w:ascii="Times New Roman" w:hAnsi="Times New Roman" w:eastAsia="宋体" w:cs="Times New Roman"/>
                <w:b w:val="0"/>
                <w:bCs/>
                <w:color w:val="000000" w:themeColor="text1"/>
                <w:kern w:val="2"/>
                <w:sz w:val="21"/>
                <w:szCs w:val="22"/>
                <w:highlight w:val="none"/>
                <w:lang w:val="en-US" w:eastAsia="zh-CN" w:bidi="ar-SA"/>
                <w14:textFill>
                  <w14:solidFill>
                    <w14:schemeClr w14:val="tx1"/>
                  </w14:solidFill>
                </w14:textFill>
              </w:rPr>
              <w:t>负责洛阳铜加工板材数据的归集，对标准内容进行审查，参与标准讨论</w:t>
            </w:r>
          </w:p>
        </w:tc>
      </w:tr>
      <w:tr w14:paraId="4D9E2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914C3">
            <w:pPr>
              <w:keepNext w:val="0"/>
              <w:keepLines w:val="0"/>
              <w:widowControl/>
              <w:suppressLineNumbers w:val="0"/>
              <w:jc w:val="center"/>
              <w:textAlignment w:val="center"/>
              <w:rPr>
                <w:rFonts w:hint="eastAsia" w:ascii="Times New Roman" w:hAnsi="Times New Roman" w:eastAsia="宋体" w:cs="Times New Roman"/>
                <w:b w:val="0"/>
                <w:bCs/>
                <w:color w:val="000000" w:themeColor="text1"/>
                <w:kern w:val="2"/>
                <w:sz w:val="21"/>
                <w:szCs w:val="22"/>
                <w:highlight w:val="none"/>
                <w:lang w:val="en-US" w:eastAsia="zh-CN" w:bidi="ar-SA"/>
                <w14:textFill>
                  <w14:solidFill>
                    <w14:schemeClr w14:val="tx1"/>
                  </w14:solidFill>
                </w14:textFill>
              </w:rPr>
            </w:pPr>
            <w:r>
              <w:rPr>
                <w:rFonts w:hint="eastAsia" w:ascii="Times New Roman" w:hAnsi="Times New Roman" w:eastAsia="宋体" w:cs="Times New Roman"/>
                <w:b w:val="0"/>
                <w:bCs/>
                <w:color w:val="000000" w:themeColor="text1"/>
                <w:kern w:val="2"/>
                <w:sz w:val="21"/>
                <w:szCs w:val="22"/>
                <w:highlight w:val="none"/>
                <w:lang w:val="en-US" w:eastAsia="zh-CN" w:bidi="ar-SA"/>
                <w14:textFill>
                  <w14:solidFill>
                    <w14:schemeClr w14:val="tx1"/>
                  </w14:solidFill>
                </w14:textFill>
              </w:rPr>
              <w:t>7</w:t>
            </w: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4EEA3">
            <w:pPr>
              <w:keepNext w:val="0"/>
              <w:keepLines w:val="0"/>
              <w:widowControl/>
              <w:suppressLineNumbers w:val="0"/>
              <w:jc w:val="center"/>
              <w:textAlignment w:val="center"/>
              <w:rPr>
                <w:rFonts w:hint="eastAsia" w:ascii="Times New Roman" w:hAnsi="Times New Roman" w:eastAsia="宋体" w:cs="Times New Roman"/>
                <w:b w:val="0"/>
                <w:bCs/>
                <w:color w:val="000000" w:themeColor="text1"/>
                <w:kern w:val="2"/>
                <w:sz w:val="21"/>
                <w:szCs w:val="22"/>
                <w:highlight w:val="none"/>
                <w:lang w:val="en-US" w:eastAsia="zh-CN" w:bidi="ar-SA"/>
                <w14:textFill>
                  <w14:solidFill>
                    <w14:schemeClr w14:val="tx1"/>
                  </w14:solidFill>
                </w14:textFill>
              </w:rPr>
            </w:pPr>
          </w:p>
        </w:tc>
        <w:tc>
          <w:tcPr>
            <w:tcW w:w="362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70769889">
            <w:pPr>
              <w:keepNext w:val="0"/>
              <w:keepLines w:val="0"/>
              <w:widowControl/>
              <w:suppressLineNumbers w:val="0"/>
              <w:jc w:val="center"/>
              <w:textAlignment w:val="center"/>
              <w:rPr>
                <w:rFonts w:hint="eastAsia" w:ascii="Times New Roman" w:hAnsi="Times New Roman" w:eastAsia="宋体" w:cs="Times New Roman"/>
                <w:b w:val="0"/>
                <w:bCs/>
                <w:color w:val="000000" w:themeColor="text1"/>
                <w:kern w:val="2"/>
                <w:sz w:val="21"/>
                <w:szCs w:val="22"/>
                <w:highlight w:val="none"/>
                <w:lang w:val="en-US" w:eastAsia="zh-CN" w:bidi="ar-SA"/>
                <w14:textFill>
                  <w14:solidFill>
                    <w14:schemeClr w14:val="tx1"/>
                  </w14:solidFill>
                </w14:textFill>
              </w:rPr>
            </w:pPr>
            <w:r>
              <w:rPr>
                <w:rFonts w:hint="eastAsia" w:ascii="Times New Roman" w:hAnsi="Times New Roman" w:eastAsia="宋体" w:cs="Times New Roman"/>
                <w:b w:val="0"/>
                <w:bCs/>
                <w:color w:val="000000" w:themeColor="text1"/>
                <w:kern w:val="2"/>
                <w:sz w:val="21"/>
                <w:szCs w:val="22"/>
                <w:highlight w:val="none"/>
                <w:lang w:val="en-US" w:eastAsia="zh-CN" w:bidi="ar-SA"/>
                <w14:textFill>
                  <w14:solidFill>
                    <w14:schemeClr w14:val="tx1"/>
                  </w14:solidFill>
                </w14:textFill>
              </w:rPr>
              <w:t>负责山西春雷板材数据的归集，对标准内容进行审查，参与标准讨论</w:t>
            </w:r>
          </w:p>
        </w:tc>
      </w:tr>
      <w:tr w14:paraId="32310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A03FD">
            <w:pPr>
              <w:keepNext w:val="0"/>
              <w:keepLines w:val="0"/>
              <w:widowControl/>
              <w:suppressLineNumbers w:val="0"/>
              <w:jc w:val="center"/>
              <w:textAlignment w:val="center"/>
              <w:rPr>
                <w:rFonts w:hint="eastAsia" w:ascii="Times New Roman" w:hAnsi="Times New Roman" w:eastAsia="宋体" w:cs="Times New Roman"/>
                <w:b w:val="0"/>
                <w:bCs/>
                <w:color w:val="000000" w:themeColor="text1"/>
                <w:kern w:val="2"/>
                <w:sz w:val="21"/>
                <w:szCs w:val="22"/>
                <w:highlight w:val="none"/>
                <w:lang w:val="en-US" w:eastAsia="zh-CN" w:bidi="ar-SA"/>
                <w14:textFill>
                  <w14:solidFill>
                    <w14:schemeClr w14:val="tx1"/>
                  </w14:solidFill>
                </w14:textFill>
              </w:rPr>
            </w:pPr>
            <w:r>
              <w:rPr>
                <w:rFonts w:hint="eastAsia" w:ascii="Times New Roman" w:hAnsi="Times New Roman" w:eastAsia="宋体" w:cs="Times New Roman"/>
                <w:b w:val="0"/>
                <w:bCs/>
                <w:color w:val="000000" w:themeColor="text1"/>
                <w:kern w:val="2"/>
                <w:sz w:val="21"/>
                <w:szCs w:val="22"/>
                <w:highlight w:val="none"/>
                <w:lang w:val="en-US" w:eastAsia="zh-CN" w:bidi="ar-SA"/>
                <w14:textFill>
                  <w14:solidFill>
                    <w14:schemeClr w14:val="tx1"/>
                  </w14:solidFill>
                </w14:textFill>
              </w:rPr>
              <w:t>8</w:t>
            </w: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A236D">
            <w:pPr>
              <w:keepNext w:val="0"/>
              <w:keepLines w:val="0"/>
              <w:widowControl/>
              <w:suppressLineNumbers w:val="0"/>
              <w:jc w:val="center"/>
              <w:textAlignment w:val="center"/>
              <w:rPr>
                <w:rFonts w:hint="eastAsia" w:ascii="Times New Roman" w:hAnsi="Times New Roman" w:eastAsia="宋体" w:cs="Times New Roman"/>
                <w:b w:val="0"/>
                <w:bCs/>
                <w:color w:val="000000" w:themeColor="text1"/>
                <w:kern w:val="2"/>
                <w:sz w:val="21"/>
                <w:szCs w:val="22"/>
                <w:highlight w:val="none"/>
                <w:lang w:val="en-US" w:eastAsia="zh-CN" w:bidi="ar-SA"/>
                <w14:textFill>
                  <w14:solidFill>
                    <w14:schemeClr w14:val="tx1"/>
                  </w14:solidFill>
                </w14:textFill>
              </w:rPr>
            </w:pPr>
          </w:p>
        </w:tc>
        <w:tc>
          <w:tcPr>
            <w:tcW w:w="362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4A31E3D0">
            <w:pPr>
              <w:keepNext w:val="0"/>
              <w:keepLines w:val="0"/>
              <w:widowControl/>
              <w:suppressLineNumbers w:val="0"/>
              <w:jc w:val="center"/>
              <w:textAlignment w:val="center"/>
              <w:rPr>
                <w:rFonts w:hint="eastAsia" w:ascii="Times New Roman" w:hAnsi="Times New Roman" w:eastAsia="宋体" w:cs="Times New Roman"/>
                <w:b w:val="0"/>
                <w:bCs/>
                <w:color w:val="000000" w:themeColor="text1"/>
                <w:kern w:val="2"/>
                <w:sz w:val="21"/>
                <w:szCs w:val="22"/>
                <w:highlight w:val="none"/>
                <w:lang w:val="en-US" w:eastAsia="zh-CN" w:bidi="ar-SA"/>
                <w14:textFill>
                  <w14:solidFill>
                    <w14:schemeClr w14:val="tx1"/>
                  </w14:solidFill>
                </w14:textFill>
              </w:rPr>
            </w:pPr>
            <w:r>
              <w:rPr>
                <w:rFonts w:hint="eastAsia" w:ascii="Times New Roman" w:hAnsi="Times New Roman" w:eastAsia="宋体" w:cs="Times New Roman"/>
                <w:b w:val="0"/>
                <w:bCs/>
                <w:color w:val="000000" w:themeColor="text1"/>
                <w:kern w:val="2"/>
                <w:sz w:val="21"/>
                <w:szCs w:val="22"/>
                <w:highlight w:val="none"/>
                <w:lang w:val="en-US" w:eastAsia="zh-CN" w:bidi="ar-SA"/>
                <w14:textFill>
                  <w14:solidFill>
                    <w14:schemeClr w14:val="tx1"/>
                  </w14:solidFill>
                </w14:textFill>
              </w:rPr>
              <w:t>负责有研院数据的搜集与验证，对标准内容进行审查，参与标准讨论</w:t>
            </w:r>
          </w:p>
        </w:tc>
      </w:tr>
    </w:tbl>
    <w:p w14:paraId="35E9ECC6">
      <w:pPr>
        <w:pStyle w:val="7"/>
        <w:keepNext/>
        <w:keepLines/>
        <w:pageBreakBefore w:val="0"/>
        <w:widowControl w:val="0"/>
        <w:kinsoku/>
        <w:wordWrap/>
        <w:overflowPunct/>
        <w:topLinePunct w:val="0"/>
        <w:autoSpaceDE/>
        <w:autoSpaceDN/>
        <w:bidi w:val="0"/>
        <w:adjustRightInd/>
        <w:snapToGrid/>
        <w:spacing w:before="157" w:beforeLines="50" w:after="0"/>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1.4主要工作过程</w:t>
      </w:r>
    </w:p>
    <w:p w14:paraId="426E5966">
      <w:pPr>
        <w:pStyle w:val="8"/>
        <w:keepNext/>
        <w:keepLines/>
        <w:pageBreakBefore w:val="0"/>
        <w:widowControl w:val="0"/>
        <w:kinsoku/>
        <w:wordWrap/>
        <w:overflowPunct/>
        <w:topLinePunct w:val="0"/>
        <w:autoSpaceDE/>
        <w:autoSpaceDN/>
        <w:bidi w:val="0"/>
        <w:adjustRightInd/>
        <w:snapToGrid/>
        <w:spacing w:beforeLines="0" w:after="0"/>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1.4.1预研阶段</w:t>
      </w:r>
    </w:p>
    <w:p w14:paraId="164FE5F7">
      <w:pPr>
        <w:pStyle w:val="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ascii="Times New Roman" w:hAnsi="Times New Roman" w:eastAsia="宋体" w:cs="Times New Roman"/>
          <w:b w:val="0"/>
          <w:bCs/>
          <w:color w:val="000000" w:themeColor="text1"/>
          <w:highlight w:val="none"/>
          <w:lang w:val="en-US" w:eastAsia="zh-CN"/>
          <w14:textFill>
            <w14:solidFill>
              <w14:schemeClr w14:val="tx1"/>
            </w14:solidFill>
          </w14:textFill>
        </w:rPr>
      </w:pPr>
      <w:r>
        <w:rPr>
          <w:rFonts w:hint="default" w:ascii="Times New Roman" w:hAnsi="Times New Roman" w:eastAsia="宋体" w:cs="Times New Roman"/>
          <w:b w:val="0"/>
          <w:bCs/>
          <w:color w:val="000000" w:themeColor="text1"/>
          <w:highlight w:val="none"/>
          <w:lang w:val="en-US" w:eastAsia="zh-CN"/>
          <w14:textFill>
            <w14:solidFill>
              <w14:schemeClr w14:val="tx1"/>
            </w14:solidFill>
          </w14:textFill>
        </w:rPr>
        <w:t>原GB/T 37570标准实施至今已历经多年，在此期间，国内无油轴承用材料的研发与应用取得了显著进展，材料体系日趋多样化，</w:t>
      </w:r>
      <w:r>
        <w:rPr>
          <w:rFonts w:hint="eastAsia" w:cs="Times New Roman"/>
          <w:b w:val="0"/>
          <w:bCs/>
          <w:color w:val="000000" w:themeColor="text1"/>
          <w:highlight w:val="none"/>
          <w:lang w:val="en-US" w:eastAsia="zh-CN"/>
          <w14:textFill>
            <w14:solidFill>
              <w14:schemeClr w14:val="tx1"/>
            </w14:solidFill>
          </w14:textFill>
        </w:rPr>
        <w:t>更</w:t>
      </w:r>
      <w:r>
        <w:rPr>
          <w:rFonts w:hint="default" w:ascii="Times New Roman" w:hAnsi="Times New Roman" w:eastAsia="宋体" w:cs="Times New Roman"/>
          <w:b w:val="0"/>
          <w:bCs/>
          <w:color w:val="000000" w:themeColor="text1"/>
          <w:highlight w:val="none"/>
          <w:lang w:val="en-US" w:eastAsia="zh-CN"/>
          <w14:textFill>
            <w14:solidFill>
              <w14:schemeClr w14:val="tx1"/>
            </w14:solidFill>
          </w14:textFill>
        </w:rPr>
        <w:t>高</w:t>
      </w:r>
      <w:r>
        <w:rPr>
          <w:rFonts w:hint="eastAsia" w:cs="Times New Roman"/>
          <w:b w:val="0"/>
          <w:bCs/>
          <w:color w:val="000000" w:themeColor="text1"/>
          <w:highlight w:val="none"/>
          <w:lang w:val="en-US" w:eastAsia="zh-CN"/>
          <w14:textFill>
            <w14:solidFill>
              <w14:schemeClr w14:val="tx1"/>
            </w14:solidFill>
          </w14:textFill>
        </w:rPr>
        <w:t>的</w:t>
      </w:r>
      <w:r>
        <w:rPr>
          <w:rFonts w:hint="default" w:ascii="Times New Roman" w:hAnsi="Times New Roman" w:eastAsia="宋体" w:cs="Times New Roman"/>
          <w:b w:val="0"/>
          <w:bCs/>
          <w:color w:val="000000" w:themeColor="text1"/>
          <w:highlight w:val="none"/>
          <w:lang w:val="en-US" w:eastAsia="zh-CN"/>
          <w14:textFill>
            <w14:solidFill>
              <w14:schemeClr w14:val="tx1"/>
            </w14:solidFill>
          </w14:textFill>
        </w:rPr>
        <w:t>性能</w:t>
      </w:r>
      <w:r>
        <w:rPr>
          <w:rFonts w:hint="eastAsia" w:cs="Times New Roman"/>
          <w:b w:val="0"/>
          <w:bCs/>
          <w:color w:val="000000" w:themeColor="text1"/>
          <w:highlight w:val="none"/>
          <w:lang w:val="en-US" w:eastAsia="zh-CN"/>
          <w14:textFill>
            <w14:solidFill>
              <w14:schemeClr w14:val="tx1"/>
            </w14:solidFill>
          </w14:textFill>
        </w:rPr>
        <w:t>可提高轴承的</w:t>
      </w:r>
      <w:r>
        <w:rPr>
          <w:rFonts w:hint="default" w:ascii="Times New Roman" w:hAnsi="Times New Roman" w:eastAsia="宋体" w:cs="Times New Roman"/>
          <w:b w:val="0"/>
          <w:bCs/>
          <w:color w:val="000000" w:themeColor="text1"/>
          <w:highlight w:val="none"/>
          <w:lang w:val="en-US" w:eastAsia="zh-CN"/>
          <w14:textFill>
            <w14:solidFill>
              <w14:schemeClr w14:val="tx1"/>
            </w14:solidFill>
          </w14:textFill>
        </w:rPr>
        <w:t>承载能力和</w:t>
      </w:r>
      <w:r>
        <w:rPr>
          <w:rFonts w:hint="eastAsia" w:cs="Times New Roman"/>
          <w:b w:val="0"/>
          <w:bCs/>
          <w:color w:val="000000" w:themeColor="text1"/>
          <w:highlight w:val="none"/>
          <w:lang w:val="en-US" w:eastAsia="zh-CN"/>
          <w14:textFill>
            <w14:solidFill>
              <w14:schemeClr w14:val="tx1"/>
            </w14:solidFill>
          </w14:textFill>
        </w:rPr>
        <w:t>运行</w:t>
      </w:r>
      <w:r>
        <w:rPr>
          <w:rFonts w:hint="default" w:ascii="Times New Roman" w:hAnsi="Times New Roman" w:eastAsia="宋体" w:cs="Times New Roman"/>
          <w:b w:val="0"/>
          <w:bCs/>
          <w:color w:val="000000" w:themeColor="text1"/>
          <w:highlight w:val="none"/>
          <w:lang w:val="en-US" w:eastAsia="zh-CN"/>
          <w14:textFill>
            <w14:solidFill>
              <w14:schemeClr w14:val="tx1"/>
            </w14:solidFill>
          </w14:textFill>
        </w:rPr>
        <w:t>更稳定性</w:t>
      </w:r>
      <w:r>
        <w:rPr>
          <w:rFonts w:hint="eastAsia" w:cs="Times New Roman"/>
          <w:b w:val="0"/>
          <w:bCs/>
          <w:color w:val="000000" w:themeColor="text1"/>
          <w:highlight w:val="none"/>
          <w:lang w:val="en-US" w:eastAsia="zh-CN"/>
          <w14:textFill>
            <w14:solidFill>
              <w14:schemeClr w14:val="tx1"/>
            </w14:solidFill>
          </w14:textFill>
        </w:rPr>
        <w:t>，</w:t>
      </w:r>
      <w:r>
        <w:rPr>
          <w:rFonts w:hint="default" w:ascii="Times New Roman" w:hAnsi="Times New Roman" w:eastAsia="宋体" w:cs="Times New Roman"/>
          <w:b w:val="0"/>
          <w:bCs/>
          <w:color w:val="000000" w:themeColor="text1"/>
          <w:highlight w:val="none"/>
          <w:lang w:val="en-US" w:eastAsia="zh-CN"/>
          <w14:textFill>
            <w14:solidFill>
              <w14:schemeClr w14:val="tx1"/>
            </w14:solidFill>
          </w14:textFill>
        </w:rPr>
        <w:t>满足了不同工况条件下对轴承性能的差异化需求。当前，无油轴承材料的发展</w:t>
      </w:r>
      <w:r>
        <w:rPr>
          <w:rFonts w:hint="eastAsia" w:cs="Times New Roman"/>
          <w:b w:val="0"/>
          <w:bCs/>
          <w:color w:val="000000" w:themeColor="text1"/>
          <w:highlight w:val="none"/>
          <w:lang w:val="en-US" w:eastAsia="zh-CN"/>
          <w14:textFill>
            <w14:solidFill>
              <w14:schemeClr w14:val="tx1"/>
            </w14:solidFill>
          </w14:textFill>
        </w:rPr>
        <w:t>向着</w:t>
      </w:r>
      <w:r>
        <w:rPr>
          <w:rFonts w:hint="default" w:ascii="Times New Roman" w:hAnsi="Times New Roman" w:eastAsia="宋体" w:cs="Times New Roman"/>
          <w:b w:val="0"/>
          <w:bCs/>
          <w:color w:val="000000" w:themeColor="text1"/>
          <w:highlight w:val="none"/>
          <w:lang w:val="en-US" w:eastAsia="zh-CN"/>
          <w14:textFill>
            <w14:solidFill>
              <w14:schemeClr w14:val="tx1"/>
            </w14:solidFill>
          </w14:textFill>
        </w:rPr>
        <w:t>高性能、低成本、长寿命及绿色化方向推进。为扩大标准的适用范围，使其更好地贴合行业实际，需增加相应产品牌号。在当前以技术、标准、品牌、质量、服务为核心要素的新经济发展形态下，标准已成为产业升级和高质量发展的重要基础。与此同时，为贯彻落实国务院发布的《中国制造2025》战略规划以及《深化标准化工作改革方案》的具体部署，有必要通过标准修订，进一步提升产品质量与行业标准化水平。结合国内外无油轴承材料的生产技术水平、实际应用场景及终端用户需求，对GB/T 37570-2019《无油轴承用铜合金板》进行系统修订，不仅有助于统一产品评价体系、规范市场秩序，还能引导企业加强技术创新、提升产品一致性，从而推动整个铜及铜合金行业向更高质量、更有效率、更可持续的方向发展。此次修订工作，也将为我国高端装备制造、新能源汽车、航空航天等领域提供更可靠的配套材料支撑，进一步强化产业链的自主可控能力。</w:t>
      </w:r>
    </w:p>
    <w:p w14:paraId="53AE99AB">
      <w:pPr>
        <w:pStyle w:val="8"/>
        <w:keepNext/>
        <w:keepLines/>
        <w:pageBreakBefore w:val="0"/>
        <w:widowControl w:val="0"/>
        <w:kinsoku/>
        <w:wordWrap/>
        <w:overflowPunct/>
        <w:topLinePunct w:val="0"/>
        <w:autoSpaceDE/>
        <w:autoSpaceDN/>
        <w:bidi w:val="0"/>
        <w:adjustRightInd/>
        <w:snapToGrid/>
        <w:spacing w:beforeLines="0" w:after="0"/>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1.4.2标准立项</w:t>
      </w:r>
    </w:p>
    <w:p w14:paraId="3F6AE4AA">
      <w:pPr>
        <w:pStyle w:val="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ascii="Times New Roman" w:hAnsi="Times New Roman" w:eastAsia="宋体" w:cs="Times New Roman"/>
          <w:b w:val="0"/>
          <w:bCs/>
          <w:color w:val="000000" w:themeColor="text1"/>
          <w:szCs w:val="2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无油轴承用铜合金板标准项目申请立项时间为202</w:t>
      </w:r>
      <w:r>
        <w:rPr>
          <w:rFonts w:hint="eastAsia" w:cs="Times New Roman"/>
          <w:b w:val="0"/>
          <w:bCs/>
          <w:color w:val="000000" w:themeColor="text1"/>
          <w:highlight w:val="none"/>
          <w:lang w:val="en-US" w:eastAsia="zh-CN"/>
          <w14:textFill>
            <w14:solidFill>
              <w14:schemeClr w14:val="tx1"/>
            </w14:solidFill>
          </w14:textFill>
        </w:rPr>
        <w:t>5</w:t>
      </w:r>
      <w:r>
        <w:rPr>
          <w:rFonts w:hint="default" w:ascii="Times New Roman" w:hAnsi="Times New Roman" w:eastAsia="宋体" w:cs="Times New Roman"/>
          <w:b w:val="0"/>
          <w:bCs/>
          <w:color w:val="000000" w:themeColor="text1"/>
          <w:highlight w:val="none"/>
          <w14:textFill>
            <w14:solidFill>
              <w14:schemeClr w14:val="tx1"/>
            </w14:solidFill>
          </w14:textFill>
        </w:rPr>
        <w:t>年</w:t>
      </w:r>
      <w:r>
        <w:rPr>
          <w:rFonts w:hint="eastAsia" w:cs="Times New Roman"/>
          <w:b w:val="0"/>
          <w:bCs/>
          <w:color w:val="000000" w:themeColor="text1"/>
          <w:highlight w:val="none"/>
          <w:lang w:val="en-US" w:eastAsia="zh-CN"/>
          <w14:textFill>
            <w14:solidFill>
              <w14:schemeClr w14:val="tx1"/>
            </w14:solidFill>
          </w14:textFill>
        </w:rPr>
        <w:t>4</w:t>
      </w:r>
      <w:r>
        <w:rPr>
          <w:rFonts w:hint="default" w:ascii="Times New Roman" w:hAnsi="Times New Roman" w:eastAsia="宋体" w:cs="Times New Roman"/>
          <w:b w:val="0"/>
          <w:bCs/>
          <w:color w:val="000000" w:themeColor="text1"/>
          <w:highlight w:val="none"/>
          <w14:textFill>
            <w14:solidFill>
              <w14:schemeClr w14:val="tx1"/>
            </w14:solidFill>
          </w14:textFill>
        </w:rPr>
        <w:t>月05日，提交全体委员会议讨论后，下达计划时间为202</w:t>
      </w:r>
      <w:r>
        <w:rPr>
          <w:rFonts w:hint="eastAsia" w:cs="Times New Roman"/>
          <w:b w:val="0"/>
          <w:bCs/>
          <w:color w:val="000000" w:themeColor="text1"/>
          <w:highlight w:val="none"/>
          <w:lang w:val="en-US" w:eastAsia="zh-CN"/>
          <w14:textFill>
            <w14:solidFill>
              <w14:schemeClr w14:val="tx1"/>
            </w14:solidFill>
          </w14:textFill>
        </w:rPr>
        <w:t>5</w:t>
      </w:r>
      <w:r>
        <w:rPr>
          <w:rFonts w:hint="default" w:ascii="Times New Roman" w:hAnsi="Times New Roman" w:eastAsia="宋体" w:cs="Times New Roman"/>
          <w:b w:val="0"/>
          <w:bCs/>
          <w:color w:val="000000" w:themeColor="text1"/>
          <w:highlight w:val="none"/>
          <w14:textFill>
            <w14:solidFill>
              <w14:schemeClr w14:val="tx1"/>
            </w14:solidFill>
          </w14:textFill>
        </w:rPr>
        <w:t>年</w:t>
      </w:r>
      <w:r>
        <w:rPr>
          <w:rFonts w:hint="eastAsia" w:cs="Times New Roman"/>
          <w:b w:val="0"/>
          <w:bCs/>
          <w:color w:val="000000" w:themeColor="text1"/>
          <w:highlight w:val="none"/>
          <w:lang w:val="en-US" w:eastAsia="zh-CN"/>
          <w14:textFill>
            <w14:solidFill>
              <w14:schemeClr w14:val="tx1"/>
            </w14:solidFill>
          </w14:textFill>
        </w:rPr>
        <w:t>10</w:t>
      </w:r>
      <w:r>
        <w:rPr>
          <w:rFonts w:hint="default" w:ascii="Times New Roman" w:hAnsi="Times New Roman" w:eastAsia="宋体" w:cs="Times New Roman"/>
          <w:b w:val="0"/>
          <w:bCs/>
          <w:color w:val="000000" w:themeColor="text1"/>
          <w:highlight w:val="none"/>
          <w14:textFill>
            <w14:solidFill>
              <w14:schemeClr w14:val="tx1"/>
            </w14:solidFill>
          </w14:textFill>
        </w:rPr>
        <w:t>月</w:t>
      </w:r>
      <w:r>
        <w:rPr>
          <w:rFonts w:hint="eastAsia" w:cs="Times New Roman"/>
          <w:b w:val="0"/>
          <w:bCs/>
          <w:color w:val="000000" w:themeColor="text1"/>
          <w:highlight w:val="none"/>
          <w:lang w:val="en-US" w:eastAsia="zh-CN"/>
          <w14:textFill>
            <w14:solidFill>
              <w14:schemeClr w14:val="tx1"/>
            </w14:solidFill>
          </w14:textFill>
        </w:rPr>
        <w:t>31</w:t>
      </w:r>
      <w:r>
        <w:rPr>
          <w:rFonts w:hint="default" w:ascii="Times New Roman" w:hAnsi="Times New Roman" w:eastAsia="宋体" w:cs="Times New Roman"/>
          <w:b w:val="0"/>
          <w:bCs/>
          <w:color w:val="000000" w:themeColor="text1"/>
          <w:highlight w:val="none"/>
          <w14:textFill>
            <w14:solidFill>
              <w14:schemeClr w14:val="tx1"/>
            </w14:solidFill>
          </w14:textFill>
        </w:rPr>
        <w:t>日。项目预期执行节点为：第一次草案：202</w:t>
      </w:r>
      <w:r>
        <w:rPr>
          <w:rFonts w:hint="eastAsia" w:cs="Times New Roman"/>
          <w:b w:val="0"/>
          <w:bCs/>
          <w:color w:val="000000" w:themeColor="text1"/>
          <w:highlight w:val="none"/>
          <w:lang w:val="en-US" w:eastAsia="zh-CN"/>
          <w14:textFill>
            <w14:solidFill>
              <w14:schemeClr w14:val="tx1"/>
            </w14:solidFill>
          </w14:textFill>
        </w:rPr>
        <w:t>5</w:t>
      </w:r>
      <w:r>
        <w:rPr>
          <w:rFonts w:hint="default" w:ascii="Times New Roman" w:hAnsi="Times New Roman" w:eastAsia="宋体" w:cs="Times New Roman"/>
          <w:b w:val="0"/>
          <w:bCs/>
          <w:color w:val="000000" w:themeColor="text1"/>
          <w:highlight w:val="none"/>
          <w14:textFill>
            <w14:solidFill>
              <w14:schemeClr w14:val="tx1"/>
            </w14:solidFill>
          </w14:textFill>
        </w:rPr>
        <w:t>年1</w:t>
      </w:r>
      <w:r>
        <w:rPr>
          <w:rFonts w:hint="eastAsia" w:cs="Times New Roman"/>
          <w:b w:val="0"/>
          <w:bCs/>
          <w:color w:val="000000" w:themeColor="text1"/>
          <w:highlight w:val="none"/>
          <w:lang w:val="en-US" w:eastAsia="zh-CN"/>
          <w14:textFill>
            <w14:solidFill>
              <w14:schemeClr w14:val="tx1"/>
            </w14:solidFill>
          </w14:textFill>
        </w:rPr>
        <w:t>2</w:t>
      </w:r>
      <w:r>
        <w:rPr>
          <w:rFonts w:hint="default" w:ascii="Times New Roman" w:hAnsi="Times New Roman" w:eastAsia="宋体" w:cs="Times New Roman"/>
          <w:b w:val="0"/>
          <w:bCs/>
          <w:color w:val="000000" w:themeColor="text1"/>
          <w:highlight w:val="none"/>
          <w14:textFill>
            <w14:solidFill>
              <w14:schemeClr w14:val="tx1"/>
            </w14:solidFill>
          </w14:textFill>
        </w:rPr>
        <w:t>月14日；第二次草案：202</w:t>
      </w:r>
      <w:r>
        <w:rPr>
          <w:rFonts w:hint="eastAsia" w:cs="Times New Roman"/>
          <w:b w:val="0"/>
          <w:bCs/>
          <w:color w:val="000000" w:themeColor="text1"/>
          <w:highlight w:val="none"/>
          <w:lang w:val="en-US" w:eastAsia="zh-CN"/>
          <w14:textFill>
            <w14:solidFill>
              <w14:schemeClr w14:val="tx1"/>
            </w14:solidFill>
          </w14:textFill>
        </w:rPr>
        <w:t>6</w:t>
      </w:r>
      <w:r>
        <w:rPr>
          <w:rFonts w:hint="default" w:ascii="Times New Roman" w:hAnsi="Times New Roman" w:eastAsia="宋体" w:cs="Times New Roman"/>
          <w:b w:val="0"/>
          <w:bCs/>
          <w:color w:val="000000" w:themeColor="text1"/>
          <w:highlight w:val="none"/>
          <w14:textFill>
            <w14:solidFill>
              <w14:schemeClr w14:val="tx1"/>
            </w14:solidFill>
          </w14:textFill>
        </w:rPr>
        <w:t>年0</w:t>
      </w:r>
      <w:r>
        <w:rPr>
          <w:rFonts w:hint="eastAsia" w:cs="Times New Roman"/>
          <w:b w:val="0"/>
          <w:bCs/>
          <w:color w:val="000000" w:themeColor="text1"/>
          <w:highlight w:val="none"/>
          <w:lang w:val="en-US" w:eastAsia="zh-CN"/>
          <w14:textFill>
            <w14:solidFill>
              <w14:schemeClr w14:val="tx1"/>
            </w14:solidFill>
          </w14:textFill>
        </w:rPr>
        <w:t>1</w:t>
      </w:r>
      <w:r>
        <w:rPr>
          <w:rFonts w:hint="default" w:ascii="Times New Roman" w:hAnsi="Times New Roman" w:eastAsia="宋体" w:cs="Times New Roman"/>
          <w:b w:val="0"/>
          <w:bCs/>
          <w:color w:val="000000" w:themeColor="text1"/>
          <w:highlight w:val="none"/>
          <w14:textFill>
            <w14:solidFill>
              <w14:schemeClr w14:val="tx1"/>
            </w14:solidFill>
          </w14:textFill>
        </w:rPr>
        <w:t>月</w:t>
      </w:r>
      <w:r>
        <w:rPr>
          <w:rFonts w:hint="eastAsia" w:cs="Times New Roman"/>
          <w:b w:val="0"/>
          <w:bCs/>
          <w:color w:val="000000" w:themeColor="text1"/>
          <w:highlight w:val="none"/>
          <w:lang w:val="en-US" w:eastAsia="zh-CN"/>
          <w14:textFill>
            <w14:solidFill>
              <w14:schemeClr w14:val="tx1"/>
            </w14:solidFill>
          </w14:textFill>
        </w:rPr>
        <w:t>21</w:t>
      </w:r>
      <w:r>
        <w:rPr>
          <w:rFonts w:hint="default" w:ascii="Times New Roman" w:hAnsi="Times New Roman" w:eastAsia="宋体" w:cs="Times New Roman"/>
          <w:b w:val="0"/>
          <w:bCs/>
          <w:color w:val="000000" w:themeColor="text1"/>
          <w:highlight w:val="none"/>
          <w14:textFill>
            <w14:solidFill>
              <w14:schemeClr w14:val="tx1"/>
            </w14:solidFill>
          </w14:textFill>
        </w:rPr>
        <w:t>日。</w:t>
      </w:r>
    </w:p>
    <w:p w14:paraId="60DE8E6A">
      <w:pPr>
        <w:pStyle w:val="8"/>
        <w:keepNext/>
        <w:keepLines/>
        <w:pageBreakBefore w:val="0"/>
        <w:widowControl w:val="0"/>
        <w:kinsoku/>
        <w:wordWrap/>
        <w:overflowPunct/>
        <w:topLinePunct w:val="0"/>
        <w:autoSpaceDE/>
        <w:autoSpaceDN/>
        <w:bidi w:val="0"/>
        <w:adjustRightInd/>
        <w:snapToGrid/>
        <w:spacing w:beforeLines="0" w:after="0"/>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1.4.3起草阶段</w:t>
      </w:r>
    </w:p>
    <w:p w14:paraId="3D6D8A3D">
      <w:pPr>
        <w:pStyle w:val="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标准修订计划任务正式下达后，宁波兴业盛泰集团有限公司牵头成立了标准编制小组，首先整理收集本企业曾经生产的产品的技术要求及产品使用现状，为本标准全面、系统、有效的制定奠定了良好的基础。随后编制小组会同市场开发和营销人员对</w:t>
      </w:r>
      <w:r>
        <w:rPr>
          <w:rFonts w:hint="eastAsia" w:cs="Times New Roman"/>
          <w:b w:val="0"/>
          <w:bCs/>
          <w:color w:val="000000" w:themeColor="text1"/>
          <w:highlight w:val="none"/>
          <w:lang w:val="en-US" w:eastAsia="zh-CN"/>
          <w14:textFill>
            <w14:solidFill>
              <w14:schemeClr w14:val="tx1"/>
            </w14:solidFill>
          </w14:textFill>
        </w:rPr>
        <w:t>无油轴承</w:t>
      </w:r>
      <w:r>
        <w:rPr>
          <w:rFonts w:hint="default" w:ascii="Times New Roman" w:hAnsi="Times New Roman" w:eastAsia="宋体" w:cs="Times New Roman"/>
          <w:b w:val="0"/>
          <w:bCs/>
          <w:color w:val="000000" w:themeColor="text1"/>
          <w:highlight w:val="none"/>
          <w14:textFill>
            <w14:solidFill>
              <w14:schemeClr w14:val="tx1"/>
            </w14:solidFill>
          </w14:textFill>
        </w:rPr>
        <w:t>用铜合金带材进行了全面的市场调研，全面准确地了解了市场上不同客户的需求以及产品未来的发展趋势，了解目前生产厂商的生产水平和现状。通过查阅了国内外有关的技术资料，结合主要用户的技术要求，经过多次讨论和广泛征求意见，编制小组于202</w:t>
      </w:r>
      <w:r>
        <w:rPr>
          <w:rFonts w:hint="eastAsia" w:cs="Times New Roman"/>
          <w:b w:val="0"/>
          <w:bCs/>
          <w:color w:val="000000" w:themeColor="text1"/>
          <w:highlight w:val="none"/>
          <w:lang w:val="en-US" w:eastAsia="zh-CN"/>
          <w14:textFill>
            <w14:solidFill>
              <w14:schemeClr w14:val="tx1"/>
            </w14:solidFill>
          </w14:textFill>
        </w:rPr>
        <w:t>6</w:t>
      </w:r>
      <w:r>
        <w:rPr>
          <w:rFonts w:hint="default" w:ascii="Times New Roman" w:hAnsi="Times New Roman" w:eastAsia="宋体" w:cs="Times New Roman"/>
          <w:b w:val="0"/>
          <w:bCs/>
          <w:color w:val="000000" w:themeColor="text1"/>
          <w:highlight w:val="none"/>
          <w14:textFill>
            <w14:solidFill>
              <w14:schemeClr w14:val="tx1"/>
            </w14:solidFill>
          </w14:textFill>
        </w:rPr>
        <w:t>年</w:t>
      </w:r>
      <w:r>
        <w:rPr>
          <w:rFonts w:hint="eastAsia" w:cs="Times New Roman"/>
          <w:b w:val="0"/>
          <w:bCs/>
          <w:color w:val="000000" w:themeColor="text1"/>
          <w:highlight w:val="none"/>
          <w:lang w:val="en-US" w:eastAsia="zh-CN"/>
          <w14:textFill>
            <w14:solidFill>
              <w14:schemeClr w14:val="tx1"/>
            </w14:solidFill>
          </w14:textFill>
        </w:rPr>
        <w:t>1</w:t>
      </w:r>
      <w:r>
        <w:rPr>
          <w:rFonts w:hint="default" w:ascii="Times New Roman" w:hAnsi="Times New Roman" w:eastAsia="宋体" w:cs="Times New Roman"/>
          <w:b w:val="0"/>
          <w:bCs/>
          <w:color w:val="000000" w:themeColor="text1"/>
          <w:highlight w:val="none"/>
          <w14:textFill>
            <w14:solidFill>
              <w14:schemeClr w14:val="tx1"/>
            </w14:solidFill>
          </w14:textFill>
        </w:rPr>
        <w:t>月下旬起草完成了该标准</w:t>
      </w:r>
      <w:r>
        <w:rPr>
          <w:rFonts w:hint="eastAsia" w:hAnsi="黑体" w:cs="黑体"/>
          <w:color w:val="auto"/>
          <w:sz w:val="21"/>
          <w:szCs w:val="21"/>
          <w:highlight w:val="none"/>
          <w:lang w:val="en-US" w:eastAsia="zh-CN"/>
        </w:rPr>
        <w:t>征求意见1稿</w:t>
      </w:r>
      <w:r>
        <w:rPr>
          <w:rFonts w:hint="default" w:ascii="Times New Roman" w:hAnsi="Times New Roman" w:eastAsia="宋体" w:cs="Times New Roman"/>
          <w:b w:val="0"/>
          <w:bCs/>
          <w:color w:val="000000" w:themeColor="text1"/>
          <w:highlight w:val="none"/>
          <w14:textFill>
            <w14:solidFill>
              <w14:schemeClr w14:val="tx1"/>
            </w14:solidFill>
          </w14:textFill>
        </w:rPr>
        <w:t>。</w:t>
      </w:r>
    </w:p>
    <w:p w14:paraId="34E58BED">
      <w:pPr>
        <w:pageBreakBefore w:val="0"/>
        <w:kinsoku/>
        <w:wordWrap/>
        <w:overflowPunct/>
        <w:topLinePunct w:val="0"/>
        <w:bidi w:val="0"/>
        <w:adjustRightInd/>
        <w:snapToGrid/>
        <w:spacing w:line="380" w:lineRule="exact"/>
        <w:ind w:firstLine="420" w:firstLineChars="200"/>
        <w:textAlignment w:val="auto"/>
        <w:rPr>
          <w:rFonts w:hint="default" w:ascii="Times New Roman" w:hAnsi="Times New Roman" w:eastAsia="宋体" w:cs="Times New Roman"/>
          <w:b w:val="0"/>
          <w:bCs/>
          <w:color w:val="000000" w:themeColor="text1"/>
          <w:kern w:val="2"/>
          <w:sz w:val="21"/>
          <w:szCs w:val="21"/>
          <w:highlight w:val="yellow"/>
          <w:lang w:val="en-US" w:eastAsia="zh-CN" w:bidi="ar-SA"/>
          <w14:textFill>
            <w14:solidFill>
              <w14:schemeClr w14:val="tx1"/>
            </w14:solidFill>
          </w14:textFill>
        </w:rPr>
      </w:pPr>
      <w:bookmarkStart w:id="0" w:name="OLE_LINK6"/>
    </w:p>
    <w:bookmarkEnd w:id="0"/>
    <w:p w14:paraId="732B09AF">
      <w:pPr>
        <w:pStyle w:val="6"/>
        <w:keepNext/>
        <w:keepLines/>
        <w:pageBreakBefore w:val="0"/>
        <w:widowControl w:val="0"/>
        <w:kinsoku/>
        <w:wordWrap/>
        <w:overflowPunct/>
        <w:topLinePunct w:val="0"/>
        <w:autoSpaceDE/>
        <w:autoSpaceDN/>
        <w:bidi w:val="0"/>
        <w:adjustRightInd/>
        <w:snapToGrid/>
        <w:spacing w:before="0" w:beforeLines="0" w:after="0" w:line="372" w:lineRule="auto"/>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二、编制原则</w:t>
      </w:r>
    </w:p>
    <w:p w14:paraId="3CD5E0E5">
      <w:pPr>
        <w:pStyle w:val="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本标准制定单位自接受起草任务后，成立了本标准编制工作组，负责收集生产、检验数据、市场需求及客户要求等信息。初步确定了《无油轴承用铜合金板》标准起草所遵循的基本原则和编制依据：</w:t>
      </w:r>
    </w:p>
    <w:p w14:paraId="14364E6B">
      <w:pPr>
        <w:pStyle w:val="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bookmarkStart w:id="1" w:name="OLE_LINK7"/>
      <w:r>
        <w:rPr>
          <w:rFonts w:hint="default" w:ascii="Times New Roman" w:hAnsi="Times New Roman" w:eastAsia="宋体" w:cs="Times New Roman"/>
          <w:b w:val="0"/>
          <w:bCs/>
          <w:color w:val="000000" w:themeColor="text1"/>
          <w:highlight w:val="none"/>
          <w14:textFill>
            <w14:solidFill>
              <w14:schemeClr w14:val="tx1"/>
            </w14:solidFill>
          </w14:textFill>
        </w:rPr>
        <w:t>2.1查阅相关标准和国内外客户的相关技术要求；</w:t>
      </w:r>
    </w:p>
    <w:p w14:paraId="647A2624">
      <w:pPr>
        <w:pStyle w:val="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2.2根据国内外铜及铜合金带材企业具体情况，力求做到标准修订科学、先进，满足市场需要；</w:t>
      </w:r>
    </w:p>
    <w:p w14:paraId="4E5BB4DF">
      <w:pPr>
        <w:pStyle w:val="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2.3根据技术发展水平及测试数据确定技术指标取值范围，力求做到标准修订经济合理、实用；</w:t>
      </w:r>
    </w:p>
    <w:p w14:paraId="5E26F776">
      <w:pPr>
        <w:pStyle w:val="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2.4完全按照GB/T1.1和有色加工产品标准和国家行业标准编写示例的要求格式和结构进行编写。</w:t>
      </w:r>
      <w:bookmarkEnd w:id="1"/>
    </w:p>
    <w:p w14:paraId="377E044E">
      <w:pPr>
        <w:pStyle w:val="6"/>
        <w:keepNext/>
        <w:keepLines/>
        <w:pageBreakBefore w:val="0"/>
        <w:widowControl w:val="0"/>
        <w:kinsoku/>
        <w:wordWrap/>
        <w:overflowPunct/>
        <w:topLinePunct w:val="0"/>
        <w:autoSpaceDE/>
        <w:autoSpaceDN/>
        <w:bidi w:val="0"/>
        <w:adjustRightInd/>
        <w:snapToGrid/>
        <w:spacing w:before="0" w:beforeLines="0" w:after="0" w:line="372" w:lineRule="auto"/>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三、标准主要技术内容的确定依据及主要试验和验证情况分析</w:t>
      </w:r>
    </w:p>
    <w:p w14:paraId="49A8C86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b w:val="0"/>
          <w:bCs/>
          <w:color w:val="000000" w:themeColor="text1"/>
          <w:spacing w:val="10"/>
          <w:szCs w:val="2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本文件</w:t>
      </w:r>
      <w:r>
        <w:rPr>
          <w:rFonts w:hint="default" w:ascii="Times New Roman" w:hAnsi="Times New Roman" w:eastAsia="宋体" w:cs="Times New Roman"/>
          <w:b w:val="0"/>
          <w:bCs/>
          <w:color w:val="000000" w:themeColor="text1"/>
          <w:spacing w:val="10"/>
          <w:szCs w:val="21"/>
          <w:highlight w:val="none"/>
          <w14:textFill>
            <w14:solidFill>
              <w14:schemeClr w14:val="tx1"/>
            </w14:solidFill>
          </w14:textFill>
        </w:rPr>
        <w:t>代替GB/T 37570－2019《无油轴承用铜合金板》。与GB/T 37570－2019相比，</w:t>
      </w:r>
      <w:r>
        <w:rPr>
          <w:rFonts w:hint="default" w:ascii="Times New Roman" w:hAnsi="Times New Roman" w:eastAsia="宋体" w:cs="Times New Roman"/>
          <w:b w:val="0"/>
          <w:bCs/>
          <w:color w:val="000000" w:themeColor="text1"/>
          <w:szCs w:val="21"/>
          <w:highlight w:val="none"/>
          <w14:textFill>
            <w14:solidFill>
              <w14:schemeClr w14:val="tx1"/>
            </w14:solidFill>
          </w14:textFill>
        </w:rPr>
        <w:t>除结构调整和编辑性改动外，</w:t>
      </w:r>
      <w:r>
        <w:rPr>
          <w:rFonts w:hint="default" w:ascii="Times New Roman" w:hAnsi="Times New Roman" w:eastAsia="宋体" w:cs="Times New Roman"/>
          <w:b w:val="0"/>
          <w:bCs/>
          <w:color w:val="000000" w:themeColor="text1"/>
          <w:spacing w:val="10"/>
          <w:szCs w:val="21"/>
          <w:highlight w:val="none"/>
          <w14:textFill>
            <w14:solidFill>
              <w14:schemeClr w14:val="tx1"/>
            </w14:solidFill>
          </w14:textFill>
        </w:rPr>
        <w:t>主要技术变化如下：</w:t>
      </w:r>
    </w:p>
    <w:p w14:paraId="4D3092C9">
      <w:pPr>
        <w:pStyle w:val="30"/>
        <w:keepNext w:val="0"/>
        <w:keepLines w:val="0"/>
        <w:pageBreakBefore w:val="0"/>
        <w:widowControl/>
        <w:tabs>
          <w:tab w:val="center" w:pos="4201"/>
          <w:tab w:val="right" w:leader="dot" w:pos="9298"/>
        </w:tabs>
        <w:kinsoku/>
        <w:wordWrap/>
        <w:overflowPunct/>
        <w:topLinePunct w:val="0"/>
        <w:autoSpaceDE/>
        <w:autoSpaceDN/>
        <w:bidi w:val="0"/>
        <w:adjustRightInd w:val="0"/>
        <w:snapToGrid w:val="0"/>
        <w:spacing w:line="360" w:lineRule="auto"/>
        <w:ind w:left="0" w:firstLine="420" w:firstLineChars="200"/>
        <w:jc w:val="both"/>
        <w:rPr>
          <w:rFonts w:hint="eastAsia" w:ascii="Times New Roman" w:hAnsi="Times New Roman" w:eastAsia="宋体" w:cs="Times New Roman"/>
          <w:sz w:val="21"/>
          <w:szCs w:val="21"/>
          <w:lang w:val="en-US" w:eastAsia="zh-CN"/>
        </w:rPr>
      </w:pPr>
      <w:r>
        <w:rPr>
          <w:rFonts w:hint="eastAsia" w:ascii="Times New Roman" w:cs="Times New Roman"/>
          <w:sz w:val="21"/>
          <w:szCs w:val="21"/>
          <w:lang w:val="en-US" w:eastAsia="zh-CN"/>
        </w:rPr>
        <w:t>a）</w:t>
      </w:r>
      <w:r>
        <w:rPr>
          <w:rFonts w:hint="eastAsia" w:ascii="宋体" w:hAnsi="宋体"/>
          <w:color w:val="auto"/>
          <w:sz w:val="21"/>
          <w:szCs w:val="21"/>
        </w:rPr>
        <w:t>更改了QSn10-0.3牌号表示，更改为QSn10-0.2</w:t>
      </w:r>
      <w:r>
        <w:rPr>
          <w:rFonts w:hint="eastAsia" w:hAnsi="宋体"/>
          <w:color w:val="auto"/>
          <w:sz w:val="21"/>
          <w:szCs w:val="21"/>
          <w:lang w:eastAsia="zh-CN"/>
        </w:rPr>
        <w:t>；</w:t>
      </w:r>
    </w:p>
    <w:p w14:paraId="175502BB">
      <w:pPr>
        <w:pStyle w:val="30"/>
        <w:keepNext w:val="0"/>
        <w:keepLines w:val="0"/>
        <w:pageBreakBefore w:val="0"/>
        <w:widowControl/>
        <w:tabs>
          <w:tab w:val="center" w:pos="4201"/>
          <w:tab w:val="right" w:leader="dot" w:pos="9298"/>
        </w:tabs>
        <w:kinsoku/>
        <w:wordWrap/>
        <w:overflowPunct/>
        <w:topLinePunct w:val="0"/>
        <w:autoSpaceDE/>
        <w:autoSpaceDN/>
        <w:bidi w:val="0"/>
        <w:adjustRightInd w:val="0"/>
        <w:snapToGrid w:val="0"/>
        <w:spacing w:line="360" w:lineRule="auto"/>
        <w:ind w:left="0" w:firstLine="420" w:firstLineChars="200"/>
        <w:jc w:val="both"/>
        <w:rPr>
          <w:rFonts w:hint="default" w:ascii="宋体" w:hAnsi="宋体" w:cs="Times New Roman"/>
          <w:color w:val="auto"/>
          <w:sz w:val="21"/>
          <w:szCs w:val="21"/>
          <w:lang w:val="en-US" w:eastAsia="zh-CN"/>
        </w:rPr>
      </w:pPr>
      <w:r>
        <w:rPr>
          <w:rFonts w:hint="eastAsia" w:ascii="宋体" w:hAnsi="宋体" w:cs="Times New Roman"/>
          <w:color w:val="auto"/>
          <w:sz w:val="21"/>
          <w:szCs w:val="21"/>
          <w:lang w:val="en-US" w:eastAsia="zh-CN"/>
        </w:rPr>
        <w:t>b)</w:t>
      </w:r>
      <w:r>
        <w:rPr>
          <w:rFonts w:hint="eastAsia" w:hAnsi="宋体" w:cs="Times New Roman"/>
          <w:color w:val="auto"/>
          <w:sz w:val="21"/>
          <w:szCs w:val="21"/>
          <w:lang w:val="en-US" w:eastAsia="zh-CN"/>
        </w:rPr>
        <w:t xml:space="preserve"> </w:t>
      </w:r>
      <w:r>
        <w:rPr>
          <w:rFonts w:hint="eastAsia" w:ascii="宋体" w:hAnsi="宋体" w:cs="Times New Roman"/>
          <w:color w:val="auto"/>
          <w:sz w:val="21"/>
          <w:szCs w:val="21"/>
        </w:rPr>
        <w:t>增加了Cu9Ni2Sn、Cu9Ni6Sn牌号、</w:t>
      </w:r>
      <w:r>
        <w:rPr>
          <w:rFonts w:hint="eastAsia" w:ascii="宋体" w:hAnsi="宋体" w:cs="Times New Roman"/>
          <w:color w:val="auto"/>
          <w:sz w:val="21"/>
          <w:szCs w:val="21"/>
          <w:lang w:eastAsia="zh-CN"/>
        </w:rPr>
        <w:t>化学成分、</w:t>
      </w:r>
      <w:r>
        <w:rPr>
          <w:rFonts w:hint="eastAsia" w:ascii="宋体" w:hAnsi="宋体" w:cs="Times New Roman"/>
          <w:color w:val="auto"/>
          <w:sz w:val="21"/>
          <w:szCs w:val="21"/>
        </w:rPr>
        <w:t>力学性能</w:t>
      </w:r>
      <w:r>
        <w:rPr>
          <w:rFonts w:hint="eastAsia" w:ascii="宋体" w:hAnsi="宋体" w:cs="Times New Roman"/>
          <w:color w:val="auto"/>
          <w:sz w:val="21"/>
          <w:szCs w:val="21"/>
          <w:lang w:eastAsia="zh-CN"/>
        </w:rPr>
        <w:t>、晶粒度</w:t>
      </w:r>
      <w:r>
        <w:rPr>
          <w:rFonts w:hint="eastAsia" w:ascii="宋体" w:hAnsi="宋体" w:cs="Times New Roman"/>
          <w:color w:val="auto"/>
          <w:sz w:val="21"/>
          <w:szCs w:val="21"/>
          <w:lang w:val="en-US" w:eastAsia="zh-CN"/>
        </w:rPr>
        <w:t>；</w:t>
      </w:r>
    </w:p>
    <w:p w14:paraId="2791A92A">
      <w:pPr>
        <w:pStyle w:val="30"/>
        <w:keepNext w:val="0"/>
        <w:keepLines w:val="0"/>
        <w:pageBreakBefore w:val="0"/>
        <w:widowControl/>
        <w:tabs>
          <w:tab w:val="center" w:pos="4201"/>
          <w:tab w:val="right" w:leader="dot" w:pos="9298"/>
        </w:tabs>
        <w:kinsoku/>
        <w:wordWrap/>
        <w:overflowPunct/>
        <w:topLinePunct w:val="0"/>
        <w:autoSpaceDE/>
        <w:autoSpaceDN/>
        <w:bidi w:val="0"/>
        <w:adjustRightInd w:val="0"/>
        <w:snapToGrid w:val="0"/>
        <w:spacing w:line="360" w:lineRule="auto"/>
        <w:ind w:left="0" w:firstLine="420" w:firstLineChars="200"/>
        <w:jc w:val="both"/>
        <w:rPr>
          <w:rFonts w:hint="eastAsia" w:ascii="宋体" w:hAnsi="宋体" w:cs="Times New Roman"/>
          <w:color w:val="auto"/>
          <w:sz w:val="21"/>
          <w:szCs w:val="21"/>
          <w:lang w:val="en-US" w:eastAsia="zh-CN"/>
        </w:rPr>
      </w:pPr>
      <w:r>
        <w:rPr>
          <w:rFonts w:hint="eastAsia" w:hAnsi="宋体" w:cs="Times New Roman"/>
          <w:color w:val="auto"/>
          <w:sz w:val="21"/>
          <w:szCs w:val="21"/>
          <w:lang w:val="en-US" w:eastAsia="zh-CN"/>
        </w:rPr>
        <w:t>c）更改了</w:t>
      </w:r>
      <w:r>
        <w:rPr>
          <w:rFonts w:hint="default" w:ascii="宋体" w:hAnsi="宋体" w:cs="Times New Roman"/>
          <w:color w:val="auto"/>
          <w:sz w:val="21"/>
          <w:szCs w:val="21"/>
          <w:lang w:val="en-US" w:eastAsia="zh-CN"/>
        </w:rPr>
        <w:t>宽度及其允许偏差</w:t>
      </w:r>
      <w:r>
        <w:rPr>
          <w:rFonts w:hint="eastAsia" w:hAnsi="宋体" w:cs="Times New Roman"/>
          <w:color w:val="auto"/>
          <w:sz w:val="21"/>
          <w:szCs w:val="21"/>
          <w:lang w:val="en-US" w:eastAsia="zh-CN"/>
        </w:rPr>
        <w:t>要求；</w:t>
      </w:r>
    </w:p>
    <w:p w14:paraId="6CA1BF02">
      <w:pPr>
        <w:pStyle w:val="30"/>
        <w:keepNext w:val="0"/>
        <w:keepLines w:val="0"/>
        <w:pageBreakBefore w:val="0"/>
        <w:widowControl/>
        <w:tabs>
          <w:tab w:val="center" w:pos="4201"/>
          <w:tab w:val="right" w:leader="dot" w:pos="9298"/>
        </w:tabs>
        <w:kinsoku/>
        <w:wordWrap/>
        <w:overflowPunct/>
        <w:topLinePunct w:val="0"/>
        <w:autoSpaceDE/>
        <w:autoSpaceDN/>
        <w:bidi w:val="0"/>
        <w:adjustRightInd w:val="0"/>
        <w:snapToGrid w:val="0"/>
        <w:spacing w:line="360" w:lineRule="auto"/>
        <w:ind w:left="0" w:firstLine="420" w:firstLineChars="200"/>
        <w:jc w:val="both"/>
        <w:rPr>
          <w:rFonts w:hint="default"/>
        </w:rPr>
      </w:pPr>
      <w:r>
        <w:rPr>
          <w:rFonts w:hint="eastAsia" w:hAnsi="宋体"/>
          <w:color w:val="auto"/>
          <w:sz w:val="21"/>
          <w:szCs w:val="21"/>
          <w:lang w:val="en-US" w:eastAsia="zh-CN"/>
        </w:rPr>
        <w:t xml:space="preserve">d) </w:t>
      </w:r>
      <w:r>
        <w:rPr>
          <w:rFonts w:hint="eastAsia" w:ascii="宋体" w:hAnsi="宋体"/>
          <w:color w:val="auto"/>
          <w:sz w:val="21"/>
          <w:szCs w:val="21"/>
          <w:lang w:eastAsia="zh-CN"/>
        </w:rPr>
        <w:t>删除了力学性能和工艺性能取样标准</w:t>
      </w:r>
      <w:r>
        <w:rPr>
          <w:rFonts w:hint="eastAsia" w:hAnsi="宋体"/>
          <w:color w:val="auto"/>
          <w:sz w:val="21"/>
          <w:szCs w:val="21"/>
          <w:lang w:eastAsia="zh-CN"/>
        </w:rPr>
        <w:t>。</w:t>
      </w:r>
    </w:p>
    <w:p w14:paraId="767891A8">
      <w:pPr>
        <w:pStyle w:val="7"/>
        <w:keepNext/>
        <w:keepLines/>
        <w:pageBreakBefore w:val="0"/>
        <w:widowControl w:val="0"/>
        <w:kinsoku/>
        <w:wordWrap/>
        <w:overflowPunct/>
        <w:topLinePunct w:val="0"/>
        <w:autoSpaceDE/>
        <w:autoSpaceDN/>
        <w:bidi w:val="0"/>
        <w:adjustRightInd/>
        <w:snapToGrid/>
        <w:spacing w:before="0" w:beforeLines="0" w:after="0"/>
        <w:textAlignment w:val="auto"/>
        <w:rPr>
          <w:rFonts w:hint="eastAsia" w:ascii="Times New Roman" w:hAnsi="Times New Roman" w:cs="Times New Roman"/>
          <w:b w:val="0"/>
          <w:bCs/>
          <w:color w:val="000000" w:themeColor="text1"/>
          <w:highlight w:val="none"/>
          <w:lang w:val="en-US" w:eastAsia="zh-CN"/>
          <w14:textFill>
            <w14:solidFill>
              <w14:schemeClr w14:val="tx1"/>
            </w14:solidFill>
          </w14:textFill>
        </w:rPr>
      </w:pPr>
      <w:r>
        <w:rPr>
          <w:rFonts w:hint="eastAsia" w:ascii="Times New Roman" w:hAnsi="Times New Roman" w:cs="Times New Roman"/>
          <w:b w:val="0"/>
          <w:bCs/>
          <w:color w:val="000000" w:themeColor="text1"/>
          <w:highlight w:val="none"/>
          <w:lang w:val="en-US" w:eastAsia="zh-CN"/>
          <w14:textFill>
            <w14:solidFill>
              <w14:schemeClr w14:val="tx1"/>
            </w14:solidFill>
          </w14:textFill>
        </w:rPr>
        <w:t>3.1产品分类</w:t>
      </w:r>
    </w:p>
    <w:p w14:paraId="3285F18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snapToGrid/>
          <w:color w:val="000000"/>
          <w:kern w:val="0"/>
          <w:szCs w:val="20"/>
          <w:lang w:val="en-US" w:eastAsia="zh-CN"/>
        </w:rPr>
      </w:pPr>
      <w:r>
        <w:rPr>
          <w:rFonts w:hint="eastAsia" w:ascii="Times New Roman" w:hAnsi="Times New Roman" w:eastAsia="宋体" w:cs="Times New Roman"/>
          <w:b w:val="0"/>
          <w:bCs/>
          <w:color w:val="000000" w:themeColor="text1"/>
          <w:kern w:val="2"/>
          <w:sz w:val="21"/>
          <w:szCs w:val="22"/>
          <w:highlight w:val="none"/>
          <w:lang w:val="en-US" w:eastAsia="zh-CN" w:bidi="ar-SA"/>
          <w14:textFill>
            <w14:solidFill>
              <w14:schemeClr w14:val="tx1"/>
            </w14:solidFill>
          </w14:textFill>
        </w:rPr>
        <w:t>随着无油轴承产品应用场景的多样化发展，无油轴承用铜合金材料品种更加丰富，因此此次修订</w:t>
      </w:r>
      <w:r>
        <w:rPr>
          <w:rFonts w:hint="default"/>
        </w:rPr>
        <w:t>增加了</w:t>
      </w:r>
      <w:r>
        <w:rPr>
          <w:rFonts w:hint="default"/>
          <w:lang w:val="en-US" w:eastAsia="zh-CN"/>
        </w:rPr>
        <w:t>Cu9Ni</w:t>
      </w:r>
      <w:r>
        <w:rPr>
          <w:rFonts w:hint="eastAsia"/>
          <w:lang w:val="en-US" w:eastAsia="zh-CN"/>
        </w:rPr>
        <w:t>2</w:t>
      </w:r>
      <w:r>
        <w:rPr>
          <w:rFonts w:hint="default"/>
          <w:lang w:val="en-US" w:eastAsia="zh-CN"/>
        </w:rPr>
        <w:t>Sn</w:t>
      </w:r>
      <w:r>
        <w:rPr>
          <w:rFonts w:hint="eastAsia"/>
          <w:lang w:val="en-US" w:eastAsia="zh-CN"/>
        </w:rPr>
        <w:t>、</w:t>
      </w:r>
      <w:r>
        <w:rPr>
          <w:rFonts w:hint="default"/>
        </w:rPr>
        <w:t>Cu9Ni6Sn牌号</w:t>
      </w:r>
      <w:r>
        <w:rPr>
          <w:rFonts w:hint="eastAsia"/>
          <w:lang w:eastAsia="zh-CN"/>
        </w:rPr>
        <w:t>。</w:t>
      </w:r>
      <w:r>
        <w:rPr>
          <w:rFonts w:hint="default"/>
          <w:lang w:val="en-US" w:eastAsia="zh-CN"/>
        </w:rPr>
        <w:t>Cu9Ni</w:t>
      </w:r>
      <w:r>
        <w:rPr>
          <w:rFonts w:hint="eastAsia"/>
          <w:lang w:val="en-US" w:eastAsia="zh-CN"/>
        </w:rPr>
        <w:t>2</w:t>
      </w:r>
      <w:r>
        <w:rPr>
          <w:rFonts w:hint="default"/>
          <w:lang w:val="en-US" w:eastAsia="zh-CN"/>
        </w:rPr>
        <w:t>Sn</w:t>
      </w:r>
      <w:r>
        <w:rPr>
          <w:rFonts w:hint="eastAsia"/>
          <w:lang w:val="en-US" w:eastAsia="zh-CN"/>
        </w:rPr>
        <w:t>、Cu9Ni6Sn</w:t>
      </w:r>
      <w:r>
        <w:rPr>
          <w:rFonts w:hint="default"/>
          <w:lang w:val="en-US" w:eastAsia="zh-CN"/>
        </w:rPr>
        <w:t>牌号的化学成分应符合表2规定，其余牌号化学成分应符合GB/T 5231中相应牌号化学成分的规定。</w:t>
      </w:r>
    </w:p>
    <w:p w14:paraId="4606F160">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黑体" w:hAnsi="黑体" w:eastAsia="黑体" w:cs="黑体"/>
          <w:sz w:val="21"/>
          <w:szCs w:val="21"/>
        </w:rPr>
      </w:pPr>
      <w:r>
        <w:rPr>
          <w:rFonts w:hint="eastAsia" w:ascii="黑体" w:hAnsi="黑体" w:eastAsia="黑体" w:cs="黑体"/>
          <w:snapToGrid/>
          <w:color w:val="000000"/>
          <w:kern w:val="0"/>
          <w:sz w:val="21"/>
          <w:szCs w:val="21"/>
          <w:lang w:eastAsia="zh-CN"/>
        </w:rPr>
        <w:t>表2 化学成分</w:t>
      </w:r>
    </w:p>
    <w:tbl>
      <w:tblPr>
        <w:tblStyle w:val="40"/>
        <w:tblW w:w="4999" w:type="pct"/>
        <w:tblInd w:w="0" w:type="dxa"/>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Layout w:type="autofit"/>
        <w:tblCellMar>
          <w:top w:w="0" w:type="dxa"/>
          <w:left w:w="0" w:type="dxa"/>
          <w:bottom w:w="0" w:type="dxa"/>
          <w:right w:w="0" w:type="dxa"/>
        </w:tblCellMar>
      </w:tblPr>
      <w:tblGrid>
        <w:gridCol w:w="1259"/>
        <w:gridCol w:w="1119"/>
        <w:gridCol w:w="1119"/>
        <w:gridCol w:w="1119"/>
        <w:gridCol w:w="1119"/>
        <w:gridCol w:w="1119"/>
        <w:gridCol w:w="1120"/>
        <w:gridCol w:w="1126"/>
      </w:tblGrid>
      <w:tr w14:paraId="5EA84AB5">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692" w:type="pct"/>
            <w:vMerge w:val="restart"/>
            <w:tcBorders>
              <w:bottom w:val="nil"/>
            </w:tcBorders>
            <w:vAlign w:val="center"/>
          </w:tcPr>
          <w:p w14:paraId="587A050E">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牌号</w:t>
            </w:r>
          </w:p>
        </w:tc>
        <w:tc>
          <w:tcPr>
            <w:tcW w:w="4307" w:type="pct"/>
            <w:gridSpan w:val="7"/>
            <w:vAlign w:val="center"/>
          </w:tcPr>
          <w:p w14:paraId="3C22DF32">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化学成分(质量分数)</w:t>
            </w:r>
            <w:r>
              <w:rPr>
                <w:rFonts w:hint="eastAsia" w:ascii="Times New Roman" w:hAnsi="Times New Roman" w:cs="Times New Roman"/>
                <w:sz w:val="18"/>
                <w:szCs w:val="18"/>
                <w:vertAlign w:val="superscript"/>
                <w:lang w:val="en-US" w:eastAsia="zh-CN"/>
              </w:rPr>
              <w:t>a</w:t>
            </w:r>
            <w:r>
              <w:rPr>
                <w:rFonts w:hint="default" w:ascii="Times New Roman" w:hAnsi="Times New Roman" w:cs="Times New Roman"/>
                <w:sz w:val="18"/>
                <w:szCs w:val="18"/>
                <w:vertAlign w:val="baseline"/>
                <w:lang w:val="en-US" w:eastAsia="zh-CN"/>
              </w:rPr>
              <w:t>/</w:t>
            </w:r>
            <w:r>
              <w:rPr>
                <w:rFonts w:hint="default" w:ascii="Times New Roman" w:hAnsi="Times New Roman" w:cs="Times New Roman"/>
                <w:sz w:val="18"/>
                <w:szCs w:val="18"/>
                <w:lang w:val="en-US" w:eastAsia="zh-CN"/>
              </w:rPr>
              <w:t>%</w:t>
            </w:r>
          </w:p>
        </w:tc>
      </w:tr>
      <w:tr w14:paraId="79ADF1B5">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692" w:type="pct"/>
            <w:vMerge w:val="continue"/>
            <w:tcBorders>
              <w:top w:val="nil"/>
              <w:bottom w:val="single" w:color="auto" w:sz="12" w:space="0"/>
            </w:tcBorders>
            <w:vAlign w:val="center"/>
          </w:tcPr>
          <w:p w14:paraId="2C524D22">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kern w:val="0"/>
                <w:sz w:val="18"/>
                <w:szCs w:val="18"/>
                <w:lang w:val="en-US" w:eastAsia="zh-CN" w:bidi="ar-SA"/>
              </w:rPr>
            </w:pPr>
          </w:p>
        </w:tc>
        <w:tc>
          <w:tcPr>
            <w:tcW w:w="615" w:type="pct"/>
            <w:tcBorders>
              <w:bottom w:val="single" w:color="auto" w:sz="12" w:space="0"/>
            </w:tcBorders>
            <w:vAlign w:val="center"/>
          </w:tcPr>
          <w:p w14:paraId="383D74A4">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kern w:val="0"/>
                <w:sz w:val="18"/>
                <w:szCs w:val="18"/>
                <w:lang w:val="en-US" w:eastAsia="zh-CN" w:bidi="ar-SA"/>
              </w:rPr>
            </w:pPr>
            <w:r>
              <w:rPr>
                <w:rFonts w:hint="default" w:ascii="Times New Roman" w:hAnsi="Times New Roman" w:eastAsia="宋体" w:cs="Times New Roman"/>
                <w:snapToGrid w:val="0"/>
                <w:color w:val="000000"/>
                <w:kern w:val="0"/>
                <w:sz w:val="18"/>
                <w:szCs w:val="18"/>
                <w:lang w:val="en-US" w:eastAsia="zh-CN" w:bidi="ar-SA"/>
              </w:rPr>
              <w:t>Cu</w:t>
            </w:r>
          </w:p>
        </w:tc>
        <w:tc>
          <w:tcPr>
            <w:tcW w:w="615" w:type="pct"/>
            <w:tcBorders>
              <w:bottom w:val="single" w:color="auto" w:sz="12" w:space="0"/>
            </w:tcBorders>
            <w:vAlign w:val="center"/>
          </w:tcPr>
          <w:p w14:paraId="7BFEBE34">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kern w:val="0"/>
                <w:sz w:val="18"/>
                <w:szCs w:val="18"/>
                <w:lang w:val="en-US" w:eastAsia="zh-CN" w:bidi="ar-SA"/>
              </w:rPr>
            </w:pPr>
            <w:r>
              <w:rPr>
                <w:rFonts w:hint="eastAsia" w:ascii="Times New Roman" w:hAnsi="Times New Roman" w:eastAsia="宋体" w:cs="Times New Roman"/>
                <w:snapToGrid w:val="0"/>
                <w:color w:val="000000"/>
                <w:kern w:val="0"/>
                <w:sz w:val="18"/>
                <w:szCs w:val="18"/>
                <w:lang w:val="en-US" w:eastAsia="zh-CN" w:bidi="ar-SA"/>
              </w:rPr>
              <w:t>Ni</w:t>
            </w:r>
          </w:p>
        </w:tc>
        <w:tc>
          <w:tcPr>
            <w:tcW w:w="615" w:type="pct"/>
            <w:tcBorders>
              <w:bottom w:val="single" w:color="auto" w:sz="12" w:space="0"/>
            </w:tcBorders>
            <w:vAlign w:val="center"/>
          </w:tcPr>
          <w:p w14:paraId="2951A487">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napToGrid w:val="0"/>
                <w:color w:val="000000"/>
                <w:kern w:val="0"/>
                <w:sz w:val="18"/>
                <w:szCs w:val="18"/>
                <w:lang w:val="en-US" w:eastAsia="zh-CN" w:bidi="ar-SA"/>
              </w:rPr>
            </w:pPr>
            <w:r>
              <w:rPr>
                <w:rFonts w:hint="default" w:ascii="Times New Roman" w:hAnsi="Times New Roman" w:eastAsia="宋体" w:cs="Times New Roman"/>
                <w:snapToGrid w:val="0"/>
                <w:color w:val="000000"/>
                <w:kern w:val="0"/>
                <w:sz w:val="18"/>
                <w:szCs w:val="18"/>
                <w:lang w:val="en-US" w:eastAsia="zh-CN" w:bidi="ar-SA"/>
              </w:rPr>
              <w:t>Sn</w:t>
            </w:r>
          </w:p>
        </w:tc>
        <w:tc>
          <w:tcPr>
            <w:tcW w:w="615" w:type="pct"/>
            <w:tcBorders>
              <w:bottom w:val="single" w:color="auto" w:sz="12" w:space="0"/>
            </w:tcBorders>
            <w:vAlign w:val="center"/>
          </w:tcPr>
          <w:p w14:paraId="57EAD7BD">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napToGrid w:val="0"/>
                <w:color w:val="000000"/>
                <w:kern w:val="0"/>
                <w:sz w:val="18"/>
                <w:szCs w:val="18"/>
                <w:lang w:val="en-US" w:eastAsia="zh-CN" w:bidi="ar-SA"/>
              </w:rPr>
            </w:pPr>
            <w:r>
              <w:rPr>
                <w:rFonts w:hint="eastAsia" w:ascii="Times New Roman" w:hAnsi="Times New Roman" w:eastAsia="宋体" w:cs="Times New Roman"/>
                <w:snapToGrid w:val="0"/>
                <w:color w:val="000000"/>
                <w:kern w:val="0"/>
                <w:sz w:val="18"/>
                <w:szCs w:val="18"/>
                <w:lang w:val="en-US" w:eastAsia="zh-CN" w:bidi="ar-SA"/>
              </w:rPr>
              <w:t>Mn</w:t>
            </w:r>
          </w:p>
        </w:tc>
        <w:tc>
          <w:tcPr>
            <w:tcW w:w="615" w:type="pct"/>
            <w:tcBorders>
              <w:bottom w:val="single" w:color="auto" w:sz="12" w:space="0"/>
            </w:tcBorders>
            <w:vAlign w:val="center"/>
          </w:tcPr>
          <w:p w14:paraId="429781DE">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kern w:val="0"/>
                <w:sz w:val="18"/>
                <w:szCs w:val="18"/>
                <w:lang w:val="en-US" w:eastAsia="zh-CN" w:bidi="ar-SA"/>
              </w:rPr>
            </w:pPr>
            <w:r>
              <w:rPr>
                <w:rFonts w:hint="default" w:ascii="Times New Roman" w:hAnsi="Times New Roman" w:eastAsia="宋体" w:cs="Times New Roman"/>
                <w:snapToGrid w:val="0"/>
                <w:color w:val="000000"/>
                <w:kern w:val="0"/>
                <w:sz w:val="18"/>
                <w:szCs w:val="18"/>
                <w:lang w:val="en-US" w:eastAsia="zh-CN" w:bidi="ar-SA"/>
              </w:rPr>
              <w:t>Pb</w:t>
            </w:r>
          </w:p>
        </w:tc>
        <w:tc>
          <w:tcPr>
            <w:tcW w:w="615" w:type="pct"/>
            <w:tcBorders>
              <w:bottom w:val="single" w:color="auto" w:sz="12" w:space="0"/>
            </w:tcBorders>
            <w:vAlign w:val="center"/>
          </w:tcPr>
          <w:p w14:paraId="78A2599F">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kern w:val="0"/>
                <w:sz w:val="18"/>
                <w:szCs w:val="18"/>
                <w:lang w:val="en-US" w:eastAsia="zh-CN" w:bidi="ar-SA"/>
              </w:rPr>
            </w:pPr>
            <w:r>
              <w:rPr>
                <w:rFonts w:hint="default" w:ascii="Times New Roman" w:hAnsi="Times New Roman" w:eastAsia="宋体" w:cs="Times New Roman"/>
                <w:snapToGrid w:val="0"/>
                <w:color w:val="000000"/>
                <w:kern w:val="0"/>
                <w:sz w:val="18"/>
                <w:szCs w:val="18"/>
                <w:lang w:val="en-US" w:eastAsia="zh-CN" w:bidi="ar-SA"/>
              </w:rPr>
              <w:t>Fe</w:t>
            </w:r>
          </w:p>
        </w:tc>
        <w:tc>
          <w:tcPr>
            <w:tcW w:w="615" w:type="pct"/>
            <w:tcBorders>
              <w:bottom w:val="single" w:color="auto" w:sz="12" w:space="0"/>
            </w:tcBorders>
            <w:vAlign w:val="center"/>
          </w:tcPr>
          <w:p w14:paraId="710D1219">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kern w:val="0"/>
                <w:sz w:val="18"/>
                <w:szCs w:val="18"/>
                <w:lang w:val="en-US" w:eastAsia="zh-CN" w:bidi="ar-SA"/>
              </w:rPr>
            </w:pPr>
            <w:r>
              <w:rPr>
                <w:rFonts w:hint="default" w:ascii="Times New Roman" w:hAnsi="Times New Roman" w:eastAsia="宋体" w:cs="Times New Roman"/>
                <w:snapToGrid w:val="0"/>
                <w:color w:val="000000"/>
                <w:kern w:val="0"/>
                <w:sz w:val="18"/>
                <w:szCs w:val="18"/>
                <w:lang w:val="en-US" w:eastAsia="zh-CN" w:bidi="ar-SA"/>
              </w:rPr>
              <w:t>Zn</w:t>
            </w:r>
          </w:p>
        </w:tc>
      </w:tr>
      <w:tr w14:paraId="290D06C6">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692" w:type="pct"/>
            <w:tcBorders>
              <w:top w:val="single" w:color="auto" w:sz="12" w:space="0"/>
              <w:bottom w:val="single" w:color="auto" w:sz="12" w:space="0"/>
            </w:tcBorders>
            <w:vAlign w:val="center"/>
          </w:tcPr>
          <w:p w14:paraId="4D77CC05">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napToGrid w:val="0"/>
                <w:color w:val="000000"/>
                <w:kern w:val="0"/>
                <w:sz w:val="18"/>
                <w:szCs w:val="18"/>
                <w:lang w:val="en-US" w:eastAsia="zh-CN" w:bidi="ar-SA"/>
              </w:rPr>
            </w:pPr>
            <w:r>
              <w:rPr>
                <w:rFonts w:hint="default" w:ascii="Times New Roman" w:hAnsi="Times New Roman" w:eastAsia="宋体" w:cs="Times New Roman"/>
                <w:snapToGrid w:val="0"/>
                <w:color w:val="000000" w:themeColor="text1"/>
                <w:kern w:val="0"/>
                <w:sz w:val="18"/>
                <w:szCs w:val="18"/>
                <w:lang w:val="en-US" w:eastAsia="zh-CN" w:bidi="ar-SA"/>
                <w14:textFill>
                  <w14:solidFill>
                    <w14:schemeClr w14:val="tx1"/>
                  </w14:solidFill>
                </w14:textFill>
              </w:rPr>
              <w:t>Cu9Ni</w:t>
            </w:r>
            <w:r>
              <w:rPr>
                <w:rFonts w:hint="eastAsia" w:ascii="Times New Roman" w:hAnsi="Times New Roman" w:cs="Times New Roman"/>
                <w:snapToGrid w:val="0"/>
                <w:color w:val="000000" w:themeColor="text1"/>
                <w:kern w:val="0"/>
                <w:sz w:val="18"/>
                <w:szCs w:val="18"/>
                <w:lang w:val="en-US" w:eastAsia="zh-CN" w:bidi="ar-SA"/>
                <w14:textFill>
                  <w14:solidFill>
                    <w14:schemeClr w14:val="tx1"/>
                  </w14:solidFill>
                </w14:textFill>
              </w:rPr>
              <w:t>2</w:t>
            </w:r>
            <w:r>
              <w:rPr>
                <w:rFonts w:hint="default" w:ascii="Times New Roman" w:hAnsi="Times New Roman" w:eastAsia="宋体" w:cs="Times New Roman"/>
                <w:snapToGrid w:val="0"/>
                <w:color w:val="000000" w:themeColor="text1"/>
                <w:kern w:val="0"/>
                <w:sz w:val="18"/>
                <w:szCs w:val="18"/>
                <w:lang w:val="en-US" w:eastAsia="zh-CN" w:bidi="ar-SA"/>
                <w14:textFill>
                  <w14:solidFill>
                    <w14:schemeClr w14:val="tx1"/>
                  </w14:solidFill>
                </w14:textFill>
              </w:rPr>
              <w:t>Sn</w:t>
            </w:r>
          </w:p>
        </w:tc>
        <w:tc>
          <w:tcPr>
            <w:tcW w:w="615" w:type="pct"/>
            <w:tcBorders>
              <w:top w:val="single" w:color="auto" w:sz="12" w:space="0"/>
              <w:bottom w:val="single" w:color="auto" w:sz="12" w:space="0"/>
            </w:tcBorders>
            <w:vAlign w:val="center"/>
          </w:tcPr>
          <w:p w14:paraId="17CDC6D0">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napToGrid w:val="0"/>
                <w:color w:val="000000"/>
                <w:kern w:val="0"/>
                <w:sz w:val="18"/>
                <w:szCs w:val="18"/>
                <w:lang w:val="en-US" w:eastAsia="zh-CN" w:bidi="ar-SA"/>
              </w:rPr>
            </w:pPr>
            <w:r>
              <w:rPr>
                <w:rFonts w:hint="default" w:ascii="Times New Roman" w:hAnsi="Times New Roman" w:eastAsia="宋体" w:cs="Times New Roman"/>
                <w:snapToGrid w:val="0"/>
                <w:color w:val="000000" w:themeColor="text1"/>
                <w:kern w:val="0"/>
                <w:sz w:val="18"/>
                <w:szCs w:val="18"/>
                <w:lang w:val="en-US" w:eastAsia="zh-CN" w:bidi="ar-SA"/>
                <w14:textFill>
                  <w14:solidFill>
                    <w14:schemeClr w14:val="tx1"/>
                  </w14:solidFill>
                </w14:textFill>
              </w:rPr>
              <w:t>余量</w:t>
            </w:r>
          </w:p>
        </w:tc>
        <w:tc>
          <w:tcPr>
            <w:tcW w:w="615" w:type="pct"/>
            <w:tcBorders>
              <w:top w:val="single" w:color="auto" w:sz="12" w:space="0"/>
              <w:bottom w:val="single" w:color="auto" w:sz="12" w:space="0"/>
            </w:tcBorders>
            <w:vAlign w:val="center"/>
          </w:tcPr>
          <w:p w14:paraId="307A206E">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Times New Roman" w:hAnsi="Times New Roman" w:eastAsia="宋体" w:cs="Times New Roman"/>
                <w:snapToGrid w:val="0"/>
                <w:color w:val="000000"/>
                <w:kern w:val="0"/>
                <w:sz w:val="18"/>
                <w:szCs w:val="18"/>
                <w:lang w:val="en-US" w:eastAsia="zh-CN" w:bidi="ar-SA"/>
              </w:rPr>
            </w:pPr>
            <w:r>
              <w:rPr>
                <w:rFonts w:hint="eastAsia" w:ascii="Times New Roman" w:hAnsi="Times New Roman" w:eastAsia="宋体" w:cs="Times New Roman"/>
                <w:snapToGrid w:val="0"/>
                <w:color w:val="000000" w:themeColor="text1"/>
                <w:kern w:val="0"/>
                <w:sz w:val="18"/>
                <w:szCs w:val="18"/>
                <w:lang w:val="en-US" w:eastAsia="zh-CN" w:bidi="ar-SA"/>
                <w14:textFill>
                  <w14:solidFill>
                    <w14:schemeClr w14:val="tx1"/>
                  </w14:solidFill>
                </w14:textFill>
              </w:rPr>
              <w:t>8.5</w:t>
            </w:r>
            <w:r>
              <w:rPr>
                <w:rFonts w:hint="default" w:ascii="Times New Roman" w:hAnsi="Times New Roman" w:eastAsia="宋体" w:cs="Times New Roman"/>
                <w:snapToGrid w:val="0"/>
                <w:color w:val="000000" w:themeColor="text1"/>
                <w:kern w:val="0"/>
                <w:sz w:val="18"/>
                <w:szCs w:val="18"/>
                <w:lang w:val="en-US" w:eastAsia="zh-CN" w:bidi="ar-SA"/>
                <w14:textFill>
                  <w14:solidFill>
                    <w14:schemeClr w14:val="tx1"/>
                  </w14:solidFill>
                </w14:textFill>
              </w:rPr>
              <w:t>～</w:t>
            </w:r>
            <w:r>
              <w:rPr>
                <w:rFonts w:hint="eastAsia" w:ascii="Times New Roman" w:hAnsi="Times New Roman" w:cs="Times New Roman"/>
                <w:snapToGrid w:val="0"/>
                <w:color w:val="000000" w:themeColor="text1"/>
                <w:kern w:val="0"/>
                <w:sz w:val="18"/>
                <w:szCs w:val="18"/>
                <w:lang w:val="en-US" w:eastAsia="zh-CN" w:bidi="ar-SA"/>
                <w14:textFill>
                  <w14:solidFill>
                    <w14:schemeClr w14:val="tx1"/>
                  </w14:solidFill>
                </w14:textFill>
              </w:rPr>
              <w:t>10</w:t>
            </w:r>
            <w:r>
              <w:rPr>
                <w:rFonts w:hint="eastAsia" w:ascii="Times New Roman" w:hAnsi="Times New Roman" w:eastAsia="宋体" w:cs="Times New Roman"/>
                <w:snapToGrid w:val="0"/>
                <w:color w:val="000000" w:themeColor="text1"/>
                <w:kern w:val="0"/>
                <w:sz w:val="18"/>
                <w:szCs w:val="18"/>
                <w:lang w:val="en-US" w:eastAsia="zh-CN" w:bidi="ar-SA"/>
                <w14:textFill>
                  <w14:solidFill>
                    <w14:schemeClr w14:val="tx1"/>
                  </w14:solidFill>
                </w14:textFill>
              </w:rPr>
              <w:t>.5</w:t>
            </w:r>
          </w:p>
        </w:tc>
        <w:tc>
          <w:tcPr>
            <w:tcW w:w="615" w:type="pct"/>
            <w:tcBorders>
              <w:top w:val="single" w:color="auto" w:sz="12" w:space="0"/>
              <w:bottom w:val="single" w:color="auto" w:sz="12" w:space="0"/>
            </w:tcBorders>
            <w:vAlign w:val="center"/>
          </w:tcPr>
          <w:p w14:paraId="7DB71919">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Times New Roman" w:hAnsi="Times New Roman" w:eastAsia="宋体" w:cs="Times New Roman"/>
                <w:snapToGrid w:val="0"/>
                <w:color w:val="000000"/>
                <w:kern w:val="0"/>
                <w:sz w:val="18"/>
                <w:szCs w:val="18"/>
                <w:lang w:val="en-US" w:eastAsia="zh-CN" w:bidi="ar-SA"/>
              </w:rPr>
            </w:pPr>
            <w:r>
              <w:rPr>
                <w:rFonts w:hint="eastAsia" w:ascii="Times New Roman" w:hAnsi="Times New Roman" w:cs="Times New Roman"/>
                <w:snapToGrid w:val="0"/>
                <w:color w:val="000000" w:themeColor="text1"/>
                <w:kern w:val="0"/>
                <w:sz w:val="18"/>
                <w:szCs w:val="18"/>
                <w:lang w:val="en-US" w:eastAsia="zh-CN" w:bidi="ar-SA"/>
                <w14:textFill>
                  <w14:solidFill>
                    <w14:schemeClr w14:val="tx1"/>
                  </w14:solidFill>
                </w14:textFill>
              </w:rPr>
              <w:t>1.8</w:t>
            </w:r>
            <w:r>
              <w:rPr>
                <w:rFonts w:hint="default" w:ascii="Times New Roman" w:hAnsi="Times New Roman" w:eastAsia="宋体" w:cs="Times New Roman"/>
                <w:snapToGrid w:val="0"/>
                <w:color w:val="000000" w:themeColor="text1"/>
                <w:kern w:val="0"/>
                <w:sz w:val="18"/>
                <w:szCs w:val="18"/>
                <w:lang w:val="en-US" w:eastAsia="zh-CN" w:bidi="ar-SA"/>
                <w14:textFill>
                  <w14:solidFill>
                    <w14:schemeClr w14:val="tx1"/>
                  </w14:solidFill>
                </w14:textFill>
              </w:rPr>
              <w:t>～</w:t>
            </w:r>
            <w:r>
              <w:rPr>
                <w:rFonts w:hint="eastAsia" w:ascii="Times New Roman" w:hAnsi="Times New Roman" w:cs="Times New Roman"/>
                <w:snapToGrid w:val="0"/>
                <w:color w:val="000000" w:themeColor="text1"/>
                <w:kern w:val="0"/>
                <w:sz w:val="18"/>
                <w:szCs w:val="18"/>
                <w:lang w:val="en-US" w:eastAsia="zh-CN" w:bidi="ar-SA"/>
                <w14:textFill>
                  <w14:solidFill>
                    <w14:schemeClr w14:val="tx1"/>
                  </w14:solidFill>
                </w14:textFill>
              </w:rPr>
              <w:t>2.8</w:t>
            </w:r>
          </w:p>
        </w:tc>
        <w:tc>
          <w:tcPr>
            <w:tcW w:w="615" w:type="pct"/>
            <w:tcBorders>
              <w:top w:val="single" w:color="auto" w:sz="12" w:space="0"/>
              <w:bottom w:val="single" w:color="auto" w:sz="12" w:space="0"/>
            </w:tcBorders>
            <w:vAlign w:val="center"/>
          </w:tcPr>
          <w:p w14:paraId="3748561E">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Times New Roman" w:hAnsi="Times New Roman" w:eastAsia="宋体" w:cs="Times New Roman"/>
                <w:snapToGrid w:val="0"/>
                <w:color w:val="000000"/>
                <w:kern w:val="0"/>
                <w:sz w:val="18"/>
                <w:szCs w:val="18"/>
                <w:lang w:val="en-US" w:eastAsia="zh-CN" w:bidi="ar-SA"/>
              </w:rPr>
            </w:pPr>
            <w:r>
              <w:rPr>
                <w:rFonts w:hint="eastAsia" w:ascii="Times New Roman" w:hAnsi="Times New Roman" w:eastAsia="宋体" w:cs="Times New Roman"/>
                <w:snapToGrid w:val="0"/>
                <w:color w:val="000000" w:themeColor="text1"/>
                <w:kern w:val="0"/>
                <w:sz w:val="18"/>
                <w:szCs w:val="18"/>
                <w:lang w:val="en-US" w:eastAsia="zh-CN" w:bidi="ar-SA"/>
                <w14:textFill>
                  <w14:solidFill>
                    <w14:schemeClr w14:val="tx1"/>
                  </w14:solidFill>
                </w14:textFill>
              </w:rPr>
              <w:t>≤0.</w:t>
            </w:r>
            <w:r>
              <w:rPr>
                <w:rFonts w:hint="eastAsia" w:ascii="Times New Roman" w:hAnsi="Times New Roman" w:cs="Times New Roman"/>
                <w:snapToGrid w:val="0"/>
                <w:color w:val="000000" w:themeColor="text1"/>
                <w:kern w:val="0"/>
                <w:sz w:val="18"/>
                <w:szCs w:val="18"/>
                <w:lang w:val="en-US" w:eastAsia="zh-CN" w:bidi="ar-SA"/>
                <w14:textFill>
                  <w14:solidFill>
                    <w14:schemeClr w14:val="tx1"/>
                  </w14:solidFill>
                </w14:textFill>
              </w:rPr>
              <w:t>2</w:t>
            </w:r>
            <w:r>
              <w:rPr>
                <w:rFonts w:hint="eastAsia" w:ascii="Times New Roman" w:hAnsi="Times New Roman" w:eastAsia="宋体" w:cs="Times New Roman"/>
                <w:snapToGrid w:val="0"/>
                <w:color w:val="000000" w:themeColor="text1"/>
                <w:kern w:val="0"/>
                <w:sz w:val="18"/>
                <w:szCs w:val="18"/>
                <w:lang w:val="en-US" w:eastAsia="zh-CN" w:bidi="ar-SA"/>
                <w14:textFill>
                  <w14:solidFill>
                    <w14:schemeClr w14:val="tx1"/>
                  </w14:solidFill>
                </w14:textFill>
              </w:rPr>
              <w:t>0</w:t>
            </w:r>
          </w:p>
        </w:tc>
        <w:tc>
          <w:tcPr>
            <w:tcW w:w="615" w:type="pct"/>
            <w:tcBorders>
              <w:top w:val="single" w:color="auto" w:sz="12" w:space="0"/>
              <w:bottom w:val="single" w:color="auto" w:sz="12" w:space="0"/>
            </w:tcBorders>
            <w:vAlign w:val="center"/>
          </w:tcPr>
          <w:p w14:paraId="329BECA1">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Times New Roman" w:hAnsi="Times New Roman" w:eastAsia="宋体" w:cs="Times New Roman"/>
                <w:snapToGrid w:val="0"/>
                <w:color w:val="000000"/>
                <w:kern w:val="0"/>
                <w:sz w:val="18"/>
                <w:szCs w:val="18"/>
                <w:lang w:val="en-US" w:eastAsia="zh-CN" w:bidi="ar-SA"/>
              </w:rPr>
            </w:pPr>
            <w:r>
              <w:rPr>
                <w:rFonts w:hint="eastAsia" w:ascii="Times New Roman" w:hAnsi="Times New Roman" w:eastAsia="宋体" w:cs="Times New Roman"/>
                <w:snapToGrid w:val="0"/>
                <w:color w:val="000000" w:themeColor="text1"/>
                <w:kern w:val="0"/>
                <w:sz w:val="18"/>
                <w:szCs w:val="18"/>
                <w:lang w:val="en-US" w:eastAsia="zh-CN" w:bidi="ar-SA"/>
                <w14:textFill>
                  <w14:solidFill>
                    <w14:schemeClr w14:val="tx1"/>
                  </w14:solidFill>
                </w14:textFill>
              </w:rPr>
              <w:t>≤0.0</w:t>
            </w:r>
            <w:r>
              <w:rPr>
                <w:rFonts w:hint="eastAsia" w:ascii="Times New Roman" w:hAnsi="Times New Roman" w:cs="Times New Roman"/>
                <w:snapToGrid w:val="0"/>
                <w:color w:val="000000" w:themeColor="text1"/>
                <w:kern w:val="0"/>
                <w:sz w:val="18"/>
                <w:szCs w:val="18"/>
                <w:lang w:val="en-US" w:eastAsia="zh-CN" w:bidi="ar-SA"/>
                <w14:textFill>
                  <w14:solidFill>
                    <w14:schemeClr w14:val="tx1"/>
                  </w14:solidFill>
                </w14:textFill>
              </w:rPr>
              <w:t>5</w:t>
            </w:r>
          </w:p>
        </w:tc>
        <w:tc>
          <w:tcPr>
            <w:tcW w:w="615" w:type="pct"/>
            <w:tcBorders>
              <w:top w:val="single" w:color="auto" w:sz="12" w:space="0"/>
              <w:bottom w:val="single" w:color="auto" w:sz="12" w:space="0"/>
            </w:tcBorders>
            <w:vAlign w:val="center"/>
          </w:tcPr>
          <w:p w14:paraId="04968BE9">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Times New Roman" w:hAnsi="Times New Roman" w:eastAsia="宋体" w:cs="Times New Roman"/>
                <w:snapToGrid w:val="0"/>
                <w:color w:val="000000"/>
                <w:kern w:val="0"/>
                <w:sz w:val="18"/>
                <w:szCs w:val="18"/>
                <w:lang w:val="en-US" w:eastAsia="zh-CN" w:bidi="ar-SA"/>
              </w:rPr>
            </w:pPr>
            <w:r>
              <w:rPr>
                <w:rFonts w:hint="eastAsia" w:ascii="Times New Roman" w:hAnsi="Times New Roman" w:eastAsia="宋体" w:cs="Times New Roman"/>
                <w:snapToGrid w:val="0"/>
                <w:color w:val="000000" w:themeColor="text1"/>
                <w:kern w:val="0"/>
                <w:sz w:val="18"/>
                <w:szCs w:val="18"/>
                <w:lang w:val="en-US" w:eastAsia="zh-CN" w:bidi="ar-SA"/>
                <w14:textFill>
                  <w14:solidFill>
                    <w14:schemeClr w14:val="tx1"/>
                  </w14:solidFill>
                </w14:textFill>
              </w:rPr>
              <w:t>≤0.</w:t>
            </w:r>
            <w:r>
              <w:rPr>
                <w:rFonts w:hint="eastAsia" w:ascii="Times New Roman" w:hAnsi="Times New Roman" w:cs="Times New Roman"/>
                <w:snapToGrid w:val="0"/>
                <w:color w:val="000000" w:themeColor="text1"/>
                <w:kern w:val="0"/>
                <w:sz w:val="18"/>
                <w:szCs w:val="18"/>
                <w:lang w:val="en-US" w:eastAsia="zh-CN" w:bidi="ar-SA"/>
                <w14:textFill>
                  <w14:solidFill>
                    <w14:schemeClr w14:val="tx1"/>
                  </w14:solidFill>
                </w14:textFill>
              </w:rPr>
              <w:t>6</w:t>
            </w:r>
            <w:r>
              <w:rPr>
                <w:rFonts w:hint="eastAsia" w:ascii="Times New Roman" w:hAnsi="Times New Roman" w:eastAsia="宋体" w:cs="Times New Roman"/>
                <w:snapToGrid w:val="0"/>
                <w:color w:val="000000" w:themeColor="text1"/>
                <w:kern w:val="0"/>
                <w:sz w:val="18"/>
                <w:szCs w:val="18"/>
                <w:lang w:val="en-US" w:eastAsia="zh-CN" w:bidi="ar-SA"/>
                <w14:textFill>
                  <w14:solidFill>
                    <w14:schemeClr w14:val="tx1"/>
                  </w14:solidFill>
                </w14:textFill>
              </w:rPr>
              <w:t>0</w:t>
            </w:r>
          </w:p>
        </w:tc>
        <w:tc>
          <w:tcPr>
            <w:tcW w:w="615" w:type="pct"/>
            <w:tcBorders>
              <w:top w:val="single" w:color="auto" w:sz="12" w:space="0"/>
              <w:bottom w:val="single" w:color="auto" w:sz="12" w:space="0"/>
            </w:tcBorders>
            <w:vAlign w:val="center"/>
          </w:tcPr>
          <w:p w14:paraId="21B5B159">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Times New Roman" w:hAnsi="Times New Roman" w:eastAsia="宋体" w:cs="Times New Roman"/>
                <w:snapToGrid w:val="0"/>
                <w:color w:val="000000"/>
                <w:kern w:val="0"/>
                <w:sz w:val="18"/>
                <w:szCs w:val="18"/>
                <w:lang w:val="en-US" w:eastAsia="zh-CN" w:bidi="ar-SA"/>
              </w:rPr>
            </w:pPr>
            <w:r>
              <w:rPr>
                <w:rFonts w:hint="eastAsia" w:ascii="Times New Roman" w:hAnsi="Times New Roman" w:eastAsia="宋体" w:cs="Times New Roman"/>
                <w:snapToGrid w:val="0"/>
                <w:color w:val="000000" w:themeColor="text1"/>
                <w:kern w:val="0"/>
                <w:sz w:val="18"/>
                <w:szCs w:val="18"/>
                <w:lang w:val="en-US" w:eastAsia="zh-CN" w:bidi="ar-SA"/>
                <w14:textFill>
                  <w14:solidFill>
                    <w14:schemeClr w14:val="tx1"/>
                  </w14:solidFill>
                </w14:textFill>
              </w:rPr>
              <w:t>≤0.50</w:t>
            </w:r>
          </w:p>
        </w:tc>
      </w:tr>
      <w:tr w14:paraId="72FAD1FE">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692" w:type="pct"/>
            <w:tcBorders>
              <w:top w:val="single" w:color="auto" w:sz="12" w:space="0"/>
              <w:bottom w:val="single" w:color="auto" w:sz="12" w:space="0"/>
            </w:tcBorders>
            <w:vAlign w:val="center"/>
          </w:tcPr>
          <w:p w14:paraId="234D5773">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kern w:val="0"/>
                <w:sz w:val="18"/>
                <w:szCs w:val="18"/>
                <w:lang w:val="en-US" w:eastAsia="zh-CN" w:bidi="ar-SA"/>
              </w:rPr>
            </w:pPr>
            <w:r>
              <w:rPr>
                <w:rFonts w:hint="default" w:ascii="Times New Roman" w:hAnsi="Times New Roman" w:eastAsia="宋体" w:cs="Times New Roman"/>
                <w:snapToGrid w:val="0"/>
                <w:color w:val="000000"/>
                <w:kern w:val="0"/>
                <w:sz w:val="18"/>
                <w:szCs w:val="18"/>
                <w:lang w:val="en-US" w:eastAsia="zh-CN" w:bidi="ar-SA"/>
              </w:rPr>
              <w:t>Cu9Ni6Sn</w:t>
            </w:r>
          </w:p>
        </w:tc>
        <w:tc>
          <w:tcPr>
            <w:tcW w:w="615" w:type="pct"/>
            <w:tcBorders>
              <w:top w:val="single" w:color="auto" w:sz="12" w:space="0"/>
              <w:bottom w:val="single" w:color="auto" w:sz="12" w:space="0"/>
            </w:tcBorders>
            <w:vAlign w:val="center"/>
          </w:tcPr>
          <w:p w14:paraId="53C8761D">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kern w:val="0"/>
                <w:sz w:val="18"/>
                <w:szCs w:val="18"/>
                <w:lang w:val="en-US" w:eastAsia="zh-CN" w:bidi="ar-SA"/>
              </w:rPr>
            </w:pPr>
            <w:r>
              <w:rPr>
                <w:rFonts w:hint="default" w:ascii="Times New Roman" w:hAnsi="Times New Roman" w:eastAsia="宋体" w:cs="Times New Roman"/>
                <w:snapToGrid w:val="0"/>
                <w:color w:val="000000"/>
                <w:kern w:val="0"/>
                <w:sz w:val="18"/>
                <w:szCs w:val="18"/>
                <w:lang w:val="en-US" w:eastAsia="zh-CN" w:bidi="ar-SA"/>
              </w:rPr>
              <w:t>余量</w:t>
            </w:r>
          </w:p>
        </w:tc>
        <w:tc>
          <w:tcPr>
            <w:tcW w:w="615" w:type="pct"/>
            <w:tcBorders>
              <w:top w:val="single" w:color="auto" w:sz="12" w:space="0"/>
              <w:bottom w:val="single" w:color="auto" w:sz="12" w:space="0"/>
            </w:tcBorders>
            <w:vAlign w:val="center"/>
          </w:tcPr>
          <w:p w14:paraId="55BDBA7E">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kern w:val="0"/>
                <w:sz w:val="18"/>
                <w:szCs w:val="18"/>
                <w:lang w:val="en-US" w:eastAsia="zh-CN" w:bidi="ar-SA"/>
              </w:rPr>
            </w:pPr>
            <w:r>
              <w:rPr>
                <w:rFonts w:hint="eastAsia" w:ascii="Times New Roman" w:hAnsi="Times New Roman" w:eastAsia="宋体" w:cs="Times New Roman"/>
                <w:snapToGrid w:val="0"/>
                <w:color w:val="000000"/>
                <w:kern w:val="0"/>
                <w:sz w:val="18"/>
                <w:szCs w:val="18"/>
                <w:lang w:val="en-US" w:eastAsia="zh-CN" w:bidi="ar-SA"/>
              </w:rPr>
              <w:t>8.5</w:t>
            </w:r>
            <w:r>
              <w:rPr>
                <w:rFonts w:hint="default" w:ascii="Times New Roman" w:hAnsi="Times New Roman" w:eastAsia="宋体" w:cs="Times New Roman"/>
                <w:snapToGrid w:val="0"/>
                <w:color w:val="000000"/>
                <w:kern w:val="0"/>
                <w:sz w:val="18"/>
                <w:szCs w:val="18"/>
                <w:lang w:val="en-US" w:eastAsia="zh-CN" w:bidi="ar-SA"/>
              </w:rPr>
              <w:t>～</w:t>
            </w:r>
            <w:r>
              <w:rPr>
                <w:rFonts w:hint="eastAsia" w:ascii="Times New Roman" w:hAnsi="Times New Roman" w:eastAsia="宋体" w:cs="Times New Roman"/>
                <w:snapToGrid w:val="0"/>
                <w:color w:val="000000"/>
                <w:kern w:val="0"/>
                <w:sz w:val="18"/>
                <w:szCs w:val="18"/>
                <w:lang w:val="en-US" w:eastAsia="zh-CN" w:bidi="ar-SA"/>
              </w:rPr>
              <w:t>9.5</w:t>
            </w:r>
          </w:p>
        </w:tc>
        <w:tc>
          <w:tcPr>
            <w:tcW w:w="615" w:type="pct"/>
            <w:tcBorders>
              <w:top w:val="single" w:color="auto" w:sz="12" w:space="0"/>
              <w:bottom w:val="single" w:color="auto" w:sz="12" w:space="0"/>
            </w:tcBorders>
            <w:vAlign w:val="center"/>
          </w:tcPr>
          <w:p w14:paraId="104B98E2">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kern w:val="0"/>
                <w:sz w:val="18"/>
                <w:szCs w:val="18"/>
                <w:lang w:val="en-US" w:eastAsia="zh-CN" w:bidi="ar-SA"/>
              </w:rPr>
            </w:pPr>
            <w:r>
              <w:rPr>
                <w:rFonts w:hint="eastAsia" w:ascii="Times New Roman" w:hAnsi="Times New Roman" w:eastAsia="宋体" w:cs="Times New Roman"/>
                <w:snapToGrid w:val="0"/>
                <w:color w:val="000000"/>
                <w:kern w:val="0"/>
                <w:sz w:val="18"/>
                <w:szCs w:val="18"/>
                <w:lang w:val="en-US" w:eastAsia="zh-CN" w:bidi="ar-SA"/>
              </w:rPr>
              <w:t>5.5</w:t>
            </w:r>
            <w:r>
              <w:rPr>
                <w:rFonts w:hint="default" w:ascii="Times New Roman" w:hAnsi="Times New Roman" w:eastAsia="宋体" w:cs="Times New Roman"/>
                <w:snapToGrid w:val="0"/>
                <w:color w:val="000000"/>
                <w:kern w:val="0"/>
                <w:sz w:val="18"/>
                <w:szCs w:val="18"/>
                <w:lang w:val="en-US" w:eastAsia="zh-CN" w:bidi="ar-SA"/>
              </w:rPr>
              <w:t>～</w:t>
            </w:r>
            <w:r>
              <w:rPr>
                <w:rFonts w:hint="eastAsia" w:ascii="Times New Roman" w:hAnsi="Times New Roman" w:eastAsia="宋体" w:cs="Times New Roman"/>
                <w:snapToGrid w:val="0"/>
                <w:color w:val="000000"/>
                <w:kern w:val="0"/>
                <w:sz w:val="18"/>
                <w:szCs w:val="18"/>
                <w:lang w:val="en-US" w:eastAsia="zh-CN" w:bidi="ar-SA"/>
              </w:rPr>
              <w:t>6.5</w:t>
            </w:r>
          </w:p>
        </w:tc>
        <w:tc>
          <w:tcPr>
            <w:tcW w:w="615" w:type="pct"/>
            <w:tcBorders>
              <w:top w:val="single" w:color="auto" w:sz="12" w:space="0"/>
              <w:bottom w:val="single" w:color="auto" w:sz="12" w:space="0"/>
            </w:tcBorders>
            <w:vAlign w:val="center"/>
          </w:tcPr>
          <w:p w14:paraId="60DA5B3A">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kern w:val="0"/>
                <w:sz w:val="18"/>
                <w:szCs w:val="18"/>
                <w:lang w:val="en-US" w:eastAsia="zh-CN" w:bidi="ar-SA"/>
              </w:rPr>
            </w:pPr>
            <w:r>
              <w:rPr>
                <w:rFonts w:hint="eastAsia" w:ascii="Times New Roman" w:hAnsi="Times New Roman" w:eastAsia="宋体" w:cs="Times New Roman"/>
                <w:snapToGrid w:val="0"/>
                <w:color w:val="000000"/>
                <w:kern w:val="0"/>
                <w:sz w:val="18"/>
                <w:szCs w:val="18"/>
                <w:lang w:val="en-US" w:eastAsia="zh-CN" w:bidi="ar-SA"/>
              </w:rPr>
              <w:t>0.05</w:t>
            </w:r>
            <w:r>
              <w:rPr>
                <w:rFonts w:hint="default" w:ascii="Times New Roman" w:hAnsi="Times New Roman" w:eastAsia="宋体" w:cs="Times New Roman"/>
                <w:snapToGrid w:val="0"/>
                <w:color w:val="000000"/>
                <w:kern w:val="0"/>
                <w:sz w:val="18"/>
                <w:szCs w:val="18"/>
                <w:lang w:val="en-US" w:eastAsia="zh-CN" w:bidi="ar-SA"/>
              </w:rPr>
              <w:t>～</w:t>
            </w:r>
            <w:r>
              <w:rPr>
                <w:rFonts w:hint="eastAsia" w:ascii="Times New Roman" w:hAnsi="Times New Roman" w:eastAsia="宋体" w:cs="Times New Roman"/>
                <w:snapToGrid w:val="0"/>
                <w:color w:val="000000"/>
                <w:kern w:val="0"/>
                <w:sz w:val="18"/>
                <w:szCs w:val="18"/>
                <w:lang w:val="en-US" w:eastAsia="zh-CN" w:bidi="ar-SA"/>
              </w:rPr>
              <w:t>0.30</w:t>
            </w:r>
          </w:p>
        </w:tc>
        <w:tc>
          <w:tcPr>
            <w:tcW w:w="615" w:type="pct"/>
            <w:tcBorders>
              <w:top w:val="single" w:color="auto" w:sz="12" w:space="0"/>
              <w:bottom w:val="single" w:color="auto" w:sz="12" w:space="0"/>
            </w:tcBorders>
            <w:vAlign w:val="center"/>
          </w:tcPr>
          <w:p w14:paraId="12B8F2DE">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kern w:val="0"/>
                <w:sz w:val="18"/>
                <w:szCs w:val="18"/>
                <w:lang w:val="en-US" w:eastAsia="zh-CN" w:bidi="ar-SA"/>
              </w:rPr>
            </w:pPr>
            <w:r>
              <w:rPr>
                <w:rFonts w:hint="eastAsia" w:ascii="Times New Roman" w:hAnsi="Times New Roman" w:eastAsia="宋体" w:cs="Times New Roman"/>
                <w:snapToGrid w:val="0"/>
                <w:color w:val="000000"/>
                <w:kern w:val="0"/>
                <w:sz w:val="18"/>
                <w:szCs w:val="18"/>
                <w:lang w:val="en-US" w:eastAsia="zh-CN" w:bidi="ar-SA"/>
              </w:rPr>
              <w:t>≤0.02</w:t>
            </w:r>
          </w:p>
        </w:tc>
        <w:tc>
          <w:tcPr>
            <w:tcW w:w="615" w:type="pct"/>
            <w:tcBorders>
              <w:top w:val="single" w:color="auto" w:sz="12" w:space="0"/>
              <w:bottom w:val="single" w:color="auto" w:sz="12" w:space="0"/>
            </w:tcBorders>
            <w:vAlign w:val="center"/>
          </w:tcPr>
          <w:p w14:paraId="19860619">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kern w:val="0"/>
                <w:sz w:val="18"/>
                <w:szCs w:val="18"/>
                <w:lang w:val="en-US" w:eastAsia="zh-CN" w:bidi="ar-SA"/>
              </w:rPr>
            </w:pPr>
            <w:r>
              <w:rPr>
                <w:rFonts w:hint="eastAsia" w:ascii="Times New Roman" w:hAnsi="Times New Roman" w:eastAsia="宋体" w:cs="Times New Roman"/>
                <w:snapToGrid w:val="0"/>
                <w:color w:val="000000"/>
                <w:kern w:val="0"/>
                <w:sz w:val="18"/>
                <w:szCs w:val="18"/>
                <w:lang w:val="en-US" w:eastAsia="zh-CN" w:bidi="ar-SA"/>
              </w:rPr>
              <w:t>≤0.50</w:t>
            </w:r>
          </w:p>
        </w:tc>
        <w:tc>
          <w:tcPr>
            <w:tcW w:w="615" w:type="pct"/>
            <w:tcBorders>
              <w:top w:val="single" w:color="auto" w:sz="12" w:space="0"/>
              <w:bottom w:val="single" w:color="auto" w:sz="12" w:space="0"/>
            </w:tcBorders>
            <w:vAlign w:val="center"/>
          </w:tcPr>
          <w:p w14:paraId="668128BE">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kern w:val="0"/>
                <w:sz w:val="18"/>
                <w:szCs w:val="18"/>
                <w:lang w:val="en-US" w:eastAsia="zh-CN" w:bidi="ar-SA"/>
              </w:rPr>
            </w:pPr>
            <w:r>
              <w:rPr>
                <w:rFonts w:hint="eastAsia" w:ascii="Times New Roman" w:hAnsi="Times New Roman" w:eastAsia="宋体" w:cs="Times New Roman"/>
                <w:snapToGrid w:val="0"/>
                <w:color w:val="000000"/>
                <w:kern w:val="0"/>
                <w:sz w:val="18"/>
                <w:szCs w:val="18"/>
                <w:lang w:val="en-US" w:eastAsia="zh-CN" w:bidi="ar-SA"/>
              </w:rPr>
              <w:t>≤0.50</w:t>
            </w:r>
          </w:p>
        </w:tc>
      </w:tr>
      <w:tr w14:paraId="6DD48C4E">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000" w:type="pct"/>
            <w:gridSpan w:val="8"/>
            <w:tcBorders>
              <w:top w:val="single" w:color="auto" w:sz="12" w:space="0"/>
            </w:tcBorders>
            <w:vAlign w:val="center"/>
          </w:tcPr>
          <w:p w14:paraId="55842BC0">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firstLine="360" w:firstLineChars="200"/>
              <w:jc w:val="both"/>
              <w:textAlignment w:val="baseline"/>
              <w:rPr>
                <w:rFonts w:hint="default" w:ascii="Times New Roman" w:hAnsi="Times New Roman" w:eastAsia="宋体" w:cs="Times New Roman"/>
                <w:snapToGrid w:val="0"/>
                <w:color w:val="000000"/>
                <w:kern w:val="0"/>
                <w:sz w:val="18"/>
                <w:szCs w:val="18"/>
                <w:lang w:val="en-US" w:eastAsia="zh-CN" w:bidi="ar-SA"/>
              </w:rPr>
            </w:pPr>
            <w:r>
              <w:rPr>
                <w:rFonts w:hint="eastAsia" w:ascii="Times New Roman" w:hAnsi="Times New Roman" w:eastAsia="宋体" w:cs="Times New Roman"/>
                <w:snapToGrid w:val="0"/>
                <w:color w:val="000000"/>
                <w:kern w:val="0"/>
                <w:sz w:val="18"/>
                <w:szCs w:val="18"/>
                <w:vertAlign w:val="superscript"/>
                <w:lang w:val="en-US" w:eastAsia="zh-CN" w:bidi="ar-SA"/>
              </w:rPr>
              <w:t>a</w:t>
            </w:r>
            <w:r>
              <w:rPr>
                <w:rFonts w:hint="default" w:ascii="Times New Roman" w:hAnsi="Times New Roman" w:eastAsia="宋体" w:cs="Times New Roman"/>
                <w:snapToGrid w:val="0"/>
                <w:color w:val="000000"/>
                <w:kern w:val="0"/>
                <w:sz w:val="18"/>
                <w:szCs w:val="18"/>
                <w:lang w:val="en-US" w:eastAsia="zh-CN" w:bidi="ar-SA"/>
              </w:rPr>
              <w:t>Cu+所列元素</w:t>
            </w:r>
            <w:r>
              <w:rPr>
                <w:rFonts w:hint="eastAsia" w:ascii="Times New Roman" w:hAnsi="Times New Roman" w:eastAsia="宋体" w:cs="Times New Roman"/>
                <w:snapToGrid w:val="0"/>
                <w:color w:val="000000"/>
                <w:kern w:val="0"/>
                <w:sz w:val="18"/>
                <w:szCs w:val="18"/>
                <w:lang w:val="en-US" w:eastAsia="zh-CN" w:bidi="ar-SA"/>
              </w:rPr>
              <w:t>≥</w:t>
            </w:r>
            <w:r>
              <w:rPr>
                <w:rFonts w:hint="default" w:ascii="Times New Roman" w:hAnsi="Times New Roman" w:eastAsia="宋体" w:cs="Times New Roman"/>
                <w:snapToGrid w:val="0"/>
                <w:color w:val="000000"/>
                <w:kern w:val="0"/>
                <w:sz w:val="18"/>
                <w:szCs w:val="18"/>
                <w:lang w:val="en-US" w:eastAsia="zh-CN" w:bidi="ar-SA"/>
              </w:rPr>
              <w:t>99.5%。</w:t>
            </w:r>
          </w:p>
        </w:tc>
      </w:tr>
    </w:tbl>
    <w:p w14:paraId="3DB33162">
      <w:pPr>
        <w:pStyle w:val="7"/>
        <w:keepNext/>
        <w:keepLines/>
        <w:pageBreakBefore w:val="0"/>
        <w:widowControl w:val="0"/>
        <w:kinsoku/>
        <w:wordWrap/>
        <w:overflowPunct/>
        <w:topLinePunct w:val="0"/>
        <w:autoSpaceDE/>
        <w:autoSpaceDN/>
        <w:bidi w:val="0"/>
        <w:adjustRightInd/>
        <w:snapToGrid/>
        <w:spacing w:before="0" w:beforeLines="0" w:after="0"/>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3.</w:t>
      </w:r>
      <w:r>
        <w:rPr>
          <w:rFonts w:hint="eastAsia" w:ascii="Times New Roman" w:hAnsi="Times New Roman" w:cs="Times New Roman"/>
          <w:b w:val="0"/>
          <w:bCs/>
          <w:color w:val="000000" w:themeColor="text1"/>
          <w:highlight w:val="none"/>
          <w:lang w:val="en-US" w:eastAsia="zh-CN"/>
          <w14:textFill>
            <w14:solidFill>
              <w14:schemeClr w14:val="tx1"/>
            </w14:solidFill>
          </w14:textFill>
        </w:rPr>
        <w:t>2</w:t>
      </w:r>
      <w:r>
        <w:rPr>
          <w:rFonts w:hint="default" w:ascii="Times New Roman" w:hAnsi="Times New Roman" w:eastAsia="宋体" w:cs="Times New Roman"/>
          <w:b w:val="0"/>
          <w:bCs/>
          <w:color w:val="000000" w:themeColor="text1"/>
          <w:highlight w:val="none"/>
          <w14:textFill>
            <w14:solidFill>
              <w14:schemeClr w14:val="tx1"/>
            </w14:solidFill>
          </w14:textFill>
        </w:rPr>
        <w:t>力学性能</w:t>
      </w:r>
    </w:p>
    <w:p w14:paraId="4329D071">
      <w:pPr>
        <w:pStyle w:val="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力学性能可以通过拉</w:t>
      </w:r>
      <w:r>
        <w:rPr>
          <w:rFonts w:hint="default" w:asciiTheme="minorHAnsi" w:hAnsiTheme="minorHAnsi" w:eastAsiaTheme="minorEastAsia" w:cstheme="minorBidi"/>
          <w:kern w:val="2"/>
          <w:sz w:val="21"/>
          <w:szCs w:val="21"/>
          <w:lang w:val="en-US" w:eastAsia="zh-CN" w:bidi="ar-SA"/>
        </w:rPr>
        <w:t>伸试验进行测试，测得抗拉强度、断后伸长率以及维氏硬度。实测Cu9Ni</w:t>
      </w:r>
      <w:r>
        <w:rPr>
          <w:rFonts w:hint="eastAsia" w:asciiTheme="minorHAnsi" w:hAnsiTheme="minorHAnsi" w:eastAsiaTheme="minorEastAsia" w:cstheme="minorBidi"/>
          <w:kern w:val="2"/>
          <w:sz w:val="21"/>
          <w:szCs w:val="21"/>
          <w:lang w:val="en-US" w:eastAsia="zh-CN" w:bidi="ar-SA"/>
        </w:rPr>
        <w:t>2</w:t>
      </w:r>
      <w:r>
        <w:rPr>
          <w:rFonts w:hint="default" w:asciiTheme="minorHAnsi" w:hAnsiTheme="minorHAnsi" w:eastAsiaTheme="minorEastAsia" w:cstheme="minorBidi"/>
          <w:kern w:val="2"/>
          <w:sz w:val="21"/>
          <w:szCs w:val="21"/>
          <w:lang w:val="en-US" w:eastAsia="zh-CN" w:bidi="ar-SA"/>
        </w:rPr>
        <w:t>Sn合金力学性能的数据统计结果见表</w:t>
      </w:r>
      <w:r>
        <w:rPr>
          <w:rFonts w:hint="eastAsia" w:asciiTheme="minorHAnsi" w:hAnsiTheme="minorHAnsi" w:eastAsiaTheme="minorEastAsia" w:cstheme="minorBidi"/>
          <w:kern w:val="2"/>
          <w:sz w:val="21"/>
          <w:szCs w:val="21"/>
          <w:lang w:val="en-US" w:eastAsia="zh-CN" w:bidi="ar-SA"/>
        </w:rPr>
        <w:t>3</w:t>
      </w:r>
      <w:r>
        <w:rPr>
          <w:rFonts w:hint="default" w:asciiTheme="minorHAnsi" w:hAnsiTheme="minorHAnsi" w:eastAsiaTheme="minorEastAsia" w:cstheme="minorBidi"/>
          <w:kern w:val="2"/>
          <w:sz w:val="21"/>
          <w:szCs w:val="21"/>
          <w:lang w:val="en-US" w:eastAsia="zh-CN" w:bidi="ar-SA"/>
        </w:rPr>
        <w:t>，分布直方图见图1-图</w:t>
      </w:r>
      <w:r>
        <w:rPr>
          <w:rFonts w:hint="eastAsia" w:asciiTheme="minorHAnsi" w:hAnsiTheme="minorHAnsi" w:eastAsiaTheme="minorEastAsia" w:cstheme="minorBidi"/>
          <w:kern w:val="2"/>
          <w:sz w:val="21"/>
          <w:szCs w:val="21"/>
          <w:lang w:val="en-US" w:eastAsia="zh-CN" w:bidi="ar-SA"/>
        </w:rPr>
        <w:t>3</w:t>
      </w:r>
      <w:r>
        <w:rPr>
          <w:rFonts w:hint="default" w:asciiTheme="minorHAnsi" w:hAnsiTheme="minorHAnsi" w:eastAsiaTheme="minorEastAsia" w:cstheme="minorBidi"/>
          <w:kern w:val="2"/>
          <w:sz w:val="21"/>
          <w:szCs w:val="21"/>
          <w:lang w:val="en-US" w:eastAsia="zh-CN" w:bidi="ar-SA"/>
        </w:rPr>
        <w:t>。</w:t>
      </w:r>
    </w:p>
    <w:p w14:paraId="48DB15CC">
      <w:pPr>
        <w:pStyle w:val="9"/>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表</w:t>
      </w:r>
      <w:r>
        <w:rPr>
          <w:rFonts w:hint="eastAsia" w:ascii="Times New Roman" w:hAnsi="Times New Roman" w:cs="Times New Roman"/>
          <w:b w:val="0"/>
          <w:bCs/>
          <w:color w:val="000000" w:themeColor="text1"/>
          <w:highlight w:val="none"/>
          <w:lang w:val="en-US" w:eastAsia="zh-CN"/>
          <w14:textFill>
            <w14:solidFill>
              <w14:schemeClr w14:val="tx1"/>
            </w14:solidFill>
          </w14:textFill>
        </w:rPr>
        <w:t>3</w:t>
      </w:r>
      <w:r>
        <w:rPr>
          <w:rFonts w:hint="default" w:ascii="Times New Roman" w:hAnsi="Times New Roman" w:eastAsia="宋体" w:cs="Times New Roman"/>
          <w:b w:val="0"/>
          <w:bCs/>
          <w:color w:val="000000" w:themeColor="text1"/>
          <w:highlight w:val="none"/>
          <w14:textFill>
            <w14:solidFill>
              <w14:schemeClr w14:val="tx1"/>
            </w14:solidFill>
          </w14:textFill>
        </w:rPr>
        <w:t xml:space="preserve"> </w:t>
      </w:r>
      <w:r>
        <w:rPr>
          <w:rFonts w:hint="default" w:ascii="Times New Roman" w:hAnsi="Times New Roman" w:eastAsia="宋体" w:cs="Times New Roman"/>
          <w:sz w:val="21"/>
          <w:szCs w:val="21"/>
          <w:highlight w:val="none"/>
          <w:lang w:val="en-US" w:eastAsia="zh-CN"/>
        </w:rPr>
        <w:t>Cu9Ni</w:t>
      </w:r>
      <w:r>
        <w:rPr>
          <w:rFonts w:hint="eastAsia" w:ascii="Times New Roman" w:hAnsi="Times New Roman" w:eastAsia="宋体" w:cs="Times New Roman"/>
          <w:sz w:val="21"/>
          <w:szCs w:val="21"/>
          <w:highlight w:val="none"/>
          <w:lang w:val="en-US" w:eastAsia="zh-CN"/>
        </w:rPr>
        <w:t>2</w:t>
      </w:r>
      <w:r>
        <w:rPr>
          <w:rFonts w:hint="default" w:ascii="Times New Roman" w:hAnsi="Times New Roman" w:eastAsia="宋体" w:cs="Times New Roman"/>
          <w:sz w:val="21"/>
          <w:szCs w:val="21"/>
          <w:highlight w:val="none"/>
          <w:lang w:val="en-US" w:eastAsia="zh-CN"/>
        </w:rPr>
        <w:t>Sn</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产</w:t>
      </w:r>
      <w:r>
        <w:rPr>
          <w:rFonts w:hint="default" w:ascii="Times New Roman" w:hAnsi="Times New Roman" w:eastAsia="宋体" w:cs="Times New Roman"/>
          <w:b w:val="0"/>
          <w:bCs/>
          <w:color w:val="000000" w:themeColor="text1"/>
          <w:highlight w:val="none"/>
          <w14:textFill>
            <w14:solidFill>
              <w14:schemeClr w14:val="tx1"/>
            </w14:solidFill>
          </w14:textFill>
        </w:rPr>
        <w:t>品不同状态力学性能检测数据统计表</w:t>
      </w:r>
    </w:p>
    <w:tbl>
      <w:tblPr>
        <w:tblStyle w:val="20"/>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1092"/>
        <w:gridCol w:w="636"/>
        <w:gridCol w:w="986"/>
        <w:gridCol w:w="1159"/>
        <w:gridCol w:w="636"/>
        <w:gridCol w:w="1280"/>
        <w:gridCol w:w="966"/>
        <w:gridCol w:w="901"/>
        <w:gridCol w:w="919"/>
      </w:tblGrid>
      <w:tr w14:paraId="61414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80" w:type="pct"/>
            <w:vMerge w:val="restart"/>
            <w:noWrap/>
            <w:vAlign w:val="center"/>
          </w:tcPr>
          <w:p w14:paraId="09D23B41">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状态</w:t>
            </w:r>
          </w:p>
        </w:tc>
        <w:tc>
          <w:tcPr>
            <w:tcW w:w="1467" w:type="pct"/>
            <w:gridSpan w:val="3"/>
            <w:noWrap/>
            <w:vAlign w:val="center"/>
          </w:tcPr>
          <w:p w14:paraId="0A0ABE48">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抗拉强度</w:t>
            </w:r>
          </w:p>
        </w:tc>
        <w:tc>
          <w:tcPr>
            <w:tcW w:w="1667" w:type="pct"/>
            <w:gridSpan w:val="3"/>
            <w:noWrap/>
            <w:vAlign w:val="center"/>
          </w:tcPr>
          <w:p w14:paraId="00CBF0A2">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维氏硬度</w:t>
            </w:r>
          </w:p>
        </w:tc>
        <w:tc>
          <w:tcPr>
            <w:tcW w:w="1484" w:type="pct"/>
            <w:gridSpan w:val="3"/>
            <w:noWrap/>
            <w:vAlign w:val="center"/>
          </w:tcPr>
          <w:p w14:paraId="43D9DD72">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断后伸长率A</w:t>
            </w:r>
            <w:r>
              <w:rPr>
                <w:rFonts w:hint="default" w:ascii="Times New Roman" w:hAnsi="Times New Roman" w:eastAsia="宋体" w:cs="Times New Roman"/>
                <w:b w:val="0"/>
                <w:bCs/>
                <w:color w:val="000000" w:themeColor="text1"/>
                <w:highlight w:val="none"/>
                <w:vertAlign w:val="subscript"/>
                <w14:textFill>
                  <w14:solidFill>
                    <w14:schemeClr w14:val="tx1"/>
                  </w14:solidFill>
                </w14:textFill>
              </w:rPr>
              <w:t>11.3</w:t>
            </w:r>
          </w:p>
        </w:tc>
      </w:tr>
      <w:tr w14:paraId="762D7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80" w:type="pct"/>
            <w:vMerge w:val="continue"/>
            <w:noWrap/>
            <w:vAlign w:val="center"/>
          </w:tcPr>
          <w:p w14:paraId="760B1F13">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p>
        </w:tc>
        <w:tc>
          <w:tcPr>
            <w:tcW w:w="588" w:type="pct"/>
            <w:noWrap/>
            <w:vAlign w:val="center"/>
          </w:tcPr>
          <w:p w14:paraId="044B63CB">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范围/MPa</w:t>
            </w:r>
          </w:p>
        </w:tc>
        <w:tc>
          <w:tcPr>
            <w:tcW w:w="342" w:type="pct"/>
            <w:noWrap/>
            <w:vAlign w:val="center"/>
          </w:tcPr>
          <w:p w14:paraId="14D78E2D">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数量</w:t>
            </w:r>
          </w:p>
        </w:tc>
        <w:tc>
          <w:tcPr>
            <w:tcW w:w="536" w:type="pct"/>
            <w:noWrap/>
            <w:vAlign w:val="center"/>
          </w:tcPr>
          <w:p w14:paraId="552C00BD">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平均值</w:t>
            </w:r>
          </w:p>
        </w:tc>
        <w:tc>
          <w:tcPr>
            <w:tcW w:w="630" w:type="pct"/>
            <w:noWrap/>
            <w:vAlign w:val="center"/>
          </w:tcPr>
          <w:p w14:paraId="5BB31C8A">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范围/HV</w:t>
            </w:r>
          </w:p>
        </w:tc>
        <w:tc>
          <w:tcPr>
            <w:tcW w:w="342" w:type="pct"/>
            <w:noWrap/>
            <w:vAlign w:val="center"/>
          </w:tcPr>
          <w:p w14:paraId="7604AE05">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数量</w:t>
            </w:r>
          </w:p>
        </w:tc>
        <w:tc>
          <w:tcPr>
            <w:tcW w:w="693" w:type="pct"/>
            <w:noWrap/>
            <w:vAlign w:val="center"/>
          </w:tcPr>
          <w:p w14:paraId="46225BFD">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平均值</w:t>
            </w:r>
          </w:p>
        </w:tc>
        <w:tc>
          <w:tcPr>
            <w:tcW w:w="492" w:type="pct"/>
            <w:noWrap/>
            <w:vAlign w:val="center"/>
          </w:tcPr>
          <w:p w14:paraId="3D1F9F81">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范围/%</w:t>
            </w:r>
          </w:p>
        </w:tc>
        <w:tc>
          <w:tcPr>
            <w:tcW w:w="491" w:type="pct"/>
            <w:shd w:val="clear" w:color="auto" w:fill="auto"/>
            <w:noWrap/>
            <w:vAlign w:val="center"/>
          </w:tcPr>
          <w:p w14:paraId="12F24151">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数量</w:t>
            </w:r>
          </w:p>
        </w:tc>
        <w:tc>
          <w:tcPr>
            <w:tcW w:w="500" w:type="pct"/>
            <w:noWrap/>
            <w:vAlign w:val="center"/>
          </w:tcPr>
          <w:p w14:paraId="63A7CA6D">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平均值</w:t>
            </w:r>
          </w:p>
        </w:tc>
      </w:tr>
      <w:tr w14:paraId="1BE8A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6" w:type="dxa"/>
            <w:noWrap/>
            <w:vAlign w:val="center"/>
          </w:tcPr>
          <w:p w14:paraId="4A183D5E">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cs="Times New Roman"/>
                <w:b w:val="0"/>
                <w:bCs/>
                <w:color w:val="000000" w:themeColor="text1"/>
                <w:highlight w:val="none"/>
                <w:lang w:val="en-US" w:eastAsia="zh-CN"/>
                <w14:textFill>
                  <w14:solidFill>
                    <w14:schemeClr w14:val="tx1"/>
                  </w14:solidFill>
                </w14:textFill>
              </w:rPr>
            </w:pPr>
            <w:r>
              <w:rPr>
                <w:rFonts w:hint="eastAsia" w:cs="Times New Roman"/>
                <w:b w:val="0"/>
                <w:bCs/>
                <w:color w:val="000000" w:themeColor="text1"/>
                <w:highlight w:val="none"/>
                <w:lang w:val="en-US" w:eastAsia="zh-CN"/>
                <w14:textFill>
                  <w14:solidFill>
                    <w14:schemeClr w14:val="tx1"/>
                  </w14:solidFill>
                </w14:textFill>
              </w:rPr>
              <w:t>H01</w:t>
            </w:r>
          </w:p>
        </w:tc>
        <w:tc>
          <w:tcPr>
            <w:tcW w:w="1092" w:type="dxa"/>
            <w:noWrap/>
            <w:vAlign w:val="center"/>
          </w:tcPr>
          <w:p w14:paraId="53AF5837">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cs="Times New Roman"/>
                <w:b w:val="0"/>
                <w:bCs/>
                <w:color w:val="000000" w:themeColor="text1"/>
                <w:highlight w:val="none"/>
                <w:lang w:val="en-US" w:eastAsia="zh-CN"/>
                <w14:textFill>
                  <w14:solidFill>
                    <w14:schemeClr w14:val="tx1"/>
                  </w14:solidFill>
                </w14:textFill>
              </w:rPr>
            </w:pPr>
            <w:r>
              <w:rPr>
                <w:rFonts w:hint="eastAsia" w:cs="Times New Roman"/>
                <w:b w:val="0"/>
                <w:bCs/>
                <w:color w:val="000000" w:themeColor="text1"/>
                <w:highlight w:val="none"/>
                <w:lang w:val="en-US" w:eastAsia="zh-CN"/>
                <w14:textFill>
                  <w14:solidFill>
                    <w14:schemeClr w14:val="tx1"/>
                  </w14:solidFill>
                </w14:textFill>
              </w:rPr>
              <w:t>380</w:t>
            </w:r>
            <w:r>
              <w:rPr>
                <w:rFonts w:hint="default" w:cs="Times New Roman"/>
                <w:b w:val="0"/>
                <w:bCs/>
                <w:color w:val="000000" w:themeColor="text1"/>
                <w:highlight w:val="none"/>
                <w:lang w:val="en-US" w:eastAsia="zh-CN"/>
                <w14:textFill>
                  <w14:solidFill>
                    <w14:schemeClr w14:val="tx1"/>
                  </w14:solidFill>
                </w14:textFill>
              </w:rPr>
              <w:t>～</w:t>
            </w:r>
            <w:r>
              <w:rPr>
                <w:rFonts w:hint="eastAsia" w:cs="Times New Roman"/>
                <w:b w:val="0"/>
                <w:bCs/>
                <w:color w:val="000000" w:themeColor="text1"/>
                <w:highlight w:val="none"/>
                <w:lang w:val="en-US" w:eastAsia="zh-CN"/>
                <w14:textFill>
                  <w14:solidFill>
                    <w14:schemeClr w14:val="tx1"/>
                  </w14:solidFill>
                </w14:textFill>
              </w:rPr>
              <w:t>515</w:t>
            </w:r>
          </w:p>
        </w:tc>
        <w:tc>
          <w:tcPr>
            <w:tcW w:w="342" w:type="pct"/>
            <w:noWrap/>
            <w:vAlign w:val="center"/>
          </w:tcPr>
          <w:p w14:paraId="4C45EEAF">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cs="Times New Roman"/>
                <w:b w:val="0"/>
                <w:bCs/>
                <w:color w:val="000000" w:themeColor="text1"/>
                <w:highlight w:val="none"/>
                <w:lang w:val="en-US" w:eastAsia="zh-CN"/>
                <w14:textFill>
                  <w14:solidFill>
                    <w14:schemeClr w14:val="tx1"/>
                  </w14:solidFill>
                </w14:textFill>
              </w:rPr>
            </w:pPr>
            <w:r>
              <w:rPr>
                <w:rFonts w:hint="default" w:cs="Times New Roman"/>
                <w:b w:val="0"/>
                <w:bCs/>
                <w:color w:val="000000" w:themeColor="text1"/>
                <w:highlight w:val="none"/>
                <w:lang w:val="en-US" w:eastAsia="zh-CN"/>
                <w14:textFill>
                  <w14:solidFill>
                    <w14:schemeClr w14:val="tx1"/>
                  </w14:solidFill>
                </w14:textFill>
              </w:rPr>
              <w:t>100</w:t>
            </w:r>
          </w:p>
        </w:tc>
        <w:tc>
          <w:tcPr>
            <w:tcW w:w="536" w:type="pct"/>
            <w:noWrap/>
            <w:vAlign w:val="center"/>
          </w:tcPr>
          <w:p w14:paraId="39B58ECA">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cs="Times New Roman"/>
                <w:b w:val="0"/>
                <w:bCs/>
                <w:color w:val="000000" w:themeColor="text1"/>
                <w:highlight w:val="none"/>
                <w:lang w:val="en-US" w:eastAsia="zh-CN"/>
                <w14:textFill>
                  <w14:solidFill>
                    <w14:schemeClr w14:val="tx1"/>
                  </w14:solidFill>
                </w14:textFill>
              </w:rPr>
            </w:pPr>
            <w:r>
              <w:rPr>
                <w:rFonts w:hint="eastAsia" w:cs="Times New Roman"/>
                <w:b w:val="0"/>
                <w:bCs/>
                <w:color w:val="000000" w:themeColor="text1"/>
                <w:highlight w:val="none"/>
                <w:lang w:val="en-US" w:eastAsia="zh-CN"/>
                <w14:textFill>
                  <w14:solidFill>
                    <w14:schemeClr w14:val="tx1"/>
                  </w14:solidFill>
                </w14:textFill>
              </w:rPr>
              <w:t>452</w:t>
            </w:r>
          </w:p>
        </w:tc>
        <w:tc>
          <w:tcPr>
            <w:tcW w:w="1159" w:type="dxa"/>
            <w:noWrap/>
            <w:vAlign w:val="center"/>
          </w:tcPr>
          <w:p w14:paraId="36CD426F">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cs="Times New Roman"/>
                <w:b w:val="0"/>
                <w:bCs/>
                <w:color w:val="000000" w:themeColor="text1"/>
                <w:highlight w:val="none"/>
                <w:lang w:val="en-US" w:eastAsia="zh-CN"/>
                <w14:textFill>
                  <w14:solidFill>
                    <w14:schemeClr w14:val="tx1"/>
                  </w14:solidFill>
                </w14:textFill>
              </w:rPr>
            </w:pPr>
            <w:r>
              <w:rPr>
                <w:rFonts w:hint="eastAsia" w:cs="Times New Roman"/>
                <w:b w:val="0"/>
                <w:bCs/>
                <w:color w:val="000000" w:themeColor="text1"/>
                <w:highlight w:val="none"/>
                <w:lang w:val="en-US" w:eastAsia="zh-CN"/>
                <w14:textFill>
                  <w14:solidFill>
                    <w14:schemeClr w14:val="tx1"/>
                  </w14:solidFill>
                </w14:textFill>
              </w:rPr>
              <w:t>≤94</w:t>
            </w:r>
          </w:p>
        </w:tc>
        <w:tc>
          <w:tcPr>
            <w:tcW w:w="342" w:type="pct"/>
            <w:noWrap/>
            <w:vAlign w:val="center"/>
          </w:tcPr>
          <w:p w14:paraId="440C380B">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cs="Times New Roman"/>
                <w:b w:val="0"/>
                <w:bCs/>
                <w:color w:val="000000" w:themeColor="text1"/>
                <w:highlight w:val="none"/>
                <w:lang w:val="en-US" w:eastAsia="zh-CN"/>
                <w14:textFill>
                  <w14:solidFill>
                    <w14:schemeClr w14:val="tx1"/>
                  </w14:solidFill>
                </w14:textFill>
              </w:rPr>
            </w:pPr>
            <w:r>
              <w:rPr>
                <w:rFonts w:hint="default" w:cs="Times New Roman"/>
                <w:b w:val="0"/>
                <w:bCs/>
                <w:color w:val="000000" w:themeColor="text1"/>
                <w:highlight w:val="none"/>
                <w:lang w:val="en-US" w:eastAsia="zh-CN"/>
                <w14:textFill>
                  <w14:solidFill>
                    <w14:schemeClr w14:val="tx1"/>
                  </w14:solidFill>
                </w14:textFill>
              </w:rPr>
              <w:t>100</w:t>
            </w:r>
          </w:p>
        </w:tc>
        <w:tc>
          <w:tcPr>
            <w:tcW w:w="693" w:type="pct"/>
            <w:noWrap/>
            <w:vAlign w:val="center"/>
          </w:tcPr>
          <w:p w14:paraId="58A77500">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cs="Times New Roman"/>
                <w:b w:val="0"/>
                <w:bCs/>
                <w:color w:val="000000" w:themeColor="text1"/>
                <w:highlight w:val="none"/>
                <w:lang w:val="en-US" w:eastAsia="zh-CN"/>
                <w14:textFill>
                  <w14:solidFill>
                    <w14:schemeClr w14:val="tx1"/>
                  </w14:solidFill>
                </w14:textFill>
              </w:rPr>
            </w:pPr>
            <w:r>
              <w:rPr>
                <w:rFonts w:hint="eastAsia" w:cs="Times New Roman"/>
                <w:b w:val="0"/>
                <w:bCs/>
                <w:color w:val="000000" w:themeColor="text1"/>
                <w:highlight w:val="none"/>
                <w:lang w:val="en-US" w:eastAsia="zh-CN"/>
                <w14:textFill>
                  <w14:solidFill>
                    <w14:schemeClr w14:val="tx1"/>
                  </w14:solidFill>
                </w14:textFill>
              </w:rPr>
              <w:t>85</w:t>
            </w:r>
          </w:p>
        </w:tc>
        <w:tc>
          <w:tcPr>
            <w:tcW w:w="966" w:type="dxa"/>
            <w:shd w:val="clear" w:color="auto" w:fill="auto"/>
            <w:noWrap/>
            <w:vAlign w:val="center"/>
          </w:tcPr>
          <w:p w14:paraId="74C58A1D">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cs="Times New Roman"/>
                <w:b w:val="0"/>
                <w:bCs/>
                <w:color w:val="000000" w:themeColor="text1"/>
                <w:highlight w:val="none"/>
                <w:lang w:val="en-US" w:eastAsia="zh-CN"/>
                <w14:textFill>
                  <w14:solidFill>
                    <w14:schemeClr w14:val="tx1"/>
                  </w14:solidFill>
                </w14:textFill>
              </w:rPr>
            </w:pPr>
            <w:r>
              <w:rPr>
                <w:rFonts w:hint="eastAsia" w:cs="Times New Roman"/>
                <w:b w:val="0"/>
                <w:bCs/>
                <w:color w:val="000000" w:themeColor="text1"/>
                <w:highlight w:val="none"/>
                <w:lang w:val="en-US" w:eastAsia="zh-CN"/>
                <w14:textFill>
                  <w14:solidFill>
                    <w14:schemeClr w14:val="tx1"/>
                  </w14:solidFill>
                </w14:textFill>
              </w:rPr>
              <w:t>≥15</w:t>
            </w:r>
          </w:p>
        </w:tc>
        <w:tc>
          <w:tcPr>
            <w:tcW w:w="491" w:type="pct"/>
            <w:shd w:val="clear" w:color="auto" w:fill="auto"/>
            <w:noWrap/>
            <w:vAlign w:val="center"/>
          </w:tcPr>
          <w:p w14:paraId="742F5E10">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cs="Times New Roman"/>
                <w:b w:val="0"/>
                <w:bCs/>
                <w:color w:val="000000" w:themeColor="text1"/>
                <w:highlight w:val="none"/>
                <w:lang w:val="en-US" w:eastAsia="zh-CN"/>
                <w14:textFill>
                  <w14:solidFill>
                    <w14:schemeClr w14:val="tx1"/>
                  </w14:solidFill>
                </w14:textFill>
              </w:rPr>
            </w:pPr>
            <w:r>
              <w:rPr>
                <w:rFonts w:hint="default" w:cs="Times New Roman"/>
                <w:b w:val="0"/>
                <w:bCs/>
                <w:color w:val="000000" w:themeColor="text1"/>
                <w:highlight w:val="none"/>
                <w:lang w:val="en-US" w:eastAsia="zh-CN"/>
                <w14:textFill>
                  <w14:solidFill>
                    <w14:schemeClr w14:val="tx1"/>
                  </w14:solidFill>
                </w14:textFill>
              </w:rPr>
              <w:t>100</w:t>
            </w:r>
          </w:p>
        </w:tc>
        <w:tc>
          <w:tcPr>
            <w:tcW w:w="500" w:type="pct"/>
            <w:noWrap/>
            <w:vAlign w:val="center"/>
          </w:tcPr>
          <w:p w14:paraId="5B89E721">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cs="Times New Roman"/>
                <w:b w:val="0"/>
                <w:bCs/>
                <w:color w:val="000000" w:themeColor="text1"/>
                <w:highlight w:val="none"/>
                <w:lang w:val="en-US" w:eastAsia="zh-CN"/>
                <w14:textFill>
                  <w14:solidFill>
                    <w14:schemeClr w14:val="tx1"/>
                  </w14:solidFill>
                </w14:textFill>
              </w:rPr>
            </w:pPr>
            <w:r>
              <w:rPr>
                <w:rFonts w:hint="eastAsia" w:cs="Times New Roman"/>
                <w:b w:val="0"/>
                <w:bCs/>
                <w:color w:val="000000" w:themeColor="text1"/>
                <w:highlight w:val="none"/>
                <w:lang w:val="en-US" w:eastAsia="zh-CN"/>
                <w14:textFill>
                  <w14:solidFill>
                    <w14:schemeClr w14:val="tx1"/>
                  </w14:solidFill>
                </w14:textFill>
              </w:rPr>
              <w:t>17.4</w:t>
            </w:r>
          </w:p>
        </w:tc>
      </w:tr>
      <w:tr w14:paraId="09E18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6" w:type="dxa"/>
            <w:noWrap/>
            <w:vAlign w:val="center"/>
          </w:tcPr>
          <w:p w14:paraId="21A6FD59">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cs="Times New Roman"/>
                <w:b w:val="0"/>
                <w:bCs/>
                <w:color w:val="000000" w:themeColor="text1"/>
                <w:highlight w:val="none"/>
                <w:lang w:val="en-US" w:eastAsia="zh-CN"/>
                <w14:textFill>
                  <w14:solidFill>
                    <w14:schemeClr w14:val="tx1"/>
                  </w14:solidFill>
                </w14:textFill>
              </w:rPr>
            </w:pPr>
            <w:r>
              <w:rPr>
                <w:rFonts w:hint="eastAsia" w:cs="Times New Roman"/>
                <w:b w:val="0"/>
                <w:bCs/>
                <w:color w:val="000000" w:themeColor="text1"/>
                <w:highlight w:val="none"/>
                <w:lang w:val="en-US" w:eastAsia="zh-CN"/>
                <w14:textFill>
                  <w14:solidFill>
                    <w14:schemeClr w14:val="tx1"/>
                  </w14:solidFill>
                </w14:textFill>
              </w:rPr>
              <w:t>H02</w:t>
            </w:r>
          </w:p>
        </w:tc>
        <w:tc>
          <w:tcPr>
            <w:tcW w:w="1092" w:type="dxa"/>
            <w:noWrap/>
            <w:vAlign w:val="center"/>
          </w:tcPr>
          <w:p w14:paraId="37975614">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cs="Times New Roman"/>
                <w:b w:val="0"/>
                <w:bCs/>
                <w:color w:val="000000" w:themeColor="text1"/>
                <w:highlight w:val="none"/>
                <w:lang w:val="en-US" w:eastAsia="zh-CN"/>
                <w14:textFill>
                  <w14:solidFill>
                    <w14:schemeClr w14:val="tx1"/>
                  </w14:solidFill>
                </w14:textFill>
              </w:rPr>
            </w:pPr>
            <w:r>
              <w:rPr>
                <w:rFonts w:hint="eastAsia" w:cs="Times New Roman"/>
                <w:b w:val="0"/>
                <w:bCs/>
                <w:color w:val="000000" w:themeColor="text1"/>
                <w:highlight w:val="none"/>
                <w:lang w:val="en-US" w:eastAsia="zh-CN"/>
                <w14:textFill>
                  <w14:solidFill>
                    <w14:schemeClr w14:val="tx1"/>
                  </w14:solidFill>
                </w14:textFill>
              </w:rPr>
              <w:t>450</w:t>
            </w:r>
            <w:r>
              <w:rPr>
                <w:rFonts w:hint="default" w:cs="Times New Roman"/>
                <w:b w:val="0"/>
                <w:bCs/>
                <w:color w:val="000000" w:themeColor="text1"/>
                <w:highlight w:val="none"/>
                <w:lang w:val="en-US" w:eastAsia="zh-CN"/>
                <w14:textFill>
                  <w14:solidFill>
                    <w14:schemeClr w14:val="tx1"/>
                  </w14:solidFill>
                </w14:textFill>
              </w:rPr>
              <w:t>～</w:t>
            </w:r>
            <w:r>
              <w:rPr>
                <w:rFonts w:hint="eastAsia" w:cs="Times New Roman"/>
                <w:b w:val="0"/>
                <w:bCs/>
                <w:color w:val="000000" w:themeColor="text1"/>
                <w:highlight w:val="none"/>
                <w:lang w:val="en-US" w:eastAsia="zh-CN"/>
                <w14:textFill>
                  <w14:solidFill>
                    <w14:schemeClr w14:val="tx1"/>
                  </w14:solidFill>
                </w14:textFill>
              </w:rPr>
              <w:t>550</w:t>
            </w:r>
          </w:p>
        </w:tc>
        <w:tc>
          <w:tcPr>
            <w:tcW w:w="342" w:type="pct"/>
            <w:noWrap/>
            <w:vAlign w:val="center"/>
          </w:tcPr>
          <w:p w14:paraId="0851ED8D">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cs="Times New Roman"/>
                <w:b w:val="0"/>
                <w:bCs/>
                <w:color w:val="000000" w:themeColor="text1"/>
                <w:highlight w:val="none"/>
                <w:lang w:val="en-US" w:eastAsia="zh-CN"/>
                <w14:textFill>
                  <w14:solidFill>
                    <w14:schemeClr w14:val="tx1"/>
                  </w14:solidFill>
                </w14:textFill>
              </w:rPr>
            </w:pPr>
            <w:r>
              <w:rPr>
                <w:rFonts w:hint="default" w:cs="Times New Roman"/>
                <w:b w:val="0"/>
                <w:bCs/>
                <w:color w:val="000000" w:themeColor="text1"/>
                <w:highlight w:val="none"/>
                <w:lang w:val="en-US" w:eastAsia="zh-CN"/>
                <w14:textFill>
                  <w14:solidFill>
                    <w14:schemeClr w14:val="tx1"/>
                  </w14:solidFill>
                </w14:textFill>
              </w:rPr>
              <w:t>100</w:t>
            </w:r>
          </w:p>
        </w:tc>
        <w:tc>
          <w:tcPr>
            <w:tcW w:w="536" w:type="pct"/>
            <w:noWrap/>
            <w:vAlign w:val="center"/>
          </w:tcPr>
          <w:p w14:paraId="242648A6">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cs="Times New Roman"/>
                <w:b w:val="0"/>
                <w:bCs/>
                <w:color w:val="000000" w:themeColor="text1"/>
                <w:highlight w:val="none"/>
                <w:lang w:val="en-US" w:eastAsia="zh-CN"/>
                <w14:textFill>
                  <w14:solidFill>
                    <w14:schemeClr w14:val="tx1"/>
                  </w14:solidFill>
                </w14:textFill>
              </w:rPr>
            </w:pPr>
            <w:r>
              <w:rPr>
                <w:rFonts w:hint="eastAsia" w:cs="Times New Roman"/>
                <w:b w:val="0"/>
                <w:bCs/>
                <w:color w:val="000000" w:themeColor="text1"/>
                <w:highlight w:val="none"/>
                <w:lang w:val="en-US" w:eastAsia="zh-CN"/>
                <w14:textFill>
                  <w14:solidFill>
                    <w14:schemeClr w14:val="tx1"/>
                  </w14:solidFill>
                </w14:textFill>
              </w:rPr>
              <w:t>506</w:t>
            </w:r>
          </w:p>
        </w:tc>
        <w:tc>
          <w:tcPr>
            <w:tcW w:w="1159" w:type="dxa"/>
            <w:noWrap/>
            <w:vAlign w:val="center"/>
          </w:tcPr>
          <w:p w14:paraId="31D57335">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cs="Times New Roman"/>
                <w:b w:val="0"/>
                <w:bCs/>
                <w:color w:val="000000" w:themeColor="text1"/>
                <w:highlight w:val="none"/>
                <w:lang w:val="en-US" w:eastAsia="zh-CN"/>
                <w14:textFill>
                  <w14:solidFill>
                    <w14:schemeClr w14:val="tx1"/>
                  </w14:solidFill>
                </w14:textFill>
              </w:rPr>
            </w:pPr>
            <w:r>
              <w:rPr>
                <w:rFonts w:hint="eastAsia" w:cs="Times New Roman"/>
                <w:b w:val="0"/>
                <w:bCs/>
                <w:color w:val="000000" w:themeColor="text1"/>
                <w:highlight w:val="none"/>
                <w:lang w:val="en-US" w:eastAsia="zh-CN"/>
                <w14:textFill>
                  <w14:solidFill>
                    <w14:schemeClr w14:val="tx1"/>
                  </w14:solidFill>
                </w14:textFill>
              </w:rPr>
              <w:t>78</w:t>
            </w:r>
            <w:r>
              <w:rPr>
                <w:rFonts w:hint="default" w:cs="Times New Roman"/>
                <w:b w:val="0"/>
                <w:bCs/>
                <w:color w:val="000000" w:themeColor="text1"/>
                <w:highlight w:val="none"/>
                <w:lang w:val="en-US" w:eastAsia="zh-CN"/>
                <w14:textFill>
                  <w14:solidFill>
                    <w14:schemeClr w14:val="tx1"/>
                  </w14:solidFill>
                </w14:textFill>
              </w:rPr>
              <w:t>～</w:t>
            </w:r>
            <w:r>
              <w:rPr>
                <w:rFonts w:hint="eastAsia" w:cs="Times New Roman"/>
                <w:b w:val="0"/>
                <w:bCs/>
                <w:color w:val="000000" w:themeColor="text1"/>
                <w:highlight w:val="none"/>
                <w:lang w:val="en-US" w:eastAsia="zh-CN"/>
                <w14:textFill>
                  <w14:solidFill>
                    <w14:schemeClr w14:val="tx1"/>
                  </w14:solidFill>
                </w14:textFill>
              </w:rPr>
              <w:t>100</w:t>
            </w:r>
          </w:p>
        </w:tc>
        <w:tc>
          <w:tcPr>
            <w:tcW w:w="342" w:type="pct"/>
            <w:noWrap/>
            <w:vAlign w:val="center"/>
          </w:tcPr>
          <w:p w14:paraId="7759BD07">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cs="Times New Roman"/>
                <w:b w:val="0"/>
                <w:bCs/>
                <w:color w:val="000000" w:themeColor="text1"/>
                <w:highlight w:val="none"/>
                <w:lang w:val="en-US" w:eastAsia="zh-CN"/>
                <w14:textFill>
                  <w14:solidFill>
                    <w14:schemeClr w14:val="tx1"/>
                  </w14:solidFill>
                </w14:textFill>
              </w:rPr>
            </w:pPr>
            <w:r>
              <w:rPr>
                <w:rFonts w:hint="eastAsia" w:cs="Times New Roman"/>
                <w:b w:val="0"/>
                <w:bCs/>
                <w:color w:val="000000" w:themeColor="text1"/>
                <w:highlight w:val="none"/>
                <w:lang w:val="en-US" w:eastAsia="zh-CN"/>
                <w14:textFill>
                  <w14:solidFill>
                    <w14:schemeClr w14:val="tx1"/>
                  </w14:solidFill>
                </w14:textFill>
              </w:rPr>
              <w:t>100</w:t>
            </w:r>
          </w:p>
        </w:tc>
        <w:tc>
          <w:tcPr>
            <w:tcW w:w="693" w:type="pct"/>
            <w:noWrap/>
            <w:vAlign w:val="center"/>
          </w:tcPr>
          <w:p w14:paraId="541603D1">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cs="Times New Roman"/>
                <w:b w:val="0"/>
                <w:bCs/>
                <w:color w:val="000000" w:themeColor="text1"/>
                <w:highlight w:val="none"/>
                <w:lang w:val="en-US" w:eastAsia="zh-CN"/>
                <w14:textFill>
                  <w14:solidFill>
                    <w14:schemeClr w14:val="tx1"/>
                  </w14:solidFill>
                </w14:textFill>
              </w:rPr>
            </w:pPr>
            <w:r>
              <w:rPr>
                <w:rFonts w:hint="eastAsia" w:cs="Times New Roman"/>
                <w:b w:val="0"/>
                <w:bCs/>
                <w:color w:val="000000" w:themeColor="text1"/>
                <w:highlight w:val="none"/>
                <w:lang w:val="en-US" w:eastAsia="zh-CN"/>
                <w14:textFill>
                  <w14:solidFill>
                    <w14:schemeClr w14:val="tx1"/>
                  </w14:solidFill>
                </w14:textFill>
              </w:rPr>
              <w:t>86</w:t>
            </w:r>
          </w:p>
        </w:tc>
        <w:tc>
          <w:tcPr>
            <w:tcW w:w="966" w:type="dxa"/>
            <w:shd w:val="clear" w:color="auto" w:fill="auto"/>
            <w:noWrap/>
            <w:vAlign w:val="center"/>
          </w:tcPr>
          <w:p w14:paraId="30082E42">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cs="Times New Roman"/>
                <w:b w:val="0"/>
                <w:bCs/>
                <w:color w:val="000000" w:themeColor="text1"/>
                <w:highlight w:val="none"/>
                <w:lang w:val="en-US" w:eastAsia="zh-CN"/>
                <w14:textFill>
                  <w14:solidFill>
                    <w14:schemeClr w14:val="tx1"/>
                  </w14:solidFill>
                </w14:textFill>
              </w:rPr>
            </w:pPr>
            <w:r>
              <w:rPr>
                <w:rFonts w:hint="eastAsia" w:cs="Times New Roman"/>
                <w:b w:val="0"/>
                <w:bCs/>
                <w:color w:val="000000" w:themeColor="text1"/>
                <w:highlight w:val="none"/>
                <w:lang w:val="en-US" w:eastAsia="zh-CN"/>
                <w14:textFill>
                  <w14:solidFill>
                    <w14:schemeClr w14:val="tx1"/>
                  </w14:solidFill>
                </w14:textFill>
              </w:rPr>
              <w:t>≥10</w:t>
            </w:r>
          </w:p>
        </w:tc>
        <w:tc>
          <w:tcPr>
            <w:tcW w:w="491" w:type="pct"/>
            <w:shd w:val="clear" w:color="auto" w:fill="auto"/>
            <w:noWrap/>
            <w:vAlign w:val="center"/>
          </w:tcPr>
          <w:p w14:paraId="33C1457C">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s="Times New Roman"/>
                <w:b w:val="0"/>
                <w:bCs/>
                <w:color w:val="000000" w:themeColor="text1"/>
                <w:highlight w:val="none"/>
                <w:lang w:val="en-US" w:eastAsia="zh-CN"/>
                <w14:textFill>
                  <w14:solidFill>
                    <w14:schemeClr w14:val="tx1"/>
                  </w14:solidFill>
                </w14:textFill>
              </w:rPr>
            </w:pPr>
            <w:r>
              <w:rPr>
                <w:rFonts w:hint="eastAsia" w:cs="Times New Roman"/>
                <w:b w:val="0"/>
                <w:bCs/>
                <w:color w:val="000000" w:themeColor="text1"/>
                <w:highlight w:val="none"/>
                <w:lang w:val="en-US" w:eastAsia="zh-CN"/>
                <w14:textFill>
                  <w14:solidFill>
                    <w14:schemeClr w14:val="tx1"/>
                  </w14:solidFill>
                </w14:textFill>
              </w:rPr>
              <w:t>100</w:t>
            </w:r>
          </w:p>
        </w:tc>
        <w:tc>
          <w:tcPr>
            <w:tcW w:w="500" w:type="pct"/>
            <w:noWrap/>
            <w:vAlign w:val="center"/>
          </w:tcPr>
          <w:p w14:paraId="38043C48">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cs="Times New Roman"/>
                <w:b w:val="0"/>
                <w:bCs/>
                <w:color w:val="000000" w:themeColor="text1"/>
                <w:highlight w:val="none"/>
                <w:lang w:val="en-US" w:eastAsia="zh-CN"/>
                <w14:textFill>
                  <w14:solidFill>
                    <w14:schemeClr w14:val="tx1"/>
                  </w14:solidFill>
                </w14:textFill>
              </w:rPr>
            </w:pPr>
            <w:r>
              <w:rPr>
                <w:rFonts w:hint="eastAsia" w:cs="Times New Roman"/>
                <w:b w:val="0"/>
                <w:bCs/>
                <w:color w:val="000000" w:themeColor="text1"/>
                <w:highlight w:val="none"/>
                <w:lang w:val="en-US" w:eastAsia="zh-CN"/>
                <w14:textFill>
                  <w14:solidFill>
                    <w14:schemeClr w14:val="tx1"/>
                  </w14:solidFill>
                </w14:textFill>
              </w:rPr>
              <w:t>11.6</w:t>
            </w:r>
          </w:p>
        </w:tc>
      </w:tr>
      <w:tr w14:paraId="73B06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6" w:type="dxa"/>
            <w:noWrap/>
            <w:vAlign w:val="center"/>
          </w:tcPr>
          <w:p w14:paraId="7CBF1305">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cs="Times New Roman"/>
                <w:b w:val="0"/>
                <w:bCs/>
                <w:color w:val="000000" w:themeColor="text1"/>
                <w:highlight w:val="none"/>
                <w:lang w:val="en-US" w:eastAsia="zh-CN"/>
                <w14:textFill>
                  <w14:solidFill>
                    <w14:schemeClr w14:val="tx1"/>
                  </w14:solidFill>
                </w14:textFill>
              </w:rPr>
            </w:pPr>
            <w:r>
              <w:rPr>
                <w:rFonts w:hint="eastAsia" w:cs="Times New Roman"/>
                <w:b w:val="0"/>
                <w:bCs/>
                <w:color w:val="000000" w:themeColor="text1"/>
                <w:highlight w:val="none"/>
                <w:lang w:val="en-US" w:eastAsia="zh-CN"/>
                <w14:textFill>
                  <w14:solidFill>
                    <w14:schemeClr w14:val="tx1"/>
                  </w14:solidFill>
                </w14:textFill>
              </w:rPr>
              <w:t>H04</w:t>
            </w:r>
          </w:p>
        </w:tc>
        <w:tc>
          <w:tcPr>
            <w:tcW w:w="1092" w:type="dxa"/>
            <w:noWrap/>
            <w:vAlign w:val="center"/>
          </w:tcPr>
          <w:p w14:paraId="513659A7">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cs="Times New Roman"/>
                <w:b w:val="0"/>
                <w:bCs/>
                <w:color w:val="000000" w:themeColor="text1"/>
                <w:highlight w:val="none"/>
                <w:lang w:val="en-US" w:eastAsia="zh-CN"/>
                <w14:textFill>
                  <w14:solidFill>
                    <w14:schemeClr w14:val="tx1"/>
                  </w14:solidFill>
                </w14:textFill>
              </w:rPr>
            </w:pPr>
            <w:r>
              <w:rPr>
                <w:rFonts w:hint="eastAsia" w:cs="Times New Roman"/>
                <w:b w:val="0"/>
                <w:bCs/>
                <w:color w:val="000000" w:themeColor="text1"/>
                <w:highlight w:val="none"/>
                <w:lang w:val="en-US" w:eastAsia="zh-CN"/>
                <w14:textFill>
                  <w14:solidFill>
                    <w14:schemeClr w14:val="tx1"/>
                  </w14:solidFill>
                </w14:textFill>
              </w:rPr>
              <w:t>515</w:t>
            </w:r>
            <w:r>
              <w:rPr>
                <w:rFonts w:hint="default" w:cs="Times New Roman"/>
                <w:b w:val="0"/>
                <w:bCs/>
                <w:color w:val="000000" w:themeColor="text1"/>
                <w:highlight w:val="none"/>
                <w:lang w:val="en-US" w:eastAsia="zh-CN"/>
                <w14:textFill>
                  <w14:solidFill>
                    <w14:schemeClr w14:val="tx1"/>
                  </w14:solidFill>
                </w14:textFill>
              </w:rPr>
              <w:t>～</w:t>
            </w:r>
            <w:r>
              <w:rPr>
                <w:rFonts w:hint="eastAsia" w:cs="Times New Roman"/>
                <w:b w:val="0"/>
                <w:bCs/>
                <w:color w:val="000000" w:themeColor="text1"/>
                <w:highlight w:val="none"/>
                <w:lang w:val="en-US" w:eastAsia="zh-CN"/>
                <w14:textFill>
                  <w14:solidFill>
                    <w14:schemeClr w14:val="tx1"/>
                  </w14:solidFill>
                </w14:textFill>
              </w:rPr>
              <w:t>620</w:t>
            </w:r>
          </w:p>
        </w:tc>
        <w:tc>
          <w:tcPr>
            <w:tcW w:w="342" w:type="pct"/>
            <w:noWrap/>
            <w:vAlign w:val="center"/>
          </w:tcPr>
          <w:p w14:paraId="0B76171C">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cs="Times New Roman"/>
                <w:b w:val="0"/>
                <w:bCs/>
                <w:color w:val="000000" w:themeColor="text1"/>
                <w:highlight w:val="none"/>
                <w:lang w:val="en-US" w:eastAsia="zh-CN"/>
                <w14:textFill>
                  <w14:solidFill>
                    <w14:schemeClr w14:val="tx1"/>
                  </w14:solidFill>
                </w14:textFill>
              </w:rPr>
            </w:pPr>
            <w:r>
              <w:rPr>
                <w:rFonts w:hint="eastAsia" w:cs="Times New Roman"/>
                <w:b w:val="0"/>
                <w:bCs/>
                <w:color w:val="000000" w:themeColor="text1"/>
                <w:highlight w:val="none"/>
                <w:lang w:val="en-US" w:eastAsia="zh-CN"/>
                <w14:textFill>
                  <w14:solidFill>
                    <w14:schemeClr w14:val="tx1"/>
                  </w14:solidFill>
                </w14:textFill>
              </w:rPr>
              <w:t>100</w:t>
            </w:r>
          </w:p>
        </w:tc>
        <w:tc>
          <w:tcPr>
            <w:tcW w:w="536" w:type="pct"/>
            <w:noWrap/>
            <w:vAlign w:val="center"/>
          </w:tcPr>
          <w:p w14:paraId="7CB22346">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cs="Times New Roman"/>
                <w:b w:val="0"/>
                <w:bCs/>
                <w:color w:val="000000" w:themeColor="text1"/>
                <w:highlight w:val="none"/>
                <w:lang w:val="en-US" w:eastAsia="zh-CN"/>
                <w14:textFill>
                  <w14:solidFill>
                    <w14:schemeClr w14:val="tx1"/>
                  </w14:solidFill>
                </w14:textFill>
              </w:rPr>
            </w:pPr>
            <w:r>
              <w:rPr>
                <w:rFonts w:hint="eastAsia" w:cs="Times New Roman"/>
                <w:b w:val="0"/>
                <w:bCs/>
                <w:color w:val="000000" w:themeColor="text1"/>
                <w:highlight w:val="none"/>
                <w:lang w:val="en-US" w:eastAsia="zh-CN"/>
                <w14:textFill>
                  <w14:solidFill>
                    <w14:schemeClr w14:val="tx1"/>
                  </w14:solidFill>
                </w14:textFill>
              </w:rPr>
              <w:t>572</w:t>
            </w:r>
          </w:p>
        </w:tc>
        <w:tc>
          <w:tcPr>
            <w:tcW w:w="1159" w:type="dxa"/>
            <w:noWrap/>
            <w:vAlign w:val="center"/>
          </w:tcPr>
          <w:p w14:paraId="540E327C">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s="Times New Roman"/>
                <w:b w:val="0"/>
                <w:bCs/>
                <w:color w:val="000000" w:themeColor="text1"/>
                <w:highlight w:val="none"/>
                <w:lang w:val="en-US" w:eastAsia="zh-CN"/>
                <w14:textFill>
                  <w14:solidFill>
                    <w14:schemeClr w14:val="tx1"/>
                  </w14:solidFill>
                </w14:textFill>
              </w:rPr>
            </w:pPr>
            <w:r>
              <w:rPr>
                <w:rFonts w:hint="eastAsia" w:cs="Times New Roman"/>
                <w:b w:val="0"/>
                <w:bCs/>
                <w:color w:val="000000" w:themeColor="text1"/>
                <w:highlight w:val="none"/>
                <w:lang w:val="en-US" w:eastAsia="zh-CN"/>
                <w14:textFill>
                  <w14:solidFill>
                    <w14:schemeClr w14:val="tx1"/>
                  </w14:solidFill>
                </w14:textFill>
              </w:rPr>
              <w:t>84</w:t>
            </w:r>
            <w:r>
              <w:rPr>
                <w:rFonts w:hint="default" w:cs="Times New Roman"/>
                <w:b w:val="0"/>
                <w:bCs/>
                <w:color w:val="000000" w:themeColor="text1"/>
                <w:highlight w:val="none"/>
                <w:lang w:val="en-US" w:eastAsia="zh-CN"/>
                <w14:textFill>
                  <w14:solidFill>
                    <w14:schemeClr w14:val="tx1"/>
                  </w14:solidFill>
                </w14:textFill>
              </w:rPr>
              <w:t>～</w:t>
            </w:r>
            <w:r>
              <w:rPr>
                <w:rFonts w:hint="eastAsia" w:cs="Times New Roman"/>
                <w:b w:val="0"/>
                <w:bCs/>
                <w:color w:val="000000" w:themeColor="text1"/>
                <w:highlight w:val="none"/>
                <w:lang w:val="en-US" w:eastAsia="zh-CN"/>
                <w14:textFill>
                  <w14:solidFill>
                    <w14:schemeClr w14:val="tx1"/>
                  </w14:solidFill>
                </w14:textFill>
              </w:rPr>
              <w:t>100</w:t>
            </w:r>
          </w:p>
        </w:tc>
        <w:tc>
          <w:tcPr>
            <w:tcW w:w="342" w:type="pct"/>
            <w:noWrap/>
            <w:vAlign w:val="center"/>
          </w:tcPr>
          <w:p w14:paraId="4EFB4138">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cs="Times New Roman"/>
                <w:b w:val="0"/>
                <w:bCs/>
                <w:color w:val="000000" w:themeColor="text1"/>
                <w:highlight w:val="none"/>
                <w:lang w:val="en-US" w:eastAsia="zh-CN"/>
                <w14:textFill>
                  <w14:solidFill>
                    <w14:schemeClr w14:val="tx1"/>
                  </w14:solidFill>
                </w14:textFill>
              </w:rPr>
            </w:pPr>
            <w:r>
              <w:rPr>
                <w:rFonts w:hint="eastAsia" w:cs="Times New Roman"/>
                <w:b w:val="0"/>
                <w:bCs/>
                <w:color w:val="000000" w:themeColor="text1"/>
                <w:highlight w:val="none"/>
                <w:lang w:val="en-US" w:eastAsia="zh-CN"/>
                <w14:textFill>
                  <w14:solidFill>
                    <w14:schemeClr w14:val="tx1"/>
                  </w14:solidFill>
                </w14:textFill>
              </w:rPr>
              <w:t>100</w:t>
            </w:r>
          </w:p>
        </w:tc>
        <w:tc>
          <w:tcPr>
            <w:tcW w:w="693" w:type="pct"/>
            <w:noWrap/>
            <w:vAlign w:val="center"/>
          </w:tcPr>
          <w:p w14:paraId="62BDBD90">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cs="Times New Roman"/>
                <w:b w:val="0"/>
                <w:bCs/>
                <w:color w:val="000000" w:themeColor="text1"/>
                <w:highlight w:val="none"/>
                <w:lang w:val="en-US" w:eastAsia="zh-CN"/>
                <w14:textFill>
                  <w14:solidFill>
                    <w14:schemeClr w14:val="tx1"/>
                  </w14:solidFill>
                </w14:textFill>
              </w:rPr>
            </w:pPr>
            <w:r>
              <w:rPr>
                <w:rFonts w:hint="eastAsia" w:cs="Times New Roman"/>
                <w:b w:val="0"/>
                <w:bCs/>
                <w:color w:val="000000" w:themeColor="text1"/>
                <w:highlight w:val="none"/>
                <w:lang w:val="en-US" w:eastAsia="zh-CN"/>
                <w14:textFill>
                  <w14:solidFill>
                    <w14:schemeClr w14:val="tx1"/>
                  </w14:solidFill>
                </w14:textFill>
              </w:rPr>
              <w:t>92</w:t>
            </w:r>
          </w:p>
        </w:tc>
        <w:tc>
          <w:tcPr>
            <w:tcW w:w="966" w:type="dxa"/>
            <w:shd w:val="clear" w:color="auto" w:fill="auto"/>
            <w:noWrap/>
            <w:vAlign w:val="center"/>
          </w:tcPr>
          <w:p w14:paraId="579DC664">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s="Times New Roman"/>
                <w:b w:val="0"/>
                <w:bCs/>
                <w:color w:val="000000" w:themeColor="text1"/>
                <w:highlight w:val="none"/>
                <w:lang w:val="en-US" w:eastAsia="zh-CN"/>
                <w14:textFill>
                  <w14:solidFill>
                    <w14:schemeClr w14:val="tx1"/>
                  </w14:solidFill>
                </w14:textFill>
              </w:rPr>
            </w:pPr>
            <w:r>
              <w:rPr>
                <w:rFonts w:hint="eastAsia" w:cs="Times New Roman"/>
                <w:b w:val="0"/>
                <w:bCs/>
                <w:color w:val="000000" w:themeColor="text1"/>
                <w:highlight w:val="none"/>
                <w:lang w:val="en-US" w:eastAsia="zh-CN"/>
                <w14:textFill>
                  <w14:solidFill>
                    <w14:schemeClr w14:val="tx1"/>
                  </w14:solidFill>
                </w14:textFill>
              </w:rPr>
              <w:t>≥3</w:t>
            </w:r>
          </w:p>
        </w:tc>
        <w:tc>
          <w:tcPr>
            <w:tcW w:w="491" w:type="pct"/>
            <w:shd w:val="clear" w:color="auto" w:fill="auto"/>
            <w:noWrap/>
            <w:vAlign w:val="center"/>
          </w:tcPr>
          <w:p w14:paraId="175A5606">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cs="Times New Roman"/>
                <w:b w:val="0"/>
                <w:bCs/>
                <w:color w:val="000000" w:themeColor="text1"/>
                <w:highlight w:val="none"/>
                <w:lang w:val="en-US" w:eastAsia="zh-CN"/>
                <w14:textFill>
                  <w14:solidFill>
                    <w14:schemeClr w14:val="tx1"/>
                  </w14:solidFill>
                </w14:textFill>
              </w:rPr>
            </w:pPr>
            <w:r>
              <w:rPr>
                <w:rFonts w:hint="eastAsia" w:cs="Times New Roman"/>
                <w:b w:val="0"/>
                <w:bCs/>
                <w:color w:val="000000" w:themeColor="text1"/>
                <w:highlight w:val="none"/>
                <w:lang w:val="en-US" w:eastAsia="zh-CN"/>
                <w14:textFill>
                  <w14:solidFill>
                    <w14:schemeClr w14:val="tx1"/>
                  </w14:solidFill>
                </w14:textFill>
              </w:rPr>
              <w:t>100</w:t>
            </w:r>
          </w:p>
        </w:tc>
        <w:tc>
          <w:tcPr>
            <w:tcW w:w="500" w:type="pct"/>
            <w:noWrap/>
            <w:vAlign w:val="center"/>
          </w:tcPr>
          <w:p w14:paraId="5A25CB9C">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cs="Times New Roman"/>
                <w:b w:val="0"/>
                <w:bCs/>
                <w:color w:val="000000" w:themeColor="text1"/>
                <w:highlight w:val="none"/>
                <w:lang w:val="en-US" w:eastAsia="zh-CN"/>
                <w14:textFill>
                  <w14:solidFill>
                    <w14:schemeClr w14:val="tx1"/>
                  </w14:solidFill>
                </w14:textFill>
              </w:rPr>
            </w:pPr>
            <w:r>
              <w:rPr>
                <w:rFonts w:hint="eastAsia" w:cs="Times New Roman"/>
                <w:b w:val="0"/>
                <w:bCs/>
                <w:color w:val="000000" w:themeColor="text1"/>
                <w:highlight w:val="none"/>
                <w:lang w:val="en-US" w:eastAsia="zh-CN"/>
                <w14:textFill>
                  <w14:solidFill>
                    <w14:schemeClr w14:val="tx1"/>
                  </w14:solidFill>
                </w14:textFill>
              </w:rPr>
              <w:t>5.1</w:t>
            </w:r>
          </w:p>
        </w:tc>
      </w:tr>
    </w:tbl>
    <w:p w14:paraId="169D6FC9">
      <w:pP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p w14:paraId="21393651">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drawing>
          <wp:inline distT="0" distB="0" distL="114300" distR="114300">
            <wp:extent cx="2686050" cy="1791335"/>
            <wp:effectExtent l="0" t="0" r="0" b="1841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5"/>
                    <a:stretch>
                      <a:fillRect/>
                    </a:stretch>
                  </pic:blipFill>
                  <pic:spPr>
                    <a:xfrm>
                      <a:off x="0" y="0"/>
                      <a:ext cx="2686050" cy="1791335"/>
                    </a:xfrm>
                    <a:prstGeom prst="rect">
                      <a:avLst/>
                    </a:prstGeom>
                    <a:noFill/>
                    <a:ln>
                      <a:noFill/>
                    </a:ln>
                  </pic:spPr>
                </pic:pic>
              </a:graphicData>
            </a:graphic>
          </wp:inline>
        </w:drawing>
      </w:r>
      <w:r>
        <w:drawing>
          <wp:inline distT="0" distB="0" distL="114300" distR="114300">
            <wp:extent cx="2690495" cy="1793875"/>
            <wp:effectExtent l="0" t="0" r="14605" b="1587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6"/>
                    <a:stretch>
                      <a:fillRect/>
                    </a:stretch>
                  </pic:blipFill>
                  <pic:spPr>
                    <a:xfrm>
                      <a:off x="0" y="0"/>
                      <a:ext cx="2690495" cy="1793875"/>
                    </a:xfrm>
                    <a:prstGeom prst="rect">
                      <a:avLst/>
                    </a:prstGeom>
                    <a:noFill/>
                    <a:ln>
                      <a:noFill/>
                    </a:ln>
                  </pic:spPr>
                </pic:pic>
              </a:graphicData>
            </a:graphic>
          </wp:inline>
        </w:drawing>
      </w:r>
    </w:p>
    <w:p w14:paraId="02A0C781">
      <w:pPr>
        <w:pStyle w:val="9"/>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drawing>
          <wp:inline distT="0" distB="0" distL="114300" distR="114300">
            <wp:extent cx="2624455" cy="1750695"/>
            <wp:effectExtent l="0" t="0" r="4445"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2624455" cy="1750695"/>
                    </a:xfrm>
                    <a:prstGeom prst="rect">
                      <a:avLst/>
                    </a:prstGeom>
                    <a:noFill/>
                    <a:ln>
                      <a:noFill/>
                    </a:ln>
                  </pic:spPr>
                </pic:pic>
              </a:graphicData>
            </a:graphic>
          </wp:inline>
        </w:drawing>
      </w:r>
    </w:p>
    <w:p w14:paraId="7868F18E">
      <w:pPr>
        <w:pStyle w:val="9"/>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图</w:t>
      </w:r>
      <w:r>
        <w:rPr>
          <w:rFonts w:hint="eastAsia" w:ascii="Times New Roman" w:hAnsi="Times New Roman" w:cs="Times New Roman"/>
          <w:b w:val="0"/>
          <w:bCs/>
          <w:color w:val="000000" w:themeColor="text1"/>
          <w:highlight w:val="none"/>
          <w:lang w:val="en-US" w:eastAsia="zh-CN"/>
          <w14:textFill>
            <w14:solidFill>
              <w14:schemeClr w14:val="tx1"/>
            </w14:solidFill>
          </w14:textFill>
        </w:rPr>
        <w:t xml:space="preserve"> 1</w:t>
      </w:r>
      <w:r>
        <w:rPr>
          <w:rFonts w:hint="default" w:ascii="Times New Roman" w:hAnsi="Times New Roman" w:eastAsia="宋体" w:cs="Times New Roman"/>
          <w:b w:val="0"/>
          <w:bCs/>
          <w:color w:val="000000" w:themeColor="text1"/>
          <w:highlight w:val="none"/>
          <w14:textFill>
            <w14:solidFill>
              <w14:schemeClr w14:val="tx1"/>
            </w14:solidFill>
          </w14:textFill>
        </w:rPr>
        <w:t xml:space="preserve"> </w:t>
      </w:r>
      <w:r>
        <w:rPr>
          <w:rFonts w:hint="eastAsia" w:ascii="Times New Roman" w:hAnsi="Times New Roman" w:cs="Times New Roman"/>
          <w:b w:val="0"/>
          <w:bCs/>
          <w:color w:val="000000" w:themeColor="text1"/>
          <w:highlight w:val="none"/>
          <w:lang w:val="en-US" w:eastAsia="zh-CN"/>
          <w14:textFill>
            <w14:solidFill>
              <w14:schemeClr w14:val="tx1"/>
            </w14:solidFill>
          </w14:textFill>
        </w:rPr>
        <w:t xml:space="preserve"> H01、H02和H04</w:t>
      </w:r>
      <w:r>
        <w:rPr>
          <w:rFonts w:hint="default" w:ascii="Times New Roman" w:hAnsi="Times New Roman" w:eastAsia="宋体" w:cs="Times New Roman"/>
          <w:b w:val="0"/>
          <w:bCs/>
          <w:color w:val="000000" w:themeColor="text1"/>
          <w:highlight w:val="none"/>
          <w14:textFill>
            <w14:solidFill>
              <w14:schemeClr w14:val="tx1"/>
            </w14:solidFill>
          </w14:textFill>
        </w:rPr>
        <w:t>状态下抗拉强度直方图</w:t>
      </w:r>
    </w:p>
    <w:p w14:paraId="53ACF8CC">
      <w:pPr>
        <w:jc w:val="center"/>
        <w:rPr>
          <w:rFonts w:hint="default"/>
        </w:rPr>
      </w:pPr>
      <w:r>
        <w:drawing>
          <wp:inline distT="0" distB="0" distL="114300" distR="114300">
            <wp:extent cx="2661285" cy="1774190"/>
            <wp:effectExtent l="0" t="0" r="5715" b="16510"/>
            <wp:docPr id="1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3"/>
                    <pic:cNvPicPr>
                      <a:picLocks noChangeAspect="1"/>
                    </pic:cNvPicPr>
                  </pic:nvPicPr>
                  <pic:blipFill>
                    <a:blip r:embed="rId8"/>
                    <a:stretch>
                      <a:fillRect/>
                    </a:stretch>
                  </pic:blipFill>
                  <pic:spPr>
                    <a:xfrm>
                      <a:off x="0" y="0"/>
                      <a:ext cx="2661285" cy="1774190"/>
                    </a:xfrm>
                    <a:prstGeom prst="rect">
                      <a:avLst/>
                    </a:prstGeom>
                    <a:noFill/>
                    <a:ln>
                      <a:noFill/>
                    </a:ln>
                  </pic:spPr>
                </pic:pic>
              </a:graphicData>
            </a:graphic>
          </wp:inline>
        </w:drawing>
      </w:r>
      <w:r>
        <w:drawing>
          <wp:inline distT="0" distB="0" distL="114300" distR="114300">
            <wp:extent cx="2591435" cy="1727835"/>
            <wp:effectExtent l="0" t="0" r="18415" b="5715"/>
            <wp:docPr id="1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4"/>
                    <pic:cNvPicPr>
                      <a:picLocks noChangeAspect="1"/>
                    </pic:cNvPicPr>
                  </pic:nvPicPr>
                  <pic:blipFill>
                    <a:blip r:embed="rId9"/>
                    <a:stretch>
                      <a:fillRect/>
                    </a:stretch>
                  </pic:blipFill>
                  <pic:spPr>
                    <a:xfrm>
                      <a:off x="0" y="0"/>
                      <a:ext cx="2591435" cy="1727835"/>
                    </a:xfrm>
                    <a:prstGeom prst="rect">
                      <a:avLst/>
                    </a:prstGeom>
                    <a:noFill/>
                    <a:ln>
                      <a:noFill/>
                    </a:ln>
                  </pic:spPr>
                </pic:pic>
              </a:graphicData>
            </a:graphic>
          </wp:inline>
        </w:drawing>
      </w:r>
      <w:r>
        <w:drawing>
          <wp:inline distT="0" distB="0" distL="114300" distR="114300">
            <wp:extent cx="2999105" cy="1998980"/>
            <wp:effectExtent l="0" t="0" r="10795" b="1270"/>
            <wp:docPr id="1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5"/>
                    <pic:cNvPicPr>
                      <a:picLocks noChangeAspect="1"/>
                    </pic:cNvPicPr>
                  </pic:nvPicPr>
                  <pic:blipFill>
                    <a:blip r:embed="rId10"/>
                    <a:stretch>
                      <a:fillRect/>
                    </a:stretch>
                  </pic:blipFill>
                  <pic:spPr>
                    <a:xfrm>
                      <a:off x="0" y="0"/>
                      <a:ext cx="2999105" cy="1998980"/>
                    </a:xfrm>
                    <a:prstGeom prst="rect">
                      <a:avLst/>
                    </a:prstGeom>
                    <a:noFill/>
                    <a:ln>
                      <a:noFill/>
                    </a:ln>
                  </pic:spPr>
                </pic:pic>
              </a:graphicData>
            </a:graphic>
          </wp:inline>
        </w:drawing>
      </w:r>
    </w:p>
    <w:p w14:paraId="422C968F">
      <w:pPr>
        <w:pStyle w:val="9"/>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default"/>
        </w:rPr>
      </w:pPr>
      <w:r>
        <w:rPr>
          <w:rFonts w:hint="default" w:ascii="Times New Roman" w:hAnsi="Times New Roman" w:eastAsia="宋体" w:cs="Times New Roman"/>
          <w:b w:val="0"/>
          <w:bCs/>
          <w:color w:val="000000" w:themeColor="text1"/>
          <w:highlight w:val="none"/>
          <w14:textFill>
            <w14:solidFill>
              <w14:schemeClr w14:val="tx1"/>
            </w14:solidFill>
          </w14:textFill>
        </w:rPr>
        <w:t>图</w:t>
      </w:r>
      <w:r>
        <w:rPr>
          <w:rFonts w:hint="eastAsia" w:ascii="Times New Roman" w:hAnsi="Times New Roman" w:cs="Times New Roman"/>
          <w:b w:val="0"/>
          <w:bCs/>
          <w:color w:val="000000" w:themeColor="text1"/>
          <w:highlight w:val="none"/>
          <w:lang w:val="en-US" w:eastAsia="zh-CN"/>
          <w14:textFill>
            <w14:solidFill>
              <w14:schemeClr w14:val="tx1"/>
            </w14:solidFill>
          </w14:textFill>
        </w:rPr>
        <w:t>2  H01、H02和H04</w:t>
      </w:r>
      <w:r>
        <w:rPr>
          <w:rFonts w:hint="default" w:ascii="Times New Roman" w:hAnsi="Times New Roman" w:eastAsia="宋体" w:cs="Times New Roman"/>
          <w:b w:val="0"/>
          <w:bCs/>
          <w:color w:val="000000" w:themeColor="text1"/>
          <w:highlight w:val="none"/>
          <w14:textFill>
            <w14:solidFill>
              <w14:schemeClr w14:val="tx1"/>
            </w14:solidFill>
          </w14:textFill>
        </w:rPr>
        <w:t>状态下断后伸长率直方图</w:t>
      </w:r>
    </w:p>
    <w:p w14:paraId="55429FE6">
      <w:pPr>
        <w:pStyle w:val="3"/>
        <w:jc w:val="center"/>
        <w:outlineLvl w:val="9"/>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drawing>
          <wp:inline distT="0" distB="0" distL="114300" distR="114300">
            <wp:extent cx="2570480" cy="1714500"/>
            <wp:effectExtent l="0" t="0" r="127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1"/>
                    <a:stretch>
                      <a:fillRect/>
                    </a:stretch>
                  </pic:blipFill>
                  <pic:spPr>
                    <a:xfrm>
                      <a:off x="0" y="0"/>
                      <a:ext cx="2570480" cy="1714500"/>
                    </a:xfrm>
                    <a:prstGeom prst="rect">
                      <a:avLst/>
                    </a:prstGeom>
                    <a:noFill/>
                    <a:ln>
                      <a:noFill/>
                    </a:ln>
                  </pic:spPr>
                </pic:pic>
              </a:graphicData>
            </a:graphic>
          </wp:inline>
        </w:drawing>
      </w:r>
      <w:r>
        <w:drawing>
          <wp:inline distT="0" distB="0" distL="114300" distR="114300">
            <wp:extent cx="2543810" cy="1696085"/>
            <wp:effectExtent l="0" t="0" r="8890" b="18415"/>
            <wp:docPr id="1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pic:cNvPicPr>
                      <a:picLocks noChangeAspect="1"/>
                    </pic:cNvPicPr>
                  </pic:nvPicPr>
                  <pic:blipFill>
                    <a:blip r:embed="rId12"/>
                    <a:stretch>
                      <a:fillRect/>
                    </a:stretch>
                  </pic:blipFill>
                  <pic:spPr>
                    <a:xfrm>
                      <a:off x="0" y="0"/>
                      <a:ext cx="2543810" cy="1696085"/>
                    </a:xfrm>
                    <a:prstGeom prst="rect">
                      <a:avLst/>
                    </a:prstGeom>
                    <a:noFill/>
                    <a:ln>
                      <a:noFill/>
                    </a:ln>
                  </pic:spPr>
                </pic:pic>
              </a:graphicData>
            </a:graphic>
          </wp:inline>
        </w:drawing>
      </w:r>
    </w:p>
    <w:p w14:paraId="14F5D445">
      <w:pPr>
        <w:pStyle w:val="9"/>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drawing>
          <wp:inline distT="0" distB="0" distL="114300" distR="114300">
            <wp:extent cx="2773680" cy="1849120"/>
            <wp:effectExtent l="0" t="0" r="7620" b="177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3"/>
                    <a:stretch>
                      <a:fillRect/>
                    </a:stretch>
                  </pic:blipFill>
                  <pic:spPr>
                    <a:xfrm>
                      <a:off x="0" y="0"/>
                      <a:ext cx="2773680" cy="1849120"/>
                    </a:xfrm>
                    <a:prstGeom prst="rect">
                      <a:avLst/>
                    </a:prstGeom>
                    <a:noFill/>
                    <a:ln>
                      <a:noFill/>
                    </a:ln>
                  </pic:spPr>
                </pic:pic>
              </a:graphicData>
            </a:graphic>
          </wp:inline>
        </w:drawing>
      </w:r>
    </w:p>
    <w:p w14:paraId="0887CD5A">
      <w:pPr>
        <w:pStyle w:val="9"/>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图</w:t>
      </w:r>
      <w:r>
        <w:rPr>
          <w:rFonts w:hint="eastAsia" w:ascii="Times New Roman" w:hAnsi="Times New Roman" w:cs="Times New Roman"/>
          <w:b w:val="0"/>
          <w:bCs/>
          <w:color w:val="000000" w:themeColor="text1"/>
          <w:highlight w:val="none"/>
          <w:lang w:val="en-US" w:eastAsia="zh-CN"/>
          <w14:textFill>
            <w14:solidFill>
              <w14:schemeClr w14:val="tx1"/>
            </w14:solidFill>
          </w14:textFill>
        </w:rPr>
        <w:t>3  H01、H02和H04</w:t>
      </w:r>
      <w:r>
        <w:rPr>
          <w:rFonts w:hint="default" w:ascii="Times New Roman" w:hAnsi="Times New Roman" w:eastAsia="宋体" w:cs="Times New Roman"/>
          <w:b w:val="0"/>
          <w:bCs/>
          <w:color w:val="000000" w:themeColor="text1"/>
          <w:highlight w:val="none"/>
          <w14:textFill>
            <w14:solidFill>
              <w14:schemeClr w14:val="tx1"/>
            </w14:solidFill>
          </w14:textFill>
        </w:rPr>
        <w:t>状态下断后伸长率直方图</w:t>
      </w:r>
    </w:p>
    <w:p w14:paraId="01B06847">
      <w:pPr>
        <w:pStyle w:val="2"/>
        <w:keepNext w:val="0"/>
        <w:keepLines w:val="0"/>
        <w:pageBreakBefore w:val="0"/>
        <w:widowControl w:val="0"/>
        <w:kinsoku/>
        <w:wordWrap/>
        <w:overflowPunct/>
        <w:topLinePunct w:val="0"/>
        <w:autoSpaceDE/>
        <w:autoSpaceDN/>
        <w:bidi w:val="0"/>
        <w:adjustRightInd/>
        <w:snapToGrid/>
        <w:spacing w:before="157" w:beforeLines="50" w:after="0" w:line="360" w:lineRule="auto"/>
        <w:ind w:firstLine="420" w:firstLineChars="200"/>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因此，经过以上验证分析，</w:t>
      </w:r>
      <w:r>
        <w:rPr>
          <w:rFonts w:hint="default" w:ascii="Times New Roman" w:hAnsi="Times New Roman" w:eastAsia="宋体" w:cs="Times New Roman"/>
          <w:b w:val="0"/>
          <w:bCs/>
          <w:color w:val="000000" w:themeColor="text1"/>
          <w:highlight w:val="none"/>
          <w:lang w:val="en-US" w:eastAsia="zh-CN"/>
          <w14:textFill>
            <w14:solidFill>
              <w14:schemeClr w14:val="tx1"/>
            </w14:solidFill>
          </w14:textFill>
        </w:rPr>
        <w:t>Cu9Ni</w:t>
      </w:r>
      <w:r>
        <w:rPr>
          <w:rFonts w:hint="eastAsia" w:ascii="Times New Roman" w:hAnsi="Times New Roman" w:eastAsia="宋体" w:cs="Times New Roman"/>
          <w:b w:val="0"/>
          <w:bCs/>
          <w:color w:val="000000" w:themeColor="text1"/>
          <w:highlight w:val="none"/>
          <w:lang w:val="en-US" w:eastAsia="zh-CN"/>
          <w14:textFill>
            <w14:solidFill>
              <w14:schemeClr w14:val="tx1"/>
            </w14:solidFill>
          </w14:textFill>
        </w:rPr>
        <w:t>2</w:t>
      </w:r>
      <w:r>
        <w:rPr>
          <w:rFonts w:hint="default" w:ascii="Times New Roman" w:hAnsi="Times New Roman" w:eastAsia="宋体" w:cs="Times New Roman"/>
          <w:b w:val="0"/>
          <w:bCs/>
          <w:color w:val="000000" w:themeColor="text1"/>
          <w:highlight w:val="none"/>
          <w:lang w:val="en-US" w:eastAsia="zh-CN"/>
          <w14:textFill>
            <w14:solidFill>
              <w14:schemeClr w14:val="tx1"/>
            </w14:solidFill>
          </w14:textFill>
        </w:rPr>
        <w:t>Sn</w:t>
      </w:r>
      <w:r>
        <w:rPr>
          <w:rFonts w:hint="default" w:ascii="Times New Roman" w:hAnsi="Times New Roman" w:eastAsia="宋体" w:cs="Times New Roman"/>
          <w:b w:val="0"/>
          <w:bCs/>
          <w:color w:val="000000" w:themeColor="text1"/>
          <w:highlight w:val="none"/>
          <w14:textFill>
            <w14:solidFill>
              <w14:schemeClr w14:val="tx1"/>
            </w14:solidFill>
          </w14:textFill>
        </w:rPr>
        <w:t>力学性能确定如下：</w:t>
      </w:r>
    </w:p>
    <w:p w14:paraId="4BC037C9">
      <w:pPr>
        <w:pStyle w:val="9"/>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表</w:t>
      </w:r>
      <w:r>
        <w:rPr>
          <w:rFonts w:hint="eastAsia" w:ascii="Times New Roman" w:hAnsi="Times New Roman" w:eastAsia="宋体" w:cs="Times New Roman"/>
          <w:b w:val="0"/>
          <w:bCs/>
          <w:color w:val="000000" w:themeColor="text1"/>
          <w:highlight w:val="none"/>
          <w:lang w:val="en-US" w:eastAsia="zh-CN"/>
          <w14:textFill>
            <w14:solidFill>
              <w14:schemeClr w14:val="tx1"/>
            </w14:solidFill>
          </w14:textFill>
        </w:rPr>
        <w:t>4</w:t>
      </w:r>
      <w:r>
        <w:rPr>
          <w:rFonts w:hint="default" w:ascii="Times New Roman" w:hAnsi="Times New Roman" w:eastAsia="宋体" w:cs="Times New Roman"/>
          <w:b w:val="0"/>
          <w:bCs/>
          <w:color w:val="000000" w:themeColor="text1"/>
          <w:highlight w:val="none"/>
          <w14:textFill>
            <w14:solidFill>
              <w14:schemeClr w14:val="tx1"/>
            </w14:solidFill>
          </w14:textFill>
        </w:rPr>
        <w:t xml:space="preserve"> </w:t>
      </w:r>
      <w:r>
        <w:rPr>
          <w:rFonts w:hint="default" w:ascii="Times New Roman" w:hAnsi="Times New Roman" w:eastAsia="宋体" w:cs="Times New Roman"/>
          <w:b w:val="0"/>
          <w:bCs/>
          <w:color w:val="000000" w:themeColor="text1"/>
          <w:highlight w:val="none"/>
          <w:lang w:val="en-US" w:eastAsia="zh-CN"/>
          <w14:textFill>
            <w14:solidFill>
              <w14:schemeClr w14:val="tx1"/>
            </w14:solidFill>
          </w14:textFill>
        </w:rPr>
        <w:t>Cu9Ni</w:t>
      </w:r>
      <w:r>
        <w:rPr>
          <w:rFonts w:hint="eastAsia" w:ascii="Times New Roman" w:hAnsi="Times New Roman" w:eastAsia="宋体" w:cs="Times New Roman"/>
          <w:b w:val="0"/>
          <w:bCs/>
          <w:color w:val="000000" w:themeColor="text1"/>
          <w:highlight w:val="none"/>
          <w:lang w:val="en-US" w:eastAsia="zh-CN"/>
          <w14:textFill>
            <w14:solidFill>
              <w14:schemeClr w14:val="tx1"/>
            </w14:solidFill>
          </w14:textFill>
        </w:rPr>
        <w:t>2</w:t>
      </w:r>
      <w:r>
        <w:rPr>
          <w:rFonts w:hint="default" w:ascii="Times New Roman" w:hAnsi="Times New Roman" w:eastAsia="宋体" w:cs="Times New Roman"/>
          <w:b w:val="0"/>
          <w:bCs/>
          <w:color w:val="000000" w:themeColor="text1"/>
          <w:highlight w:val="none"/>
          <w:lang w:val="en-US" w:eastAsia="zh-CN"/>
          <w14:textFill>
            <w14:solidFill>
              <w14:schemeClr w14:val="tx1"/>
            </w14:solidFill>
          </w14:textFill>
        </w:rPr>
        <w:t>Sn</w:t>
      </w:r>
      <w:r>
        <w:rPr>
          <w:rFonts w:hint="default" w:ascii="Times New Roman" w:hAnsi="Times New Roman" w:eastAsia="宋体" w:cs="Times New Roman"/>
          <w:b w:val="0"/>
          <w:bCs/>
          <w:color w:val="000000" w:themeColor="text1"/>
          <w:highlight w:val="none"/>
          <w14:textFill>
            <w14:solidFill>
              <w14:schemeClr w14:val="tx1"/>
            </w14:solidFill>
          </w14:textFill>
        </w:rPr>
        <w:t>力学性能</w:t>
      </w:r>
    </w:p>
    <w:tbl>
      <w:tblPr>
        <w:tblStyle w:val="20"/>
        <w:tblW w:w="503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2"/>
        <w:gridCol w:w="706"/>
        <w:gridCol w:w="1545"/>
        <w:gridCol w:w="872"/>
        <w:gridCol w:w="1170"/>
        <w:gridCol w:w="1042"/>
        <w:gridCol w:w="1815"/>
        <w:gridCol w:w="1103"/>
      </w:tblGrid>
      <w:tr w14:paraId="1538D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588" w:type="pct"/>
            <w:noWrap/>
            <w:vAlign w:val="center"/>
          </w:tcPr>
          <w:p w14:paraId="2B361F1D">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t>牌号</w:t>
            </w:r>
          </w:p>
        </w:tc>
        <w:tc>
          <w:tcPr>
            <w:tcW w:w="377" w:type="pct"/>
            <w:noWrap/>
            <w:vAlign w:val="center"/>
          </w:tcPr>
          <w:p w14:paraId="0DF60E20">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t>状态</w:t>
            </w:r>
          </w:p>
        </w:tc>
        <w:tc>
          <w:tcPr>
            <w:tcW w:w="825" w:type="pct"/>
            <w:noWrap/>
            <w:vAlign w:val="center"/>
          </w:tcPr>
          <w:p w14:paraId="3E88436F">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t>抗拉强度Rm</w:t>
            </w:r>
          </w:p>
          <w:p w14:paraId="7852A15E">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t>MPa</w:t>
            </w:r>
          </w:p>
        </w:tc>
        <w:tc>
          <w:tcPr>
            <w:tcW w:w="466" w:type="pct"/>
            <w:noWrap/>
            <w:vAlign w:val="center"/>
          </w:tcPr>
          <w:p w14:paraId="5465DF69">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t>合格率</w:t>
            </w:r>
          </w:p>
          <w:p w14:paraId="63C2C720">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t>%</w:t>
            </w:r>
          </w:p>
        </w:tc>
        <w:tc>
          <w:tcPr>
            <w:tcW w:w="625" w:type="pct"/>
            <w:noWrap/>
            <w:vAlign w:val="center"/>
          </w:tcPr>
          <w:p w14:paraId="5A035677">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t>维氏硬度</w:t>
            </w:r>
          </w:p>
          <w:p w14:paraId="624CFD73">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t>HV</w:t>
            </w:r>
          </w:p>
        </w:tc>
        <w:tc>
          <w:tcPr>
            <w:tcW w:w="556" w:type="pct"/>
            <w:noWrap/>
            <w:vAlign w:val="center"/>
          </w:tcPr>
          <w:p w14:paraId="6C9E0D79">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t>合格率</w:t>
            </w:r>
          </w:p>
          <w:p w14:paraId="123F31B2">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t>%</w:t>
            </w:r>
          </w:p>
        </w:tc>
        <w:tc>
          <w:tcPr>
            <w:tcW w:w="970" w:type="pct"/>
            <w:noWrap/>
            <w:vAlign w:val="center"/>
          </w:tcPr>
          <w:p w14:paraId="5648E053">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t>断后伸长率A</w:t>
            </w:r>
            <w:r>
              <w:rPr>
                <w:rFonts w:hint="default" w:ascii="Times New Roman" w:hAnsi="Times New Roman" w:eastAsia="宋体" w:cs="Times New Roman"/>
                <w:b w:val="0"/>
                <w:bCs/>
                <w:color w:val="000000" w:themeColor="text1"/>
                <w:kern w:val="0"/>
                <w:sz w:val="21"/>
                <w:szCs w:val="24"/>
                <w:highlight w:val="none"/>
                <w:vertAlign w:val="subscript"/>
                <w:lang w:val="en-US" w:eastAsia="zh-CN" w:bidi="ar-SA"/>
                <w14:textFill>
                  <w14:solidFill>
                    <w14:schemeClr w14:val="tx1"/>
                  </w14:solidFill>
                </w14:textFill>
              </w:rPr>
              <w:t>11.3</w:t>
            </w:r>
          </w:p>
          <w:p w14:paraId="00546676">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t>%</w:t>
            </w:r>
          </w:p>
        </w:tc>
        <w:tc>
          <w:tcPr>
            <w:tcW w:w="589" w:type="pct"/>
            <w:noWrap/>
            <w:vAlign w:val="center"/>
          </w:tcPr>
          <w:p w14:paraId="0BABE63A">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t>合格率</w:t>
            </w:r>
          </w:p>
          <w:p w14:paraId="3206C51A">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t>%</w:t>
            </w:r>
          </w:p>
        </w:tc>
      </w:tr>
      <w:tr w14:paraId="4F621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7" w:hRule="atLeast"/>
          <w:jc w:val="center"/>
        </w:trPr>
        <w:tc>
          <w:tcPr>
            <w:tcW w:w="588" w:type="pct"/>
            <w:vMerge w:val="restart"/>
            <w:noWrap/>
            <w:vAlign w:val="center"/>
          </w:tcPr>
          <w:p w14:paraId="59CF23B2">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t>Cu9Ni</w:t>
            </w:r>
            <w:r>
              <w:rPr>
                <w:rFonts w:hint="eastAsia"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t>2</w:t>
            </w:r>
            <w:r>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t>Sn</w:t>
            </w:r>
          </w:p>
        </w:tc>
        <w:tc>
          <w:tcPr>
            <w:tcW w:w="706" w:type="dxa"/>
            <w:noWrap/>
            <w:vAlign w:val="center"/>
          </w:tcPr>
          <w:p w14:paraId="47E47CB5">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pPr>
            <w:r>
              <w:rPr>
                <w:rFonts w:hint="eastAsia"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t>H01</w:t>
            </w:r>
          </w:p>
        </w:tc>
        <w:tc>
          <w:tcPr>
            <w:tcW w:w="1545" w:type="dxa"/>
            <w:noWrap/>
            <w:vAlign w:val="center"/>
          </w:tcPr>
          <w:p w14:paraId="50E26BDC">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pPr>
            <w:r>
              <w:rPr>
                <w:rFonts w:hint="eastAsia"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t>380</w:t>
            </w:r>
            <w:r>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t>～</w:t>
            </w:r>
            <w:r>
              <w:rPr>
                <w:rFonts w:hint="eastAsia"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t>515</w:t>
            </w:r>
          </w:p>
        </w:tc>
        <w:tc>
          <w:tcPr>
            <w:tcW w:w="466" w:type="pct"/>
            <w:noWrap/>
            <w:vAlign w:val="center"/>
          </w:tcPr>
          <w:p w14:paraId="13E12F92">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pPr>
            <w:r>
              <w:rPr>
                <w:rFonts w:hint="eastAsia"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t>98</w:t>
            </w:r>
          </w:p>
        </w:tc>
        <w:tc>
          <w:tcPr>
            <w:tcW w:w="1170" w:type="dxa"/>
            <w:noWrap/>
            <w:vAlign w:val="center"/>
          </w:tcPr>
          <w:p w14:paraId="68055ABF">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pPr>
            <w:r>
              <w:rPr>
                <w:rFonts w:hint="eastAsia"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t>≤94</w:t>
            </w:r>
          </w:p>
        </w:tc>
        <w:tc>
          <w:tcPr>
            <w:tcW w:w="556" w:type="pct"/>
            <w:noWrap/>
            <w:vAlign w:val="center"/>
          </w:tcPr>
          <w:p w14:paraId="53D29890">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t>100</w:t>
            </w:r>
          </w:p>
        </w:tc>
        <w:tc>
          <w:tcPr>
            <w:tcW w:w="1815" w:type="dxa"/>
            <w:shd w:val="clear" w:color="auto" w:fill="auto"/>
            <w:noWrap/>
            <w:vAlign w:val="center"/>
          </w:tcPr>
          <w:p w14:paraId="14657691">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pPr>
            <w:r>
              <w:rPr>
                <w:rFonts w:hint="eastAsia"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t>≥15</w:t>
            </w:r>
          </w:p>
        </w:tc>
        <w:tc>
          <w:tcPr>
            <w:tcW w:w="589" w:type="pct"/>
            <w:noWrap/>
            <w:vAlign w:val="center"/>
          </w:tcPr>
          <w:p w14:paraId="323264D7">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pPr>
            <w:r>
              <w:rPr>
                <w:rFonts w:hint="eastAsia"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t>99</w:t>
            </w:r>
          </w:p>
        </w:tc>
      </w:tr>
      <w:tr w14:paraId="2902C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2" w:hRule="atLeast"/>
          <w:jc w:val="center"/>
        </w:trPr>
        <w:tc>
          <w:tcPr>
            <w:tcW w:w="588" w:type="pct"/>
            <w:vMerge w:val="continue"/>
            <w:noWrap/>
            <w:vAlign w:val="center"/>
          </w:tcPr>
          <w:p w14:paraId="097CCE77">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pPr>
          </w:p>
        </w:tc>
        <w:tc>
          <w:tcPr>
            <w:tcW w:w="706" w:type="dxa"/>
            <w:noWrap/>
            <w:vAlign w:val="center"/>
          </w:tcPr>
          <w:p w14:paraId="4FD5A8FD">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pPr>
            <w:r>
              <w:rPr>
                <w:rFonts w:hint="eastAsia"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t>H02</w:t>
            </w:r>
          </w:p>
        </w:tc>
        <w:tc>
          <w:tcPr>
            <w:tcW w:w="1545" w:type="dxa"/>
            <w:noWrap/>
            <w:vAlign w:val="center"/>
          </w:tcPr>
          <w:p w14:paraId="7F81068B">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pPr>
            <w:r>
              <w:rPr>
                <w:rFonts w:hint="eastAsia"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t>450</w:t>
            </w:r>
            <w:r>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t>～</w:t>
            </w:r>
            <w:r>
              <w:rPr>
                <w:rFonts w:hint="eastAsia"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t>550</w:t>
            </w:r>
          </w:p>
        </w:tc>
        <w:tc>
          <w:tcPr>
            <w:tcW w:w="466" w:type="pct"/>
            <w:noWrap/>
            <w:vAlign w:val="center"/>
          </w:tcPr>
          <w:p w14:paraId="7D56099E">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pPr>
            <w:r>
              <w:rPr>
                <w:rFonts w:hint="eastAsia"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t>99</w:t>
            </w:r>
          </w:p>
        </w:tc>
        <w:tc>
          <w:tcPr>
            <w:tcW w:w="1170" w:type="dxa"/>
            <w:noWrap/>
            <w:vAlign w:val="center"/>
          </w:tcPr>
          <w:p w14:paraId="714D4820">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pPr>
            <w:r>
              <w:rPr>
                <w:rFonts w:hint="eastAsia"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t>78</w:t>
            </w:r>
            <w:r>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t>～</w:t>
            </w:r>
            <w:r>
              <w:rPr>
                <w:rFonts w:hint="eastAsia"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t>100</w:t>
            </w:r>
          </w:p>
        </w:tc>
        <w:tc>
          <w:tcPr>
            <w:tcW w:w="556" w:type="pct"/>
            <w:noWrap/>
            <w:vAlign w:val="center"/>
          </w:tcPr>
          <w:p w14:paraId="48F126DA">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pPr>
            <w:r>
              <w:rPr>
                <w:rFonts w:hint="eastAsia"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t>98</w:t>
            </w:r>
          </w:p>
        </w:tc>
        <w:tc>
          <w:tcPr>
            <w:tcW w:w="1815" w:type="dxa"/>
            <w:shd w:val="clear" w:color="auto" w:fill="auto"/>
            <w:noWrap/>
            <w:vAlign w:val="center"/>
          </w:tcPr>
          <w:p w14:paraId="146C9671">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pPr>
            <w:r>
              <w:rPr>
                <w:rFonts w:hint="eastAsia"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t>≥10</w:t>
            </w:r>
          </w:p>
        </w:tc>
        <w:tc>
          <w:tcPr>
            <w:tcW w:w="589" w:type="pct"/>
            <w:noWrap/>
            <w:vAlign w:val="center"/>
          </w:tcPr>
          <w:p w14:paraId="06F51451">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pPr>
            <w:r>
              <w:rPr>
                <w:rFonts w:hint="eastAsia"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t>99</w:t>
            </w:r>
          </w:p>
        </w:tc>
      </w:tr>
      <w:tr w14:paraId="50108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2" w:hRule="atLeast"/>
          <w:jc w:val="center"/>
        </w:trPr>
        <w:tc>
          <w:tcPr>
            <w:tcW w:w="588" w:type="pct"/>
            <w:vMerge w:val="continue"/>
            <w:noWrap/>
            <w:vAlign w:val="center"/>
          </w:tcPr>
          <w:p w14:paraId="03701984">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pPr>
          </w:p>
        </w:tc>
        <w:tc>
          <w:tcPr>
            <w:tcW w:w="706" w:type="dxa"/>
            <w:noWrap/>
            <w:vAlign w:val="center"/>
          </w:tcPr>
          <w:p w14:paraId="5BC1D214">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pPr>
            <w:r>
              <w:rPr>
                <w:rFonts w:hint="eastAsia"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t>H04</w:t>
            </w:r>
          </w:p>
        </w:tc>
        <w:tc>
          <w:tcPr>
            <w:tcW w:w="1545" w:type="dxa"/>
            <w:noWrap/>
            <w:vAlign w:val="center"/>
          </w:tcPr>
          <w:p w14:paraId="13B0B384">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pPr>
            <w:r>
              <w:rPr>
                <w:rFonts w:hint="eastAsia"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t>515</w:t>
            </w:r>
            <w:r>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t>～</w:t>
            </w:r>
            <w:r>
              <w:rPr>
                <w:rFonts w:hint="eastAsia"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t>620</w:t>
            </w:r>
          </w:p>
        </w:tc>
        <w:tc>
          <w:tcPr>
            <w:tcW w:w="466" w:type="pct"/>
            <w:noWrap/>
            <w:vAlign w:val="center"/>
          </w:tcPr>
          <w:p w14:paraId="530D98CB">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pPr>
            <w:r>
              <w:rPr>
                <w:rFonts w:hint="eastAsia"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t>99</w:t>
            </w:r>
          </w:p>
        </w:tc>
        <w:tc>
          <w:tcPr>
            <w:tcW w:w="1170" w:type="dxa"/>
            <w:noWrap/>
            <w:vAlign w:val="center"/>
          </w:tcPr>
          <w:p w14:paraId="1977B44D">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pPr>
            <w:r>
              <w:rPr>
                <w:rFonts w:hint="eastAsia"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t>84</w:t>
            </w:r>
            <w:r>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t>～</w:t>
            </w:r>
            <w:r>
              <w:rPr>
                <w:rFonts w:hint="eastAsia"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t>100</w:t>
            </w:r>
          </w:p>
        </w:tc>
        <w:tc>
          <w:tcPr>
            <w:tcW w:w="556" w:type="pct"/>
            <w:noWrap/>
            <w:vAlign w:val="center"/>
          </w:tcPr>
          <w:p w14:paraId="3F3430B0">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pPr>
            <w:r>
              <w:rPr>
                <w:rFonts w:hint="eastAsia"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t>99</w:t>
            </w:r>
          </w:p>
        </w:tc>
        <w:tc>
          <w:tcPr>
            <w:tcW w:w="1815" w:type="dxa"/>
            <w:shd w:val="clear" w:color="auto" w:fill="auto"/>
            <w:noWrap/>
            <w:vAlign w:val="center"/>
          </w:tcPr>
          <w:p w14:paraId="7C4FAFD2">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pPr>
            <w:r>
              <w:rPr>
                <w:rFonts w:hint="eastAsia"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t>≥3</w:t>
            </w:r>
          </w:p>
        </w:tc>
        <w:tc>
          <w:tcPr>
            <w:tcW w:w="589" w:type="pct"/>
            <w:noWrap/>
            <w:vAlign w:val="center"/>
          </w:tcPr>
          <w:p w14:paraId="4D72C69F">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pPr>
            <w:r>
              <w:rPr>
                <w:rFonts w:hint="eastAsia"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t>100</w:t>
            </w:r>
          </w:p>
        </w:tc>
      </w:tr>
    </w:tbl>
    <w:p w14:paraId="4CA7FAF1">
      <w:pPr>
        <w:pStyle w:val="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p>
    <w:p w14:paraId="5B033E2A">
      <w:pPr>
        <w:pStyle w:val="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实测Cu9Ni6Sn合金力学性能的数据统计结果见表</w:t>
      </w:r>
      <w:r>
        <w:rPr>
          <w:rFonts w:hint="eastAsia" w:cs="Times New Roman"/>
          <w:b w:val="0"/>
          <w:bCs/>
          <w:color w:val="000000" w:themeColor="text1"/>
          <w:highlight w:val="none"/>
          <w:lang w:val="en-US" w:eastAsia="zh-CN"/>
          <w14:textFill>
            <w14:solidFill>
              <w14:schemeClr w14:val="tx1"/>
            </w14:solidFill>
          </w14:textFill>
        </w:rPr>
        <w:t>5</w:t>
      </w:r>
      <w:r>
        <w:rPr>
          <w:rFonts w:hint="default" w:ascii="Times New Roman" w:hAnsi="Times New Roman" w:eastAsia="宋体" w:cs="Times New Roman"/>
          <w:b w:val="0"/>
          <w:bCs/>
          <w:color w:val="000000" w:themeColor="text1"/>
          <w:highlight w:val="none"/>
          <w14:textFill>
            <w14:solidFill>
              <w14:schemeClr w14:val="tx1"/>
            </w14:solidFill>
          </w14:textFill>
        </w:rPr>
        <w:t>，分布直方图见图</w:t>
      </w:r>
      <w:r>
        <w:rPr>
          <w:rFonts w:hint="eastAsia" w:cs="Times New Roman"/>
          <w:b w:val="0"/>
          <w:bCs/>
          <w:color w:val="000000" w:themeColor="text1"/>
          <w:highlight w:val="none"/>
          <w:lang w:val="en-US" w:eastAsia="zh-CN"/>
          <w14:textFill>
            <w14:solidFill>
              <w14:schemeClr w14:val="tx1"/>
            </w14:solidFill>
          </w14:textFill>
        </w:rPr>
        <w:t>4</w:t>
      </w:r>
      <w:r>
        <w:rPr>
          <w:rFonts w:hint="default" w:ascii="Times New Roman" w:hAnsi="Times New Roman" w:eastAsia="宋体" w:cs="Times New Roman"/>
          <w:b w:val="0"/>
          <w:bCs/>
          <w:color w:val="000000" w:themeColor="text1"/>
          <w:highlight w:val="none"/>
          <w14:textFill>
            <w14:solidFill>
              <w14:schemeClr w14:val="tx1"/>
            </w14:solidFill>
          </w14:textFill>
        </w:rPr>
        <w:t>-图</w:t>
      </w:r>
      <w:r>
        <w:rPr>
          <w:rFonts w:hint="eastAsia" w:cs="Times New Roman"/>
          <w:b w:val="0"/>
          <w:bCs/>
          <w:color w:val="000000" w:themeColor="text1"/>
          <w:highlight w:val="none"/>
          <w:lang w:val="en-US" w:eastAsia="zh-CN"/>
          <w14:textFill>
            <w14:solidFill>
              <w14:schemeClr w14:val="tx1"/>
            </w14:solidFill>
          </w14:textFill>
        </w:rPr>
        <w:t>6</w:t>
      </w:r>
      <w:r>
        <w:rPr>
          <w:rFonts w:hint="default" w:ascii="Times New Roman" w:hAnsi="Times New Roman" w:eastAsia="宋体" w:cs="Times New Roman"/>
          <w:b w:val="0"/>
          <w:bCs/>
          <w:color w:val="000000" w:themeColor="text1"/>
          <w:highlight w:val="none"/>
          <w14:textFill>
            <w14:solidFill>
              <w14:schemeClr w14:val="tx1"/>
            </w14:solidFill>
          </w14:textFill>
        </w:rPr>
        <w:t>。</w:t>
      </w:r>
    </w:p>
    <w:p w14:paraId="0EBA7089">
      <w:pPr>
        <w:pStyle w:val="9"/>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表</w:t>
      </w:r>
      <w:r>
        <w:rPr>
          <w:rFonts w:hint="eastAsia" w:ascii="Times New Roman" w:hAnsi="Times New Roman" w:cs="Times New Roman"/>
          <w:b w:val="0"/>
          <w:bCs/>
          <w:color w:val="000000" w:themeColor="text1"/>
          <w:highlight w:val="none"/>
          <w:lang w:val="en-US" w:eastAsia="zh-CN"/>
          <w14:textFill>
            <w14:solidFill>
              <w14:schemeClr w14:val="tx1"/>
            </w14:solidFill>
          </w14:textFill>
        </w:rPr>
        <w:t>5</w:t>
      </w:r>
      <w:r>
        <w:rPr>
          <w:rFonts w:hint="default" w:ascii="Times New Roman" w:hAnsi="Times New Roman" w:eastAsia="宋体" w:cs="Times New Roman"/>
          <w:b w:val="0"/>
          <w:bCs/>
          <w:color w:val="000000" w:themeColor="text1"/>
          <w:highlight w:val="none"/>
          <w14:textFill>
            <w14:solidFill>
              <w14:schemeClr w14:val="tx1"/>
            </w14:solidFill>
          </w14:textFill>
        </w:rPr>
        <w:t xml:space="preserve"> Cu9Ni6Sn产品不同状态力学性能检测数据统计表</w:t>
      </w:r>
    </w:p>
    <w:tbl>
      <w:tblPr>
        <w:tblStyle w:val="20"/>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1092"/>
        <w:gridCol w:w="636"/>
        <w:gridCol w:w="979"/>
        <w:gridCol w:w="1159"/>
        <w:gridCol w:w="636"/>
        <w:gridCol w:w="1266"/>
        <w:gridCol w:w="966"/>
        <w:gridCol w:w="894"/>
        <w:gridCol w:w="912"/>
      </w:tblGrid>
      <w:tr w14:paraId="5B881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80" w:type="pct"/>
            <w:vMerge w:val="restart"/>
            <w:noWrap/>
            <w:vAlign w:val="center"/>
          </w:tcPr>
          <w:p w14:paraId="0AD72155">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状态</w:t>
            </w:r>
          </w:p>
        </w:tc>
        <w:tc>
          <w:tcPr>
            <w:tcW w:w="1467" w:type="pct"/>
            <w:gridSpan w:val="3"/>
            <w:noWrap/>
            <w:vAlign w:val="center"/>
          </w:tcPr>
          <w:p w14:paraId="7596A157">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抗拉强度</w:t>
            </w:r>
          </w:p>
        </w:tc>
        <w:tc>
          <w:tcPr>
            <w:tcW w:w="1667" w:type="pct"/>
            <w:gridSpan w:val="3"/>
            <w:noWrap/>
            <w:vAlign w:val="center"/>
          </w:tcPr>
          <w:p w14:paraId="377473A9">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维氏硬度</w:t>
            </w:r>
          </w:p>
        </w:tc>
        <w:tc>
          <w:tcPr>
            <w:tcW w:w="1484" w:type="pct"/>
            <w:gridSpan w:val="3"/>
            <w:noWrap/>
            <w:vAlign w:val="center"/>
          </w:tcPr>
          <w:p w14:paraId="31CFD1CE">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断后伸长率A</w:t>
            </w:r>
            <w:r>
              <w:rPr>
                <w:rFonts w:hint="default" w:ascii="Times New Roman" w:hAnsi="Times New Roman" w:eastAsia="宋体" w:cs="Times New Roman"/>
                <w:b w:val="0"/>
                <w:bCs/>
                <w:color w:val="000000" w:themeColor="text1"/>
                <w:highlight w:val="none"/>
                <w:vertAlign w:val="subscript"/>
                <w14:textFill>
                  <w14:solidFill>
                    <w14:schemeClr w14:val="tx1"/>
                  </w14:solidFill>
                </w14:textFill>
              </w:rPr>
              <w:t>11.3</w:t>
            </w:r>
          </w:p>
        </w:tc>
      </w:tr>
      <w:tr w14:paraId="65337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80" w:type="pct"/>
            <w:vMerge w:val="continue"/>
            <w:noWrap/>
            <w:vAlign w:val="center"/>
          </w:tcPr>
          <w:p w14:paraId="5E82607C">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p>
        </w:tc>
        <w:tc>
          <w:tcPr>
            <w:tcW w:w="588" w:type="pct"/>
            <w:noWrap/>
            <w:vAlign w:val="center"/>
          </w:tcPr>
          <w:p w14:paraId="0AC31518">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范围/MPa</w:t>
            </w:r>
          </w:p>
        </w:tc>
        <w:tc>
          <w:tcPr>
            <w:tcW w:w="342" w:type="pct"/>
            <w:noWrap/>
            <w:vAlign w:val="center"/>
          </w:tcPr>
          <w:p w14:paraId="0A87E99C">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数量</w:t>
            </w:r>
          </w:p>
        </w:tc>
        <w:tc>
          <w:tcPr>
            <w:tcW w:w="536" w:type="pct"/>
            <w:noWrap/>
            <w:vAlign w:val="center"/>
          </w:tcPr>
          <w:p w14:paraId="3BAF2E45">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平均值</w:t>
            </w:r>
          </w:p>
        </w:tc>
        <w:tc>
          <w:tcPr>
            <w:tcW w:w="630" w:type="pct"/>
            <w:noWrap/>
            <w:vAlign w:val="center"/>
          </w:tcPr>
          <w:p w14:paraId="58DA2E75">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范围/HV</w:t>
            </w:r>
          </w:p>
        </w:tc>
        <w:tc>
          <w:tcPr>
            <w:tcW w:w="342" w:type="pct"/>
            <w:noWrap/>
            <w:vAlign w:val="center"/>
          </w:tcPr>
          <w:p w14:paraId="6A044BE0">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数量</w:t>
            </w:r>
          </w:p>
        </w:tc>
        <w:tc>
          <w:tcPr>
            <w:tcW w:w="693" w:type="pct"/>
            <w:noWrap/>
            <w:vAlign w:val="center"/>
          </w:tcPr>
          <w:p w14:paraId="7E3E6A57">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平均值</w:t>
            </w:r>
          </w:p>
        </w:tc>
        <w:tc>
          <w:tcPr>
            <w:tcW w:w="492" w:type="pct"/>
            <w:noWrap/>
            <w:vAlign w:val="center"/>
          </w:tcPr>
          <w:p w14:paraId="148DBA51">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范围/%</w:t>
            </w:r>
          </w:p>
        </w:tc>
        <w:tc>
          <w:tcPr>
            <w:tcW w:w="491" w:type="pct"/>
            <w:shd w:val="clear" w:color="auto" w:fill="auto"/>
            <w:noWrap/>
            <w:vAlign w:val="center"/>
          </w:tcPr>
          <w:p w14:paraId="4E6D9C57">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数量</w:t>
            </w:r>
          </w:p>
        </w:tc>
        <w:tc>
          <w:tcPr>
            <w:tcW w:w="500" w:type="pct"/>
            <w:noWrap/>
            <w:vAlign w:val="center"/>
          </w:tcPr>
          <w:p w14:paraId="22B79AC8">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平均值</w:t>
            </w:r>
          </w:p>
        </w:tc>
      </w:tr>
      <w:tr w14:paraId="5EF69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6" w:type="dxa"/>
            <w:noWrap/>
            <w:vAlign w:val="center"/>
          </w:tcPr>
          <w:p w14:paraId="61EFBE2B">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pPr>
            <w:r>
              <w:rPr>
                <w:rFonts w:hint="eastAsia"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t>TM00</w:t>
            </w:r>
          </w:p>
        </w:tc>
        <w:tc>
          <w:tcPr>
            <w:tcW w:w="1092" w:type="dxa"/>
            <w:noWrap/>
            <w:vAlign w:val="center"/>
          </w:tcPr>
          <w:p w14:paraId="593C0823">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pPr>
            <w:r>
              <w:rPr>
                <w:rFonts w:hint="eastAsia"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t>620</w:t>
            </w:r>
            <w:r>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t>～</w:t>
            </w:r>
            <w:r>
              <w:rPr>
                <w:rFonts w:hint="eastAsia"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t>760</w:t>
            </w:r>
          </w:p>
        </w:tc>
        <w:tc>
          <w:tcPr>
            <w:tcW w:w="342" w:type="pct"/>
            <w:noWrap/>
            <w:vAlign w:val="center"/>
          </w:tcPr>
          <w:p w14:paraId="01C2E269">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t>100</w:t>
            </w:r>
          </w:p>
        </w:tc>
        <w:tc>
          <w:tcPr>
            <w:tcW w:w="536" w:type="pct"/>
            <w:noWrap/>
            <w:vAlign w:val="center"/>
          </w:tcPr>
          <w:p w14:paraId="7B4CE989">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pPr>
            <w:r>
              <w:rPr>
                <w:rFonts w:hint="eastAsia"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t>692</w:t>
            </w:r>
          </w:p>
        </w:tc>
        <w:tc>
          <w:tcPr>
            <w:tcW w:w="1159" w:type="dxa"/>
            <w:noWrap/>
            <w:vAlign w:val="center"/>
          </w:tcPr>
          <w:p w14:paraId="394ED1AA">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pPr>
            <w:r>
              <w:rPr>
                <w:rFonts w:hint="eastAsia"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t>180</w:t>
            </w:r>
            <w:r>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t>～</w:t>
            </w:r>
            <w:r>
              <w:rPr>
                <w:rFonts w:hint="eastAsia"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t>280</w:t>
            </w:r>
          </w:p>
        </w:tc>
        <w:tc>
          <w:tcPr>
            <w:tcW w:w="342" w:type="pct"/>
            <w:noWrap/>
            <w:vAlign w:val="center"/>
          </w:tcPr>
          <w:p w14:paraId="4258D0FA">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t>100</w:t>
            </w:r>
          </w:p>
        </w:tc>
        <w:tc>
          <w:tcPr>
            <w:tcW w:w="693" w:type="pct"/>
            <w:noWrap/>
            <w:vAlign w:val="center"/>
          </w:tcPr>
          <w:p w14:paraId="2D79042C">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pPr>
            <w:r>
              <w:rPr>
                <w:rFonts w:hint="eastAsia"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t>226</w:t>
            </w:r>
          </w:p>
        </w:tc>
        <w:tc>
          <w:tcPr>
            <w:tcW w:w="966" w:type="dxa"/>
            <w:shd w:val="clear" w:color="auto" w:fill="auto"/>
            <w:noWrap/>
            <w:vAlign w:val="center"/>
          </w:tcPr>
          <w:p w14:paraId="7E14C227">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pPr>
            <w:r>
              <w:rPr>
                <w:rFonts w:hint="eastAsia"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t>≥16</w:t>
            </w:r>
          </w:p>
        </w:tc>
        <w:tc>
          <w:tcPr>
            <w:tcW w:w="491" w:type="pct"/>
            <w:shd w:val="clear" w:color="auto" w:fill="auto"/>
            <w:noWrap/>
            <w:vAlign w:val="center"/>
          </w:tcPr>
          <w:p w14:paraId="71693A29">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t>100</w:t>
            </w:r>
          </w:p>
        </w:tc>
        <w:tc>
          <w:tcPr>
            <w:tcW w:w="500" w:type="pct"/>
            <w:noWrap/>
            <w:vAlign w:val="center"/>
          </w:tcPr>
          <w:p w14:paraId="2A5F27E1">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pPr>
            <w:r>
              <w:rPr>
                <w:rFonts w:hint="eastAsia"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t>17.4</w:t>
            </w:r>
          </w:p>
        </w:tc>
      </w:tr>
      <w:tr w14:paraId="196B2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6" w:type="dxa"/>
            <w:noWrap/>
            <w:vAlign w:val="center"/>
          </w:tcPr>
          <w:p w14:paraId="58E70788">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pPr>
            <w:r>
              <w:rPr>
                <w:rFonts w:hint="eastAsia"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t>TM02</w:t>
            </w:r>
          </w:p>
        </w:tc>
        <w:tc>
          <w:tcPr>
            <w:tcW w:w="1092" w:type="dxa"/>
            <w:noWrap/>
            <w:vAlign w:val="center"/>
          </w:tcPr>
          <w:p w14:paraId="77C4CE3B">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pPr>
            <w:r>
              <w:rPr>
                <w:rFonts w:hint="eastAsia"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t>680</w:t>
            </w:r>
            <w:r>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t>～</w:t>
            </w:r>
            <w:r>
              <w:rPr>
                <w:rFonts w:hint="eastAsia"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t>830</w:t>
            </w:r>
          </w:p>
        </w:tc>
        <w:tc>
          <w:tcPr>
            <w:tcW w:w="342" w:type="pct"/>
            <w:noWrap/>
            <w:vAlign w:val="center"/>
          </w:tcPr>
          <w:p w14:paraId="2C0C15E9">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t>100</w:t>
            </w:r>
          </w:p>
        </w:tc>
        <w:tc>
          <w:tcPr>
            <w:tcW w:w="536" w:type="pct"/>
            <w:noWrap/>
            <w:vAlign w:val="center"/>
          </w:tcPr>
          <w:p w14:paraId="12F4D442">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pPr>
            <w:r>
              <w:rPr>
                <w:rFonts w:hint="eastAsia"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t>756</w:t>
            </w:r>
          </w:p>
        </w:tc>
        <w:tc>
          <w:tcPr>
            <w:tcW w:w="1159" w:type="dxa"/>
            <w:noWrap/>
            <w:vAlign w:val="center"/>
          </w:tcPr>
          <w:p w14:paraId="28D73213">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pPr>
            <w:r>
              <w:rPr>
                <w:rFonts w:hint="eastAsia"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t>200</w:t>
            </w:r>
            <w:r>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t>～</w:t>
            </w:r>
            <w:r>
              <w:rPr>
                <w:rFonts w:hint="eastAsia"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t>300</w:t>
            </w:r>
          </w:p>
        </w:tc>
        <w:tc>
          <w:tcPr>
            <w:tcW w:w="342" w:type="pct"/>
            <w:noWrap/>
            <w:vAlign w:val="center"/>
          </w:tcPr>
          <w:p w14:paraId="28F489AD">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pPr>
            <w:r>
              <w:rPr>
                <w:rFonts w:hint="eastAsia"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t>100</w:t>
            </w:r>
          </w:p>
        </w:tc>
        <w:tc>
          <w:tcPr>
            <w:tcW w:w="693" w:type="pct"/>
            <w:noWrap/>
            <w:vAlign w:val="center"/>
          </w:tcPr>
          <w:p w14:paraId="0F40B99A">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pPr>
            <w:r>
              <w:rPr>
                <w:rFonts w:hint="eastAsia"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t>249</w:t>
            </w:r>
          </w:p>
        </w:tc>
        <w:tc>
          <w:tcPr>
            <w:tcW w:w="966" w:type="dxa"/>
            <w:shd w:val="clear" w:color="auto" w:fill="auto"/>
            <w:noWrap/>
            <w:vAlign w:val="center"/>
          </w:tcPr>
          <w:p w14:paraId="3E0717FC">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pPr>
            <w:r>
              <w:rPr>
                <w:rFonts w:hint="eastAsia"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t>≥12</w:t>
            </w:r>
          </w:p>
        </w:tc>
        <w:tc>
          <w:tcPr>
            <w:tcW w:w="491" w:type="pct"/>
            <w:shd w:val="clear" w:color="auto" w:fill="auto"/>
            <w:noWrap/>
            <w:vAlign w:val="center"/>
          </w:tcPr>
          <w:p w14:paraId="06991AD8">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pPr>
            <w:r>
              <w:rPr>
                <w:rFonts w:hint="eastAsia"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t>100</w:t>
            </w:r>
          </w:p>
        </w:tc>
        <w:tc>
          <w:tcPr>
            <w:tcW w:w="500" w:type="pct"/>
            <w:noWrap/>
            <w:vAlign w:val="center"/>
          </w:tcPr>
          <w:p w14:paraId="6C11E00B">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pPr>
            <w:r>
              <w:rPr>
                <w:rFonts w:hint="eastAsia"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t>13.6</w:t>
            </w:r>
          </w:p>
        </w:tc>
      </w:tr>
      <w:tr w14:paraId="3927B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6" w:type="dxa"/>
            <w:noWrap/>
            <w:vAlign w:val="center"/>
          </w:tcPr>
          <w:p w14:paraId="4B8786F6">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pPr>
            <w:r>
              <w:rPr>
                <w:rFonts w:hint="eastAsia"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t>TM04</w:t>
            </w:r>
          </w:p>
        </w:tc>
        <w:tc>
          <w:tcPr>
            <w:tcW w:w="1092" w:type="dxa"/>
            <w:noWrap/>
            <w:vAlign w:val="center"/>
          </w:tcPr>
          <w:p w14:paraId="05C8080C">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pPr>
            <w:r>
              <w:rPr>
                <w:rFonts w:hint="eastAsia"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t>750</w:t>
            </w:r>
            <w:r>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t>～</w:t>
            </w:r>
            <w:r>
              <w:rPr>
                <w:rFonts w:hint="eastAsia"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t>900</w:t>
            </w:r>
          </w:p>
        </w:tc>
        <w:tc>
          <w:tcPr>
            <w:tcW w:w="342" w:type="pct"/>
            <w:noWrap/>
            <w:vAlign w:val="center"/>
          </w:tcPr>
          <w:p w14:paraId="68690860">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pPr>
            <w:r>
              <w:rPr>
                <w:rFonts w:hint="eastAsia"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t>100</w:t>
            </w:r>
          </w:p>
        </w:tc>
        <w:tc>
          <w:tcPr>
            <w:tcW w:w="536" w:type="pct"/>
            <w:noWrap/>
            <w:vAlign w:val="center"/>
          </w:tcPr>
          <w:p w14:paraId="756FCE25">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pPr>
            <w:r>
              <w:rPr>
                <w:rFonts w:hint="eastAsia"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t>821</w:t>
            </w:r>
          </w:p>
        </w:tc>
        <w:tc>
          <w:tcPr>
            <w:tcW w:w="1159" w:type="dxa"/>
            <w:noWrap/>
            <w:vAlign w:val="center"/>
          </w:tcPr>
          <w:p w14:paraId="03E161F0">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pPr>
            <w:r>
              <w:rPr>
                <w:rFonts w:hint="eastAsia"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t>230</w:t>
            </w:r>
            <w:r>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t>～</w:t>
            </w:r>
            <w:r>
              <w:rPr>
                <w:rFonts w:hint="eastAsia"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t>300</w:t>
            </w:r>
          </w:p>
        </w:tc>
        <w:tc>
          <w:tcPr>
            <w:tcW w:w="342" w:type="pct"/>
            <w:noWrap/>
            <w:vAlign w:val="center"/>
          </w:tcPr>
          <w:p w14:paraId="524917E4">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pPr>
            <w:r>
              <w:rPr>
                <w:rFonts w:hint="eastAsia"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t>100</w:t>
            </w:r>
          </w:p>
        </w:tc>
        <w:tc>
          <w:tcPr>
            <w:tcW w:w="693" w:type="pct"/>
            <w:noWrap/>
            <w:vAlign w:val="center"/>
          </w:tcPr>
          <w:p w14:paraId="30ED3407">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pPr>
            <w:r>
              <w:rPr>
                <w:rFonts w:hint="eastAsia"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t>271</w:t>
            </w:r>
          </w:p>
        </w:tc>
        <w:tc>
          <w:tcPr>
            <w:tcW w:w="966" w:type="dxa"/>
            <w:shd w:val="clear" w:color="auto" w:fill="auto"/>
            <w:noWrap/>
            <w:vAlign w:val="center"/>
          </w:tcPr>
          <w:p w14:paraId="466D5BA7">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pPr>
            <w:r>
              <w:rPr>
                <w:rFonts w:hint="eastAsia"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t>≥8</w:t>
            </w:r>
          </w:p>
        </w:tc>
        <w:tc>
          <w:tcPr>
            <w:tcW w:w="491" w:type="pct"/>
            <w:shd w:val="clear" w:color="auto" w:fill="auto"/>
            <w:noWrap/>
            <w:vAlign w:val="center"/>
          </w:tcPr>
          <w:p w14:paraId="63E04B1D">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pPr>
            <w:r>
              <w:rPr>
                <w:rFonts w:hint="eastAsia"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t>100</w:t>
            </w:r>
          </w:p>
        </w:tc>
        <w:tc>
          <w:tcPr>
            <w:tcW w:w="500" w:type="pct"/>
            <w:noWrap/>
            <w:vAlign w:val="center"/>
          </w:tcPr>
          <w:p w14:paraId="74601FAC">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pPr>
            <w:r>
              <w:rPr>
                <w:rFonts w:hint="eastAsia"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t>9.2</w:t>
            </w:r>
          </w:p>
        </w:tc>
      </w:tr>
    </w:tbl>
    <w:p w14:paraId="7F76372A">
      <w:pPr>
        <w:spacing w:beforeLines="100"/>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drawing>
          <wp:inline distT="0" distB="0" distL="114300" distR="114300">
            <wp:extent cx="2752725" cy="1835150"/>
            <wp:effectExtent l="0" t="0" r="9525" b="1270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4"/>
                    <a:stretch>
                      <a:fillRect/>
                    </a:stretch>
                  </pic:blipFill>
                  <pic:spPr>
                    <a:xfrm>
                      <a:off x="0" y="0"/>
                      <a:ext cx="2752725" cy="1835150"/>
                    </a:xfrm>
                    <a:prstGeom prst="rect">
                      <a:avLst/>
                    </a:prstGeom>
                    <a:noFill/>
                    <a:ln>
                      <a:noFill/>
                    </a:ln>
                  </pic:spPr>
                </pic:pic>
              </a:graphicData>
            </a:graphic>
          </wp:inline>
        </w:drawing>
      </w:r>
      <w:r>
        <w:rPr>
          <w:rFonts w:hint="eastAsia"/>
          <w:lang w:val="en-US" w:eastAsia="zh-CN"/>
        </w:rPr>
        <w:t xml:space="preserve"> </w:t>
      </w:r>
      <w:r>
        <w:drawing>
          <wp:inline distT="0" distB="0" distL="114300" distR="114300">
            <wp:extent cx="2743835" cy="1829435"/>
            <wp:effectExtent l="0" t="0" r="18415" b="1841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5"/>
                    <a:stretch>
                      <a:fillRect/>
                    </a:stretch>
                  </pic:blipFill>
                  <pic:spPr>
                    <a:xfrm>
                      <a:off x="0" y="0"/>
                      <a:ext cx="2743835" cy="1829435"/>
                    </a:xfrm>
                    <a:prstGeom prst="rect">
                      <a:avLst/>
                    </a:prstGeom>
                    <a:noFill/>
                    <a:ln>
                      <a:noFill/>
                    </a:ln>
                  </pic:spPr>
                </pic:pic>
              </a:graphicData>
            </a:graphic>
          </wp:inline>
        </w:drawing>
      </w:r>
      <w:r>
        <w:drawing>
          <wp:inline distT="0" distB="0" distL="114300" distR="114300">
            <wp:extent cx="2894965" cy="1930400"/>
            <wp:effectExtent l="0" t="0" r="635" b="12700"/>
            <wp:docPr id="1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6"/>
                    <pic:cNvPicPr>
                      <a:picLocks noChangeAspect="1"/>
                    </pic:cNvPicPr>
                  </pic:nvPicPr>
                  <pic:blipFill>
                    <a:blip r:embed="rId16"/>
                    <a:stretch>
                      <a:fillRect/>
                    </a:stretch>
                  </pic:blipFill>
                  <pic:spPr>
                    <a:xfrm>
                      <a:off x="0" y="0"/>
                      <a:ext cx="2894965" cy="1930400"/>
                    </a:xfrm>
                    <a:prstGeom prst="rect">
                      <a:avLst/>
                    </a:prstGeom>
                    <a:noFill/>
                    <a:ln>
                      <a:noFill/>
                    </a:ln>
                  </pic:spPr>
                </pic:pic>
              </a:graphicData>
            </a:graphic>
          </wp:inline>
        </w:drawing>
      </w:r>
    </w:p>
    <w:p w14:paraId="2BA16784">
      <w:pPr>
        <w:pStyle w:val="9"/>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default"/>
        </w:rPr>
      </w:pPr>
      <w:r>
        <w:rPr>
          <w:rFonts w:hint="default" w:ascii="Times New Roman" w:hAnsi="Times New Roman" w:eastAsia="宋体" w:cs="Times New Roman"/>
          <w:b w:val="0"/>
          <w:bCs/>
          <w:color w:val="000000" w:themeColor="text1"/>
          <w:highlight w:val="none"/>
          <w14:textFill>
            <w14:solidFill>
              <w14:schemeClr w14:val="tx1"/>
            </w14:solidFill>
          </w14:textFill>
        </w:rPr>
        <w:t xml:space="preserve">图 </w:t>
      </w:r>
      <w:r>
        <w:rPr>
          <w:rFonts w:hint="eastAsia" w:ascii="Times New Roman" w:hAnsi="Times New Roman" w:cs="Times New Roman"/>
          <w:b w:val="0"/>
          <w:bCs/>
          <w:color w:val="000000" w:themeColor="text1"/>
          <w:highlight w:val="none"/>
          <w:lang w:val="en-US" w:eastAsia="zh-CN"/>
          <w14:textFill>
            <w14:solidFill>
              <w14:schemeClr w14:val="tx1"/>
            </w14:solidFill>
          </w14:textFill>
        </w:rPr>
        <w:t xml:space="preserve">4 </w:t>
      </w:r>
      <w:r>
        <w:rPr>
          <w:rFonts w:hint="default" w:ascii="Times New Roman" w:hAnsi="Times New Roman" w:eastAsia="宋体" w:cs="Times New Roman"/>
          <w:b w:val="0"/>
          <w:bCs/>
          <w:color w:val="000000" w:themeColor="text1"/>
          <w:highlight w:val="none"/>
          <w14:textFill>
            <w14:solidFill>
              <w14:schemeClr w14:val="tx1"/>
            </w14:solidFill>
          </w14:textFill>
        </w:rPr>
        <w:t xml:space="preserve"> </w:t>
      </w:r>
      <w:r>
        <w:rPr>
          <w:rFonts w:hint="eastAsia" w:ascii="Times New Roman" w:hAnsi="Times New Roman" w:cs="Times New Roman"/>
          <w:b w:val="0"/>
          <w:bCs/>
          <w:color w:val="000000" w:themeColor="text1"/>
          <w:highlight w:val="none"/>
          <w:lang w:val="en-US" w:eastAsia="zh-CN"/>
          <w14:textFill>
            <w14:solidFill>
              <w14:schemeClr w14:val="tx1"/>
            </w14:solidFill>
          </w14:textFill>
        </w:rPr>
        <w:t>TM01、TM02和TM04</w:t>
      </w:r>
      <w:r>
        <w:rPr>
          <w:rFonts w:hint="default" w:ascii="Times New Roman" w:hAnsi="Times New Roman" w:eastAsia="宋体" w:cs="Times New Roman"/>
          <w:b w:val="0"/>
          <w:bCs/>
          <w:color w:val="000000" w:themeColor="text1"/>
          <w:highlight w:val="none"/>
          <w14:textFill>
            <w14:solidFill>
              <w14:schemeClr w14:val="tx1"/>
            </w14:solidFill>
          </w14:textFill>
        </w:rPr>
        <w:t>状态下抗拉强度直方图</w:t>
      </w:r>
    </w:p>
    <w:p w14:paraId="03871063">
      <w:pPr>
        <w:pStyle w:val="2"/>
        <w:keepNext w:val="0"/>
        <w:keepLines w:val="0"/>
        <w:pageBreakBefore w:val="0"/>
        <w:widowControl w:val="0"/>
        <w:kinsoku/>
        <w:wordWrap/>
        <w:overflowPunct/>
        <w:topLinePunct w:val="0"/>
        <w:autoSpaceDE/>
        <w:autoSpaceDN/>
        <w:bidi w:val="0"/>
        <w:adjustRightInd/>
        <w:snapToGrid/>
        <w:spacing w:before="157" w:beforeLines="50" w:after="0" w:line="360" w:lineRule="auto"/>
        <w:ind w:firstLine="420" w:firstLineChars="200"/>
        <w:jc w:val="center"/>
        <w:textAlignment w:val="auto"/>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drawing>
          <wp:inline distT="0" distB="0" distL="114300" distR="114300">
            <wp:extent cx="2675255" cy="1784350"/>
            <wp:effectExtent l="0" t="0" r="10795"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7"/>
                    <a:stretch>
                      <a:fillRect/>
                    </a:stretch>
                  </pic:blipFill>
                  <pic:spPr>
                    <a:xfrm>
                      <a:off x="0" y="0"/>
                      <a:ext cx="2675255" cy="1784350"/>
                    </a:xfrm>
                    <a:prstGeom prst="rect">
                      <a:avLst/>
                    </a:prstGeom>
                    <a:noFill/>
                    <a:ln>
                      <a:noFill/>
                    </a:ln>
                  </pic:spPr>
                </pic:pic>
              </a:graphicData>
            </a:graphic>
          </wp:inline>
        </w:drawing>
      </w:r>
      <w:r>
        <w:rPr>
          <w:rFonts w:hint="eastAsia"/>
          <w:lang w:val="en-US" w:eastAsia="zh-CN"/>
        </w:rPr>
        <w:t xml:space="preserve"> </w:t>
      </w:r>
      <w:r>
        <w:drawing>
          <wp:inline distT="0" distB="0" distL="114300" distR="114300">
            <wp:extent cx="2686050" cy="17907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8"/>
                    <a:stretch>
                      <a:fillRect/>
                    </a:stretch>
                  </pic:blipFill>
                  <pic:spPr>
                    <a:xfrm>
                      <a:off x="0" y="0"/>
                      <a:ext cx="2686050" cy="1790700"/>
                    </a:xfrm>
                    <a:prstGeom prst="rect">
                      <a:avLst/>
                    </a:prstGeom>
                    <a:noFill/>
                    <a:ln>
                      <a:noFill/>
                    </a:ln>
                  </pic:spPr>
                </pic:pic>
              </a:graphicData>
            </a:graphic>
          </wp:inline>
        </w:drawing>
      </w:r>
      <w:r>
        <w:drawing>
          <wp:inline distT="0" distB="0" distL="114300" distR="114300">
            <wp:extent cx="2682240" cy="1788160"/>
            <wp:effectExtent l="0" t="0" r="3810" b="2540"/>
            <wp:docPr id="1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7"/>
                    <pic:cNvPicPr>
                      <a:picLocks noChangeAspect="1"/>
                    </pic:cNvPicPr>
                  </pic:nvPicPr>
                  <pic:blipFill>
                    <a:blip r:embed="rId19"/>
                    <a:stretch>
                      <a:fillRect/>
                    </a:stretch>
                  </pic:blipFill>
                  <pic:spPr>
                    <a:xfrm>
                      <a:off x="0" y="0"/>
                      <a:ext cx="2682240" cy="1788160"/>
                    </a:xfrm>
                    <a:prstGeom prst="rect">
                      <a:avLst/>
                    </a:prstGeom>
                    <a:noFill/>
                    <a:ln>
                      <a:noFill/>
                    </a:ln>
                  </pic:spPr>
                </pic:pic>
              </a:graphicData>
            </a:graphic>
          </wp:inline>
        </w:drawing>
      </w:r>
    </w:p>
    <w:p w14:paraId="62F22DD9">
      <w:pPr>
        <w:pStyle w:val="9"/>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 xml:space="preserve">图 </w:t>
      </w:r>
      <w:r>
        <w:rPr>
          <w:rFonts w:hint="eastAsia" w:ascii="Times New Roman" w:hAnsi="Times New Roman" w:cs="Times New Roman"/>
          <w:b w:val="0"/>
          <w:bCs/>
          <w:color w:val="000000" w:themeColor="text1"/>
          <w:highlight w:val="none"/>
          <w:lang w:val="en-US" w:eastAsia="zh-CN"/>
          <w14:textFill>
            <w14:solidFill>
              <w14:schemeClr w14:val="tx1"/>
            </w14:solidFill>
          </w14:textFill>
        </w:rPr>
        <w:t xml:space="preserve">5 </w:t>
      </w:r>
      <w:r>
        <w:rPr>
          <w:rFonts w:hint="default" w:ascii="Times New Roman" w:hAnsi="Times New Roman" w:eastAsia="宋体" w:cs="Times New Roman"/>
          <w:b w:val="0"/>
          <w:bCs/>
          <w:color w:val="000000" w:themeColor="text1"/>
          <w:highlight w:val="none"/>
          <w14:textFill>
            <w14:solidFill>
              <w14:schemeClr w14:val="tx1"/>
            </w14:solidFill>
          </w14:textFill>
        </w:rPr>
        <w:t xml:space="preserve"> </w:t>
      </w:r>
      <w:r>
        <w:rPr>
          <w:rFonts w:hint="eastAsia" w:ascii="Times New Roman" w:hAnsi="Times New Roman" w:cs="Times New Roman"/>
          <w:b w:val="0"/>
          <w:bCs/>
          <w:color w:val="000000" w:themeColor="text1"/>
          <w:highlight w:val="none"/>
          <w:lang w:val="en-US" w:eastAsia="zh-CN"/>
          <w14:textFill>
            <w14:solidFill>
              <w14:schemeClr w14:val="tx1"/>
            </w14:solidFill>
          </w14:textFill>
        </w:rPr>
        <w:t>TM01、TM02和TM04</w:t>
      </w:r>
      <w:r>
        <w:rPr>
          <w:rFonts w:hint="default" w:ascii="Times New Roman" w:hAnsi="Times New Roman" w:eastAsia="宋体" w:cs="Times New Roman"/>
          <w:b w:val="0"/>
          <w:bCs/>
          <w:color w:val="000000" w:themeColor="text1"/>
          <w:highlight w:val="none"/>
          <w14:textFill>
            <w14:solidFill>
              <w14:schemeClr w14:val="tx1"/>
            </w14:solidFill>
          </w14:textFill>
        </w:rPr>
        <w:t>状态下维氏硬度直方图</w:t>
      </w:r>
    </w:p>
    <w:p w14:paraId="4507F575">
      <w:pPr>
        <w:jc w:val="center"/>
      </w:pPr>
      <w:r>
        <w:drawing>
          <wp:inline distT="0" distB="0" distL="114300" distR="114300">
            <wp:extent cx="2586355" cy="1724660"/>
            <wp:effectExtent l="0" t="0" r="4445" b="889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20"/>
                    <a:stretch>
                      <a:fillRect/>
                    </a:stretch>
                  </pic:blipFill>
                  <pic:spPr>
                    <a:xfrm>
                      <a:off x="0" y="0"/>
                      <a:ext cx="2586355" cy="1724660"/>
                    </a:xfrm>
                    <a:prstGeom prst="rect">
                      <a:avLst/>
                    </a:prstGeom>
                    <a:noFill/>
                    <a:ln>
                      <a:noFill/>
                    </a:ln>
                  </pic:spPr>
                </pic:pic>
              </a:graphicData>
            </a:graphic>
          </wp:inline>
        </w:drawing>
      </w:r>
      <w:r>
        <w:rPr>
          <w:rFonts w:hint="eastAsia"/>
          <w:lang w:val="en-US" w:eastAsia="zh-CN"/>
        </w:rPr>
        <w:t xml:space="preserve"> </w:t>
      </w:r>
      <w:r>
        <w:drawing>
          <wp:inline distT="0" distB="0" distL="114300" distR="114300">
            <wp:extent cx="2590165" cy="1727200"/>
            <wp:effectExtent l="0" t="0" r="635" b="635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21"/>
                    <a:stretch>
                      <a:fillRect/>
                    </a:stretch>
                  </pic:blipFill>
                  <pic:spPr>
                    <a:xfrm>
                      <a:off x="0" y="0"/>
                      <a:ext cx="2590165" cy="1727200"/>
                    </a:xfrm>
                    <a:prstGeom prst="rect">
                      <a:avLst/>
                    </a:prstGeom>
                    <a:noFill/>
                    <a:ln>
                      <a:noFill/>
                    </a:ln>
                  </pic:spPr>
                </pic:pic>
              </a:graphicData>
            </a:graphic>
          </wp:inline>
        </w:drawing>
      </w:r>
      <w:r>
        <w:drawing>
          <wp:inline distT="0" distB="0" distL="114300" distR="114300">
            <wp:extent cx="2512060" cy="1675130"/>
            <wp:effectExtent l="0" t="0" r="2540" b="1270"/>
            <wp:docPr id="20"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8"/>
                    <pic:cNvPicPr>
                      <a:picLocks noChangeAspect="1"/>
                    </pic:cNvPicPr>
                  </pic:nvPicPr>
                  <pic:blipFill>
                    <a:blip r:embed="rId22">
                      <a:lum bright="-6000"/>
                    </a:blip>
                    <a:stretch>
                      <a:fillRect/>
                    </a:stretch>
                  </pic:blipFill>
                  <pic:spPr>
                    <a:xfrm>
                      <a:off x="0" y="0"/>
                      <a:ext cx="2512060" cy="1675130"/>
                    </a:xfrm>
                    <a:prstGeom prst="rect">
                      <a:avLst/>
                    </a:prstGeom>
                    <a:noFill/>
                    <a:ln>
                      <a:noFill/>
                    </a:ln>
                  </pic:spPr>
                </pic:pic>
              </a:graphicData>
            </a:graphic>
          </wp:inline>
        </w:drawing>
      </w:r>
    </w:p>
    <w:p w14:paraId="327A3639">
      <w:pPr>
        <w:pStyle w:val="9"/>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default"/>
        </w:rPr>
      </w:pPr>
      <w:r>
        <w:rPr>
          <w:rFonts w:hint="default" w:ascii="Times New Roman" w:hAnsi="Times New Roman" w:eastAsia="宋体" w:cs="Times New Roman"/>
          <w:b w:val="0"/>
          <w:bCs/>
          <w:color w:val="000000" w:themeColor="text1"/>
          <w:highlight w:val="none"/>
          <w14:textFill>
            <w14:solidFill>
              <w14:schemeClr w14:val="tx1"/>
            </w14:solidFill>
          </w14:textFill>
        </w:rPr>
        <w:t>图</w:t>
      </w:r>
      <w:r>
        <w:rPr>
          <w:rFonts w:hint="eastAsia" w:ascii="Times New Roman" w:hAnsi="Times New Roman" w:cs="Times New Roman"/>
          <w:b w:val="0"/>
          <w:bCs/>
          <w:color w:val="000000" w:themeColor="text1"/>
          <w:highlight w:val="none"/>
          <w:lang w:val="en-US" w:eastAsia="zh-CN"/>
          <w14:textFill>
            <w14:solidFill>
              <w14:schemeClr w14:val="tx1"/>
            </w14:solidFill>
          </w14:textFill>
        </w:rPr>
        <w:t>6  TM01、TM02和TM04</w:t>
      </w:r>
      <w:r>
        <w:rPr>
          <w:rFonts w:hint="default" w:ascii="Times New Roman" w:hAnsi="Times New Roman" w:eastAsia="宋体" w:cs="Times New Roman"/>
          <w:b w:val="0"/>
          <w:bCs/>
          <w:color w:val="000000" w:themeColor="text1"/>
          <w:highlight w:val="none"/>
          <w14:textFill>
            <w14:solidFill>
              <w14:schemeClr w14:val="tx1"/>
            </w14:solidFill>
          </w14:textFill>
        </w:rPr>
        <w:t>状态下断后伸长率直方图</w:t>
      </w:r>
    </w:p>
    <w:p w14:paraId="475E3BF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因此，经过以上验证分析，Cu9Ni6Sn力学性能确定如下：</w:t>
      </w:r>
    </w:p>
    <w:p w14:paraId="22A5B5E8">
      <w:pPr>
        <w:pStyle w:val="9"/>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表</w:t>
      </w:r>
      <w:r>
        <w:rPr>
          <w:rFonts w:hint="eastAsia" w:ascii="Times New Roman" w:hAnsi="Times New Roman" w:cs="Times New Roman"/>
          <w:b w:val="0"/>
          <w:bCs/>
          <w:color w:val="000000" w:themeColor="text1"/>
          <w:highlight w:val="none"/>
          <w:lang w:val="en-US" w:eastAsia="zh-CN"/>
          <w14:textFill>
            <w14:solidFill>
              <w14:schemeClr w14:val="tx1"/>
            </w14:solidFill>
          </w14:textFill>
        </w:rPr>
        <w:t>6</w:t>
      </w:r>
      <w:r>
        <w:rPr>
          <w:rFonts w:hint="default" w:ascii="Times New Roman" w:hAnsi="Times New Roman" w:eastAsia="宋体" w:cs="Times New Roman"/>
          <w:b w:val="0"/>
          <w:bCs/>
          <w:color w:val="000000" w:themeColor="text1"/>
          <w:highlight w:val="none"/>
          <w14:textFill>
            <w14:solidFill>
              <w14:schemeClr w14:val="tx1"/>
            </w14:solidFill>
          </w14:textFill>
        </w:rPr>
        <w:t xml:space="preserve"> Cu9Ni6Sn力学性能</w:t>
      </w:r>
    </w:p>
    <w:tbl>
      <w:tblPr>
        <w:tblStyle w:val="20"/>
        <w:tblW w:w="503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2"/>
        <w:gridCol w:w="868"/>
        <w:gridCol w:w="1383"/>
        <w:gridCol w:w="872"/>
        <w:gridCol w:w="1170"/>
        <w:gridCol w:w="1042"/>
        <w:gridCol w:w="1816"/>
        <w:gridCol w:w="1102"/>
      </w:tblGrid>
      <w:tr w14:paraId="603B1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588" w:type="pct"/>
            <w:noWrap/>
            <w:vAlign w:val="center"/>
          </w:tcPr>
          <w:p w14:paraId="53CDFC19">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lang w:val="en-US" w:eastAsia="zh-CN" w:bidi="ar-SA"/>
                <w14:textFill>
                  <w14:solidFill>
                    <w14:schemeClr w14:val="tx1"/>
                  </w14:solidFill>
                </w14:textFill>
              </w:rPr>
              <w:t>牌号</w:t>
            </w:r>
          </w:p>
        </w:tc>
        <w:tc>
          <w:tcPr>
            <w:tcW w:w="463" w:type="pct"/>
            <w:noWrap/>
            <w:vAlign w:val="center"/>
          </w:tcPr>
          <w:p w14:paraId="496D09D7">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lang w:val="en-US" w:eastAsia="zh-CN" w:bidi="ar-SA"/>
                <w14:textFill>
                  <w14:solidFill>
                    <w14:schemeClr w14:val="tx1"/>
                  </w14:solidFill>
                </w14:textFill>
              </w:rPr>
              <w:t>状态</w:t>
            </w:r>
          </w:p>
        </w:tc>
        <w:tc>
          <w:tcPr>
            <w:tcW w:w="739" w:type="pct"/>
            <w:noWrap/>
            <w:vAlign w:val="center"/>
          </w:tcPr>
          <w:p w14:paraId="1257743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lang w:val="en-US" w:eastAsia="zh-CN" w:bidi="ar-SA"/>
                <w14:textFill>
                  <w14:solidFill>
                    <w14:schemeClr w14:val="tx1"/>
                  </w14:solidFill>
                </w14:textFill>
              </w:rPr>
              <w:t>抗拉强度Rm</w:t>
            </w:r>
          </w:p>
          <w:p w14:paraId="44ADB50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lang w:val="en-US" w:eastAsia="zh-CN" w:bidi="ar-SA"/>
                <w14:textFill>
                  <w14:solidFill>
                    <w14:schemeClr w14:val="tx1"/>
                  </w14:solidFill>
                </w14:textFill>
              </w:rPr>
              <w:t>MPa</w:t>
            </w:r>
          </w:p>
        </w:tc>
        <w:tc>
          <w:tcPr>
            <w:tcW w:w="466" w:type="pct"/>
            <w:noWrap/>
            <w:vAlign w:val="center"/>
          </w:tcPr>
          <w:p w14:paraId="13E28FE6">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 w:val="0"/>
                <w:bCs/>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lang w:val="en-US" w:eastAsia="zh-CN" w:bidi="ar-SA"/>
                <w14:textFill>
                  <w14:solidFill>
                    <w14:schemeClr w14:val="tx1"/>
                  </w14:solidFill>
                </w14:textFill>
              </w:rPr>
              <w:t>合格率</w:t>
            </w:r>
          </w:p>
          <w:p w14:paraId="4929CCB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 w:val="0"/>
                <w:bCs/>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lang w:val="en-US" w:eastAsia="zh-CN" w:bidi="ar-SA"/>
                <w14:textFill>
                  <w14:solidFill>
                    <w14:schemeClr w14:val="tx1"/>
                  </w14:solidFill>
                </w14:textFill>
              </w:rPr>
              <w:t>%</w:t>
            </w:r>
          </w:p>
        </w:tc>
        <w:tc>
          <w:tcPr>
            <w:tcW w:w="625" w:type="pct"/>
            <w:noWrap/>
            <w:vAlign w:val="center"/>
          </w:tcPr>
          <w:p w14:paraId="2DF1B31B">
            <w:pPr>
              <w:pStyle w:val="18"/>
              <w:keepNext w:val="0"/>
              <w:keepLines w:val="0"/>
              <w:pageBreakBefore w:val="0"/>
              <w:widowControl w:val="0"/>
              <w:kinsoku/>
              <w:wordWrap/>
              <w:overflowPunct/>
              <w:topLinePunct w:val="0"/>
              <w:autoSpaceDE/>
              <w:autoSpaceDN/>
              <w:bidi w:val="0"/>
              <w:adjustRightInd/>
              <w:snapToGrid w:val="0"/>
              <w:spacing w:after="0" w:line="240" w:lineRule="auto"/>
              <w:ind w:firstLine="0" w:firstLineChars="0"/>
              <w:jc w:val="center"/>
              <w:textAlignment w:val="auto"/>
              <w:rPr>
                <w:rFonts w:hint="default" w:ascii="Times New Roman" w:hAnsi="Times New Roman" w:eastAsia="宋体" w:cs="Times New Roman"/>
                <w:b w:val="0"/>
                <w:bCs/>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lang w:val="en-US" w:eastAsia="zh-CN" w:bidi="ar-SA"/>
                <w14:textFill>
                  <w14:solidFill>
                    <w14:schemeClr w14:val="tx1"/>
                  </w14:solidFill>
                </w14:textFill>
              </w:rPr>
              <w:t>维氏硬度</w:t>
            </w:r>
          </w:p>
          <w:p w14:paraId="0D078CEA">
            <w:pPr>
              <w:pStyle w:val="18"/>
              <w:keepNext w:val="0"/>
              <w:keepLines w:val="0"/>
              <w:pageBreakBefore w:val="0"/>
              <w:widowControl w:val="0"/>
              <w:kinsoku/>
              <w:wordWrap/>
              <w:overflowPunct/>
              <w:topLinePunct w:val="0"/>
              <w:autoSpaceDE/>
              <w:autoSpaceDN/>
              <w:bidi w:val="0"/>
              <w:adjustRightInd/>
              <w:snapToGrid w:val="0"/>
              <w:spacing w:after="0" w:line="240" w:lineRule="auto"/>
              <w:ind w:firstLine="0" w:firstLineChars="0"/>
              <w:jc w:val="center"/>
              <w:textAlignment w:val="auto"/>
              <w:rPr>
                <w:rFonts w:hint="default" w:ascii="Times New Roman" w:hAnsi="Times New Roman" w:eastAsia="宋体" w:cs="Times New Roman"/>
                <w:b w:val="0"/>
                <w:bCs/>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lang w:val="en-US" w:eastAsia="zh-CN" w:bidi="ar-SA"/>
                <w14:textFill>
                  <w14:solidFill>
                    <w14:schemeClr w14:val="tx1"/>
                  </w14:solidFill>
                </w14:textFill>
              </w:rPr>
              <w:t>HV</w:t>
            </w:r>
          </w:p>
        </w:tc>
        <w:tc>
          <w:tcPr>
            <w:tcW w:w="556" w:type="pct"/>
            <w:noWrap/>
            <w:vAlign w:val="center"/>
          </w:tcPr>
          <w:p w14:paraId="20A7099B">
            <w:pPr>
              <w:pStyle w:val="18"/>
              <w:keepNext w:val="0"/>
              <w:keepLines w:val="0"/>
              <w:pageBreakBefore w:val="0"/>
              <w:widowControl w:val="0"/>
              <w:kinsoku/>
              <w:wordWrap/>
              <w:overflowPunct/>
              <w:topLinePunct w:val="0"/>
              <w:autoSpaceDE/>
              <w:autoSpaceDN/>
              <w:bidi w:val="0"/>
              <w:adjustRightInd/>
              <w:snapToGrid w:val="0"/>
              <w:spacing w:after="0" w:line="240" w:lineRule="auto"/>
              <w:ind w:firstLine="0" w:firstLineChars="0"/>
              <w:jc w:val="center"/>
              <w:textAlignment w:val="auto"/>
              <w:rPr>
                <w:rFonts w:hint="default" w:ascii="Times New Roman" w:hAnsi="Times New Roman" w:eastAsia="宋体" w:cs="Times New Roman"/>
                <w:b w:val="0"/>
                <w:bCs/>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lang w:val="en-US" w:eastAsia="zh-CN" w:bidi="ar-SA"/>
                <w14:textFill>
                  <w14:solidFill>
                    <w14:schemeClr w14:val="tx1"/>
                  </w14:solidFill>
                </w14:textFill>
              </w:rPr>
              <w:t>合格率</w:t>
            </w:r>
          </w:p>
          <w:p w14:paraId="2368A180">
            <w:pPr>
              <w:pStyle w:val="18"/>
              <w:keepNext w:val="0"/>
              <w:keepLines w:val="0"/>
              <w:pageBreakBefore w:val="0"/>
              <w:widowControl w:val="0"/>
              <w:kinsoku/>
              <w:wordWrap/>
              <w:overflowPunct/>
              <w:topLinePunct w:val="0"/>
              <w:autoSpaceDE/>
              <w:autoSpaceDN/>
              <w:bidi w:val="0"/>
              <w:adjustRightInd/>
              <w:snapToGrid w:val="0"/>
              <w:spacing w:after="0" w:line="240" w:lineRule="auto"/>
              <w:ind w:firstLine="0" w:firstLineChars="0"/>
              <w:jc w:val="center"/>
              <w:textAlignment w:val="auto"/>
              <w:rPr>
                <w:rFonts w:hint="default" w:ascii="Times New Roman" w:hAnsi="Times New Roman" w:eastAsia="宋体" w:cs="Times New Roman"/>
                <w:b w:val="0"/>
                <w:bCs/>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lang w:val="en-US" w:eastAsia="zh-CN" w:bidi="ar-SA"/>
                <w14:textFill>
                  <w14:solidFill>
                    <w14:schemeClr w14:val="tx1"/>
                  </w14:solidFill>
                </w14:textFill>
              </w:rPr>
              <w:t>%</w:t>
            </w:r>
          </w:p>
        </w:tc>
        <w:tc>
          <w:tcPr>
            <w:tcW w:w="970" w:type="pct"/>
            <w:noWrap/>
            <w:vAlign w:val="center"/>
          </w:tcPr>
          <w:p w14:paraId="3F6F5E7A">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27"/>
                <w:position w:val="15"/>
                <w:sz w:val="21"/>
                <w:szCs w:val="21"/>
              </w:rPr>
            </w:pPr>
            <w:r>
              <w:rPr>
                <w:rFonts w:hint="default" w:ascii="Times New Roman" w:hAnsi="Times New Roman" w:eastAsia="宋体" w:cs="Times New Roman"/>
                <w:spacing w:val="27"/>
                <w:position w:val="15"/>
                <w:sz w:val="21"/>
                <w:szCs w:val="21"/>
              </w:rPr>
              <w:t>断后伸长A</w:t>
            </w:r>
            <w:r>
              <w:rPr>
                <w:rFonts w:hint="default" w:ascii="Times New Roman" w:hAnsi="Times New Roman" w:eastAsia="宋体" w:cs="Times New Roman"/>
                <w:spacing w:val="0"/>
                <w:position w:val="14"/>
                <w:sz w:val="21"/>
                <w:szCs w:val="21"/>
                <w:vertAlign w:val="subscript"/>
                <w:lang w:val="en-US" w:eastAsia="zh-CN"/>
              </w:rPr>
              <w:t>1</w:t>
            </w:r>
            <w:r>
              <w:rPr>
                <w:rFonts w:hint="default" w:ascii="Times New Roman" w:hAnsi="Times New Roman" w:eastAsia="宋体" w:cs="Times New Roman"/>
                <w:spacing w:val="0"/>
                <w:position w:val="14"/>
                <w:sz w:val="21"/>
                <w:szCs w:val="21"/>
                <w:vertAlign w:val="subscript"/>
              </w:rPr>
              <w:t>1.3</w:t>
            </w:r>
          </w:p>
          <w:p w14:paraId="3125B032">
            <w:pPr>
              <w:pStyle w:val="18"/>
              <w:keepNext w:val="0"/>
              <w:keepLines w:val="0"/>
              <w:pageBreakBefore w:val="0"/>
              <w:widowControl w:val="0"/>
              <w:kinsoku/>
              <w:wordWrap/>
              <w:overflowPunct/>
              <w:topLinePunct w:val="0"/>
              <w:autoSpaceDE/>
              <w:autoSpaceDN/>
              <w:bidi w:val="0"/>
              <w:adjustRightInd/>
              <w:snapToGrid w:val="0"/>
              <w:spacing w:after="0" w:line="240" w:lineRule="auto"/>
              <w:ind w:firstLine="0" w:firstLineChars="0"/>
              <w:jc w:val="center"/>
              <w:textAlignment w:val="auto"/>
              <w:rPr>
                <w:rFonts w:hint="default" w:ascii="Times New Roman" w:hAnsi="Times New Roman" w:eastAsia="宋体" w:cs="Times New Roman"/>
                <w:b w:val="0"/>
                <w:bCs/>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position w:val="2"/>
                <w:sz w:val="21"/>
                <w:szCs w:val="21"/>
              </w:rPr>
              <w:t>%</w:t>
            </w:r>
          </w:p>
        </w:tc>
        <w:tc>
          <w:tcPr>
            <w:tcW w:w="588" w:type="pct"/>
            <w:noWrap/>
            <w:vAlign w:val="center"/>
          </w:tcPr>
          <w:p w14:paraId="5D91DA73">
            <w:pPr>
              <w:pStyle w:val="18"/>
              <w:keepNext w:val="0"/>
              <w:keepLines w:val="0"/>
              <w:pageBreakBefore w:val="0"/>
              <w:widowControl w:val="0"/>
              <w:kinsoku/>
              <w:wordWrap/>
              <w:overflowPunct/>
              <w:topLinePunct w:val="0"/>
              <w:autoSpaceDE/>
              <w:autoSpaceDN/>
              <w:bidi w:val="0"/>
              <w:adjustRightInd/>
              <w:snapToGrid w:val="0"/>
              <w:spacing w:after="0" w:line="240" w:lineRule="auto"/>
              <w:ind w:firstLine="0" w:firstLineChars="0"/>
              <w:jc w:val="center"/>
              <w:textAlignment w:val="auto"/>
              <w:rPr>
                <w:rFonts w:hint="default" w:ascii="Times New Roman" w:hAnsi="Times New Roman" w:eastAsia="宋体" w:cs="Times New Roman"/>
                <w:b w:val="0"/>
                <w:bCs/>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lang w:val="en-US" w:eastAsia="zh-CN" w:bidi="ar-SA"/>
                <w14:textFill>
                  <w14:solidFill>
                    <w14:schemeClr w14:val="tx1"/>
                  </w14:solidFill>
                </w14:textFill>
              </w:rPr>
              <w:t>合格率</w:t>
            </w:r>
          </w:p>
          <w:p w14:paraId="2C889F74">
            <w:pPr>
              <w:pStyle w:val="18"/>
              <w:keepNext w:val="0"/>
              <w:keepLines w:val="0"/>
              <w:pageBreakBefore w:val="0"/>
              <w:widowControl w:val="0"/>
              <w:kinsoku/>
              <w:wordWrap/>
              <w:overflowPunct/>
              <w:topLinePunct w:val="0"/>
              <w:autoSpaceDE/>
              <w:autoSpaceDN/>
              <w:bidi w:val="0"/>
              <w:adjustRightInd/>
              <w:snapToGrid w:val="0"/>
              <w:spacing w:after="0" w:line="240" w:lineRule="auto"/>
              <w:ind w:firstLine="0" w:firstLineChars="0"/>
              <w:jc w:val="center"/>
              <w:textAlignment w:val="auto"/>
              <w:rPr>
                <w:rFonts w:hint="default" w:ascii="Times New Roman" w:hAnsi="Times New Roman" w:eastAsia="宋体" w:cs="Times New Roman"/>
                <w:b w:val="0"/>
                <w:bCs/>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lang w:val="en-US" w:eastAsia="zh-CN" w:bidi="ar-SA"/>
                <w14:textFill>
                  <w14:solidFill>
                    <w14:schemeClr w14:val="tx1"/>
                  </w14:solidFill>
                </w14:textFill>
              </w:rPr>
              <w:t>%</w:t>
            </w:r>
          </w:p>
        </w:tc>
      </w:tr>
      <w:tr w14:paraId="4A50B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88" w:type="pct"/>
            <w:vMerge w:val="restart"/>
            <w:noWrap/>
            <w:vAlign w:val="center"/>
          </w:tcPr>
          <w:p w14:paraId="345A9B16">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lang w:val="en-US" w:eastAsia="zh-CN" w:bidi="ar-SA"/>
                <w14:textFill>
                  <w14:solidFill>
                    <w14:schemeClr w14:val="tx1"/>
                  </w14:solidFill>
                </w14:textFill>
              </w:rPr>
              <w:t>Cu9Ni6Sn</w:t>
            </w:r>
          </w:p>
        </w:tc>
        <w:tc>
          <w:tcPr>
            <w:tcW w:w="463" w:type="pct"/>
            <w:noWrap/>
            <w:vAlign w:val="center"/>
          </w:tcPr>
          <w:p w14:paraId="63897C2A">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b w:val="0"/>
                <w:bCs/>
                <w:color w:val="000000" w:themeColor="text1"/>
                <w:kern w:val="0"/>
                <w:sz w:val="21"/>
                <w:szCs w:val="21"/>
                <w:highlight w:val="none"/>
                <w:lang w:val="en-US" w:eastAsia="zh-CN" w:bidi="ar-SA"/>
                <w14:textFill>
                  <w14:solidFill>
                    <w14:schemeClr w14:val="tx1"/>
                  </w14:solidFill>
                </w14:textFill>
              </w:rPr>
              <w:t>TM00</w:t>
            </w:r>
          </w:p>
        </w:tc>
        <w:tc>
          <w:tcPr>
            <w:tcW w:w="739" w:type="pct"/>
            <w:noWrap/>
            <w:vAlign w:val="center"/>
          </w:tcPr>
          <w:p w14:paraId="60D36CEE">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b w:val="0"/>
                <w:bCs/>
                <w:color w:val="000000" w:themeColor="text1"/>
                <w:kern w:val="0"/>
                <w:sz w:val="21"/>
                <w:szCs w:val="21"/>
                <w:highlight w:val="none"/>
                <w:lang w:val="en-US" w:eastAsia="zh-CN" w:bidi="ar-SA"/>
                <w14:textFill>
                  <w14:solidFill>
                    <w14:schemeClr w14:val="tx1"/>
                  </w14:solidFill>
                </w14:textFill>
              </w:rPr>
              <w:t>620</w:t>
            </w:r>
            <w:r>
              <w:rPr>
                <w:rFonts w:hint="default" w:ascii="Times New Roman" w:hAnsi="Times New Roman" w:eastAsia="宋体" w:cs="Times New Roman"/>
                <w:b w:val="0"/>
                <w:bCs/>
                <w:color w:val="000000" w:themeColor="text1"/>
                <w:kern w:val="0"/>
                <w:sz w:val="21"/>
                <w:szCs w:val="21"/>
                <w:highlight w:val="none"/>
                <w:lang w:val="en-US" w:eastAsia="zh-CN" w:bidi="ar-SA"/>
                <w14:textFill>
                  <w14:solidFill>
                    <w14:schemeClr w14:val="tx1"/>
                  </w14:solidFill>
                </w14:textFill>
              </w:rPr>
              <w:t>～</w:t>
            </w:r>
            <w:r>
              <w:rPr>
                <w:rFonts w:hint="eastAsia" w:ascii="Times New Roman" w:hAnsi="Times New Roman" w:eastAsia="宋体" w:cs="Times New Roman"/>
                <w:b w:val="0"/>
                <w:bCs/>
                <w:color w:val="000000" w:themeColor="text1"/>
                <w:kern w:val="0"/>
                <w:sz w:val="21"/>
                <w:szCs w:val="21"/>
                <w:highlight w:val="none"/>
                <w:lang w:val="en-US" w:eastAsia="zh-CN" w:bidi="ar-SA"/>
                <w14:textFill>
                  <w14:solidFill>
                    <w14:schemeClr w14:val="tx1"/>
                  </w14:solidFill>
                </w14:textFill>
              </w:rPr>
              <w:t>760</w:t>
            </w:r>
          </w:p>
        </w:tc>
        <w:tc>
          <w:tcPr>
            <w:tcW w:w="466" w:type="pct"/>
            <w:noWrap/>
            <w:vAlign w:val="center"/>
          </w:tcPr>
          <w:p w14:paraId="01CCB0A8">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b w:val="0"/>
                <w:bCs/>
                <w:color w:val="000000" w:themeColor="text1"/>
                <w:kern w:val="0"/>
                <w:sz w:val="21"/>
                <w:szCs w:val="21"/>
                <w:highlight w:val="none"/>
                <w:lang w:val="en-US" w:eastAsia="zh-CN" w:bidi="ar-SA"/>
                <w14:textFill>
                  <w14:solidFill>
                    <w14:schemeClr w14:val="tx1"/>
                  </w14:solidFill>
                </w14:textFill>
              </w:rPr>
              <w:t>99</w:t>
            </w:r>
          </w:p>
        </w:tc>
        <w:tc>
          <w:tcPr>
            <w:tcW w:w="625" w:type="pct"/>
            <w:noWrap/>
            <w:vAlign w:val="center"/>
          </w:tcPr>
          <w:p w14:paraId="24A6462F">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b w:val="0"/>
                <w:bCs/>
                <w:color w:val="000000" w:themeColor="text1"/>
                <w:kern w:val="0"/>
                <w:sz w:val="21"/>
                <w:szCs w:val="21"/>
                <w:highlight w:val="none"/>
                <w:lang w:val="en-US" w:eastAsia="zh-CN" w:bidi="ar-SA"/>
                <w14:textFill>
                  <w14:solidFill>
                    <w14:schemeClr w14:val="tx1"/>
                  </w14:solidFill>
                </w14:textFill>
              </w:rPr>
              <w:t>180</w:t>
            </w:r>
            <w:r>
              <w:rPr>
                <w:rFonts w:hint="default" w:ascii="Times New Roman" w:hAnsi="Times New Roman" w:eastAsia="宋体" w:cs="Times New Roman"/>
                <w:b w:val="0"/>
                <w:bCs/>
                <w:color w:val="000000" w:themeColor="text1"/>
                <w:kern w:val="0"/>
                <w:sz w:val="21"/>
                <w:szCs w:val="21"/>
                <w:highlight w:val="none"/>
                <w:lang w:val="en-US" w:eastAsia="zh-CN" w:bidi="ar-SA"/>
                <w14:textFill>
                  <w14:solidFill>
                    <w14:schemeClr w14:val="tx1"/>
                  </w14:solidFill>
                </w14:textFill>
              </w:rPr>
              <w:t>～</w:t>
            </w:r>
            <w:r>
              <w:rPr>
                <w:rFonts w:hint="eastAsia" w:ascii="Times New Roman" w:hAnsi="Times New Roman" w:eastAsia="宋体" w:cs="Times New Roman"/>
                <w:b w:val="0"/>
                <w:bCs/>
                <w:color w:val="000000" w:themeColor="text1"/>
                <w:kern w:val="0"/>
                <w:sz w:val="21"/>
                <w:szCs w:val="21"/>
                <w:highlight w:val="none"/>
                <w:lang w:val="en-US" w:eastAsia="zh-CN" w:bidi="ar-SA"/>
                <w14:textFill>
                  <w14:solidFill>
                    <w14:schemeClr w14:val="tx1"/>
                  </w14:solidFill>
                </w14:textFill>
              </w:rPr>
              <w:t>280</w:t>
            </w:r>
          </w:p>
        </w:tc>
        <w:tc>
          <w:tcPr>
            <w:tcW w:w="556" w:type="pct"/>
            <w:noWrap/>
            <w:vAlign w:val="center"/>
          </w:tcPr>
          <w:p w14:paraId="106FFFD4">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lang w:val="en-US" w:eastAsia="zh-CN" w:bidi="ar-SA"/>
                <w14:textFill>
                  <w14:solidFill>
                    <w14:schemeClr w14:val="tx1"/>
                  </w14:solidFill>
                </w14:textFill>
              </w:rPr>
              <w:t>100</w:t>
            </w:r>
          </w:p>
        </w:tc>
        <w:tc>
          <w:tcPr>
            <w:tcW w:w="970" w:type="pct"/>
            <w:shd w:val="clear" w:color="auto" w:fill="auto"/>
            <w:noWrap/>
            <w:vAlign w:val="center"/>
          </w:tcPr>
          <w:p w14:paraId="38526558">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b w:val="0"/>
                <w:bCs/>
                <w:color w:val="000000" w:themeColor="text1"/>
                <w:kern w:val="0"/>
                <w:sz w:val="21"/>
                <w:szCs w:val="21"/>
                <w:highlight w:val="none"/>
                <w:lang w:val="en-US" w:eastAsia="zh-CN" w:bidi="ar-SA"/>
                <w14:textFill>
                  <w14:solidFill>
                    <w14:schemeClr w14:val="tx1"/>
                  </w14:solidFill>
                </w14:textFill>
              </w:rPr>
              <w:t>≥16</w:t>
            </w:r>
          </w:p>
        </w:tc>
        <w:tc>
          <w:tcPr>
            <w:tcW w:w="588" w:type="pct"/>
            <w:noWrap/>
            <w:vAlign w:val="center"/>
          </w:tcPr>
          <w:p w14:paraId="37C238B9">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lang w:val="en-US" w:eastAsia="zh-CN" w:bidi="ar-SA"/>
                <w14:textFill>
                  <w14:solidFill>
                    <w14:schemeClr w14:val="tx1"/>
                  </w14:solidFill>
                </w14:textFill>
              </w:rPr>
              <w:t>100</w:t>
            </w:r>
          </w:p>
        </w:tc>
      </w:tr>
      <w:tr w14:paraId="4D039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588" w:type="pct"/>
            <w:vMerge w:val="continue"/>
            <w:noWrap/>
            <w:vAlign w:val="center"/>
          </w:tcPr>
          <w:p w14:paraId="0FA789B5">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000000" w:themeColor="text1"/>
                <w:kern w:val="0"/>
                <w:sz w:val="21"/>
                <w:szCs w:val="21"/>
                <w:highlight w:val="none"/>
                <w:lang w:val="en-US" w:eastAsia="zh-CN" w:bidi="ar-SA"/>
                <w14:textFill>
                  <w14:solidFill>
                    <w14:schemeClr w14:val="tx1"/>
                  </w14:solidFill>
                </w14:textFill>
              </w:rPr>
            </w:pPr>
          </w:p>
        </w:tc>
        <w:tc>
          <w:tcPr>
            <w:tcW w:w="463" w:type="pct"/>
            <w:noWrap/>
            <w:vAlign w:val="center"/>
          </w:tcPr>
          <w:p w14:paraId="7EB1D553">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b w:val="0"/>
                <w:bCs/>
                <w:color w:val="000000" w:themeColor="text1"/>
                <w:kern w:val="0"/>
                <w:sz w:val="21"/>
                <w:szCs w:val="21"/>
                <w:highlight w:val="none"/>
                <w:lang w:val="en-US" w:eastAsia="zh-CN" w:bidi="ar-SA"/>
                <w14:textFill>
                  <w14:solidFill>
                    <w14:schemeClr w14:val="tx1"/>
                  </w14:solidFill>
                </w14:textFill>
              </w:rPr>
              <w:t>TM02</w:t>
            </w:r>
          </w:p>
        </w:tc>
        <w:tc>
          <w:tcPr>
            <w:tcW w:w="739" w:type="pct"/>
            <w:noWrap/>
            <w:vAlign w:val="center"/>
          </w:tcPr>
          <w:p w14:paraId="220D3A97">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b w:val="0"/>
                <w:bCs/>
                <w:color w:val="000000" w:themeColor="text1"/>
                <w:kern w:val="0"/>
                <w:sz w:val="21"/>
                <w:szCs w:val="21"/>
                <w:highlight w:val="none"/>
                <w:lang w:val="en-US" w:eastAsia="zh-CN" w:bidi="ar-SA"/>
                <w14:textFill>
                  <w14:solidFill>
                    <w14:schemeClr w14:val="tx1"/>
                  </w14:solidFill>
                </w14:textFill>
              </w:rPr>
              <w:t>680</w:t>
            </w:r>
            <w:r>
              <w:rPr>
                <w:rFonts w:hint="default" w:ascii="Times New Roman" w:hAnsi="Times New Roman" w:eastAsia="宋体" w:cs="Times New Roman"/>
                <w:b w:val="0"/>
                <w:bCs/>
                <w:color w:val="000000" w:themeColor="text1"/>
                <w:kern w:val="0"/>
                <w:sz w:val="21"/>
                <w:szCs w:val="21"/>
                <w:highlight w:val="none"/>
                <w:lang w:val="en-US" w:eastAsia="zh-CN" w:bidi="ar-SA"/>
                <w14:textFill>
                  <w14:solidFill>
                    <w14:schemeClr w14:val="tx1"/>
                  </w14:solidFill>
                </w14:textFill>
              </w:rPr>
              <w:t>～</w:t>
            </w:r>
            <w:r>
              <w:rPr>
                <w:rFonts w:hint="eastAsia" w:ascii="Times New Roman" w:hAnsi="Times New Roman" w:eastAsia="宋体" w:cs="Times New Roman"/>
                <w:b w:val="0"/>
                <w:bCs/>
                <w:color w:val="000000" w:themeColor="text1"/>
                <w:kern w:val="0"/>
                <w:sz w:val="21"/>
                <w:szCs w:val="21"/>
                <w:highlight w:val="none"/>
                <w:lang w:val="en-US" w:eastAsia="zh-CN" w:bidi="ar-SA"/>
                <w14:textFill>
                  <w14:solidFill>
                    <w14:schemeClr w14:val="tx1"/>
                  </w14:solidFill>
                </w14:textFill>
              </w:rPr>
              <w:t>830</w:t>
            </w:r>
          </w:p>
        </w:tc>
        <w:tc>
          <w:tcPr>
            <w:tcW w:w="466" w:type="pct"/>
            <w:noWrap/>
            <w:vAlign w:val="center"/>
          </w:tcPr>
          <w:p w14:paraId="0D1B7269">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lang w:val="en-US" w:eastAsia="zh-CN" w:bidi="ar-SA"/>
                <w14:textFill>
                  <w14:solidFill>
                    <w14:schemeClr w14:val="tx1"/>
                  </w14:solidFill>
                </w14:textFill>
              </w:rPr>
              <w:t>100</w:t>
            </w:r>
          </w:p>
        </w:tc>
        <w:tc>
          <w:tcPr>
            <w:tcW w:w="625" w:type="pct"/>
            <w:noWrap/>
            <w:vAlign w:val="center"/>
          </w:tcPr>
          <w:p w14:paraId="7733A2A1">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b w:val="0"/>
                <w:bCs/>
                <w:color w:val="000000" w:themeColor="text1"/>
                <w:kern w:val="0"/>
                <w:sz w:val="21"/>
                <w:szCs w:val="21"/>
                <w:highlight w:val="none"/>
                <w:lang w:val="en-US" w:eastAsia="zh-CN" w:bidi="ar-SA"/>
                <w14:textFill>
                  <w14:solidFill>
                    <w14:schemeClr w14:val="tx1"/>
                  </w14:solidFill>
                </w14:textFill>
              </w:rPr>
              <w:t>200</w:t>
            </w:r>
            <w:r>
              <w:rPr>
                <w:rFonts w:hint="default" w:ascii="Times New Roman" w:hAnsi="Times New Roman" w:eastAsia="宋体" w:cs="Times New Roman"/>
                <w:b w:val="0"/>
                <w:bCs/>
                <w:color w:val="000000" w:themeColor="text1"/>
                <w:kern w:val="0"/>
                <w:sz w:val="21"/>
                <w:szCs w:val="21"/>
                <w:highlight w:val="none"/>
                <w:lang w:val="en-US" w:eastAsia="zh-CN" w:bidi="ar-SA"/>
                <w14:textFill>
                  <w14:solidFill>
                    <w14:schemeClr w14:val="tx1"/>
                  </w14:solidFill>
                </w14:textFill>
              </w:rPr>
              <w:t>～</w:t>
            </w:r>
            <w:r>
              <w:rPr>
                <w:rFonts w:hint="eastAsia" w:ascii="Times New Roman" w:hAnsi="Times New Roman" w:eastAsia="宋体" w:cs="Times New Roman"/>
                <w:b w:val="0"/>
                <w:bCs/>
                <w:color w:val="000000" w:themeColor="text1"/>
                <w:kern w:val="0"/>
                <w:sz w:val="21"/>
                <w:szCs w:val="21"/>
                <w:highlight w:val="none"/>
                <w:lang w:val="en-US" w:eastAsia="zh-CN" w:bidi="ar-SA"/>
                <w14:textFill>
                  <w14:solidFill>
                    <w14:schemeClr w14:val="tx1"/>
                  </w14:solidFill>
                </w14:textFill>
              </w:rPr>
              <w:t>300</w:t>
            </w:r>
          </w:p>
        </w:tc>
        <w:tc>
          <w:tcPr>
            <w:tcW w:w="556" w:type="pct"/>
            <w:noWrap/>
            <w:vAlign w:val="center"/>
          </w:tcPr>
          <w:p w14:paraId="36CA3D70">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b w:val="0"/>
                <w:bCs/>
                <w:color w:val="000000" w:themeColor="text1"/>
                <w:kern w:val="0"/>
                <w:sz w:val="21"/>
                <w:szCs w:val="21"/>
                <w:highlight w:val="none"/>
                <w:lang w:val="en-US" w:eastAsia="zh-CN" w:bidi="ar-SA"/>
                <w14:textFill>
                  <w14:solidFill>
                    <w14:schemeClr w14:val="tx1"/>
                  </w14:solidFill>
                </w14:textFill>
              </w:rPr>
              <w:t>98</w:t>
            </w:r>
          </w:p>
        </w:tc>
        <w:tc>
          <w:tcPr>
            <w:tcW w:w="970" w:type="pct"/>
            <w:shd w:val="clear" w:color="auto" w:fill="auto"/>
            <w:noWrap/>
            <w:vAlign w:val="center"/>
          </w:tcPr>
          <w:p w14:paraId="0A6C78AF">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b w:val="0"/>
                <w:bCs/>
                <w:color w:val="000000" w:themeColor="text1"/>
                <w:kern w:val="0"/>
                <w:sz w:val="21"/>
                <w:szCs w:val="21"/>
                <w:highlight w:val="none"/>
                <w:lang w:val="en-US" w:eastAsia="zh-CN" w:bidi="ar-SA"/>
                <w14:textFill>
                  <w14:solidFill>
                    <w14:schemeClr w14:val="tx1"/>
                  </w14:solidFill>
                </w14:textFill>
              </w:rPr>
              <w:t>≥12</w:t>
            </w:r>
          </w:p>
        </w:tc>
        <w:tc>
          <w:tcPr>
            <w:tcW w:w="588" w:type="pct"/>
            <w:noWrap/>
            <w:vAlign w:val="center"/>
          </w:tcPr>
          <w:p w14:paraId="33BA1794">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lang w:val="en-US" w:eastAsia="zh-CN" w:bidi="ar-SA"/>
                <w14:textFill>
                  <w14:solidFill>
                    <w14:schemeClr w14:val="tx1"/>
                  </w14:solidFill>
                </w14:textFill>
              </w:rPr>
              <w:t>100</w:t>
            </w:r>
          </w:p>
        </w:tc>
      </w:tr>
      <w:tr w14:paraId="3A515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588" w:type="pct"/>
            <w:vMerge w:val="continue"/>
            <w:noWrap/>
            <w:vAlign w:val="center"/>
          </w:tcPr>
          <w:p w14:paraId="7458237B">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000000" w:themeColor="text1"/>
                <w:kern w:val="0"/>
                <w:sz w:val="21"/>
                <w:szCs w:val="21"/>
                <w:highlight w:val="none"/>
                <w:lang w:val="en-US" w:eastAsia="zh-CN" w:bidi="ar-SA"/>
                <w14:textFill>
                  <w14:solidFill>
                    <w14:schemeClr w14:val="tx1"/>
                  </w14:solidFill>
                </w14:textFill>
              </w:rPr>
            </w:pPr>
          </w:p>
        </w:tc>
        <w:tc>
          <w:tcPr>
            <w:tcW w:w="463" w:type="pct"/>
            <w:noWrap/>
            <w:vAlign w:val="center"/>
          </w:tcPr>
          <w:p w14:paraId="720A4C60">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b w:val="0"/>
                <w:bCs/>
                <w:color w:val="000000" w:themeColor="text1"/>
                <w:kern w:val="0"/>
                <w:sz w:val="21"/>
                <w:szCs w:val="21"/>
                <w:highlight w:val="none"/>
                <w:lang w:val="en-US" w:eastAsia="zh-CN" w:bidi="ar-SA"/>
                <w14:textFill>
                  <w14:solidFill>
                    <w14:schemeClr w14:val="tx1"/>
                  </w14:solidFill>
                </w14:textFill>
              </w:rPr>
              <w:t>TM04</w:t>
            </w:r>
          </w:p>
        </w:tc>
        <w:tc>
          <w:tcPr>
            <w:tcW w:w="739" w:type="pct"/>
            <w:noWrap/>
            <w:vAlign w:val="center"/>
          </w:tcPr>
          <w:p w14:paraId="29CF7955">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b w:val="0"/>
                <w:bCs/>
                <w:color w:val="000000" w:themeColor="text1"/>
                <w:kern w:val="0"/>
                <w:sz w:val="21"/>
                <w:szCs w:val="21"/>
                <w:highlight w:val="none"/>
                <w:lang w:val="en-US" w:eastAsia="zh-CN" w:bidi="ar-SA"/>
                <w14:textFill>
                  <w14:solidFill>
                    <w14:schemeClr w14:val="tx1"/>
                  </w14:solidFill>
                </w14:textFill>
              </w:rPr>
              <w:t>750</w:t>
            </w:r>
            <w:r>
              <w:rPr>
                <w:rFonts w:hint="default" w:ascii="Times New Roman" w:hAnsi="Times New Roman" w:eastAsia="宋体" w:cs="Times New Roman"/>
                <w:b w:val="0"/>
                <w:bCs/>
                <w:color w:val="000000" w:themeColor="text1"/>
                <w:kern w:val="0"/>
                <w:sz w:val="21"/>
                <w:szCs w:val="21"/>
                <w:highlight w:val="none"/>
                <w:lang w:val="en-US" w:eastAsia="zh-CN" w:bidi="ar-SA"/>
                <w14:textFill>
                  <w14:solidFill>
                    <w14:schemeClr w14:val="tx1"/>
                  </w14:solidFill>
                </w14:textFill>
              </w:rPr>
              <w:t>～</w:t>
            </w:r>
            <w:r>
              <w:rPr>
                <w:rFonts w:hint="eastAsia" w:ascii="Times New Roman" w:hAnsi="Times New Roman" w:eastAsia="宋体" w:cs="Times New Roman"/>
                <w:b w:val="0"/>
                <w:bCs/>
                <w:color w:val="000000" w:themeColor="text1"/>
                <w:kern w:val="0"/>
                <w:sz w:val="21"/>
                <w:szCs w:val="21"/>
                <w:highlight w:val="none"/>
                <w:lang w:val="en-US" w:eastAsia="zh-CN" w:bidi="ar-SA"/>
                <w14:textFill>
                  <w14:solidFill>
                    <w14:schemeClr w14:val="tx1"/>
                  </w14:solidFill>
                </w14:textFill>
              </w:rPr>
              <w:t>900</w:t>
            </w:r>
          </w:p>
        </w:tc>
        <w:tc>
          <w:tcPr>
            <w:tcW w:w="466" w:type="pct"/>
            <w:noWrap/>
            <w:vAlign w:val="center"/>
          </w:tcPr>
          <w:p w14:paraId="1A44E8D4">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b w:val="0"/>
                <w:bCs/>
                <w:color w:val="000000" w:themeColor="text1"/>
                <w:kern w:val="0"/>
                <w:sz w:val="21"/>
                <w:szCs w:val="21"/>
                <w:highlight w:val="none"/>
                <w:lang w:val="en-US" w:eastAsia="zh-CN" w:bidi="ar-SA"/>
                <w14:textFill>
                  <w14:solidFill>
                    <w14:schemeClr w14:val="tx1"/>
                  </w14:solidFill>
                </w14:textFill>
              </w:rPr>
              <w:t>99</w:t>
            </w:r>
          </w:p>
        </w:tc>
        <w:tc>
          <w:tcPr>
            <w:tcW w:w="625" w:type="pct"/>
            <w:noWrap/>
            <w:vAlign w:val="center"/>
          </w:tcPr>
          <w:p w14:paraId="3B9800BE">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b w:val="0"/>
                <w:bCs/>
                <w:color w:val="000000" w:themeColor="text1"/>
                <w:kern w:val="0"/>
                <w:sz w:val="21"/>
                <w:szCs w:val="21"/>
                <w:highlight w:val="none"/>
                <w:lang w:val="en-US" w:eastAsia="zh-CN" w:bidi="ar-SA"/>
                <w14:textFill>
                  <w14:solidFill>
                    <w14:schemeClr w14:val="tx1"/>
                  </w14:solidFill>
                </w14:textFill>
              </w:rPr>
              <w:t>230</w:t>
            </w:r>
            <w:r>
              <w:rPr>
                <w:rFonts w:hint="default" w:ascii="Times New Roman" w:hAnsi="Times New Roman" w:eastAsia="宋体" w:cs="Times New Roman"/>
                <w:b w:val="0"/>
                <w:bCs/>
                <w:color w:val="000000" w:themeColor="text1"/>
                <w:kern w:val="0"/>
                <w:sz w:val="21"/>
                <w:szCs w:val="21"/>
                <w:highlight w:val="none"/>
                <w:lang w:val="en-US" w:eastAsia="zh-CN" w:bidi="ar-SA"/>
                <w14:textFill>
                  <w14:solidFill>
                    <w14:schemeClr w14:val="tx1"/>
                  </w14:solidFill>
                </w14:textFill>
              </w:rPr>
              <w:t>～</w:t>
            </w:r>
            <w:r>
              <w:rPr>
                <w:rFonts w:hint="eastAsia" w:ascii="Times New Roman" w:hAnsi="Times New Roman" w:eastAsia="宋体" w:cs="Times New Roman"/>
                <w:b w:val="0"/>
                <w:bCs/>
                <w:color w:val="000000" w:themeColor="text1"/>
                <w:kern w:val="0"/>
                <w:sz w:val="21"/>
                <w:szCs w:val="21"/>
                <w:highlight w:val="none"/>
                <w:lang w:val="en-US" w:eastAsia="zh-CN" w:bidi="ar-SA"/>
                <w14:textFill>
                  <w14:solidFill>
                    <w14:schemeClr w14:val="tx1"/>
                  </w14:solidFill>
                </w14:textFill>
              </w:rPr>
              <w:t>300</w:t>
            </w:r>
          </w:p>
        </w:tc>
        <w:tc>
          <w:tcPr>
            <w:tcW w:w="556" w:type="pct"/>
            <w:noWrap/>
            <w:vAlign w:val="center"/>
          </w:tcPr>
          <w:p w14:paraId="283695E3">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b w:val="0"/>
                <w:bCs/>
                <w:color w:val="000000" w:themeColor="text1"/>
                <w:kern w:val="0"/>
                <w:sz w:val="21"/>
                <w:szCs w:val="21"/>
                <w:highlight w:val="none"/>
                <w:lang w:val="en-US" w:eastAsia="zh-CN" w:bidi="ar-SA"/>
                <w14:textFill>
                  <w14:solidFill>
                    <w14:schemeClr w14:val="tx1"/>
                  </w14:solidFill>
                </w14:textFill>
              </w:rPr>
              <w:t>99</w:t>
            </w:r>
          </w:p>
        </w:tc>
        <w:tc>
          <w:tcPr>
            <w:tcW w:w="970" w:type="pct"/>
            <w:shd w:val="clear" w:color="auto" w:fill="auto"/>
            <w:noWrap/>
            <w:vAlign w:val="center"/>
          </w:tcPr>
          <w:p w14:paraId="360F7F37">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b w:val="0"/>
                <w:bCs/>
                <w:color w:val="000000" w:themeColor="text1"/>
                <w:kern w:val="0"/>
                <w:sz w:val="21"/>
                <w:szCs w:val="21"/>
                <w:highlight w:val="none"/>
                <w:lang w:val="en-US" w:eastAsia="zh-CN" w:bidi="ar-SA"/>
                <w14:textFill>
                  <w14:solidFill>
                    <w14:schemeClr w14:val="tx1"/>
                  </w14:solidFill>
                </w14:textFill>
              </w:rPr>
              <w:t>≥8</w:t>
            </w:r>
          </w:p>
        </w:tc>
        <w:tc>
          <w:tcPr>
            <w:tcW w:w="588" w:type="pct"/>
            <w:noWrap/>
            <w:vAlign w:val="center"/>
          </w:tcPr>
          <w:p w14:paraId="0CACBDA7">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b w:val="0"/>
                <w:bCs/>
                <w:color w:val="000000" w:themeColor="text1"/>
                <w:kern w:val="0"/>
                <w:sz w:val="21"/>
                <w:szCs w:val="21"/>
                <w:highlight w:val="none"/>
                <w:lang w:val="en-US" w:eastAsia="zh-CN" w:bidi="ar-SA"/>
                <w14:textFill>
                  <w14:solidFill>
                    <w14:schemeClr w14:val="tx1"/>
                  </w14:solidFill>
                </w14:textFill>
              </w:rPr>
              <w:t>98</w:t>
            </w:r>
          </w:p>
        </w:tc>
      </w:tr>
    </w:tbl>
    <w:p w14:paraId="3A300D80">
      <w:pPr>
        <w:pStyle w:val="6"/>
        <w:keepNext/>
        <w:keepLines/>
        <w:pageBreakBefore w:val="0"/>
        <w:widowControl w:val="0"/>
        <w:kinsoku/>
        <w:wordWrap/>
        <w:overflowPunct/>
        <w:topLinePunct w:val="0"/>
        <w:autoSpaceDE/>
        <w:autoSpaceDN/>
        <w:bidi w:val="0"/>
        <w:adjustRightInd/>
        <w:snapToGrid/>
        <w:spacing w:before="157" w:beforeLines="50" w:after="0" w:line="372" w:lineRule="auto"/>
        <w:textAlignment w:val="auto"/>
        <w:rPr>
          <w:rFonts w:hint="eastAsia" w:ascii="Times New Roman" w:hAnsi="Times New Roman" w:eastAsia="宋体" w:cs="Times New Roman"/>
          <w:b w:val="0"/>
          <w:bCs/>
          <w:color w:val="000000" w:themeColor="text1"/>
          <w:kern w:val="2"/>
          <w:sz w:val="21"/>
          <w:szCs w:val="22"/>
          <w:highlight w:val="none"/>
          <w:lang w:val="en-US" w:eastAsia="zh-CN" w:bidi="ar-SA"/>
          <w14:textFill>
            <w14:solidFill>
              <w14:schemeClr w14:val="tx1"/>
            </w14:solidFill>
          </w14:textFill>
        </w:rPr>
      </w:pPr>
      <w:r>
        <w:rPr>
          <w:rFonts w:hint="eastAsia" w:ascii="Times New Roman" w:hAnsi="Times New Roman" w:cs="Times New Roman"/>
          <w:b w:val="0"/>
          <w:bCs/>
          <w:color w:val="000000" w:themeColor="text1"/>
          <w:highlight w:val="none"/>
          <w:lang w:val="en-US" w:eastAsia="zh-CN"/>
          <w14:textFill>
            <w14:solidFill>
              <w14:schemeClr w14:val="tx1"/>
            </w14:solidFill>
          </w14:textFill>
        </w:rPr>
        <w:t>3.3 晶粒度</w:t>
      </w:r>
    </w:p>
    <w:p w14:paraId="1668DF31">
      <w:pPr>
        <w:pStyle w:val="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Times New Roman" w:hAnsi="Times New Roman" w:eastAsia="宋体" w:cs="Times New Roman"/>
          <w:b w:val="0"/>
          <w:bCs/>
          <w:color w:val="000000" w:themeColor="text1"/>
          <w:kern w:val="2"/>
          <w:sz w:val="21"/>
          <w:szCs w:val="22"/>
          <w:highlight w:val="no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2"/>
          <w:sz w:val="21"/>
          <w:szCs w:val="22"/>
          <w:highlight w:val="none"/>
          <w:lang w:val="en-US" w:eastAsia="zh-CN" w:bidi="ar-SA"/>
          <w14:textFill>
            <w14:solidFill>
              <w14:schemeClr w14:val="tx1"/>
            </w14:solidFill>
          </w14:textFill>
        </w:rPr>
        <w:t>针对</w:t>
      </w:r>
      <w:r>
        <w:rPr>
          <w:rFonts w:hint="eastAsia" w:ascii="Times New Roman" w:hAnsi="Times New Roman" w:eastAsia="宋体" w:cs="Times New Roman"/>
          <w:b w:val="0"/>
          <w:bCs/>
          <w:color w:val="000000" w:themeColor="text1"/>
          <w:kern w:val="2"/>
          <w:sz w:val="21"/>
          <w:szCs w:val="22"/>
          <w:highlight w:val="none"/>
          <w:lang w:val="en-US" w:eastAsia="zh-CN" w:bidi="ar-SA"/>
          <w14:textFill>
            <w14:solidFill>
              <w14:schemeClr w14:val="tx1"/>
            </w14:solidFill>
          </w14:textFill>
        </w:rPr>
        <w:t>无油轴承</w:t>
      </w:r>
      <w:r>
        <w:rPr>
          <w:rFonts w:hint="default" w:ascii="Times New Roman" w:hAnsi="Times New Roman" w:eastAsia="宋体" w:cs="Times New Roman"/>
          <w:b w:val="0"/>
          <w:bCs/>
          <w:color w:val="000000" w:themeColor="text1"/>
          <w:kern w:val="2"/>
          <w:sz w:val="21"/>
          <w:szCs w:val="22"/>
          <w:highlight w:val="none"/>
          <w:lang w:val="en-US" w:eastAsia="zh-CN" w:bidi="ar-SA"/>
          <w14:textFill>
            <w14:solidFill>
              <w14:schemeClr w14:val="tx1"/>
            </w14:solidFill>
          </w14:textFill>
        </w:rPr>
        <w:t>用铜合金，</w:t>
      </w:r>
      <w:r>
        <w:rPr>
          <w:rFonts w:hint="eastAsia" w:ascii="Times New Roman" w:hAnsi="Times New Roman" w:eastAsia="宋体" w:cs="Times New Roman"/>
          <w:b w:val="0"/>
          <w:bCs/>
          <w:color w:val="000000" w:themeColor="text1"/>
          <w:kern w:val="2"/>
          <w:sz w:val="21"/>
          <w:szCs w:val="22"/>
          <w:highlight w:val="none"/>
          <w:lang w:val="en-US" w:eastAsia="zh-CN" w:bidi="ar-SA"/>
          <w14:textFill>
            <w14:solidFill>
              <w14:schemeClr w14:val="tx1"/>
            </w14:solidFill>
          </w14:textFill>
        </w:rPr>
        <w:t>晶粒度</w:t>
      </w:r>
      <w:r>
        <w:rPr>
          <w:rFonts w:hint="default" w:ascii="Times New Roman" w:hAnsi="Times New Roman" w:eastAsia="宋体" w:cs="Times New Roman"/>
          <w:b w:val="0"/>
          <w:bCs/>
          <w:color w:val="000000" w:themeColor="text1"/>
          <w:kern w:val="2"/>
          <w:sz w:val="21"/>
          <w:szCs w:val="22"/>
          <w:highlight w:val="none"/>
          <w:lang w:val="en-US" w:eastAsia="zh-CN" w:bidi="ar-SA"/>
          <w14:textFill>
            <w14:solidFill>
              <w14:schemeClr w14:val="tx1"/>
            </w14:solidFill>
          </w14:textFill>
        </w:rPr>
        <w:t>是必要考核指标之一，</w:t>
      </w:r>
      <w:r>
        <w:rPr>
          <w:rFonts w:hint="eastAsia" w:ascii="Times New Roman" w:hAnsi="Times New Roman" w:eastAsia="宋体" w:cs="Times New Roman"/>
          <w:b w:val="0"/>
          <w:bCs/>
          <w:color w:val="000000" w:themeColor="text1"/>
          <w:kern w:val="2"/>
          <w:sz w:val="21"/>
          <w:szCs w:val="22"/>
          <w:highlight w:val="none"/>
          <w:lang w:val="en-US" w:eastAsia="zh-CN" w:bidi="ar-SA"/>
          <w14:textFill>
            <w14:solidFill>
              <w14:schemeClr w14:val="tx1"/>
            </w14:solidFill>
          </w14:textFill>
        </w:rPr>
        <w:t>此次修订</w:t>
      </w:r>
      <w:r>
        <w:rPr>
          <w:rFonts w:hint="default" w:ascii="Times New Roman" w:hAnsi="Times New Roman" w:eastAsia="宋体" w:cs="Times New Roman"/>
          <w:b w:val="0"/>
          <w:bCs/>
          <w:color w:val="000000" w:themeColor="text1"/>
          <w:kern w:val="2"/>
          <w:sz w:val="21"/>
          <w:szCs w:val="22"/>
          <w:highlight w:val="none"/>
          <w:lang w:val="en-US" w:eastAsia="zh-CN" w:bidi="ar-SA"/>
          <w14:textFill>
            <w14:solidFill>
              <w14:schemeClr w14:val="tx1"/>
            </w14:solidFill>
          </w14:textFill>
        </w:rPr>
        <w:t>增加了Cu9Ni6Sn、Cu9Ni</w:t>
      </w:r>
      <w:r>
        <w:rPr>
          <w:rFonts w:hint="eastAsia" w:ascii="Times New Roman" w:hAnsi="Times New Roman" w:eastAsia="宋体" w:cs="Times New Roman"/>
          <w:b w:val="0"/>
          <w:bCs/>
          <w:color w:val="000000" w:themeColor="text1"/>
          <w:kern w:val="2"/>
          <w:sz w:val="21"/>
          <w:szCs w:val="22"/>
          <w:highlight w:val="none"/>
          <w:lang w:val="en-US" w:eastAsia="zh-CN" w:bidi="ar-SA"/>
          <w14:textFill>
            <w14:solidFill>
              <w14:schemeClr w14:val="tx1"/>
            </w14:solidFill>
          </w14:textFill>
        </w:rPr>
        <w:t>2</w:t>
      </w:r>
      <w:r>
        <w:rPr>
          <w:rFonts w:hint="default" w:ascii="Times New Roman" w:hAnsi="Times New Roman" w:eastAsia="宋体" w:cs="Times New Roman"/>
          <w:b w:val="0"/>
          <w:bCs/>
          <w:color w:val="000000" w:themeColor="text1"/>
          <w:kern w:val="2"/>
          <w:sz w:val="21"/>
          <w:szCs w:val="22"/>
          <w:highlight w:val="none"/>
          <w:lang w:val="en-US" w:eastAsia="zh-CN" w:bidi="ar-SA"/>
          <w14:textFill>
            <w14:solidFill>
              <w14:schemeClr w14:val="tx1"/>
            </w14:solidFill>
          </w14:textFill>
        </w:rPr>
        <w:t>Sn</w:t>
      </w:r>
      <w:r>
        <w:rPr>
          <w:rFonts w:hint="eastAsia" w:ascii="Times New Roman" w:hAnsi="Times New Roman" w:eastAsia="宋体" w:cs="Times New Roman"/>
          <w:b w:val="0"/>
          <w:bCs/>
          <w:color w:val="000000" w:themeColor="text1"/>
          <w:kern w:val="2"/>
          <w:sz w:val="21"/>
          <w:szCs w:val="22"/>
          <w:highlight w:val="none"/>
          <w:lang w:val="en-US" w:eastAsia="zh-CN" w:bidi="ar-SA"/>
          <w14:textFill>
            <w14:solidFill>
              <w14:schemeClr w14:val="tx1"/>
            </w14:solidFill>
          </w14:textFill>
        </w:rPr>
        <w:t>两</w:t>
      </w:r>
      <w:r>
        <w:rPr>
          <w:rFonts w:hint="eastAsia"/>
          <w:lang w:val="en-US" w:eastAsia="zh-CN"/>
        </w:rPr>
        <w:t>个</w:t>
      </w:r>
      <w:r>
        <w:rPr>
          <w:rFonts w:hint="default"/>
        </w:rPr>
        <w:t>牌号</w:t>
      </w:r>
      <w:r>
        <w:rPr>
          <w:rFonts w:hint="eastAsia"/>
          <w:lang w:val="en-US" w:eastAsia="zh-CN"/>
        </w:rPr>
        <w:t>的晶粒尺寸要求</w:t>
      </w:r>
      <w:r>
        <w:rPr>
          <w:rFonts w:hint="eastAsia"/>
          <w:lang w:eastAsia="zh-CN"/>
        </w:rPr>
        <w:t>，</w:t>
      </w:r>
      <w:r>
        <w:rPr>
          <w:rFonts w:hint="default" w:ascii="Times New Roman" w:hAnsi="Times New Roman" w:eastAsia="宋体" w:cs="Times New Roman"/>
          <w:b w:val="0"/>
          <w:bCs/>
          <w:color w:val="000000" w:themeColor="text1"/>
          <w:highlight w:val="none"/>
          <w:lang w:val="en-US" w:eastAsia="zh-CN"/>
          <w14:textFill>
            <w14:solidFill>
              <w14:schemeClr w14:val="tx1"/>
            </w14:solidFill>
          </w14:textFill>
        </w:rPr>
        <w:t>针对</w:t>
      </w:r>
      <w:r>
        <w:rPr>
          <w:rFonts w:hint="eastAsia" w:cs="Times New Roman"/>
          <w:b w:val="0"/>
          <w:bCs/>
          <w:color w:val="000000" w:themeColor="text1"/>
          <w:highlight w:val="none"/>
          <w:lang w:val="en-US" w:eastAsia="zh-CN"/>
          <w14:textFill>
            <w14:solidFill>
              <w14:schemeClr w14:val="tx1"/>
            </w14:solidFill>
          </w14:textFill>
        </w:rPr>
        <w:t>这两种合金</w:t>
      </w:r>
      <w:r>
        <w:rPr>
          <w:rFonts w:hint="default" w:ascii="Times New Roman" w:hAnsi="Times New Roman" w:eastAsia="宋体" w:cs="Times New Roman"/>
          <w:b w:val="0"/>
          <w:bCs/>
          <w:color w:val="000000" w:themeColor="text1"/>
          <w:highlight w:val="none"/>
          <w:lang w:val="en-US" w:eastAsia="zh-CN"/>
          <w14:textFill>
            <w14:solidFill>
              <w14:schemeClr w14:val="tx1"/>
            </w14:solidFill>
          </w14:textFill>
        </w:rPr>
        <w:t>带箔材，应进行</w:t>
      </w:r>
      <w:r>
        <w:rPr>
          <w:rFonts w:hint="eastAsia" w:cs="Times New Roman"/>
          <w:b w:val="0"/>
          <w:bCs/>
          <w:color w:val="000000" w:themeColor="text1"/>
          <w:highlight w:val="none"/>
          <w:lang w:val="en-US" w:eastAsia="zh-CN"/>
          <w14:textFill>
            <w14:solidFill>
              <w14:schemeClr w14:val="tx1"/>
            </w14:solidFill>
          </w14:textFill>
        </w:rPr>
        <w:t>晶粒度测量，</w:t>
      </w:r>
      <w:r>
        <w:rPr>
          <w:rFonts w:ascii="Times New Roman" w:hAnsi="Times New Roman" w:eastAsia="宋体" w:cs="Times New Roman"/>
          <w:snapToGrid/>
          <w:color w:val="000000"/>
          <w:kern w:val="0"/>
          <w:szCs w:val="20"/>
          <w:lang w:eastAsia="zh-CN"/>
        </w:rPr>
        <w:t>O60状态板材的晶粒度</w:t>
      </w:r>
      <w:r>
        <w:rPr>
          <w:rFonts w:ascii="Times New Roman" w:hAnsi="Times New Roman" w:eastAsia="宋体" w:cs="Times New Roman"/>
          <w:snapToGrid/>
          <w:color w:val="000000"/>
          <w:kern w:val="0"/>
          <w:szCs w:val="20"/>
          <w:lang w:val="en-US" w:eastAsia="zh-CN"/>
        </w:rPr>
        <w:t>测定方法按 YS/T 347 的规定进行</w:t>
      </w:r>
      <w:r>
        <w:rPr>
          <w:rFonts w:hint="default" w:ascii="Times New Roman" w:hAnsi="Times New Roman" w:eastAsia="宋体" w:cs="Times New Roman"/>
          <w:b w:val="0"/>
          <w:bCs/>
          <w:color w:val="000000" w:themeColor="text1"/>
          <w:highlight w:val="none"/>
          <w:lang w:val="en-US" w:eastAsia="zh-CN"/>
          <w14:textFill>
            <w14:solidFill>
              <w14:schemeClr w14:val="tx1"/>
            </w14:solidFill>
          </w14:textFill>
        </w:rPr>
        <w:t>，</w:t>
      </w:r>
      <w:r>
        <w:rPr>
          <w:rFonts w:hint="eastAsia" w:cs="Times New Roman"/>
          <w:b w:val="0"/>
          <w:bCs/>
          <w:color w:val="000000" w:themeColor="text1"/>
          <w:highlight w:val="none"/>
          <w:lang w:val="en-US" w:eastAsia="zh-CN"/>
          <w14:textFill>
            <w14:solidFill>
              <w14:schemeClr w14:val="tx1"/>
            </w14:solidFill>
          </w14:textFill>
        </w:rPr>
        <w:t>对各牌号合金进行抽样检测，</w:t>
      </w:r>
      <w:r>
        <w:rPr>
          <w:rFonts w:hint="default" w:ascii="Times New Roman" w:hAnsi="Times New Roman" w:eastAsia="宋体" w:cs="Times New Roman"/>
          <w:b w:val="0"/>
          <w:bCs/>
          <w:color w:val="000000" w:themeColor="text1"/>
          <w:highlight w:val="none"/>
          <w:lang w:val="en-US" w:eastAsia="zh-CN"/>
          <w14:textFill>
            <w14:solidFill>
              <w14:schemeClr w14:val="tx1"/>
            </w14:solidFill>
          </w14:textFill>
        </w:rPr>
        <w:t>抽检结果如表</w:t>
      </w:r>
      <w:r>
        <w:rPr>
          <w:rFonts w:hint="eastAsia" w:cs="Times New Roman"/>
          <w:b w:val="0"/>
          <w:bCs/>
          <w:color w:val="000000" w:themeColor="text1"/>
          <w:highlight w:val="none"/>
          <w:lang w:val="en-US" w:eastAsia="zh-CN"/>
          <w14:textFill>
            <w14:solidFill>
              <w14:schemeClr w14:val="tx1"/>
            </w14:solidFill>
          </w14:textFill>
        </w:rPr>
        <w:t>7</w:t>
      </w:r>
      <w:r>
        <w:rPr>
          <w:rFonts w:hint="default" w:ascii="Times New Roman" w:hAnsi="Times New Roman" w:eastAsia="宋体" w:cs="Times New Roman"/>
          <w:b w:val="0"/>
          <w:bCs/>
          <w:color w:val="000000" w:themeColor="text1"/>
          <w:highlight w:val="none"/>
          <w:lang w:val="en-US" w:eastAsia="zh-CN"/>
          <w14:textFill>
            <w14:solidFill>
              <w14:schemeClr w14:val="tx1"/>
            </w14:solidFill>
          </w14:textFill>
        </w:rPr>
        <w:t>所示</w:t>
      </w:r>
      <w:r>
        <w:rPr>
          <w:rFonts w:hint="eastAsia" w:cs="Times New Roman"/>
          <w:b w:val="0"/>
          <w:bCs/>
          <w:color w:val="000000" w:themeColor="text1"/>
          <w:highlight w:val="none"/>
          <w:lang w:val="en-US" w:eastAsia="zh-CN"/>
          <w14:textFill>
            <w14:solidFill>
              <w14:schemeClr w14:val="tx1"/>
            </w14:solidFill>
          </w14:textFill>
        </w:rPr>
        <w:t>：</w:t>
      </w:r>
    </w:p>
    <w:p w14:paraId="32C8F764">
      <w:pPr>
        <w:pStyle w:val="9"/>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ascii="Times New Roman" w:hAnsi="Times New Roman" w:eastAsia="宋体" w:cs="Times New Roman"/>
          <w:snapToGrid/>
          <w:color w:val="000000"/>
          <w:kern w:val="0"/>
          <w:szCs w:val="20"/>
          <w:lang w:val="en-US" w:eastAsia="zh-CN"/>
        </w:rPr>
      </w:pPr>
      <w:r>
        <w:rPr>
          <w:rFonts w:hint="default" w:ascii="Times New Roman" w:hAnsi="Times New Roman" w:eastAsia="宋体" w:cs="Times New Roman"/>
          <w:b w:val="0"/>
          <w:bCs/>
          <w:color w:val="000000" w:themeColor="text1"/>
          <w:highlight w:val="none"/>
          <w14:textFill>
            <w14:solidFill>
              <w14:schemeClr w14:val="tx1"/>
            </w14:solidFill>
          </w14:textFill>
        </w:rPr>
        <w:t>表</w:t>
      </w:r>
      <w:r>
        <w:rPr>
          <w:rFonts w:hint="eastAsia" w:ascii="Times New Roman" w:hAnsi="Times New Roman" w:cs="Times New Roman"/>
          <w:b w:val="0"/>
          <w:bCs/>
          <w:color w:val="000000" w:themeColor="text1"/>
          <w:highlight w:val="none"/>
          <w:lang w:val="en-US" w:eastAsia="zh-CN"/>
          <w14:textFill>
            <w14:solidFill>
              <w14:schemeClr w14:val="tx1"/>
            </w14:solidFill>
          </w14:textFill>
        </w:rPr>
        <w:t>7</w:t>
      </w:r>
      <w:r>
        <w:rPr>
          <w:rFonts w:hint="default" w:ascii="Times New Roman" w:hAnsi="Times New Roman" w:eastAsia="宋体" w:cs="Times New Roman"/>
          <w:b w:val="0"/>
          <w:bCs/>
          <w:color w:val="000000" w:themeColor="text1"/>
          <w:highlight w:val="none"/>
          <w14:textFill>
            <w14:solidFill>
              <w14:schemeClr w14:val="tx1"/>
            </w14:solidFill>
          </w14:textFill>
        </w:rPr>
        <w:t xml:space="preserve"> 产品不同状态</w:t>
      </w:r>
      <w:r>
        <w:rPr>
          <w:rFonts w:hint="eastAsia" w:ascii="Times New Roman" w:hAnsi="Times New Roman" w:cs="Times New Roman"/>
          <w:b w:val="0"/>
          <w:bCs/>
          <w:color w:val="000000" w:themeColor="text1"/>
          <w:highlight w:val="none"/>
          <w:lang w:val="en-US" w:eastAsia="zh-CN"/>
          <w14:textFill>
            <w14:solidFill>
              <w14:schemeClr w14:val="tx1"/>
            </w14:solidFill>
          </w14:textFill>
        </w:rPr>
        <w:t>晶粒度</w:t>
      </w:r>
      <w:r>
        <w:rPr>
          <w:rFonts w:hint="default" w:ascii="Times New Roman" w:hAnsi="Times New Roman" w:eastAsia="宋体" w:cs="Times New Roman"/>
          <w:b w:val="0"/>
          <w:bCs/>
          <w:color w:val="000000" w:themeColor="text1"/>
          <w:highlight w:val="none"/>
          <w14:textFill>
            <w14:solidFill>
              <w14:schemeClr w14:val="tx1"/>
            </w14:solidFill>
          </w14:textFill>
        </w:rPr>
        <w:t>检测数据统计表</w:t>
      </w:r>
    </w:p>
    <w:tbl>
      <w:tblPr>
        <w:tblStyle w:val="20"/>
        <w:tblW w:w="47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7"/>
        <w:gridCol w:w="945"/>
        <w:gridCol w:w="1395"/>
        <w:gridCol w:w="1620"/>
        <w:gridCol w:w="1994"/>
        <w:gridCol w:w="1424"/>
      </w:tblGrid>
      <w:tr w14:paraId="12BCF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6" w:type="pct"/>
            <w:vMerge w:val="restart"/>
            <w:noWrap/>
            <w:vAlign w:val="center"/>
          </w:tcPr>
          <w:p w14:paraId="74E41D95">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pPr>
            <w:r>
              <w:rPr>
                <w:rFonts w:hint="eastAsia" w:cs="Times New Roman"/>
                <w:b w:val="0"/>
                <w:bCs/>
                <w:color w:val="000000" w:themeColor="text1"/>
                <w:sz w:val="21"/>
                <w:szCs w:val="21"/>
                <w:highlight w:val="none"/>
                <w:lang w:val="en-US" w:eastAsia="zh-CN"/>
                <w14:textFill>
                  <w14:solidFill>
                    <w14:schemeClr w14:val="tx1"/>
                  </w14:solidFill>
                </w14:textFill>
              </w:rPr>
              <w:t>牌号</w:t>
            </w:r>
          </w:p>
        </w:tc>
        <w:tc>
          <w:tcPr>
            <w:tcW w:w="540" w:type="pct"/>
            <w:vMerge w:val="restart"/>
            <w:noWrap/>
            <w:vAlign w:val="center"/>
          </w:tcPr>
          <w:p w14:paraId="7C871BCE">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状态</w:t>
            </w:r>
          </w:p>
        </w:tc>
        <w:tc>
          <w:tcPr>
            <w:tcW w:w="3682" w:type="pct"/>
            <w:gridSpan w:val="4"/>
            <w:noWrap/>
            <w:vAlign w:val="center"/>
          </w:tcPr>
          <w:p w14:paraId="0FF3B79C">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s="Times New Roman"/>
                <w:b w:val="0"/>
                <w:bCs/>
                <w:color w:val="000000" w:themeColor="text1"/>
                <w:sz w:val="21"/>
                <w:szCs w:val="21"/>
                <w:highlight w:val="none"/>
                <w:lang w:val="en-US" w:eastAsia="zh-CN"/>
                <w14:textFill>
                  <w14:solidFill>
                    <w14:schemeClr w14:val="tx1"/>
                  </w14:solidFill>
                </w14:textFill>
              </w:rPr>
            </w:pPr>
            <w:r>
              <w:rPr>
                <w:rFonts w:hint="eastAsia" w:cs="Times New Roman"/>
                <w:b w:val="0"/>
                <w:bCs/>
                <w:color w:val="000000" w:themeColor="text1"/>
                <w:sz w:val="21"/>
                <w:szCs w:val="21"/>
                <w:highlight w:val="none"/>
                <w:lang w:val="en-US" w:eastAsia="zh-CN"/>
                <w14:textFill>
                  <w14:solidFill>
                    <w14:schemeClr w14:val="tx1"/>
                  </w14:solidFill>
                </w14:textFill>
              </w:rPr>
              <w:t>晶粒度</w:t>
            </w:r>
          </w:p>
        </w:tc>
      </w:tr>
      <w:tr w14:paraId="3B801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6" w:type="pct"/>
            <w:vMerge w:val="continue"/>
            <w:noWrap/>
            <w:vAlign w:val="center"/>
          </w:tcPr>
          <w:p w14:paraId="564067BC">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540" w:type="pct"/>
            <w:vMerge w:val="continue"/>
            <w:noWrap/>
            <w:vAlign w:val="center"/>
          </w:tcPr>
          <w:p w14:paraId="2D2232F9">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798" w:type="pct"/>
            <w:shd w:val="clear" w:color="auto" w:fill="auto"/>
            <w:noWrap/>
            <w:vAlign w:val="center"/>
          </w:tcPr>
          <w:p w14:paraId="08B32CE4">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数量</w:t>
            </w:r>
          </w:p>
        </w:tc>
        <w:tc>
          <w:tcPr>
            <w:tcW w:w="927" w:type="pct"/>
            <w:shd w:val="clear" w:color="auto" w:fill="auto"/>
            <w:noWrap/>
            <w:vAlign w:val="center"/>
          </w:tcPr>
          <w:p w14:paraId="44A3F84F">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平均值</w:t>
            </w:r>
          </w:p>
        </w:tc>
        <w:tc>
          <w:tcPr>
            <w:tcW w:w="1141" w:type="pct"/>
            <w:shd w:val="clear" w:color="auto" w:fill="auto"/>
            <w:noWrap/>
            <w:vAlign w:val="center"/>
          </w:tcPr>
          <w:p w14:paraId="4768DA51">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kern w:val="0"/>
                <w:sz w:val="21"/>
                <w:szCs w:val="21"/>
                <w:highlight w:val="none"/>
                <w:lang w:val="en-US" w:eastAsia="zh-CN" w:bidi="ar-SA"/>
                <w14:textFill>
                  <w14:solidFill>
                    <w14:schemeClr w14:val="tx1"/>
                  </w14:solidFill>
                </w14:textFill>
              </w:rPr>
            </w:pPr>
            <w:r>
              <w:rPr>
                <w:rFonts w:hint="eastAsia" w:cs="Times New Roman"/>
                <w:b w:val="0"/>
                <w:bCs/>
                <w:color w:val="000000" w:themeColor="text1"/>
                <w:sz w:val="21"/>
                <w:szCs w:val="21"/>
                <w:highlight w:val="none"/>
                <w:lang w:val="en-US" w:eastAsia="zh-CN"/>
                <w14:textFill>
                  <w14:solidFill>
                    <w14:schemeClr w14:val="tx1"/>
                  </w14:solidFill>
                </w14:textFill>
              </w:rPr>
              <w:t>晶粒度</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范围/</w:t>
            </w:r>
            <w:r>
              <w:rPr>
                <w:rFonts w:hint="eastAsia" w:cs="Times New Roman"/>
                <w:b w:val="0"/>
                <w:bCs/>
                <w:color w:val="000000" w:themeColor="text1"/>
                <w:sz w:val="21"/>
                <w:szCs w:val="21"/>
                <w:highlight w:val="none"/>
                <w:lang w:val="en-US" w:eastAsia="zh-CN"/>
                <w14:textFill>
                  <w14:solidFill>
                    <w14:schemeClr w14:val="tx1"/>
                  </w14:solidFill>
                </w14:textFill>
              </w:rPr>
              <w:t>mm</w:t>
            </w:r>
          </w:p>
        </w:tc>
        <w:tc>
          <w:tcPr>
            <w:tcW w:w="815" w:type="pct"/>
            <w:shd w:val="clear" w:color="auto" w:fill="auto"/>
            <w:noWrap/>
            <w:vAlign w:val="center"/>
          </w:tcPr>
          <w:p w14:paraId="1D83F936">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kern w:val="0"/>
                <w:sz w:val="21"/>
                <w:szCs w:val="21"/>
                <w:highlight w:val="none"/>
                <w:lang w:val="en-US" w:eastAsia="zh-CN" w:bidi="ar-SA"/>
                <w14:textFill>
                  <w14:solidFill>
                    <w14:schemeClr w14:val="tx1"/>
                  </w14:solidFill>
                </w14:textFill>
              </w:rPr>
            </w:pPr>
            <w:r>
              <w:rPr>
                <w:rFonts w:hint="eastAsia" w:cs="Times New Roman"/>
                <w:b w:val="0"/>
                <w:bCs/>
                <w:color w:val="000000" w:themeColor="text1"/>
                <w:kern w:val="0"/>
                <w:sz w:val="21"/>
                <w:szCs w:val="21"/>
                <w:highlight w:val="none"/>
                <w:lang w:val="en-US" w:eastAsia="zh-CN" w:bidi="ar-SA"/>
                <w14:textFill>
                  <w14:solidFill>
                    <w14:schemeClr w14:val="tx1"/>
                  </w14:solidFill>
                </w14:textFill>
              </w:rPr>
              <w:t>合格率</w:t>
            </w:r>
          </w:p>
        </w:tc>
      </w:tr>
      <w:tr w14:paraId="28FC4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57" w:type="dxa"/>
            <w:vMerge w:val="restart"/>
            <w:noWrap/>
            <w:vAlign w:val="center"/>
          </w:tcPr>
          <w:p w14:paraId="7087D836">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t>Cu9Ni</w:t>
            </w:r>
            <w:r>
              <w:rPr>
                <w:rFonts w:hint="eastAsia"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t>2</w:t>
            </w:r>
            <w:r>
              <w:rPr>
                <w:rFonts w:hint="default"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t>Sn</w:t>
            </w:r>
          </w:p>
        </w:tc>
        <w:tc>
          <w:tcPr>
            <w:tcW w:w="945" w:type="dxa"/>
            <w:noWrap/>
            <w:vAlign w:val="center"/>
          </w:tcPr>
          <w:p w14:paraId="7B5DF411">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t>OS025</w:t>
            </w:r>
          </w:p>
        </w:tc>
        <w:tc>
          <w:tcPr>
            <w:tcW w:w="1395" w:type="dxa"/>
            <w:shd w:val="clear" w:color="auto" w:fill="auto"/>
            <w:noWrap/>
            <w:vAlign w:val="center"/>
          </w:tcPr>
          <w:p w14:paraId="6E8B53A5">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t>100</w:t>
            </w:r>
          </w:p>
        </w:tc>
        <w:tc>
          <w:tcPr>
            <w:tcW w:w="1620" w:type="dxa"/>
            <w:shd w:val="clear" w:color="auto" w:fill="auto"/>
            <w:noWrap/>
            <w:vAlign w:val="center"/>
          </w:tcPr>
          <w:p w14:paraId="026B4A9E">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t>0.025</w:t>
            </w:r>
          </w:p>
        </w:tc>
        <w:tc>
          <w:tcPr>
            <w:tcW w:w="1994" w:type="dxa"/>
            <w:shd w:val="clear" w:color="auto" w:fill="auto"/>
            <w:noWrap/>
            <w:vAlign w:val="center"/>
          </w:tcPr>
          <w:p w14:paraId="7A33CAC2">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t>0.015～</w:t>
            </w:r>
            <w:r>
              <w:rPr>
                <w:rFonts w:hint="eastAsia"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t>0.035</w:t>
            </w:r>
          </w:p>
        </w:tc>
        <w:tc>
          <w:tcPr>
            <w:tcW w:w="1424" w:type="dxa"/>
            <w:shd w:val="clear" w:color="auto" w:fill="auto"/>
            <w:noWrap/>
            <w:vAlign w:val="center"/>
          </w:tcPr>
          <w:p w14:paraId="6A56AE0D">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t>98%</w:t>
            </w:r>
          </w:p>
        </w:tc>
      </w:tr>
      <w:tr w14:paraId="6B359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57" w:type="dxa"/>
            <w:vMerge w:val="continue"/>
            <w:noWrap/>
            <w:vAlign w:val="center"/>
          </w:tcPr>
          <w:p w14:paraId="0BA3FFFF">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pPr>
          </w:p>
        </w:tc>
        <w:tc>
          <w:tcPr>
            <w:tcW w:w="945" w:type="dxa"/>
            <w:noWrap/>
            <w:vAlign w:val="center"/>
          </w:tcPr>
          <w:p w14:paraId="78460A0D">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t>OS015</w:t>
            </w:r>
          </w:p>
        </w:tc>
        <w:tc>
          <w:tcPr>
            <w:tcW w:w="1395" w:type="dxa"/>
            <w:shd w:val="clear" w:color="auto" w:fill="auto"/>
            <w:noWrap/>
            <w:vAlign w:val="center"/>
          </w:tcPr>
          <w:p w14:paraId="51379F06">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t>100</w:t>
            </w:r>
          </w:p>
        </w:tc>
        <w:tc>
          <w:tcPr>
            <w:tcW w:w="1620" w:type="dxa"/>
            <w:shd w:val="clear" w:color="auto" w:fill="auto"/>
            <w:noWrap/>
            <w:vAlign w:val="center"/>
          </w:tcPr>
          <w:p w14:paraId="4F3F7F03">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t>0.015</w:t>
            </w:r>
          </w:p>
        </w:tc>
        <w:tc>
          <w:tcPr>
            <w:tcW w:w="1994" w:type="dxa"/>
            <w:shd w:val="clear" w:color="auto" w:fill="auto"/>
            <w:noWrap/>
            <w:vAlign w:val="center"/>
          </w:tcPr>
          <w:p w14:paraId="08EFFAD2">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t>0.010</w:t>
            </w:r>
            <w:r>
              <w:rPr>
                <w:rFonts w:hint="default"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t>～</w:t>
            </w:r>
            <w:r>
              <w:rPr>
                <w:rFonts w:hint="eastAsia"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t>0.025</w:t>
            </w:r>
          </w:p>
        </w:tc>
        <w:tc>
          <w:tcPr>
            <w:tcW w:w="1424" w:type="dxa"/>
            <w:shd w:val="clear" w:color="auto" w:fill="auto"/>
            <w:noWrap/>
            <w:vAlign w:val="center"/>
          </w:tcPr>
          <w:p w14:paraId="71673971">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t>99%</w:t>
            </w:r>
          </w:p>
        </w:tc>
      </w:tr>
      <w:tr w14:paraId="6477F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57" w:type="dxa"/>
            <w:vMerge w:val="restart"/>
            <w:shd w:val="clear" w:color="auto" w:fill="auto"/>
            <w:noWrap/>
            <w:vAlign w:val="center"/>
          </w:tcPr>
          <w:p w14:paraId="2A0EF4BE">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t>Cu9Ni6Sn</w:t>
            </w:r>
          </w:p>
        </w:tc>
        <w:tc>
          <w:tcPr>
            <w:tcW w:w="945" w:type="dxa"/>
            <w:shd w:val="clear" w:color="auto" w:fill="auto"/>
            <w:noWrap/>
            <w:vAlign w:val="center"/>
          </w:tcPr>
          <w:p w14:paraId="35E234F7">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t>OS025</w:t>
            </w:r>
          </w:p>
        </w:tc>
        <w:tc>
          <w:tcPr>
            <w:tcW w:w="1395" w:type="dxa"/>
            <w:shd w:val="clear" w:color="auto" w:fill="auto"/>
            <w:noWrap/>
            <w:vAlign w:val="center"/>
          </w:tcPr>
          <w:p w14:paraId="324D5257">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t>100</w:t>
            </w:r>
          </w:p>
        </w:tc>
        <w:tc>
          <w:tcPr>
            <w:tcW w:w="1620" w:type="dxa"/>
            <w:shd w:val="clear" w:color="auto" w:fill="auto"/>
            <w:noWrap/>
            <w:vAlign w:val="center"/>
          </w:tcPr>
          <w:p w14:paraId="0CB7C5EB">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t>0.025</w:t>
            </w:r>
          </w:p>
        </w:tc>
        <w:tc>
          <w:tcPr>
            <w:tcW w:w="1994" w:type="dxa"/>
            <w:shd w:val="clear" w:color="auto" w:fill="auto"/>
            <w:noWrap/>
            <w:vAlign w:val="center"/>
          </w:tcPr>
          <w:p w14:paraId="055D72FD">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cs="Times New Roman"/>
                <w:b w:val="0"/>
                <w:bCs/>
                <w:color w:val="000000" w:themeColor="text1"/>
                <w:kern w:val="2"/>
                <w:sz w:val="21"/>
                <w:szCs w:val="21"/>
                <w:highlight w:val="none"/>
                <w:lang w:val="en-US" w:eastAsia="en-US" w:bidi="ar-SA"/>
                <w14:textFill>
                  <w14:solidFill>
                    <w14:schemeClr w14:val="tx1"/>
                  </w14:solidFill>
                </w14:textFill>
              </w:rPr>
            </w:pPr>
            <w:r>
              <w:rPr>
                <w:rFonts w:hint="default"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t>0.015～</w:t>
            </w:r>
            <w:r>
              <w:rPr>
                <w:rFonts w:hint="eastAsia"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t>0.035</w:t>
            </w:r>
          </w:p>
        </w:tc>
        <w:tc>
          <w:tcPr>
            <w:tcW w:w="1424" w:type="dxa"/>
            <w:shd w:val="clear" w:color="auto" w:fill="auto"/>
            <w:noWrap/>
            <w:vAlign w:val="center"/>
          </w:tcPr>
          <w:p w14:paraId="04E0C84B">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t>99%</w:t>
            </w:r>
          </w:p>
        </w:tc>
      </w:tr>
      <w:tr w14:paraId="490BB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57" w:type="dxa"/>
            <w:vMerge w:val="continue"/>
            <w:shd w:val="clear" w:color="auto" w:fill="auto"/>
            <w:noWrap/>
            <w:vAlign w:val="center"/>
          </w:tcPr>
          <w:p w14:paraId="58F22164">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pPr>
          </w:p>
        </w:tc>
        <w:tc>
          <w:tcPr>
            <w:tcW w:w="945" w:type="dxa"/>
            <w:shd w:val="clear" w:color="auto" w:fill="auto"/>
            <w:noWrap/>
            <w:vAlign w:val="center"/>
          </w:tcPr>
          <w:p w14:paraId="0EE3CCEF">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t>OS015</w:t>
            </w:r>
          </w:p>
        </w:tc>
        <w:tc>
          <w:tcPr>
            <w:tcW w:w="1395" w:type="dxa"/>
            <w:shd w:val="clear" w:color="auto" w:fill="auto"/>
            <w:noWrap/>
            <w:vAlign w:val="center"/>
          </w:tcPr>
          <w:p w14:paraId="402FBF7F">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t>100</w:t>
            </w:r>
          </w:p>
        </w:tc>
        <w:tc>
          <w:tcPr>
            <w:tcW w:w="1620" w:type="dxa"/>
            <w:shd w:val="clear" w:color="auto" w:fill="auto"/>
            <w:noWrap/>
            <w:vAlign w:val="center"/>
          </w:tcPr>
          <w:p w14:paraId="11385AD1">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t>0.015</w:t>
            </w:r>
          </w:p>
        </w:tc>
        <w:tc>
          <w:tcPr>
            <w:tcW w:w="1994" w:type="dxa"/>
            <w:shd w:val="clear" w:color="auto" w:fill="auto"/>
            <w:noWrap/>
            <w:vAlign w:val="center"/>
          </w:tcPr>
          <w:p w14:paraId="0AC21564">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cs="Times New Roman"/>
                <w:b w:val="0"/>
                <w:bCs/>
                <w:color w:val="000000" w:themeColor="text1"/>
                <w:kern w:val="2"/>
                <w:sz w:val="21"/>
                <w:szCs w:val="21"/>
                <w:highlight w:val="none"/>
                <w:lang w:val="en-US" w:eastAsia="en-US" w:bidi="ar-SA"/>
                <w14:textFill>
                  <w14:solidFill>
                    <w14:schemeClr w14:val="tx1"/>
                  </w14:solidFill>
                </w14:textFill>
              </w:rPr>
            </w:pPr>
            <w:r>
              <w:rPr>
                <w:rFonts w:hint="eastAsia"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t>0.010</w:t>
            </w:r>
            <w:r>
              <w:rPr>
                <w:rFonts w:hint="default"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t>～</w:t>
            </w:r>
            <w:r>
              <w:rPr>
                <w:rFonts w:hint="eastAsia"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t>0.025</w:t>
            </w:r>
          </w:p>
        </w:tc>
        <w:tc>
          <w:tcPr>
            <w:tcW w:w="1424" w:type="dxa"/>
            <w:shd w:val="clear" w:color="auto" w:fill="auto"/>
            <w:noWrap/>
            <w:vAlign w:val="center"/>
          </w:tcPr>
          <w:p w14:paraId="42069FEA">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t>98%</w:t>
            </w:r>
          </w:p>
        </w:tc>
      </w:tr>
      <w:tr w14:paraId="47111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6"/>
            <w:noWrap/>
            <w:vAlign w:val="center"/>
          </w:tcPr>
          <w:p w14:paraId="78366B30">
            <w:pPr>
              <w:pStyle w:val="17"/>
              <w:keepNext w:val="0"/>
              <w:keepLines w:val="0"/>
              <w:pageBreakBefore w:val="0"/>
              <w:widowControl/>
              <w:kinsoku/>
              <w:wordWrap/>
              <w:overflowPunct/>
              <w:topLinePunct w:val="0"/>
              <w:autoSpaceDE/>
              <w:autoSpaceDN/>
              <w:bidi w:val="0"/>
              <w:adjustRightInd/>
              <w:snapToGrid/>
              <w:spacing w:line="240" w:lineRule="auto"/>
              <w:ind w:firstLine="428" w:firstLineChars="200"/>
              <w:jc w:val="left"/>
              <w:textAlignment w:val="auto"/>
              <w:rPr>
                <w:rFonts w:hint="default" w:ascii="Times New Roman" w:hAnsi="Times New Roman" w:eastAsia="宋体" w:cs="Times New Roman"/>
                <w:spacing w:val="2"/>
                <w:sz w:val="21"/>
                <w:szCs w:val="21"/>
                <w:vertAlign w:val="superscript"/>
              </w:rPr>
            </w:pPr>
            <w:r>
              <w:rPr>
                <w:rFonts w:hint="default" w:ascii="Times New Roman" w:hAnsi="Times New Roman" w:eastAsia="宋体" w:cs="Times New Roman"/>
                <w:spacing w:val="2"/>
                <w:sz w:val="21"/>
                <w:szCs w:val="21"/>
                <w:vertAlign w:val="superscript"/>
              </w:rPr>
              <w:t>*</w:t>
            </w:r>
            <w:r>
              <w:rPr>
                <w:rFonts w:hint="default" w:ascii="Times New Roman" w:hAnsi="Times New Roman" w:eastAsia="宋体" w:cs="Times New Roman"/>
                <w:spacing w:val="6"/>
                <w:sz w:val="21"/>
                <w:szCs w:val="21"/>
              </w:rPr>
              <w:t>指完全再结晶后的最小晶粒。</w:t>
            </w:r>
          </w:p>
        </w:tc>
      </w:tr>
    </w:tbl>
    <w:p w14:paraId="23607981">
      <w:pPr>
        <w:pStyle w:val="6"/>
        <w:keepNext/>
        <w:keepLines/>
        <w:pageBreakBefore w:val="0"/>
        <w:widowControl w:val="0"/>
        <w:kinsoku/>
        <w:wordWrap/>
        <w:overflowPunct/>
        <w:topLinePunct w:val="0"/>
        <w:autoSpaceDE/>
        <w:autoSpaceDN/>
        <w:bidi w:val="0"/>
        <w:adjustRightInd/>
        <w:snapToGrid/>
        <w:spacing w:before="157" w:beforeLines="50" w:after="0" w:line="372" w:lineRule="auto"/>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四、标准中涉及专利的情况</w:t>
      </w:r>
    </w:p>
    <w:p w14:paraId="5544A5A8">
      <w:pPr>
        <w:keepNext w:val="0"/>
        <w:keepLines w:val="0"/>
        <w:pageBreakBefore w:val="0"/>
        <w:widowControl/>
        <w:kinsoku/>
        <w:wordWrap/>
        <w:overflowPunct/>
        <w:topLinePunct w:val="0"/>
        <w:autoSpaceDE/>
        <w:autoSpaceDN/>
        <w:bidi w:val="0"/>
        <w:adjustRightInd/>
        <w:snapToGrid/>
        <w:spacing w:line="240" w:lineRule="auto"/>
        <w:ind w:firstLine="420" w:firstLineChars="200"/>
        <w:jc w:val="both"/>
        <w:textAlignment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本标准不涉及专利问题。</w:t>
      </w:r>
    </w:p>
    <w:p w14:paraId="399856BB">
      <w:pPr>
        <w:pStyle w:val="6"/>
        <w:keepNext/>
        <w:keepLines/>
        <w:pageBreakBefore w:val="0"/>
        <w:widowControl w:val="0"/>
        <w:numPr>
          <w:ilvl w:val="0"/>
          <w:numId w:val="2"/>
        </w:numPr>
        <w:kinsoku/>
        <w:wordWrap/>
        <w:overflowPunct/>
        <w:topLinePunct w:val="0"/>
        <w:autoSpaceDE/>
        <w:autoSpaceDN/>
        <w:bidi w:val="0"/>
        <w:adjustRightInd/>
        <w:snapToGrid/>
        <w:spacing w:before="157" w:beforeLines="50" w:after="0" w:line="372" w:lineRule="auto"/>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预期达到的社会效益等情况</w:t>
      </w:r>
    </w:p>
    <w:p w14:paraId="638DBC4F">
      <w:pPr>
        <w:pStyle w:val="7"/>
        <w:keepNext/>
        <w:keepLines/>
        <w:pageBreakBefore w:val="0"/>
        <w:widowControl w:val="0"/>
        <w:numPr>
          <w:ilvl w:val="0"/>
          <w:numId w:val="0"/>
        </w:numPr>
        <w:kinsoku/>
        <w:wordWrap/>
        <w:overflowPunct/>
        <w:topLinePunct w:val="0"/>
        <w:autoSpaceDE/>
        <w:autoSpaceDN/>
        <w:bidi w:val="0"/>
        <w:adjustRightInd/>
        <w:snapToGrid/>
        <w:spacing w:before="157" w:beforeLines="50" w:after="0"/>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lang w:val="en-US"/>
          <w14:textFill>
            <w14:solidFill>
              <w14:schemeClr w14:val="tx1"/>
            </w14:solidFill>
          </w14:textFill>
        </w:rPr>
        <w:t xml:space="preserve">5.1 </w:t>
      </w:r>
      <w:r>
        <w:rPr>
          <w:rFonts w:hint="default" w:ascii="Times New Roman" w:hAnsi="Times New Roman" w:eastAsia="宋体" w:cs="Times New Roman"/>
          <w:b w:val="0"/>
          <w:bCs/>
          <w:color w:val="000000" w:themeColor="text1"/>
          <w:highlight w:val="none"/>
          <w14:textFill>
            <w14:solidFill>
              <w14:schemeClr w14:val="tx1"/>
            </w14:solidFill>
          </w14:textFill>
        </w:rPr>
        <w:t>项目的必要性阐述</w:t>
      </w:r>
    </w:p>
    <w:p w14:paraId="00D1F7A6">
      <w:pPr>
        <w:pStyle w:val="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ascii="Times New Roman" w:hAnsi="Times New Roman" w:eastAsia="宋体" w:cs="Times New Roman"/>
          <w:b w:val="0"/>
          <w:bCs/>
          <w:color w:val="000000" w:themeColor="text1"/>
          <w:highlight w:val="none"/>
          <w:lang w:val="en-US" w:eastAsia="zh-CN"/>
          <w14:textFill>
            <w14:solidFill>
              <w14:schemeClr w14:val="tx1"/>
            </w14:solidFill>
          </w14:textFill>
        </w:rPr>
      </w:pPr>
      <w:r>
        <w:rPr>
          <w:rFonts w:hint="default" w:ascii="Times New Roman" w:hAnsi="Times New Roman" w:eastAsia="宋体" w:cs="Times New Roman"/>
          <w:b w:val="0"/>
          <w:bCs/>
          <w:color w:val="000000" w:themeColor="text1"/>
          <w:highlight w:val="none"/>
          <w:lang w:val="en-US" w:eastAsia="zh-CN"/>
          <w14:textFill>
            <w14:solidFill>
              <w14:schemeClr w14:val="tx1"/>
            </w14:solidFill>
          </w14:textFill>
        </w:rPr>
        <w:t>随着现代科技的飞速发展，无油轴承的工作环境越来越复杂，要求轴承能长时间工作在高温、高载荷、强腐蚀等特殊环境下，同时要求机械产品节能降耗免维护，轴承产品向小型化、低摩擦、长寿命的方向发展，这对无油轴承材料提出了更高的要求。目前我国轴承市场用铜约10000吨/年，无油轴承出口占比较大，主要以低端产品为主，而高端产品仍主要依赖进口，而国内对于高锡磷青铜板研发投入不足，高锡磷青铜合金板（尤其是QSn10-0.3合金）产品质量不稳定，致使高端轴承材料目前仍难以产业化生产，因此发展适应于高端无油轴承用铜合金材料就显得十分重要。目前，我国铜加工业进入新常态，也进入转型升级的关键时期，大力发展高端无油轴承用铜合金材料对于我国有色金属工业改变传统模式、摆脱过剩产能、扩大有色金属应用将起到至关重要的作用。原GB/T 37570-2019标准已经实施多年，国内无油轴承用材料也变得多样化，为扩大标准的适用范围，需要增加产品牌号。同时为落实国务院有关《中国制造2025》和《深化标准化工作改革方案》的部署和要求，提升标准化和产品质量整体水平，提升产品竞争力，适应技术、标准、品牌、质量服务为核心的新经济发展形式，有必要结合国内外实际生产水平和用户需求，对GB/T 37570-2019《无油轴承用铜合金板》标准进行修订，推动铜及铜合金行业的高质量发展。</w:t>
      </w:r>
    </w:p>
    <w:p w14:paraId="279AD5D5">
      <w:pPr>
        <w:pStyle w:val="7"/>
        <w:keepNext/>
        <w:keepLines/>
        <w:pageBreakBefore w:val="0"/>
        <w:widowControl w:val="0"/>
        <w:numPr>
          <w:ilvl w:val="0"/>
          <w:numId w:val="0"/>
        </w:numPr>
        <w:kinsoku/>
        <w:wordWrap/>
        <w:overflowPunct/>
        <w:topLinePunct w:val="0"/>
        <w:autoSpaceDE/>
        <w:autoSpaceDN/>
        <w:bidi w:val="0"/>
        <w:adjustRightInd/>
        <w:snapToGrid/>
        <w:spacing w:before="157" w:beforeLines="50" w:after="0"/>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lang w:val="en-US"/>
          <w14:textFill>
            <w14:solidFill>
              <w14:schemeClr w14:val="tx1"/>
            </w14:solidFill>
          </w14:textFill>
        </w:rPr>
        <w:t xml:space="preserve">5.2 </w:t>
      </w:r>
      <w:r>
        <w:rPr>
          <w:rFonts w:hint="default" w:ascii="Times New Roman" w:hAnsi="Times New Roman" w:eastAsia="宋体" w:cs="Times New Roman"/>
          <w:b w:val="0"/>
          <w:bCs/>
          <w:color w:val="000000" w:themeColor="text1"/>
          <w:highlight w:val="none"/>
          <w14:textFill>
            <w14:solidFill>
              <w14:schemeClr w14:val="tx1"/>
            </w14:solidFill>
          </w14:textFill>
        </w:rPr>
        <w:t>项目的可行性阐述</w:t>
      </w:r>
    </w:p>
    <w:p w14:paraId="2571ABB0">
      <w:pPr>
        <w:pStyle w:val="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宁波兴业盛泰集团有限公司是中国高精度铜板带行业的领先制造商，母公司兴业铜业国际集团有限公司于2007年在香港联交所主板成功上市。盛泰集团一直致力于高精度铜板带的专业化研究、生产、销售，其“三环”品牌荣获“中国名牌”称号，是中国该领域仅有的三大“中国名牌”之一。公司现有产能15万吨/年，2021年产销量达15.0万吨，2017年被中国有色金属加工工业协会评为中国铜板带十强企业首位，盛泰集团荣获宁波杭州湾新区国家级高性能金属新材料基地的核心企业，国家高新技术企业、浙江省工业行业龙头骨干企业等荣誉称号，同时还是中国有色金属加工工业协会的副理事长单位、上海有色金属学会副会长单位等。</w:t>
      </w:r>
    </w:p>
    <w:p w14:paraId="21DD962F">
      <w:pPr>
        <w:pStyle w:val="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公司先后参加了国家“863”计划课题、国家发改委“双高一优”、国家发改委和工信部的“产业振兴和技术改造”和科技部的“十三五”重点研发计划等重大专项。近三年主持或参与制修订国家和行业标准7项，企业授权发明专利14项，实用新型专利25项，获得浙江省科技进步二等奖1项，中国有色金属工业科学技术一等奖4项、二等奖1项，三等奖1项，以及宁波市科技进步三等奖1项。</w:t>
      </w:r>
    </w:p>
    <w:p w14:paraId="5D04B7EB">
      <w:pPr>
        <w:pStyle w:val="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目前，兴业盛泰拥有国家级企业技术中心、浙江省企业博士后工作站、宁波市创新团队、宁波市企业研究院等技术研发平台。盛泰集团拥有水平连铸生产线11条，半连续铸造生产线11条，形成年18万吨的供坯能力，拥有热轧生产线1条、粗轧、中精轧生产线多条，形成年15万吨的加工生产能力；拥有西马克的四辊可逆粗轧机和二十辊可逆精轧机、德国FORHLNG四辊可逆式精轧机、日本SENDZIMIR十八辊可逆式精轧机、日本六辊可逆式精轧机、日本IKUTA酸洗线、张力退火炉、奥地利艾伯纳BA炉、德国B+S拉弯矫、德国B+S和日本IKUTA纵剪机等先进设备，通过使用以上生产设备可以使轧辊粗糙度可控制在0.05μm、轧辊同心度及平行度均达到国际先进水平，带材粗糙度能控制在0.06μm，同时可使得铜带离线板型控制在2I单位以内，分剪后离线板型控制在0.5I单位以内，使铜带表面及板型质量均达到国际先进水平。</w:t>
      </w:r>
    </w:p>
    <w:p w14:paraId="695F7951">
      <w:pPr>
        <w:pStyle w:val="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为落实国务院有关《中国制造2025》和《深化标准化工作改革方案》的部署和要求，提升标准化和产品质量整体水平，提升产品竞争力，适应技术、标准、品牌、质量服务为核心的新经济发展形式，有必要结合国内外实际生产水平和用户需求，对</w:t>
      </w:r>
      <w:r>
        <w:rPr>
          <w:rFonts w:hint="default" w:ascii="Times New Roman" w:hAnsi="Times New Roman" w:eastAsia="宋体" w:cs="Times New Roman"/>
          <w:b w:val="0"/>
          <w:bCs/>
          <w:color w:val="000000" w:themeColor="text1"/>
          <w:spacing w:val="10"/>
          <w:szCs w:val="21"/>
          <w:highlight w:val="none"/>
          <w14:textFill>
            <w14:solidFill>
              <w14:schemeClr w14:val="tx1"/>
            </w14:solidFill>
          </w14:textFill>
        </w:rPr>
        <w:t>GB/T 37570－2019《无油轴承用铜合金板》</w:t>
      </w:r>
      <w:r>
        <w:rPr>
          <w:rFonts w:hint="default" w:ascii="Times New Roman" w:hAnsi="Times New Roman" w:eastAsia="宋体" w:cs="Times New Roman"/>
          <w:b w:val="0"/>
          <w:bCs/>
          <w:color w:val="000000" w:themeColor="text1"/>
          <w:highlight w:val="none"/>
          <w14:textFill>
            <w14:solidFill>
              <w14:schemeClr w14:val="tx1"/>
            </w14:solidFill>
          </w14:textFill>
        </w:rPr>
        <w:t>标准进行修订，推动铜及铜合金行业的高质量发展。</w:t>
      </w:r>
    </w:p>
    <w:p w14:paraId="0D02C829">
      <w:pPr>
        <w:pStyle w:val="7"/>
        <w:keepNext/>
        <w:keepLines/>
        <w:pageBreakBefore w:val="0"/>
        <w:widowControl w:val="0"/>
        <w:numPr>
          <w:ilvl w:val="0"/>
          <w:numId w:val="0"/>
        </w:numPr>
        <w:kinsoku/>
        <w:wordWrap/>
        <w:overflowPunct/>
        <w:topLinePunct w:val="0"/>
        <w:autoSpaceDE/>
        <w:autoSpaceDN/>
        <w:bidi w:val="0"/>
        <w:adjustRightInd/>
        <w:snapToGrid/>
        <w:spacing w:before="157" w:beforeLines="50" w:after="0"/>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lang w:val="en-US"/>
          <w14:textFill>
            <w14:solidFill>
              <w14:schemeClr w14:val="tx1"/>
            </w14:solidFill>
          </w14:textFill>
        </w:rPr>
        <w:t xml:space="preserve">5.3 </w:t>
      </w:r>
      <w:r>
        <w:rPr>
          <w:rFonts w:hint="default" w:ascii="Times New Roman" w:hAnsi="Times New Roman" w:eastAsia="宋体" w:cs="Times New Roman"/>
          <w:b w:val="0"/>
          <w:bCs/>
          <w:color w:val="000000" w:themeColor="text1"/>
          <w:highlight w:val="none"/>
          <w14:textFill>
            <w14:solidFill>
              <w14:schemeClr w14:val="tx1"/>
            </w14:solidFill>
          </w14:textFill>
        </w:rPr>
        <w:t>标准的先进性、创新性、标准实施后预期产生的经济效益和社会效益</w:t>
      </w:r>
    </w:p>
    <w:p w14:paraId="7E1F1750">
      <w:pPr>
        <w:pStyle w:val="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本标准通过</w:t>
      </w:r>
      <w:r>
        <w:rPr>
          <w:rFonts w:hint="eastAsia" w:cs="Times New Roman"/>
          <w:b w:val="0"/>
          <w:bCs/>
          <w:color w:val="000000" w:themeColor="text1"/>
          <w:highlight w:val="none"/>
          <w:lang w:val="en-US" w:eastAsia="zh-CN"/>
          <w14:textFill>
            <w14:solidFill>
              <w14:schemeClr w14:val="tx1"/>
            </w14:solidFill>
          </w14:textFill>
        </w:rPr>
        <w:t>无油轴承</w:t>
      </w:r>
      <w:r>
        <w:rPr>
          <w:rFonts w:hint="default" w:ascii="Times New Roman" w:hAnsi="Times New Roman" w:eastAsia="宋体" w:cs="Times New Roman"/>
          <w:b w:val="0"/>
          <w:bCs/>
          <w:color w:val="000000" w:themeColor="text1"/>
          <w:highlight w:val="none"/>
          <w14:textFill>
            <w14:solidFill>
              <w14:schemeClr w14:val="tx1"/>
            </w14:solidFill>
          </w14:textFill>
        </w:rPr>
        <w:t>的基础原材料铜板带产品标准而制定，并结合了国内外客户对</w:t>
      </w:r>
      <w:r>
        <w:rPr>
          <w:rFonts w:hint="eastAsia" w:cs="Times New Roman"/>
          <w:b w:val="0"/>
          <w:bCs/>
          <w:color w:val="000000" w:themeColor="text1"/>
          <w:highlight w:val="none"/>
          <w:lang w:val="en-US" w:eastAsia="zh-CN"/>
          <w14:textFill>
            <w14:solidFill>
              <w14:schemeClr w14:val="tx1"/>
            </w14:solidFill>
          </w14:textFill>
        </w:rPr>
        <w:t>无油轴承</w:t>
      </w:r>
      <w:r>
        <w:rPr>
          <w:rFonts w:hint="default" w:ascii="Times New Roman" w:hAnsi="Times New Roman" w:eastAsia="宋体" w:cs="Times New Roman"/>
          <w:b w:val="0"/>
          <w:bCs/>
          <w:color w:val="000000" w:themeColor="text1"/>
          <w:highlight w:val="none"/>
          <w14:textFill>
            <w14:solidFill>
              <w14:schemeClr w14:val="tx1"/>
            </w14:solidFill>
          </w14:textFill>
        </w:rPr>
        <w:t>的具体使用需求，首次修订</w:t>
      </w:r>
      <w:r>
        <w:rPr>
          <w:rFonts w:hint="eastAsia" w:cs="Times New Roman"/>
          <w:b w:val="0"/>
          <w:bCs/>
          <w:color w:val="000000" w:themeColor="text1"/>
          <w:highlight w:val="none"/>
          <w:lang w:val="en-US" w:eastAsia="zh-CN"/>
          <w14:textFill>
            <w14:solidFill>
              <w14:schemeClr w14:val="tx1"/>
            </w14:solidFill>
          </w14:textFill>
        </w:rPr>
        <w:t>无油轴承</w:t>
      </w:r>
      <w:r>
        <w:rPr>
          <w:rFonts w:hint="default" w:ascii="Times New Roman" w:hAnsi="Times New Roman" w:eastAsia="宋体" w:cs="Times New Roman"/>
          <w:b w:val="0"/>
          <w:bCs/>
          <w:color w:val="000000" w:themeColor="text1"/>
          <w:highlight w:val="none"/>
          <w14:textFill>
            <w14:solidFill>
              <w14:schemeClr w14:val="tx1"/>
            </w14:solidFill>
          </w14:textFill>
        </w:rPr>
        <w:t>用铜及铜合金带箔材标准。该标准技术指标先进，发布后将规范我国</w:t>
      </w:r>
      <w:r>
        <w:rPr>
          <w:rFonts w:hint="eastAsia" w:cs="Times New Roman"/>
          <w:b w:val="0"/>
          <w:bCs/>
          <w:color w:val="000000" w:themeColor="text1"/>
          <w:highlight w:val="none"/>
          <w:lang w:val="en-US" w:eastAsia="zh-CN"/>
          <w14:textFill>
            <w14:solidFill>
              <w14:schemeClr w14:val="tx1"/>
            </w14:solidFill>
          </w14:textFill>
        </w:rPr>
        <w:t>无油轴承</w:t>
      </w:r>
      <w:r>
        <w:rPr>
          <w:rFonts w:hint="default" w:ascii="Times New Roman" w:hAnsi="Times New Roman" w:eastAsia="宋体" w:cs="Times New Roman"/>
          <w:b w:val="0"/>
          <w:bCs/>
          <w:color w:val="000000" w:themeColor="text1"/>
          <w:highlight w:val="none"/>
          <w14:textFill>
            <w14:solidFill>
              <w14:schemeClr w14:val="tx1"/>
            </w14:solidFill>
          </w14:textFill>
        </w:rPr>
        <w:t>用铜及铜合金带箔材的性能和技术指标要求，提高产品在国内外市场上的竞争力，给企业带来巨大的经济效益。</w:t>
      </w:r>
    </w:p>
    <w:p w14:paraId="64A5F636">
      <w:pPr>
        <w:pStyle w:val="6"/>
        <w:keepNext/>
        <w:keepLines/>
        <w:pageBreakBefore w:val="0"/>
        <w:widowControl w:val="0"/>
        <w:numPr>
          <w:ilvl w:val="0"/>
          <w:numId w:val="2"/>
        </w:numPr>
        <w:kinsoku/>
        <w:wordWrap/>
        <w:overflowPunct/>
        <w:topLinePunct w:val="0"/>
        <w:autoSpaceDE/>
        <w:autoSpaceDN/>
        <w:bidi w:val="0"/>
        <w:adjustRightInd/>
        <w:snapToGrid/>
        <w:spacing w:before="157" w:beforeLines="50" w:after="0" w:line="372" w:lineRule="auto"/>
        <w:textAlignment w:val="auto"/>
        <w:rPr>
          <w:rFonts w:hint="default" w:ascii="Times New Roman" w:hAnsi="Times New Roman" w:eastAsia="宋体" w:cs="Times New Roman"/>
          <w:b w:val="0"/>
          <w:bCs/>
          <w:color w:val="000000" w:themeColor="text1"/>
          <w:highlight w:val="none"/>
          <w:lang w:eastAsia="zh-CN"/>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采用国际标准和国外先进标准的情况</w:t>
      </w:r>
    </w:p>
    <w:p w14:paraId="013D08E8">
      <w:pPr>
        <w:pStyle w:val="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本标准与GB/T2059-2017《铜及铜合金带材》、GB/T26007-2017《弹性元件和接插件用铜带》、ASTMB888-2019《电连接器或弹性元件用铜合金带材》、ASTMB36-2018《黄铜厚板、薄板、带和轧制条材》、ASTMB591-2020a《铜锌锡和铜锌锡铁镍合金厚板、薄板、带材及轧制条件》、ASTMB103M-2019《磷青铜厚板、薄板、带材和轧条带材》、ASTMB194-2015《铜铍合金厚板、薄板、带材和轧制条材》标准对比如下：</w:t>
      </w:r>
    </w:p>
    <w:p w14:paraId="0790EAFF">
      <w:pPr>
        <w:pStyle w:val="7"/>
        <w:keepNext/>
        <w:keepLines/>
        <w:pageBreakBefore w:val="0"/>
        <w:widowControl w:val="0"/>
        <w:kinsoku/>
        <w:wordWrap/>
        <w:overflowPunct/>
        <w:topLinePunct w:val="0"/>
        <w:autoSpaceDE/>
        <w:autoSpaceDN/>
        <w:bidi w:val="0"/>
        <w:adjustRightInd/>
        <w:snapToGrid/>
        <w:spacing w:before="157" w:beforeLines="50" w:after="0"/>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lang w:val="en-US"/>
          <w14:textFill>
            <w14:solidFill>
              <w14:schemeClr w14:val="tx1"/>
            </w14:solidFill>
          </w14:textFill>
        </w:rPr>
        <w:t>6.</w:t>
      </w:r>
      <w:r>
        <w:rPr>
          <w:rFonts w:hint="default" w:ascii="Times New Roman" w:hAnsi="Times New Roman" w:eastAsia="宋体" w:cs="Times New Roman"/>
          <w:b w:val="0"/>
          <w:bCs/>
          <w:color w:val="000000" w:themeColor="text1"/>
          <w:highlight w:val="none"/>
          <w14:textFill>
            <w14:solidFill>
              <w14:schemeClr w14:val="tx1"/>
            </w14:solidFill>
          </w14:textFill>
        </w:rPr>
        <w:t>1、适用范围</w:t>
      </w:r>
    </w:p>
    <w:p w14:paraId="790A69C3">
      <w:pPr>
        <w:pStyle w:val="2"/>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本标准为专用标准，适用于制作</w:t>
      </w:r>
      <w:r>
        <w:rPr>
          <w:rFonts w:ascii="Times New Roman" w:hAnsi="Times New Roman"/>
          <w:highlight w:val="none"/>
        </w:rPr>
        <w:t>无油轴承用铜合金</w:t>
      </w:r>
      <w:r>
        <w:rPr>
          <w:rFonts w:hint="eastAsia" w:ascii="Times New Roman" w:hAnsi="Times New Roman"/>
          <w:highlight w:val="none"/>
        </w:rPr>
        <w:t>板带材</w:t>
      </w:r>
      <w:r>
        <w:rPr>
          <w:rFonts w:hint="default" w:ascii="Times New Roman" w:hAnsi="Times New Roman" w:eastAsia="宋体" w:cs="Times New Roman"/>
          <w:b w:val="0"/>
          <w:bCs/>
          <w:color w:val="000000" w:themeColor="text1"/>
          <w:highlight w:val="none"/>
          <w14:textFill>
            <w14:solidFill>
              <w14:schemeClr w14:val="tx1"/>
            </w14:solidFill>
          </w14:textFill>
        </w:rPr>
        <w:t>，美国无油轴承制造商则通过ASTM B152/B152M-18《铜和铜合金板材、带材和条材的标准规范》等材料通用标准来选择合适的材料，另一方面欧标、日标也与美标一致，两标准产品的使用方向不同。</w:t>
      </w:r>
    </w:p>
    <w:p w14:paraId="221A8679">
      <w:pPr>
        <w:pStyle w:val="7"/>
        <w:keepNext/>
        <w:keepLines/>
        <w:pageBreakBefore w:val="0"/>
        <w:widowControl w:val="0"/>
        <w:kinsoku/>
        <w:wordWrap/>
        <w:overflowPunct/>
        <w:topLinePunct w:val="0"/>
        <w:autoSpaceDE/>
        <w:autoSpaceDN/>
        <w:bidi w:val="0"/>
        <w:adjustRightInd/>
        <w:snapToGrid w:val="0"/>
        <w:spacing w:before="0" w:beforeLines="0" w:after="0" w:line="240" w:lineRule="auto"/>
        <w:textAlignment w:val="auto"/>
        <w:rPr>
          <w:rFonts w:hint="default" w:ascii="Times New Roman" w:hAnsi="Times New Roman" w:eastAsia="宋体" w:cs="Times New Roman"/>
          <w:b w:val="0"/>
          <w:bCs/>
          <w:color w:val="000000" w:themeColor="text1"/>
          <w:highlight w:val="none"/>
          <w:lang w:eastAsia="zh-CN"/>
          <w14:textFill>
            <w14:solidFill>
              <w14:schemeClr w14:val="tx1"/>
            </w14:solidFill>
          </w14:textFill>
        </w:rPr>
      </w:pPr>
      <w:r>
        <w:rPr>
          <w:rFonts w:hint="default" w:ascii="Times New Roman" w:hAnsi="Times New Roman" w:eastAsia="宋体" w:cs="Times New Roman"/>
          <w:b w:val="0"/>
          <w:bCs/>
          <w:color w:val="000000" w:themeColor="text1"/>
          <w:highlight w:val="none"/>
          <w:lang w:val="en-US"/>
          <w14:textFill>
            <w14:solidFill>
              <w14:schemeClr w14:val="tx1"/>
            </w14:solidFill>
          </w14:textFill>
        </w:rPr>
        <w:t>6.</w:t>
      </w:r>
      <w:r>
        <w:rPr>
          <w:rFonts w:hint="default" w:ascii="Times New Roman" w:hAnsi="Times New Roman" w:eastAsia="宋体" w:cs="Times New Roman"/>
          <w:b w:val="0"/>
          <w:bCs/>
          <w:color w:val="000000" w:themeColor="text1"/>
          <w:highlight w:val="none"/>
          <w14:textFill>
            <w14:solidFill>
              <w14:schemeClr w14:val="tx1"/>
            </w14:solidFill>
          </w14:textFill>
        </w:rPr>
        <w:t>2、</w:t>
      </w:r>
      <w:r>
        <w:rPr>
          <w:rFonts w:hint="default" w:ascii="Times New Roman" w:hAnsi="Times New Roman" w:eastAsia="宋体" w:cs="Times New Roman"/>
          <w:b w:val="0"/>
          <w:bCs/>
          <w:color w:val="000000" w:themeColor="text1"/>
          <w:highlight w:val="none"/>
          <w:lang w:eastAsia="zh-CN"/>
          <w14:textFill>
            <w14:solidFill>
              <w14:schemeClr w14:val="tx1"/>
            </w14:solidFill>
          </w14:textFill>
        </w:rPr>
        <w:t>外形尺寸及其允许偏差</w:t>
      </w:r>
    </w:p>
    <w:p w14:paraId="7AC0F1C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eastAsia="宋体" w:cs="Times New Roman"/>
          <w:b w:val="0"/>
          <w:bCs/>
          <w:color w:val="000000" w:themeColor="text1"/>
          <w:highlight w:val="none"/>
          <w:lang w:eastAsia="zh-CN"/>
          <w14:textFill>
            <w14:solidFill>
              <w14:schemeClr w14:val="tx1"/>
            </w14:solidFill>
          </w14:textFill>
        </w:rPr>
      </w:pPr>
      <w:r>
        <w:rPr>
          <w:rFonts w:hint="default" w:ascii="Times New Roman" w:hAnsi="Times New Roman" w:eastAsia="宋体" w:cs="Times New Roman"/>
          <w:b w:val="0"/>
          <w:bCs/>
          <w:color w:val="000000" w:themeColor="text1"/>
          <w:highlight w:val="none"/>
          <w:lang w:eastAsia="zh-CN"/>
          <w14:textFill>
            <w14:solidFill>
              <w14:schemeClr w14:val="tx1"/>
            </w14:solidFill>
          </w14:textFill>
        </w:rPr>
        <w:t>外形尺寸及其允许偏差</w:t>
      </w:r>
      <w:r>
        <w:rPr>
          <w:rFonts w:hint="default" w:ascii="Times New Roman" w:hAnsi="Times New Roman" w:eastAsia="宋体" w:cs="Times New Roman"/>
          <w:b w:val="0"/>
          <w:bCs/>
          <w:color w:val="000000" w:themeColor="text1"/>
          <w:highlight w:val="none"/>
          <w14:textFill>
            <w14:solidFill>
              <w14:schemeClr w14:val="tx1"/>
            </w14:solidFill>
          </w14:textFill>
        </w:rPr>
        <w:t>对比情况见表</w:t>
      </w:r>
      <w:r>
        <w:rPr>
          <w:rFonts w:hint="eastAsia" w:ascii="Times New Roman" w:hAnsi="Times New Roman" w:eastAsia="宋体" w:cs="Times New Roman"/>
          <w:b w:val="0"/>
          <w:bCs/>
          <w:color w:val="000000" w:themeColor="text1"/>
          <w:highlight w:val="none"/>
          <w:lang w:val="en-US" w:eastAsia="zh-CN"/>
          <w14:textFill>
            <w14:solidFill>
              <w14:schemeClr w14:val="tx1"/>
            </w14:solidFill>
          </w14:textFill>
        </w:rPr>
        <w:t>8</w:t>
      </w:r>
      <w:r>
        <w:rPr>
          <w:rFonts w:hint="default" w:ascii="Times New Roman" w:hAnsi="Times New Roman" w:eastAsia="宋体" w:cs="Times New Roman"/>
          <w:b w:val="0"/>
          <w:bCs/>
          <w:color w:val="000000" w:themeColor="text1"/>
          <w:highlight w:val="none"/>
          <w14:textFill>
            <w14:solidFill>
              <w14:schemeClr w14:val="tx1"/>
            </w14:solidFill>
          </w14:textFill>
        </w:rPr>
        <w:t>-表</w:t>
      </w:r>
      <w:r>
        <w:rPr>
          <w:rFonts w:hint="eastAsia" w:ascii="Times New Roman" w:hAnsi="Times New Roman" w:eastAsia="宋体" w:cs="Times New Roman"/>
          <w:b w:val="0"/>
          <w:bCs/>
          <w:color w:val="000000" w:themeColor="text1"/>
          <w:highlight w:val="none"/>
          <w:lang w:val="en-US" w:eastAsia="zh-CN"/>
          <w14:textFill>
            <w14:solidFill>
              <w14:schemeClr w14:val="tx1"/>
            </w14:solidFill>
          </w14:textFill>
        </w:rPr>
        <w:t>14</w:t>
      </w:r>
      <w:r>
        <w:rPr>
          <w:rFonts w:hint="default" w:ascii="Times New Roman" w:hAnsi="Times New Roman" w:eastAsia="宋体" w:cs="Times New Roman"/>
          <w:b w:val="0"/>
          <w:bCs/>
          <w:color w:val="000000" w:themeColor="text1"/>
          <w:highlight w:val="none"/>
          <w14:textFill>
            <w14:solidFill>
              <w14:schemeClr w14:val="tx1"/>
            </w14:solidFill>
          </w14:textFill>
        </w:rPr>
        <w:t>。</w:t>
      </w:r>
    </w:p>
    <w:p w14:paraId="48D575A1">
      <w:pPr>
        <w:pStyle w:val="2"/>
        <w:keepNext w:val="0"/>
        <w:keepLines w:val="0"/>
        <w:pageBreakBefore w:val="0"/>
        <w:widowControl w:val="0"/>
        <w:numPr>
          <w:ilvl w:val="0"/>
          <w:numId w:val="3"/>
        </w:numPr>
        <w:kinsoku/>
        <w:wordWrap/>
        <w:overflowPunct/>
        <w:topLinePunct w:val="0"/>
        <w:autoSpaceDE/>
        <w:autoSpaceDN/>
        <w:bidi w:val="0"/>
        <w:adjustRightInd/>
        <w:snapToGrid/>
        <w:spacing w:after="0" w:line="360" w:lineRule="auto"/>
        <w:ind w:firstLine="420" w:firstLineChars="200"/>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厚度允许偏差对比情况见表</w:t>
      </w:r>
      <w:r>
        <w:rPr>
          <w:rFonts w:hint="eastAsia" w:cs="Times New Roman"/>
          <w:b w:val="0"/>
          <w:bCs/>
          <w:color w:val="000000" w:themeColor="text1"/>
          <w:highlight w:val="none"/>
          <w:lang w:val="en-US" w:eastAsia="zh-CN"/>
          <w14:textFill>
            <w14:solidFill>
              <w14:schemeClr w14:val="tx1"/>
            </w14:solidFill>
          </w14:textFill>
        </w:rPr>
        <w:t>8</w:t>
      </w:r>
      <w:r>
        <w:rPr>
          <w:rFonts w:hint="default" w:ascii="Times New Roman" w:hAnsi="Times New Roman" w:eastAsia="宋体" w:cs="Times New Roman"/>
          <w:b w:val="0"/>
          <w:bCs/>
          <w:color w:val="000000" w:themeColor="text1"/>
          <w:highlight w:val="none"/>
          <w14:textFill>
            <w14:solidFill>
              <w14:schemeClr w14:val="tx1"/>
            </w14:solidFill>
          </w14:textFill>
        </w:rPr>
        <w:t>-表</w:t>
      </w:r>
      <w:r>
        <w:rPr>
          <w:rFonts w:hint="eastAsia" w:cs="Times New Roman"/>
          <w:b w:val="0"/>
          <w:bCs/>
          <w:color w:val="000000" w:themeColor="text1"/>
          <w:highlight w:val="none"/>
          <w:lang w:val="en-US" w:eastAsia="zh-CN"/>
          <w14:textFill>
            <w14:solidFill>
              <w14:schemeClr w14:val="tx1"/>
            </w14:solidFill>
          </w14:textFill>
        </w:rPr>
        <w:t>9</w:t>
      </w:r>
      <w:r>
        <w:rPr>
          <w:rFonts w:hint="default" w:ascii="Times New Roman" w:hAnsi="Times New Roman" w:eastAsia="宋体" w:cs="Times New Roman"/>
          <w:b w:val="0"/>
          <w:bCs/>
          <w:color w:val="000000" w:themeColor="text1"/>
          <w:highlight w:val="none"/>
          <w14:textFill>
            <w14:solidFill>
              <w14:schemeClr w14:val="tx1"/>
            </w14:solidFill>
          </w14:textFill>
        </w:rPr>
        <w:t>。</w:t>
      </w:r>
    </w:p>
    <w:p w14:paraId="7C594B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黑体" w:cs="Times New Roman"/>
          <w:snapToGrid/>
          <w:color w:val="000000"/>
          <w:kern w:val="0"/>
          <w:szCs w:val="21"/>
          <w:lang w:eastAsia="zh-CN"/>
        </w:rPr>
      </w:pPr>
      <w:r>
        <w:rPr>
          <w:rFonts w:ascii="Times New Roman" w:hAnsi="Times New Roman" w:eastAsia="黑体" w:cs="Times New Roman"/>
          <w:snapToGrid/>
          <w:color w:val="000000"/>
          <w:kern w:val="0"/>
          <w:szCs w:val="21"/>
          <w:lang w:eastAsia="zh-CN"/>
        </w:rPr>
        <mc:AlternateContent>
          <mc:Choice Requires="wps">
            <w:drawing>
              <wp:anchor distT="0" distB="0" distL="114300" distR="114300" simplePos="0" relativeHeight="251660288" behindDoc="0" locked="0" layoutInCell="1" allowOverlap="1">
                <wp:simplePos x="0" y="0"/>
                <wp:positionH relativeFrom="column">
                  <wp:posOffset>9966325</wp:posOffset>
                </wp:positionH>
                <wp:positionV relativeFrom="paragraph">
                  <wp:posOffset>114300</wp:posOffset>
                </wp:positionV>
                <wp:extent cx="1092835" cy="267335"/>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092835" cy="267335"/>
                        </a:xfrm>
                        <a:prstGeom prst="rect">
                          <a:avLst/>
                        </a:prstGeom>
                        <a:noFill/>
                        <a:ln>
                          <a:noFill/>
                        </a:ln>
                      </wps:spPr>
                      <wps:txbx>
                        <w:txbxContent>
                          <w:p w14:paraId="01A153FD">
                            <w:pPr>
                              <w:pStyle w:val="2"/>
                              <w:spacing w:before="20" w:line="219" w:lineRule="auto"/>
                              <w:ind w:left="20"/>
                              <w:rPr>
                                <w:sz w:val="32"/>
                                <w:szCs w:val="32"/>
                              </w:rPr>
                            </w:pPr>
                            <w:r>
                              <w:rPr>
                                <w:spacing w:val="16"/>
                                <w:sz w:val="32"/>
                                <w:szCs w:val="32"/>
                              </w:rPr>
                              <w:t>单位为毫米</w:t>
                            </w:r>
                          </w:p>
                        </w:txbxContent>
                      </wps:txbx>
                      <wps:bodyPr lIns="0" tIns="0" rIns="0" bIns="0" upright="0"/>
                    </wps:wsp>
                  </a:graphicData>
                </a:graphic>
              </wp:anchor>
            </w:drawing>
          </mc:Choice>
          <mc:Fallback>
            <w:pict>
              <v:shape id="_x0000_s1026" o:spid="_x0000_s1026" o:spt="202" type="#_x0000_t202" style="position:absolute;left:0pt;margin-left:784.75pt;margin-top:9pt;height:21.05pt;width:86.05pt;z-index:251660288;mso-width-relative:page;mso-height-relative:page;" filled="f" stroked="f" coordsize="21600,21600" o:gfxdata="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tMnutgAAAALAQAADwAAAAAAAAABACAAAAAiAAAAZHJzL2Rvd25yZXYueG1sUEsB&#10;AhQAFAAAAAgAh07iQPeolYq8AQAAdAMAAA4AAAAAAAAAAQAgAAAAJwEAAGRycy9lMm9Eb2MueG1s&#10;UEsFBgAAAAAGAAYAWQEAAFUFAAAAAA==&#10;">
                <v:fill on="f" focussize="0,0"/>
                <v:stroke on="f"/>
                <v:imagedata o:title=""/>
                <o:lock v:ext="edit" aspectratio="f"/>
                <v:textbox inset="0mm,0mm,0mm,0mm">
                  <w:txbxContent>
                    <w:p w14:paraId="01A153FD">
                      <w:pPr>
                        <w:pStyle w:val="2"/>
                        <w:spacing w:before="20" w:line="219" w:lineRule="auto"/>
                        <w:ind w:left="20"/>
                        <w:rPr>
                          <w:sz w:val="32"/>
                          <w:szCs w:val="32"/>
                        </w:rPr>
                      </w:pPr>
                      <w:r>
                        <w:rPr>
                          <w:spacing w:val="16"/>
                          <w:sz w:val="32"/>
                          <w:szCs w:val="32"/>
                        </w:rPr>
                        <w:t>单位为毫米</w:t>
                      </w:r>
                    </w:p>
                  </w:txbxContent>
                </v:textbox>
              </v:shape>
            </w:pict>
          </mc:Fallback>
        </mc:AlternateContent>
      </w:r>
      <w:r>
        <w:rPr>
          <w:rFonts w:ascii="Times New Roman" w:hAnsi="Times New Roman" w:eastAsia="黑体" w:cs="Times New Roman"/>
          <w:snapToGrid/>
          <w:color w:val="000000"/>
          <w:kern w:val="0"/>
          <w:szCs w:val="21"/>
          <w:lang w:eastAsia="zh-CN"/>
        </w:rPr>
        <w:t>表</w:t>
      </w:r>
      <w:r>
        <w:rPr>
          <w:rFonts w:hint="eastAsia" w:ascii="Times New Roman" w:hAnsi="Times New Roman" w:eastAsia="黑体" w:cs="Times New Roman"/>
          <w:snapToGrid/>
          <w:color w:val="000000"/>
          <w:kern w:val="0"/>
          <w:szCs w:val="21"/>
          <w:lang w:val="en-US" w:eastAsia="zh-CN"/>
        </w:rPr>
        <w:t>8</w:t>
      </w:r>
      <w:r>
        <w:rPr>
          <w:rFonts w:ascii="Times New Roman" w:hAnsi="Times New Roman" w:eastAsia="黑体" w:cs="Times New Roman"/>
          <w:snapToGrid/>
          <w:color w:val="000000"/>
          <w:kern w:val="0"/>
          <w:szCs w:val="21"/>
          <w:lang w:eastAsia="zh-CN"/>
        </w:rPr>
        <w:t xml:space="preserve"> 厚度及其允许偏差</w:t>
      </w:r>
    </w:p>
    <w:p w14:paraId="69BDF60F">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eastAsia" w:ascii="宋体" w:hAnsi="宋体" w:eastAsia="宋体" w:cs="宋体"/>
          <w:snapToGrid/>
          <w:color w:val="000000"/>
          <w:kern w:val="0"/>
          <w:sz w:val="21"/>
          <w:szCs w:val="21"/>
          <w:lang w:eastAsia="zh-CN"/>
        </w:rPr>
      </w:pPr>
      <w:r>
        <w:rPr>
          <w:rFonts w:hint="eastAsia" w:ascii="宋体" w:hAnsi="宋体" w:eastAsia="宋体" w:cs="宋体"/>
          <w:color w:val="auto"/>
          <w:kern w:val="2"/>
          <w:sz w:val="21"/>
          <w:szCs w:val="21"/>
          <w:lang w:val="en-US" w:eastAsia="zh-CN" w:bidi="ar-SA"/>
        </w:rPr>
        <w:t>单位：毫米</w:t>
      </w:r>
    </w:p>
    <w:tbl>
      <w:tblPr>
        <w:tblStyle w:val="40"/>
        <w:tblW w:w="4999" w:type="pct"/>
        <w:jc w:val="center"/>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Layout w:type="autofit"/>
        <w:tblCellMar>
          <w:top w:w="0" w:type="dxa"/>
          <w:left w:w="0" w:type="dxa"/>
          <w:bottom w:w="0" w:type="dxa"/>
          <w:right w:w="0" w:type="dxa"/>
        </w:tblCellMar>
      </w:tblPr>
      <w:tblGrid>
        <w:gridCol w:w="3023"/>
        <w:gridCol w:w="3025"/>
        <w:gridCol w:w="3052"/>
      </w:tblGrid>
      <w:tr w14:paraId="1BECA488">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1661" w:type="pct"/>
            <w:vMerge w:val="restart"/>
            <w:tcBorders>
              <w:bottom w:val="nil"/>
            </w:tcBorders>
            <w:vAlign w:val="center"/>
          </w:tcPr>
          <w:p w14:paraId="0982C507">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sz w:val="18"/>
                <w:szCs w:val="18"/>
              </w:rPr>
            </w:pPr>
            <w:r>
              <w:rPr>
                <w:rFonts w:hint="default" w:ascii="Times New Roman" w:hAnsi="Times New Roman" w:cs="Times New Roman"/>
                <w:spacing w:val="11"/>
                <w:sz w:val="18"/>
                <w:szCs w:val="18"/>
              </w:rPr>
              <w:t>厚度</w:t>
            </w:r>
          </w:p>
        </w:tc>
        <w:tc>
          <w:tcPr>
            <w:tcW w:w="3338" w:type="pct"/>
            <w:gridSpan w:val="2"/>
            <w:vAlign w:val="center"/>
          </w:tcPr>
          <w:p w14:paraId="119B2E20">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Times New Roman" w:hAnsi="Times New Roman" w:eastAsia="宋体" w:cs="Times New Roman"/>
                <w:sz w:val="18"/>
                <w:szCs w:val="18"/>
                <w:lang w:val="en-US" w:eastAsia="zh-CN"/>
              </w:rPr>
            </w:pPr>
            <w:r>
              <w:rPr>
                <w:rFonts w:hint="default" w:ascii="Times New Roman" w:hAnsi="Times New Roman" w:cs="Times New Roman"/>
                <w:spacing w:val="-6"/>
                <w:sz w:val="18"/>
                <w:szCs w:val="18"/>
              </w:rPr>
              <w:t>厚度允许偏差</w:t>
            </w:r>
            <w:r>
              <w:rPr>
                <w:rFonts w:hint="eastAsia" w:ascii="Times New Roman" w:hAnsi="Times New Roman" w:cs="Times New Roman"/>
                <w:spacing w:val="-6"/>
                <w:sz w:val="18"/>
                <w:szCs w:val="18"/>
                <w:vertAlign w:val="superscript"/>
                <w:lang w:val="en-US" w:eastAsia="zh-CN"/>
              </w:rPr>
              <w:t>a</w:t>
            </w:r>
          </w:p>
        </w:tc>
      </w:tr>
      <w:tr w14:paraId="42A3F342">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1661" w:type="pct"/>
            <w:vMerge w:val="continue"/>
            <w:tcBorders>
              <w:top w:val="nil"/>
              <w:bottom w:val="single" w:color="auto" w:sz="12" w:space="0"/>
            </w:tcBorders>
            <w:vAlign w:val="center"/>
          </w:tcPr>
          <w:p w14:paraId="66F59FD1">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sz w:val="18"/>
                <w:szCs w:val="18"/>
              </w:rPr>
            </w:pPr>
          </w:p>
        </w:tc>
        <w:tc>
          <w:tcPr>
            <w:tcW w:w="1662" w:type="pct"/>
            <w:tcBorders>
              <w:bottom w:val="single" w:color="auto" w:sz="12" w:space="0"/>
            </w:tcBorders>
            <w:vAlign w:val="center"/>
          </w:tcPr>
          <w:p w14:paraId="2AD2F997">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sz w:val="18"/>
                <w:szCs w:val="18"/>
              </w:rPr>
            </w:pPr>
            <w:r>
              <w:rPr>
                <w:rFonts w:hint="default" w:ascii="Times New Roman" w:hAnsi="Times New Roman" w:cs="Times New Roman"/>
                <w:spacing w:val="9"/>
                <w:sz w:val="18"/>
                <w:szCs w:val="18"/>
              </w:rPr>
              <w:t>普通级</w:t>
            </w:r>
          </w:p>
        </w:tc>
        <w:tc>
          <w:tcPr>
            <w:tcW w:w="1675" w:type="pct"/>
            <w:tcBorders>
              <w:bottom w:val="single" w:color="auto" w:sz="12" w:space="0"/>
            </w:tcBorders>
            <w:vAlign w:val="center"/>
          </w:tcPr>
          <w:p w14:paraId="2F3673A8">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sz w:val="18"/>
                <w:szCs w:val="18"/>
              </w:rPr>
            </w:pPr>
            <w:r>
              <w:rPr>
                <w:rFonts w:hint="default" w:ascii="Times New Roman" w:hAnsi="Times New Roman" w:cs="Times New Roman"/>
                <w:spacing w:val="10"/>
                <w:sz w:val="18"/>
                <w:szCs w:val="18"/>
              </w:rPr>
              <w:t>高精级</w:t>
            </w:r>
          </w:p>
        </w:tc>
      </w:tr>
      <w:tr w14:paraId="07E06121">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1661" w:type="pct"/>
            <w:tcBorders>
              <w:top w:val="single" w:color="auto" w:sz="12" w:space="0"/>
            </w:tcBorders>
            <w:vAlign w:val="center"/>
          </w:tcPr>
          <w:p w14:paraId="453C7A9D">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sz w:val="18"/>
                <w:szCs w:val="18"/>
              </w:rPr>
            </w:pPr>
            <w:r>
              <w:rPr>
                <w:rFonts w:hint="default" w:ascii="Times New Roman" w:hAnsi="Times New Roman" w:cs="Times New Roman"/>
                <w:sz w:val="18"/>
                <w:szCs w:val="18"/>
              </w:rPr>
              <w:t>0.6～1.0</w:t>
            </w:r>
          </w:p>
        </w:tc>
        <w:tc>
          <w:tcPr>
            <w:tcW w:w="1662" w:type="pct"/>
            <w:tcBorders>
              <w:top w:val="single" w:color="auto" w:sz="12" w:space="0"/>
            </w:tcBorders>
            <w:vAlign w:val="center"/>
          </w:tcPr>
          <w:p w14:paraId="4A3E66E7">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sz w:val="18"/>
                <w:szCs w:val="18"/>
              </w:rPr>
            </w:pPr>
            <w:r>
              <w:rPr>
                <w:rFonts w:hint="default" w:ascii="Times New Roman" w:hAnsi="Times New Roman" w:cs="Times New Roman"/>
                <w:spacing w:val="-5"/>
                <w:sz w:val="18"/>
                <w:szCs w:val="18"/>
              </w:rPr>
              <w:t>±0.020</w:t>
            </w:r>
          </w:p>
        </w:tc>
        <w:tc>
          <w:tcPr>
            <w:tcW w:w="1675" w:type="pct"/>
            <w:tcBorders>
              <w:top w:val="single" w:color="auto" w:sz="12" w:space="0"/>
            </w:tcBorders>
            <w:vAlign w:val="center"/>
          </w:tcPr>
          <w:p w14:paraId="43097F91">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sz w:val="18"/>
                <w:szCs w:val="18"/>
              </w:rPr>
            </w:pPr>
            <w:r>
              <w:rPr>
                <w:rFonts w:hint="default" w:ascii="Times New Roman" w:hAnsi="Times New Roman" w:cs="Times New Roman"/>
                <w:spacing w:val="-5"/>
                <w:sz w:val="18"/>
                <w:szCs w:val="18"/>
              </w:rPr>
              <w:t>±0.015</w:t>
            </w:r>
          </w:p>
        </w:tc>
      </w:tr>
      <w:tr w14:paraId="37E5E9AB">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1661" w:type="pct"/>
            <w:vAlign w:val="center"/>
          </w:tcPr>
          <w:p w14:paraId="6E44E3EF">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sz w:val="18"/>
                <w:szCs w:val="18"/>
              </w:rPr>
            </w:pPr>
            <w:r>
              <w:rPr>
                <w:rFonts w:hint="eastAsia" w:ascii="Times New Roman" w:hAnsi="Times New Roman" w:cs="Times New Roman"/>
                <w:spacing w:val="-1"/>
                <w:sz w:val="18"/>
                <w:szCs w:val="18"/>
                <w:lang w:eastAsia="zh-CN"/>
              </w:rPr>
              <w:t>＞</w:t>
            </w:r>
            <w:r>
              <w:rPr>
                <w:rFonts w:hint="default" w:ascii="Times New Roman" w:hAnsi="Times New Roman" w:cs="Times New Roman"/>
                <w:spacing w:val="-1"/>
                <w:sz w:val="18"/>
                <w:szCs w:val="18"/>
              </w:rPr>
              <w:t>1.0～1.5</w:t>
            </w:r>
          </w:p>
        </w:tc>
        <w:tc>
          <w:tcPr>
            <w:tcW w:w="1662" w:type="pct"/>
            <w:vAlign w:val="center"/>
          </w:tcPr>
          <w:p w14:paraId="33876689">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sz w:val="18"/>
                <w:szCs w:val="18"/>
              </w:rPr>
            </w:pPr>
            <w:r>
              <w:rPr>
                <w:rFonts w:hint="default" w:ascii="Times New Roman" w:hAnsi="Times New Roman" w:cs="Times New Roman"/>
                <w:spacing w:val="-5"/>
                <w:sz w:val="18"/>
                <w:szCs w:val="18"/>
              </w:rPr>
              <w:t>±0.025</w:t>
            </w:r>
          </w:p>
        </w:tc>
        <w:tc>
          <w:tcPr>
            <w:tcW w:w="1675" w:type="pct"/>
            <w:vAlign w:val="center"/>
          </w:tcPr>
          <w:p w14:paraId="092F81A2">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sz w:val="18"/>
                <w:szCs w:val="18"/>
              </w:rPr>
            </w:pPr>
            <w:r>
              <w:rPr>
                <w:rFonts w:hint="default" w:ascii="Times New Roman" w:hAnsi="Times New Roman" w:cs="Times New Roman"/>
                <w:spacing w:val="-5"/>
                <w:sz w:val="18"/>
                <w:szCs w:val="18"/>
              </w:rPr>
              <w:t>±0.020</w:t>
            </w:r>
          </w:p>
        </w:tc>
      </w:tr>
      <w:tr w14:paraId="2298B879">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1661" w:type="pct"/>
            <w:vAlign w:val="center"/>
          </w:tcPr>
          <w:p w14:paraId="57B1B51F">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sz w:val="18"/>
                <w:szCs w:val="18"/>
              </w:rPr>
            </w:pPr>
            <w:r>
              <w:rPr>
                <w:rFonts w:hint="eastAsia" w:ascii="Times New Roman" w:hAnsi="Times New Roman" w:cs="Times New Roman"/>
                <w:spacing w:val="-1"/>
                <w:sz w:val="18"/>
                <w:szCs w:val="18"/>
                <w:lang w:eastAsia="zh-CN"/>
              </w:rPr>
              <w:t>＞</w:t>
            </w:r>
            <w:r>
              <w:rPr>
                <w:rFonts w:hint="default" w:ascii="Times New Roman" w:hAnsi="Times New Roman" w:cs="Times New Roman"/>
                <w:spacing w:val="-1"/>
                <w:sz w:val="18"/>
                <w:szCs w:val="18"/>
              </w:rPr>
              <w:t>1.5～2.0</w:t>
            </w:r>
          </w:p>
        </w:tc>
        <w:tc>
          <w:tcPr>
            <w:tcW w:w="1662" w:type="pct"/>
            <w:vAlign w:val="center"/>
          </w:tcPr>
          <w:p w14:paraId="442F41E9">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sz w:val="18"/>
                <w:szCs w:val="18"/>
              </w:rPr>
            </w:pPr>
            <w:r>
              <w:rPr>
                <w:rFonts w:hint="default" w:ascii="Times New Roman" w:hAnsi="Times New Roman" w:cs="Times New Roman"/>
                <w:spacing w:val="-5"/>
                <w:sz w:val="18"/>
                <w:szCs w:val="18"/>
              </w:rPr>
              <w:t>±0.030</w:t>
            </w:r>
          </w:p>
        </w:tc>
        <w:tc>
          <w:tcPr>
            <w:tcW w:w="1675" w:type="pct"/>
            <w:vAlign w:val="center"/>
          </w:tcPr>
          <w:p w14:paraId="28EAB96C">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sz w:val="18"/>
                <w:szCs w:val="18"/>
              </w:rPr>
            </w:pPr>
            <w:r>
              <w:rPr>
                <w:rFonts w:hint="default" w:ascii="Times New Roman" w:hAnsi="Times New Roman" w:cs="Times New Roman"/>
                <w:spacing w:val="-5"/>
                <w:sz w:val="18"/>
                <w:szCs w:val="18"/>
              </w:rPr>
              <w:t>±0.025</w:t>
            </w:r>
          </w:p>
        </w:tc>
      </w:tr>
      <w:tr w14:paraId="3E99D2A1">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1661" w:type="pct"/>
            <w:vAlign w:val="center"/>
          </w:tcPr>
          <w:p w14:paraId="4899DB97">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sz w:val="18"/>
                <w:szCs w:val="18"/>
              </w:rPr>
            </w:pPr>
            <w:r>
              <w:rPr>
                <w:rFonts w:hint="eastAsia" w:ascii="Times New Roman" w:hAnsi="Times New Roman" w:cs="Times New Roman"/>
                <w:spacing w:val="-1"/>
                <w:sz w:val="18"/>
                <w:szCs w:val="18"/>
                <w:lang w:eastAsia="zh-CN"/>
              </w:rPr>
              <w:t>＞</w:t>
            </w:r>
            <w:r>
              <w:rPr>
                <w:rFonts w:hint="default" w:ascii="Times New Roman" w:hAnsi="Times New Roman" w:cs="Times New Roman"/>
                <w:spacing w:val="-1"/>
                <w:sz w:val="18"/>
                <w:szCs w:val="18"/>
              </w:rPr>
              <w:t>2.0～2.5</w:t>
            </w:r>
          </w:p>
        </w:tc>
        <w:tc>
          <w:tcPr>
            <w:tcW w:w="1662" w:type="pct"/>
            <w:vAlign w:val="center"/>
          </w:tcPr>
          <w:p w14:paraId="6D125536">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sz w:val="18"/>
                <w:szCs w:val="18"/>
              </w:rPr>
            </w:pPr>
            <w:r>
              <w:rPr>
                <w:rFonts w:hint="default" w:ascii="Times New Roman" w:hAnsi="Times New Roman" w:cs="Times New Roman"/>
                <w:spacing w:val="-5"/>
                <w:sz w:val="18"/>
                <w:szCs w:val="18"/>
              </w:rPr>
              <w:t>±</w:t>
            </w:r>
            <w:r>
              <w:rPr>
                <w:rFonts w:hint="default" w:ascii="Times New Roman" w:hAnsi="Times New Roman" w:cs="Times New Roman"/>
                <w:spacing w:val="19"/>
                <w:sz w:val="18"/>
                <w:szCs w:val="18"/>
              </w:rPr>
              <w:t>0</w:t>
            </w:r>
            <w:r>
              <w:rPr>
                <w:rFonts w:hint="default" w:ascii="Times New Roman" w:hAnsi="Times New Roman" w:cs="Times New Roman"/>
                <w:spacing w:val="-62"/>
                <w:sz w:val="18"/>
                <w:szCs w:val="18"/>
                <w:lang w:val="en-US" w:eastAsia="zh-CN"/>
              </w:rPr>
              <w:t>.</w:t>
            </w:r>
            <w:r>
              <w:rPr>
                <w:rFonts w:hint="default" w:ascii="Times New Roman" w:hAnsi="Times New Roman" w:cs="Times New Roman"/>
                <w:spacing w:val="19"/>
                <w:sz w:val="18"/>
                <w:szCs w:val="18"/>
              </w:rPr>
              <w:t>035</w:t>
            </w:r>
          </w:p>
        </w:tc>
        <w:tc>
          <w:tcPr>
            <w:tcW w:w="1675" w:type="pct"/>
            <w:vAlign w:val="center"/>
          </w:tcPr>
          <w:p w14:paraId="1DFE4F67">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sz w:val="18"/>
                <w:szCs w:val="18"/>
              </w:rPr>
            </w:pPr>
            <w:r>
              <w:rPr>
                <w:rFonts w:hint="default" w:ascii="Times New Roman" w:hAnsi="Times New Roman" w:cs="Times New Roman"/>
                <w:spacing w:val="-5"/>
                <w:sz w:val="18"/>
                <w:szCs w:val="18"/>
              </w:rPr>
              <w:t>±</w:t>
            </w:r>
            <w:r>
              <w:rPr>
                <w:rFonts w:hint="default" w:ascii="Times New Roman" w:hAnsi="Times New Roman" w:cs="Times New Roman"/>
                <w:spacing w:val="4"/>
                <w:sz w:val="18"/>
                <w:szCs w:val="18"/>
              </w:rPr>
              <w:t>0.030</w:t>
            </w:r>
          </w:p>
        </w:tc>
      </w:tr>
      <w:tr w14:paraId="693F3B9A">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1661" w:type="pct"/>
            <w:tcBorders>
              <w:bottom w:val="single" w:color="auto" w:sz="12" w:space="0"/>
            </w:tcBorders>
            <w:vAlign w:val="center"/>
          </w:tcPr>
          <w:p w14:paraId="0E1C8DF6">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sz w:val="18"/>
                <w:szCs w:val="18"/>
              </w:rPr>
            </w:pPr>
            <w:r>
              <w:rPr>
                <w:rFonts w:hint="eastAsia" w:ascii="Times New Roman" w:hAnsi="Times New Roman" w:cs="Times New Roman"/>
                <w:spacing w:val="-1"/>
                <w:sz w:val="18"/>
                <w:szCs w:val="18"/>
                <w:lang w:eastAsia="zh-CN"/>
              </w:rPr>
              <w:t>＞</w:t>
            </w:r>
            <w:r>
              <w:rPr>
                <w:rFonts w:hint="default" w:ascii="Times New Roman" w:hAnsi="Times New Roman" w:cs="Times New Roman"/>
                <w:spacing w:val="-1"/>
                <w:sz w:val="18"/>
                <w:szCs w:val="18"/>
              </w:rPr>
              <w:t>2.5～3.5</w:t>
            </w:r>
          </w:p>
        </w:tc>
        <w:tc>
          <w:tcPr>
            <w:tcW w:w="1662" w:type="pct"/>
            <w:tcBorders>
              <w:bottom w:val="single" w:color="auto" w:sz="12" w:space="0"/>
            </w:tcBorders>
            <w:vAlign w:val="center"/>
          </w:tcPr>
          <w:p w14:paraId="74634D59">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sz w:val="18"/>
                <w:szCs w:val="18"/>
              </w:rPr>
            </w:pPr>
            <w:r>
              <w:rPr>
                <w:rFonts w:hint="default" w:ascii="Times New Roman" w:hAnsi="Times New Roman" w:cs="Times New Roman"/>
                <w:spacing w:val="-5"/>
                <w:sz w:val="18"/>
                <w:szCs w:val="18"/>
              </w:rPr>
              <w:t>±0.040</w:t>
            </w:r>
          </w:p>
        </w:tc>
        <w:tc>
          <w:tcPr>
            <w:tcW w:w="1675" w:type="pct"/>
            <w:tcBorders>
              <w:bottom w:val="single" w:color="auto" w:sz="12" w:space="0"/>
            </w:tcBorders>
            <w:vAlign w:val="center"/>
          </w:tcPr>
          <w:p w14:paraId="60F2A23C">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sz w:val="18"/>
                <w:szCs w:val="18"/>
              </w:rPr>
            </w:pPr>
            <w:r>
              <w:rPr>
                <w:rFonts w:hint="default" w:ascii="Times New Roman" w:hAnsi="Times New Roman" w:cs="Times New Roman"/>
                <w:spacing w:val="-5"/>
                <w:sz w:val="18"/>
                <w:szCs w:val="18"/>
              </w:rPr>
              <w:t>±0.035</w:t>
            </w:r>
          </w:p>
        </w:tc>
      </w:tr>
      <w:tr w14:paraId="1FBDB58E">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5000" w:type="pct"/>
            <w:gridSpan w:val="3"/>
            <w:tcBorders>
              <w:top w:val="single" w:color="auto" w:sz="12" w:space="0"/>
            </w:tcBorders>
            <w:vAlign w:val="center"/>
          </w:tcPr>
          <w:p w14:paraId="28517FA1">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firstLine="336" w:firstLineChars="200"/>
              <w:jc w:val="left"/>
              <w:textAlignment w:val="baseline"/>
              <w:rPr>
                <w:rFonts w:hint="default" w:ascii="Times New Roman" w:hAnsi="Times New Roman" w:cs="Times New Roman"/>
                <w:sz w:val="18"/>
                <w:szCs w:val="18"/>
              </w:rPr>
            </w:pPr>
            <w:r>
              <w:rPr>
                <w:rFonts w:hint="eastAsia" w:ascii="Times New Roman" w:hAnsi="Times New Roman" w:cs="Times New Roman"/>
                <w:spacing w:val="-6"/>
                <w:sz w:val="18"/>
                <w:szCs w:val="18"/>
                <w:vertAlign w:val="superscript"/>
                <w:lang w:val="en-US" w:eastAsia="zh-CN"/>
              </w:rPr>
              <w:t>a</w:t>
            </w:r>
            <w:r>
              <w:rPr>
                <w:rFonts w:hint="default" w:ascii="Times New Roman" w:hAnsi="Times New Roman" w:cs="Times New Roman"/>
                <w:spacing w:val="-13"/>
                <w:sz w:val="18"/>
                <w:szCs w:val="18"/>
              </w:rPr>
              <w:t>当要求允许偏差全为(+)或全为(一)单</w:t>
            </w:r>
            <w:r>
              <w:rPr>
                <w:rFonts w:hint="default" w:ascii="Times New Roman" w:hAnsi="Times New Roman" w:cs="Times New Roman"/>
                <w:spacing w:val="-14"/>
                <w:sz w:val="18"/>
                <w:szCs w:val="18"/>
              </w:rPr>
              <w:t>向偏差时，其值为表中相应数值的2倍</w:t>
            </w:r>
            <w:r>
              <w:rPr>
                <w:rFonts w:hint="default" w:ascii="Times New Roman" w:hAnsi="Times New Roman" w:cs="Times New Roman"/>
                <w:spacing w:val="-52"/>
                <w:sz w:val="18"/>
                <w:szCs w:val="18"/>
              </w:rPr>
              <w:t xml:space="preserve"> </w:t>
            </w:r>
            <w:r>
              <w:rPr>
                <w:rFonts w:hint="default" w:ascii="Times New Roman" w:hAnsi="Times New Roman" w:cs="Times New Roman"/>
                <w:spacing w:val="-14"/>
                <w:sz w:val="18"/>
                <w:szCs w:val="18"/>
              </w:rPr>
              <w:t>。</w:t>
            </w:r>
          </w:p>
        </w:tc>
      </w:tr>
    </w:tbl>
    <w:p w14:paraId="61E8D1DA">
      <w:pPr>
        <w:pStyle w:val="9"/>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表</w:t>
      </w:r>
      <w:r>
        <w:rPr>
          <w:rFonts w:hint="eastAsia" w:ascii="Times New Roman" w:hAnsi="Times New Roman" w:cs="Times New Roman"/>
          <w:b w:val="0"/>
          <w:bCs/>
          <w:color w:val="000000" w:themeColor="text1"/>
          <w:highlight w:val="none"/>
          <w:lang w:val="en-US" w:eastAsia="zh-CN"/>
          <w14:textFill>
            <w14:solidFill>
              <w14:schemeClr w14:val="tx1"/>
            </w14:solidFill>
          </w14:textFill>
        </w:rPr>
        <w:t>9</w:t>
      </w:r>
      <w:r>
        <w:rPr>
          <w:rFonts w:hint="default" w:ascii="Times New Roman" w:hAnsi="Times New Roman" w:eastAsia="宋体" w:cs="Times New Roman"/>
          <w:b w:val="0"/>
          <w:bCs/>
          <w:color w:val="000000" w:themeColor="text1"/>
          <w:highlight w:val="none"/>
          <w:lang w:val="en-US" w:eastAsia="zh-CN"/>
          <w14:textFill>
            <w14:solidFill>
              <w14:schemeClr w14:val="tx1"/>
            </w14:solidFill>
          </w14:textFill>
        </w:rPr>
        <w:t xml:space="preserve"> A</w:t>
      </w:r>
      <w:r>
        <w:rPr>
          <w:rFonts w:hint="default" w:ascii="Times New Roman" w:hAnsi="Times New Roman" w:eastAsia="宋体" w:cs="Times New Roman"/>
          <w:b w:val="0"/>
          <w:bCs/>
          <w:color w:val="000000" w:themeColor="text1"/>
          <w:highlight w:val="none"/>
          <w14:textFill>
            <w14:solidFill>
              <w14:schemeClr w14:val="tx1"/>
            </w14:solidFill>
          </w14:textFill>
        </w:rPr>
        <w:t>STMB888-2019、ASTMB103-2019厚度允许偏差单位为毫米</w:t>
      </w:r>
    </w:p>
    <w:tbl>
      <w:tblPr>
        <w:tblStyle w:val="20"/>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0"/>
        <w:gridCol w:w="2092"/>
        <w:gridCol w:w="2731"/>
        <w:gridCol w:w="2623"/>
      </w:tblGrid>
      <w:tr w14:paraId="2D7BD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1" w:type="pct"/>
            <w:vMerge w:val="restart"/>
            <w:vAlign w:val="center"/>
          </w:tcPr>
          <w:p w14:paraId="7AA6F352">
            <w:pPr>
              <w:snapToGrid w:val="0"/>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厚度</w:t>
            </w:r>
          </w:p>
        </w:tc>
        <w:tc>
          <w:tcPr>
            <w:tcW w:w="4008" w:type="pct"/>
            <w:gridSpan w:val="3"/>
            <w:vAlign w:val="center"/>
          </w:tcPr>
          <w:p w14:paraId="592244F1">
            <w:pPr>
              <w:snapToGrid w:val="0"/>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厚度允许偏差，±</w:t>
            </w:r>
          </w:p>
        </w:tc>
      </w:tr>
      <w:tr w14:paraId="4E373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1" w:type="pct"/>
            <w:vMerge w:val="continue"/>
            <w:vAlign w:val="center"/>
          </w:tcPr>
          <w:p w14:paraId="6F3FE8A7">
            <w:pPr>
              <w:snapToGrid w:val="0"/>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1126" w:type="pct"/>
            <w:vAlign w:val="center"/>
          </w:tcPr>
          <w:p w14:paraId="4E6F1546">
            <w:pPr>
              <w:snapToGrid w:val="0"/>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宽度≤200</w:t>
            </w:r>
          </w:p>
        </w:tc>
        <w:tc>
          <w:tcPr>
            <w:tcW w:w="1470" w:type="pct"/>
            <w:vAlign w:val="center"/>
          </w:tcPr>
          <w:p w14:paraId="5918D8D2">
            <w:pPr>
              <w:snapToGrid w:val="0"/>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宽度＞200-300</w:t>
            </w:r>
          </w:p>
        </w:tc>
        <w:tc>
          <w:tcPr>
            <w:tcW w:w="1412" w:type="pct"/>
            <w:vAlign w:val="center"/>
          </w:tcPr>
          <w:p w14:paraId="302B3904">
            <w:pPr>
              <w:snapToGrid w:val="0"/>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宽度＞300-600</w:t>
            </w:r>
          </w:p>
        </w:tc>
      </w:tr>
      <w:tr w14:paraId="5EFA2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1" w:type="pct"/>
            <w:vAlign w:val="center"/>
          </w:tcPr>
          <w:p w14:paraId="32D976BC">
            <w:pPr>
              <w:snapToGrid w:val="0"/>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＞0.10-0.20</w:t>
            </w:r>
          </w:p>
        </w:tc>
        <w:tc>
          <w:tcPr>
            <w:tcW w:w="1126" w:type="pct"/>
            <w:vAlign w:val="center"/>
          </w:tcPr>
          <w:p w14:paraId="041CF654">
            <w:pPr>
              <w:snapToGrid w:val="0"/>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0.010</w:t>
            </w:r>
          </w:p>
        </w:tc>
        <w:tc>
          <w:tcPr>
            <w:tcW w:w="1470" w:type="pct"/>
            <w:vAlign w:val="center"/>
          </w:tcPr>
          <w:p w14:paraId="151E7E49">
            <w:pPr>
              <w:snapToGrid w:val="0"/>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0.020</w:t>
            </w:r>
          </w:p>
        </w:tc>
        <w:tc>
          <w:tcPr>
            <w:tcW w:w="1412" w:type="pct"/>
            <w:vAlign w:val="center"/>
          </w:tcPr>
          <w:p w14:paraId="6A591A4D">
            <w:pPr>
              <w:snapToGrid w:val="0"/>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0.030</w:t>
            </w:r>
          </w:p>
        </w:tc>
      </w:tr>
      <w:tr w14:paraId="50363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1" w:type="pct"/>
            <w:vAlign w:val="center"/>
          </w:tcPr>
          <w:p w14:paraId="24CF850E">
            <w:pPr>
              <w:snapToGrid w:val="0"/>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＞0.20-0.30</w:t>
            </w:r>
          </w:p>
        </w:tc>
        <w:tc>
          <w:tcPr>
            <w:tcW w:w="1126" w:type="pct"/>
            <w:vAlign w:val="center"/>
          </w:tcPr>
          <w:p w14:paraId="178365F3">
            <w:pPr>
              <w:snapToGrid w:val="0"/>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0.015</w:t>
            </w:r>
          </w:p>
        </w:tc>
        <w:tc>
          <w:tcPr>
            <w:tcW w:w="1470" w:type="pct"/>
            <w:vAlign w:val="center"/>
          </w:tcPr>
          <w:p w14:paraId="2DBE0D49">
            <w:pPr>
              <w:snapToGrid w:val="0"/>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0.025</w:t>
            </w:r>
          </w:p>
        </w:tc>
        <w:tc>
          <w:tcPr>
            <w:tcW w:w="1412" w:type="pct"/>
            <w:vAlign w:val="center"/>
          </w:tcPr>
          <w:p w14:paraId="58EC20EA">
            <w:pPr>
              <w:snapToGrid w:val="0"/>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0.035</w:t>
            </w:r>
          </w:p>
        </w:tc>
      </w:tr>
      <w:tr w14:paraId="3EE58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1" w:type="pct"/>
            <w:vAlign w:val="center"/>
          </w:tcPr>
          <w:p w14:paraId="1DA4E8C9">
            <w:pPr>
              <w:snapToGrid w:val="0"/>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＞0.30-0.40</w:t>
            </w:r>
          </w:p>
        </w:tc>
        <w:tc>
          <w:tcPr>
            <w:tcW w:w="1126" w:type="pct"/>
            <w:vAlign w:val="center"/>
          </w:tcPr>
          <w:p w14:paraId="5540979B">
            <w:pPr>
              <w:snapToGrid w:val="0"/>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0.020</w:t>
            </w:r>
          </w:p>
        </w:tc>
        <w:tc>
          <w:tcPr>
            <w:tcW w:w="1470" w:type="pct"/>
            <w:vAlign w:val="center"/>
          </w:tcPr>
          <w:p w14:paraId="4E94B401">
            <w:pPr>
              <w:snapToGrid w:val="0"/>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0.030</w:t>
            </w:r>
          </w:p>
        </w:tc>
        <w:tc>
          <w:tcPr>
            <w:tcW w:w="1412" w:type="pct"/>
            <w:vAlign w:val="center"/>
          </w:tcPr>
          <w:p w14:paraId="7757347B">
            <w:pPr>
              <w:snapToGrid w:val="0"/>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0.045</w:t>
            </w:r>
          </w:p>
        </w:tc>
      </w:tr>
      <w:tr w14:paraId="51C31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1" w:type="pct"/>
            <w:vAlign w:val="center"/>
          </w:tcPr>
          <w:p w14:paraId="3AD02CAD">
            <w:pPr>
              <w:snapToGrid w:val="0"/>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＞0.40-0.50</w:t>
            </w:r>
          </w:p>
        </w:tc>
        <w:tc>
          <w:tcPr>
            <w:tcW w:w="1126" w:type="pct"/>
            <w:vAlign w:val="center"/>
          </w:tcPr>
          <w:p w14:paraId="7DBF659A">
            <w:pPr>
              <w:snapToGrid w:val="0"/>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0.025</w:t>
            </w:r>
          </w:p>
        </w:tc>
        <w:tc>
          <w:tcPr>
            <w:tcW w:w="1470" w:type="pct"/>
            <w:vAlign w:val="center"/>
          </w:tcPr>
          <w:p w14:paraId="6822B220">
            <w:pPr>
              <w:snapToGrid w:val="0"/>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0.035</w:t>
            </w:r>
          </w:p>
        </w:tc>
        <w:tc>
          <w:tcPr>
            <w:tcW w:w="1412" w:type="pct"/>
            <w:vAlign w:val="center"/>
          </w:tcPr>
          <w:p w14:paraId="4D810D85">
            <w:pPr>
              <w:snapToGrid w:val="0"/>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0.050</w:t>
            </w:r>
          </w:p>
        </w:tc>
      </w:tr>
      <w:tr w14:paraId="1134A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1" w:type="pct"/>
            <w:vAlign w:val="center"/>
          </w:tcPr>
          <w:p w14:paraId="5DAD6B18">
            <w:pPr>
              <w:snapToGrid w:val="0"/>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＞0.50-0.60</w:t>
            </w:r>
          </w:p>
        </w:tc>
        <w:tc>
          <w:tcPr>
            <w:tcW w:w="1126" w:type="pct"/>
            <w:vAlign w:val="center"/>
          </w:tcPr>
          <w:p w14:paraId="1FA4313E">
            <w:pPr>
              <w:snapToGrid w:val="0"/>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0.030</w:t>
            </w:r>
          </w:p>
        </w:tc>
        <w:tc>
          <w:tcPr>
            <w:tcW w:w="1470" w:type="pct"/>
            <w:vAlign w:val="center"/>
          </w:tcPr>
          <w:p w14:paraId="7F434000">
            <w:pPr>
              <w:snapToGrid w:val="0"/>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0.040</w:t>
            </w:r>
          </w:p>
        </w:tc>
        <w:tc>
          <w:tcPr>
            <w:tcW w:w="1412" w:type="pct"/>
            <w:vAlign w:val="center"/>
          </w:tcPr>
          <w:p w14:paraId="35A58FE8">
            <w:pPr>
              <w:snapToGrid w:val="0"/>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0.050</w:t>
            </w:r>
          </w:p>
        </w:tc>
      </w:tr>
      <w:tr w14:paraId="174E8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1" w:type="pct"/>
            <w:vAlign w:val="center"/>
          </w:tcPr>
          <w:p w14:paraId="2037366B">
            <w:pPr>
              <w:snapToGrid w:val="0"/>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＞0.60-0.70</w:t>
            </w:r>
          </w:p>
        </w:tc>
        <w:tc>
          <w:tcPr>
            <w:tcW w:w="1126" w:type="pct"/>
            <w:vAlign w:val="center"/>
          </w:tcPr>
          <w:p w14:paraId="467C5900">
            <w:pPr>
              <w:snapToGrid w:val="0"/>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0.035</w:t>
            </w:r>
          </w:p>
        </w:tc>
        <w:tc>
          <w:tcPr>
            <w:tcW w:w="1470" w:type="pct"/>
            <w:vAlign w:val="center"/>
          </w:tcPr>
          <w:p w14:paraId="603FC611">
            <w:pPr>
              <w:snapToGrid w:val="0"/>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0.050</w:t>
            </w:r>
          </w:p>
        </w:tc>
        <w:tc>
          <w:tcPr>
            <w:tcW w:w="1412" w:type="pct"/>
            <w:vAlign w:val="center"/>
          </w:tcPr>
          <w:p w14:paraId="0493C55E">
            <w:pPr>
              <w:snapToGrid w:val="0"/>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0.060</w:t>
            </w:r>
          </w:p>
        </w:tc>
      </w:tr>
      <w:tr w14:paraId="00E0A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1" w:type="pct"/>
            <w:vAlign w:val="center"/>
          </w:tcPr>
          <w:p w14:paraId="0AD7E2A9">
            <w:pPr>
              <w:snapToGrid w:val="0"/>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＞0.70-1.0</w:t>
            </w:r>
          </w:p>
        </w:tc>
        <w:tc>
          <w:tcPr>
            <w:tcW w:w="1126" w:type="pct"/>
            <w:vAlign w:val="center"/>
          </w:tcPr>
          <w:p w14:paraId="10F61021">
            <w:pPr>
              <w:snapToGrid w:val="0"/>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0.045</w:t>
            </w:r>
          </w:p>
        </w:tc>
        <w:tc>
          <w:tcPr>
            <w:tcW w:w="1470" w:type="pct"/>
            <w:vAlign w:val="center"/>
          </w:tcPr>
          <w:p w14:paraId="344F1AD5">
            <w:pPr>
              <w:snapToGrid w:val="0"/>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0.050</w:t>
            </w:r>
          </w:p>
        </w:tc>
        <w:tc>
          <w:tcPr>
            <w:tcW w:w="1412" w:type="pct"/>
            <w:vAlign w:val="center"/>
          </w:tcPr>
          <w:p w14:paraId="24C2A6D2">
            <w:pPr>
              <w:snapToGrid w:val="0"/>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0.060</w:t>
            </w:r>
          </w:p>
        </w:tc>
      </w:tr>
      <w:tr w14:paraId="062EC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1" w:type="pct"/>
            <w:vAlign w:val="center"/>
          </w:tcPr>
          <w:p w14:paraId="31A52179">
            <w:pPr>
              <w:snapToGrid w:val="0"/>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＞1.0-1.3</w:t>
            </w:r>
          </w:p>
        </w:tc>
        <w:tc>
          <w:tcPr>
            <w:tcW w:w="1126" w:type="pct"/>
            <w:vAlign w:val="center"/>
          </w:tcPr>
          <w:p w14:paraId="0E66BE6F">
            <w:pPr>
              <w:snapToGrid w:val="0"/>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0.050</w:t>
            </w:r>
          </w:p>
        </w:tc>
        <w:tc>
          <w:tcPr>
            <w:tcW w:w="1470" w:type="pct"/>
            <w:vAlign w:val="center"/>
          </w:tcPr>
          <w:p w14:paraId="5B88AF1F">
            <w:pPr>
              <w:snapToGrid w:val="0"/>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0.060</w:t>
            </w:r>
          </w:p>
        </w:tc>
        <w:tc>
          <w:tcPr>
            <w:tcW w:w="1412" w:type="pct"/>
            <w:vAlign w:val="center"/>
          </w:tcPr>
          <w:p w14:paraId="6197ED0D">
            <w:pPr>
              <w:snapToGrid w:val="0"/>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0.070</w:t>
            </w:r>
          </w:p>
        </w:tc>
      </w:tr>
      <w:tr w14:paraId="5A1D2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1" w:type="pct"/>
            <w:vAlign w:val="center"/>
          </w:tcPr>
          <w:p w14:paraId="6A345C0D">
            <w:pPr>
              <w:snapToGrid w:val="0"/>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＞1.3-2.0</w:t>
            </w:r>
          </w:p>
        </w:tc>
        <w:tc>
          <w:tcPr>
            <w:tcW w:w="1126" w:type="pct"/>
            <w:vAlign w:val="center"/>
          </w:tcPr>
          <w:p w14:paraId="780C6B82">
            <w:pPr>
              <w:snapToGrid w:val="0"/>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0.060</w:t>
            </w:r>
          </w:p>
        </w:tc>
        <w:tc>
          <w:tcPr>
            <w:tcW w:w="1470" w:type="pct"/>
            <w:vAlign w:val="center"/>
          </w:tcPr>
          <w:p w14:paraId="4A03F998">
            <w:pPr>
              <w:snapToGrid w:val="0"/>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0.070</w:t>
            </w:r>
          </w:p>
        </w:tc>
        <w:tc>
          <w:tcPr>
            <w:tcW w:w="1412" w:type="pct"/>
            <w:vAlign w:val="center"/>
          </w:tcPr>
          <w:p w14:paraId="0EC8115E">
            <w:pPr>
              <w:snapToGrid w:val="0"/>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0.080</w:t>
            </w:r>
          </w:p>
        </w:tc>
      </w:tr>
      <w:tr w14:paraId="10C69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1" w:type="pct"/>
            <w:vAlign w:val="center"/>
          </w:tcPr>
          <w:p w14:paraId="50A8976E">
            <w:pPr>
              <w:snapToGrid w:val="0"/>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2.0-3.0</w:t>
            </w:r>
          </w:p>
        </w:tc>
        <w:tc>
          <w:tcPr>
            <w:tcW w:w="1126" w:type="pct"/>
            <w:vAlign w:val="center"/>
          </w:tcPr>
          <w:p w14:paraId="44CAAC84">
            <w:pPr>
              <w:snapToGrid w:val="0"/>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0.07</w:t>
            </w:r>
          </w:p>
        </w:tc>
        <w:tc>
          <w:tcPr>
            <w:tcW w:w="1470" w:type="pct"/>
            <w:vAlign w:val="center"/>
          </w:tcPr>
          <w:p w14:paraId="20BDAD04">
            <w:pPr>
              <w:snapToGrid w:val="0"/>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0.08</w:t>
            </w:r>
          </w:p>
        </w:tc>
        <w:tc>
          <w:tcPr>
            <w:tcW w:w="1412" w:type="pct"/>
            <w:vAlign w:val="center"/>
          </w:tcPr>
          <w:p w14:paraId="53EC9FD1">
            <w:pPr>
              <w:snapToGrid w:val="0"/>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0.10</w:t>
            </w:r>
          </w:p>
        </w:tc>
      </w:tr>
    </w:tbl>
    <w:p w14:paraId="3BF6FCB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（2）宽度允许偏差对比情况见表</w:t>
      </w:r>
      <w:r>
        <w:rPr>
          <w:rFonts w:hint="eastAsia"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10</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-表</w:t>
      </w:r>
      <w:r>
        <w:rPr>
          <w:rFonts w:hint="eastAsia"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11</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p>
    <w:p w14:paraId="2A4ABFA5">
      <w:pPr>
        <w:keepNext w:val="0"/>
        <w:keepLines w:val="0"/>
        <w:pageBreakBefore w:val="0"/>
        <w:widowControl w:val="0"/>
        <w:kinsoku/>
        <w:wordWrap/>
        <w:overflowPunct/>
        <w:topLinePunct w:val="0"/>
        <w:autoSpaceDE/>
        <w:autoSpaceDN/>
        <w:bidi w:val="0"/>
        <w:adjustRightInd/>
        <w:snapToGrid/>
        <w:spacing w:before="156" w:beforeLines="50" w:line="312" w:lineRule="auto"/>
        <w:jc w:val="center"/>
        <w:textAlignment w:val="auto"/>
        <w:rPr>
          <w:rFonts w:hint="eastAsia" w:ascii="Times New Roman" w:hAnsi="Times New Roman" w:eastAsia="黑体" w:cs="Times New Roman"/>
          <w:snapToGrid/>
          <w:color w:val="000000"/>
          <w:kern w:val="0"/>
          <w:szCs w:val="21"/>
          <w:lang w:val="en-US" w:eastAsia="zh-CN"/>
        </w:rPr>
      </w:pPr>
      <w:r>
        <w:rPr>
          <w:rFonts w:ascii="Times New Roman" w:hAnsi="Times New Roman" w:eastAsia="黑体" w:cs="Times New Roman"/>
          <w:snapToGrid/>
          <w:color w:val="000000"/>
          <w:kern w:val="0"/>
          <w:szCs w:val="21"/>
          <w:lang w:eastAsia="zh-CN"/>
        </w:rPr>
        <w:t>表</w:t>
      </w:r>
      <w:r>
        <w:rPr>
          <w:rFonts w:hint="eastAsia" w:ascii="Times New Roman" w:hAnsi="Times New Roman" w:eastAsia="黑体" w:cs="Times New Roman"/>
          <w:snapToGrid/>
          <w:color w:val="000000"/>
          <w:kern w:val="0"/>
          <w:szCs w:val="21"/>
          <w:lang w:val="en-US" w:eastAsia="zh-CN"/>
        </w:rPr>
        <w:t>10</w:t>
      </w:r>
      <w:r>
        <w:rPr>
          <w:rFonts w:ascii="Times New Roman" w:hAnsi="Times New Roman" w:eastAsia="黑体" w:cs="Times New Roman"/>
          <w:snapToGrid/>
          <w:color w:val="000000"/>
          <w:kern w:val="0"/>
          <w:szCs w:val="21"/>
          <w:lang w:eastAsia="zh-CN"/>
        </w:rPr>
        <w:t xml:space="preserve"> 宽度及其允许偏差</w:t>
      </w:r>
    </w:p>
    <w:p w14:paraId="16934E6B">
      <w:pPr>
        <w:widowControl w:val="0"/>
        <w:kinsoku/>
        <w:autoSpaceDE/>
        <w:autoSpaceDN/>
        <w:adjustRightInd/>
        <w:snapToGrid/>
        <w:spacing w:before="156" w:beforeLines="50" w:line="240" w:lineRule="auto"/>
        <w:jc w:val="right"/>
        <w:textAlignment w:val="auto"/>
        <w:rPr>
          <w:rFonts w:hint="eastAsia" w:ascii="宋体" w:hAnsi="宋体" w:eastAsia="宋体" w:cs="宋体"/>
          <w:snapToGrid/>
          <w:color w:val="000000"/>
          <w:kern w:val="0"/>
          <w:szCs w:val="21"/>
          <w:lang w:val="en-US" w:eastAsia="zh-CN"/>
        </w:rPr>
      </w:pPr>
      <w:r>
        <w:rPr>
          <w:rFonts w:hint="eastAsia" w:ascii="宋体" w:hAnsi="宋体" w:eastAsia="宋体" w:cs="宋体"/>
          <w:snapToGrid/>
          <w:color w:val="000000"/>
          <w:kern w:val="0"/>
          <w:szCs w:val="21"/>
          <w:lang w:eastAsia="zh-CN"/>
        </w:rPr>
        <w:t>单位：毫米</w:t>
      </w:r>
    </w:p>
    <w:tbl>
      <w:tblPr>
        <w:tblStyle w:val="40"/>
        <w:tblW w:w="4999" w:type="pct"/>
        <w:tblInd w:w="0" w:type="dxa"/>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Layout w:type="autofit"/>
        <w:tblCellMar>
          <w:top w:w="0" w:type="dxa"/>
          <w:left w:w="0" w:type="dxa"/>
          <w:bottom w:w="0" w:type="dxa"/>
          <w:right w:w="0" w:type="dxa"/>
        </w:tblCellMar>
      </w:tblPr>
      <w:tblGrid>
        <w:gridCol w:w="1956"/>
        <w:gridCol w:w="1773"/>
        <w:gridCol w:w="1793"/>
        <w:gridCol w:w="1776"/>
        <w:gridCol w:w="1802"/>
      </w:tblGrid>
      <w:tr w14:paraId="192DB8C9">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1075" w:type="pct"/>
            <w:vMerge w:val="restart"/>
            <w:tcBorders>
              <w:bottom w:val="nil"/>
            </w:tcBorders>
            <w:vAlign w:val="center"/>
          </w:tcPr>
          <w:p w14:paraId="5003C1D6">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sz w:val="18"/>
                <w:szCs w:val="18"/>
              </w:rPr>
            </w:pPr>
            <w:r>
              <w:rPr>
                <w:rFonts w:hint="default" w:ascii="Times New Roman" w:hAnsi="Times New Roman" w:cs="Times New Roman"/>
                <w:spacing w:val="11"/>
                <w:sz w:val="18"/>
                <w:szCs w:val="18"/>
              </w:rPr>
              <w:t>厚度</w:t>
            </w:r>
          </w:p>
        </w:tc>
        <w:tc>
          <w:tcPr>
            <w:tcW w:w="3924" w:type="pct"/>
            <w:gridSpan w:val="4"/>
            <w:vAlign w:val="center"/>
          </w:tcPr>
          <w:p w14:paraId="015933A6">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sz w:val="18"/>
                <w:szCs w:val="18"/>
              </w:rPr>
            </w:pPr>
            <w:r>
              <w:rPr>
                <w:rFonts w:hint="default" w:ascii="Times New Roman" w:hAnsi="Times New Roman" w:cs="Times New Roman"/>
                <w:spacing w:val="11"/>
                <w:sz w:val="18"/>
                <w:szCs w:val="18"/>
              </w:rPr>
              <w:t>宽度</w:t>
            </w:r>
          </w:p>
        </w:tc>
      </w:tr>
      <w:tr w14:paraId="48BAD8F5">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1075" w:type="pct"/>
            <w:vMerge w:val="continue"/>
            <w:tcBorders>
              <w:top w:val="nil"/>
              <w:bottom w:val="nil"/>
            </w:tcBorders>
            <w:vAlign w:val="center"/>
          </w:tcPr>
          <w:p w14:paraId="1FAD5F2C">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sz w:val="18"/>
                <w:szCs w:val="18"/>
              </w:rPr>
            </w:pPr>
          </w:p>
        </w:tc>
        <w:tc>
          <w:tcPr>
            <w:tcW w:w="974" w:type="pct"/>
            <w:vAlign w:val="center"/>
          </w:tcPr>
          <w:p w14:paraId="6F88C2B7">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sz w:val="18"/>
                <w:szCs w:val="18"/>
              </w:rPr>
            </w:pPr>
            <w:r>
              <w:rPr>
                <w:rFonts w:hint="default" w:ascii="Times New Roman" w:hAnsi="Times New Roman" w:cs="Times New Roman"/>
                <w:spacing w:val="-4"/>
                <w:sz w:val="18"/>
                <w:szCs w:val="18"/>
              </w:rPr>
              <w:t>10～50</w:t>
            </w:r>
          </w:p>
        </w:tc>
        <w:tc>
          <w:tcPr>
            <w:tcW w:w="985" w:type="pct"/>
            <w:vAlign w:val="center"/>
          </w:tcPr>
          <w:p w14:paraId="73FC1EFA">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sz w:val="18"/>
                <w:szCs w:val="18"/>
              </w:rPr>
            </w:pPr>
            <w:r>
              <w:rPr>
                <w:rFonts w:hint="eastAsia" w:ascii="Times New Roman" w:hAnsi="Times New Roman" w:cs="Times New Roman"/>
                <w:spacing w:val="-1"/>
                <w:sz w:val="18"/>
                <w:szCs w:val="18"/>
                <w:lang w:eastAsia="zh-CN"/>
              </w:rPr>
              <w:t>＞</w:t>
            </w:r>
            <w:r>
              <w:rPr>
                <w:rFonts w:hint="default" w:ascii="Times New Roman" w:hAnsi="Times New Roman" w:cs="Times New Roman"/>
                <w:spacing w:val="-1"/>
                <w:sz w:val="18"/>
                <w:szCs w:val="18"/>
              </w:rPr>
              <w:t>50～100</w:t>
            </w:r>
          </w:p>
        </w:tc>
        <w:tc>
          <w:tcPr>
            <w:tcW w:w="976" w:type="pct"/>
            <w:vAlign w:val="center"/>
          </w:tcPr>
          <w:p w14:paraId="38690C57">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sz w:val="18"/>
                <w:szCs w:val="18"/>
              </w:rPr>
            </w:pPr>
            <w:r>
              <w:rPr>
                <w:rFonts w:hint="eastAsia" w:ascii="Times New Roman" w:hAnsi="Times New Roman" w:cs="Times New Roman"/>
                <w:spacing w:val="-1"/>
                <w:sz w:val="18"/>
                <w:szCs w:val="18"/>
                <w:lang w:eastAsia="zh-CN"/>
              </w:rPr>
              <w:t>＞</w:t>
            </w:r>
            <w:r>
              <w:rPr>
                <w:rFonts w:hint="default" w:ascii="Times New Roman" w:hAnsi="Times New Roman" w:cs="Times New Roman"/>
                <w:spacing w:val="-1"/>
                <w:sz w:val="18"/>
                <w:szCs w:val="18"/>
              </w:rPr>
              <w:t>100～200</w:t>
            </w:r>
          </w:p>
        </w:tc>
        <w:tc>
          <w:tcPr>
            <w:tcW w:w="987" w:type="pct"/>
            <w:vAlign w:val="center"/>
          </w:tcPr>
          <w:p w14:paraId="35C3B7A8">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sz w:val="18"/>
                <w:szCs w:val="18"/>
              </w:rPr>
            </w:pPr>
            <w:r>
              <w:rPr>
                <w:rFonts w:hint="eastAsia" w:ascii="Times New Roman" w:hAnsi="Times New Roman" w:cs="Times New Roman"/>
                <w:spacing w:val="-1"/>
                <w:sz w:val="18"/>
                <w:szCs w:val="18"/>
                <w:lang w:eastAsia="zh-CN"/>
              </w:rPr>
              <w:t>＞</w:t>
            </w:r>
            <w:r>
              <w:rPr>
                <w:rFonts w:hint="default" w:ascii="Times New Roman" w:hAnsi="Times New Roman" w:cs="Times New Roman"/>
                <w:spacing w:val="-1"/>
                <w:sz w:val="18"/>
                <w:szCs w:val="18"/>
              </w:rPr>
              <w:t>200～600</w:t>
            </w:r>
          </w:p>
        </w:tc>
      </w:tr>
      <w:tr w14:paraId="2449DBC6">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1075" w:type="pct"/>
            <w:vMerge w:val="continue"/>
            <w:tcBorders>
              <w:top w:val="nil"/>
              <w:bottom w:val="single" w:color="auto" w:sz="12" w:space="0"/>
            </w:tcBorders>
            <w:vAlign w:val="center"/>
          </w:tcPr>
          <w:p w14:paraId="1C6F8ADA">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sz w:val="18"/>
                <w:szCs w:val="18"/>
              </w:rPr>
            </w:pPr>
          </w:p>
        </w:tc>
        <w:tc>
          <w:tcPr>
            <w:tcW w:w="3924" w:type="pct"/>
            <w:gridSpan w:val="4"/>
            <w:tcBorders>
              <w:bottom w:val="single" w:color="auto" w:sz="12" w:space="0"/>
            </w:tcBorders>
            <w:vAlign w:val="center"/>
          </w:tcPr>
          <w:p w14:paraId="18969455">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sz w:val="18"/>
                <w:szCs w:val="18"/>
              </w:rPr>
            </w:pPr>
            <w:r>
              <w:rPr>
                <w:rFonts w:hint="default" w:ascii="Times New Roman" w:hAnsi="Times New Roman" w:cs="Times New Roman"/>
                <w:spacing w:val="-8"/>
                <w:sz w:val="18"/>
                <w:szCs w:val="18"/>
              </w:rPr>
              <w:t>允许偏差</w:t>
            </w:r>
            <w:r>
              <w:rPr>
                <w:rFonts w:hint="eastAsia" w:ascii="Times New Roman" w:hAnsi="Times New Roman" w:cs="Times New Roman"/>
                <w:spacing w:val="-6"/>
                <w:sz w:val="18"/>
                <w:szCs w:val="18"/>
                <w:vertAlign w:val="superscript"/>
                <w:lang w:val="en-US" w:eastAsia="zh-CN"/>
              </w:rPr>
              <w:t>a</w:t>
            </w:r>
          </w:p>
        </w:tc>
      </w:tr>
      <w:tr w14:paraId="3BB9C924">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1075" w:type="pct"/>
            <w:tcBorders>
              <w:top w:val="single" w:color="auto" w:sz="12" w:space="0"/>
            </w:tcBorders>
            <w:vAlign w:val="center"/>
          </w:tcPr>
          <w:p w14:paraId="655C3442">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sz w:val="18"/>
                <w:szCs w:val="18"/>
              </w:rPr>
            </w:pPr>
            <w:r>
              <w:rPr>
                <w:rFonts w:hint="default" w:ascii="Times New Roman" w:hAnsi="Times New Roman" w:cs="Times New Roman"/>
                <w:sz w:val="18"/>
                <w:szCs w:val="18"/>
              </w:rPr>
              <w:t>0.6～1.0</w:t>
            </w:r>
          </w:p>
        </w:tc>
        <w:tc>
          <w:tcPr>
            <w:tcW w:w="974" w:type="pct"/>
            <w:tcBorders>
              <w:top w:val="single" w:color="auto" w:sz="12" w:space="0"/>
            </w:tcBorders>
            <w:vAlign w:val="center"/>
          </w:tcPr>
          <w:p w14:paraId="1BBAE306">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sz w:val="18"/>
                <w:szCs w:val="18"/>
              </w:rPr>
            </w:pPr>
            <w:r>
              <w:rPr>
                <w:rFonts w:hint="default" w:ascii="Times New Roman" w:hAnsi="Times New Roman" w:cs="Times New Roman"/>
                <w:spacing w:val="-6"/>
                <w:sz w:val="18"/>
                <w:szCs w:val="18"/>
              </w:rPr>
              <w:t>±0.08</w:t>
            </w:r>
          </w:p>
        </w:tc>
        <w:tc>
          <w:tcPr>
            <w:tcW w:w="985" w:type="pct"/>
            <w:tcBorders>
              <w:top w:val="single" w:color="auto" w:sz="12" w:space="0"/>
            </w:tcBorders>
            <w:vAlign w:val="center"/>
          </w:tcPr>
          <w:p w14:paraId="7BA125E4">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sz w:val="18"/>
                <w:szCs w:val="18"/>
              </w:rPr>
            </w:pPr>
            <w:r>
              <w:rPr>
                <w:rFonts w:hint="default" w:ascii="Times New Roman" w:hAnsi="Times New Roman" w:cs="Times New Roman"/>
                <w:spacing w:val="-6"/>
                <w:sz w:val="18"/>
                <w:szCs w:val="18"/>
              </w:rPr>
              <w:t>±0.10</w:t>
            </w:r>
          </w:p>
        </w:tc>
        <w:tc>
          <w:tcPr>
            <w:tcW w:w="976" w:type="pct"/>
            <w:tcBorders>
              <w:top w:val="single" w:color="auto" w:sz="12" w:space="0"/>
            </w:tcBorders>
            <w:vAlign w:val="center"/>
          </w:tcPr>
          <w:p w14:paraId="1224B6A4">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sz w:val="18"/>
                <w:szCs w:val="18"/>
              </w:rPr>
            </w:pPr>
            <w:r>
              <w:rPr>
                <w:rFonts w:hint="default" w:ascii="Times New Roman" w:hAnsi="Times New Roman" w:cs="Times New Roman"/>
                <w:spacing w:val="-6"/>
                <w:sz w:val="18"/>
                <w:szCs w:val="18"/>
              </w:rPr>
              <w:t>±</w:t>
            </w:r>
            <w:r>
              <w:rPr>
                <w:rFonts w:hint="default" w:ascii="Times New Roman" w:hAnsi="Times New Roman" w:cs="Times New Roman"/>
                <w:spacing w:val="5"/>
                <w:sz w:val="18"/>
                <w:szCs w:val="18"/>
              </w:rPr>
              <w:t>0.15</w:t>
            </w:r>
          </w:p>
        </w:tc>
        <w:tc>
          <w:tcPr>
            <w:tcW w:w="987" w:type="pct"/>
            <w:tcBorders>
              <w:top w:val="single" w:color="auto" w:sz="12" w:space="0"/>
            </w:tcBorders>
            <w:vAlign w:val="center"/>
          </w:tcPr>
          <w:p w14:paraId="06A7F134">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sz w:val="18"/>
                <w:szCs w:val="18"/>
              </w:rPr>
            </w:pPr>
            <w:r>
              <w:rPr>
                <w:rFonts w:hint="default" w:ascii="Times New Roman" w:hAnsi="Times New Roman" w:cs="Times New Roman"/>
                <w:spacing w:val="-6"/>
                <w:sz w:val="18"/>
                <w:szCs w:val="18"/>
              </w:rPr>
              <w:t>±0.20</w:t>
            </w:r>
          </w:p>
        </w:tc>
      </w:tr>
      <w:tr w14:paraId="11BABE28">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1075" w:type="pct"/>
            <w:vAlign w:val="center"/>
          </w:tcPr>
          <w:p w14:paraId="00BC6BC1">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sz w:val="18"/>
                <w:szCs w:val="18"/>
              </w:rPr>
            </w:pPr>
            <w:r>
              <w:rPr>
                <w:rFonts w:hint="eastAsia" w:ascii="Times New Roman" w:hAnsi="Times New Roman" w:eastAsia="仿宋" w:cs="Times New Roman"/>
                <w:spacing w:val="-1"/>
                <w:sz w:val="18"/>
                <w:szCs w:val="18"/>
                <w:lang w:eastAsia="zh-CN"/>
              </w:rPr>
              <w:t>＞</w:t>
            </w:r>
            <w:r>
              <w:rPr>
                <w:rFonts w:hint="default" w:ascii="Times New Roman" w:hAnsi="Times New Roman" w:cs="Times New Roman"/>
                <w:spacing w:val="-1"/>
                <w:sz w:val="18"/>
                <w:szCs w:val="18"/>
              </w:rPr>
              <w:t>1.0～1.8</w:t>
            </w:r>
          </w:p>
        </w:tc>
        <w:tc>
          <w:tcPr>
            <w:tcW w:w="974" w:type="pct"/>
            <w:vAlign w:val="center"/>
          </w:tcPr>
          <w:p w14:paraId="0BC98F15">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sz w:val="18"/>
                <w:szCs w:val="18"/>
              </w:rPr>
            </w:pPr>
            <w:r>
              <w:rPr>
                <w:rFonts w:hint="default" w:ascii="Times New Roman" w:hAnsi="Times New Roman" w:cs="Times New Roman"/>
                <w:spacing w:val="-6"/>
                <w:sz w:val="18"/>
                <w:szCs w:val="18"/>
              </w:rPr>
              <w:t>±0.10</w:t>
            </w:r>
          </w:p>
        </w:tc>
        <w:tc>
          <w:tcPr>
            <w:tcW w:w="985" w:type="pct"/>
            <w:vAlign w:val="center"/>
          </w:tcPr>
          <w:p w14:paraId="4F14C59E">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sz w:val="18"/>
                <w:szCs w:val="18"/>
              </w:rPr>
            </w:pPr>
            <w:r>
              <w:rPr>
                <w:rFonts w:hint="default" w:ascii="Times New Roman" w:hAnsi="Times New Roman" w:cs="Times New Roman"/>
                <w:spacing w:val="-6"/>
                <w:sz w:val="18"/>
                <w:szCs w:val="18"/>
              </w:rPr>
              <w:t>±</w:t>
            </w:r>
            <w:r>
              <w:rPr>
                <w:rFonts w:hint="default" w:ascii="Times New Roman" w:hAnsi="Times New Roman" w:cs="Times New Roman"/>
                <w:spacing w:val="5"/>
                <w:sz w:val="18"/>
                <w:szCs w:val="18"/>
              </w:rPr>
              <w:t>0.15</w:t>
            </w:r>
          </w:p>
        </w:tc>
        <w:tc>
          <w:tcPr>
            <w:tcW w:w="976" w:type="pct"/>
            <w:vAlign w:val="center"/>
          </w:tcPr>
          <w:p w14:paraId="50EE2822">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sz w:val="18"/>
                <w:szCs w:val="18"/>
              </w:rPr>
            </w:pPr>
            <w:r>
              <w:rPr>
                <w:rFonts w:hint="default" w:ascii="Times New Roman" w:hAnsi="Times New Roman" w:cs="Times New Roman"/>
                <w:spacing w:val="-6"/>
                <w:sz w:val="18"/>
                <w:szCs w:val="18"/>
              </w:rPr>
              <w:t>±0.20</w:t>
            </w:r>
          </w:p>
        </w:tc>
        <w:tc>
          <w:tcPr>
            <w:tcW w:w="987" w:type="pct"/>
            <w:vAlign w:val="center"/>
          </w:tcPr>
          <w:p w14:paraId="7E4F6329">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sz w:val="18"/>
                <w:szCs w:val="18"/>
              </w:rPr>
            </w:pPr>
            <w:r>
              <w:rPr>
                <w:rFonts w:hint="default" w:ascii="Times New Roman" w:hAnsi="Times New Roman" w:cs="Times New Roman"/>
                <w:spacing w:val="-6"/>
                <w:sz w:val="18"/>
                <w:szCs w:val="18"/>
              </w:rPr>
              <w:t>±</w:t>
            </w:r>
            <w:r>
              <w:rPr>
                <w:rFonts w:hint="default" w:ascii="Times New Roman" w:hAnsi="Times New Roman" w:cs="Times New Roman"/>
                <w:spacing w:val="4"/>
                <w:sz w:val="18"/>
                <w:szCs w:val="18"/>
              </w:rPr>
              <w:t>0.30</w:t>
            </w:r>
          </w:p>
        </w:tc>
      </w:tr>
      <w:tr w14:paraId="3B5D0D73">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1075" w:type="pct"/>
            <w:vAlign w:val="center"/>
          </w:tcPr>
          <w:p w14:paraId="16E81114">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sz w:val="18"/>
                <w:szCs w:val="18"/>
              </w:rPr>
            </w:pPr>
            <w:r>
              <w:rPr>
                <w:rFonts w:hint="eastAsia" w:ascii="Times New Roman" w:hAnsi="Times New Roman" w:cs="Times New Roman"/>
                <w:spacing w:val="-1"/>
                <w:sz w:val="18"/>
                <w:szCs w:val="18"/>
                <w:lang w:eastAsia="zh-CN"/>
              </w:rPr>
              <w:t>＞</w:t>
            </w:r>
            <w:r>
              <w:rPr>
                <w:rFonts w:hint="default" w:ascii="Times New Roman" w:hAnsi="Times New Roman" w:cs="Times New Roman"/>
                <w:spacing w:val="-1"/>
                <w:sz w:val="18"/>
                <w:szCs w:val="18"/>
              </w:rPr>
              <w:t>1.8～3.0</w:t>
            </w:r>
          </w:p>
        </w:tc>
        <w:tc>
          <w:tcPr>
            <w:tcW w:w="974" w:type="pct"/>
            <w:vAlign w:val="center"/>
          </w:tcPr>
          <w:p w14:paraId="17E9C997">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sz w:val="18"/>
                <w:szCs w:val="18"/>
              </w:rPr>
            </w:pPr>
            <w:r>
              <w:rPr>
                <w:rFonts w:hint="default" w:ascii="Times New Roman" w:hAnsi="Times New Roman" w:cs="Times New Roman"/>
                <w:spacing w:val="-6"/>
                <w:sz w:val="18"/>
                <w:szCs w:val="18"/>
              </w:rPr>
              <w:t>±0.20</w:t>
            </w:r>
          </w:p>
        </w:tc>
        <w:tc>
          <w:tcPr>
            <w:tcW w:w="985" w:type="pct"/>
            <w:vAlign w:val="center"/>
          </w:tcPr>
          <w:p w14:paraId="54C7115A">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sz w:val="18"/>
                <w:szCs w:val="18"/>
              </w:rPr>
            </w:pPr>
            <w:r>
              <w:rPr>
                <w:rFonts w:hint="default" w:ascii="Times New Roman" w:hAnsi="Times New Roman" w:cs="Times New Roman"/>
                <w:spacing w:val="-6"/>
                <w:sz w:val="18"/>
                <w:szCs w:val="18"/>
              </w:rPr>
              <w:t>±</w:t>
            </w:r>
            <w:r>
              <w:rPr>
                <w:rFonts w:hint="default" w:ascii="Times New Roman" w:hAnsi="Times New Roman" w:cs="Times New Roman"/>
                <w:spacing w:val="4"/>
                <w:sz w:val="18"/>
                <w:szCs w:val="18"/>
              </w:rPr>
              <w:t>0.20</w:t>
            </w:r>
          </w:p>
        </w:tc>
        <w:tc>
          <w:tcPr>
            <w:tcW w:w="976" w:type="pct"/>
            <w:vAlign w:val="center"/>
          </w:tcPr>
          <w:p w14:paraId="34A45822">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sz w:val="18"/>
                <w:szCs w:val="18"/>
              </w:rPr>
            </w:pPr>
            <w:r>
              <w:rPr>
                <w:rFonts w:hint="default" w:ascii="Times New Roman" w:hAnsi="Times New Roman" w:cs="Times New Roman"/>
                <w:spacing w:val="-6"/>
                <w:sz w:val="18"/>
                <w:szCs w:val="18"/>
              </w:rPr>
              <w:t>±0.30</w:t>
            </w:r>
          </w:p>
        </w:tc>
        <w:tc>
          <w:tcPr>
            <w:tcW w:w="987" w:type="pct"/>
            <w:vAlign w:val="center"/>
          </w:tcPr>
          <w:p w14:paraId="6376691A">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sz w:val="18"/>
                <w:szCs w:val="18"/>
              </w:rPr>
            </w:pPr>
            <w:r>
              <w:rPr>
                <w:rFonts w:hint="default" w:ascii="Times New Roman" w:hAnsi="Times New Roman" w:cs="Times New Roman"/>
                <w:spacing w:val="-6"/>
                <w:sz w:val="18"/>
                <w:szCs w:val="18"/>
              </w:rPr>
              <w:t>±</w:t>
            </w:r>
            <w:r>
              <w:rPr>
                <w:rFonts w:hint="default" w:ascii="Times New Roman" w:hAnsi="Times New Roman" w:cs="Times New Roman"/>
                <w:spacing w:val="4"/>
                <w:sz w:val="18"/>
                <w:szCs w:val="18"/>
              </w:rPr>
              <w:t>0.40</w:t>
            </w:r>
          </w:p>
        </w:tc>
      </w:tr>
      <w:tr w14:paraId="19B5F07C">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1075" w:type="pct"/>
            <w:tcBorders>
              <w:bottom w:val="single" w:color="auto" w:sz="12" w:space="0"/>
            </w:tcBorders>
            <w:vAlign w:val="center"/>
          </w:tcPr>
          <w:p w14:paraId="16D90AE7">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sz w:val="18"/>
                <w:szCs w:val="18"/>
              </w:rPr>
            </w:pPr>
            <w:r>
              <w:rPr>
                <w:rFonts w:hint="eastAsia" w:ascii="Times New Roman" w:hAnsi="Times New Roman" w:cs="Times New Roman"/>
                <w:spacing w:val="-1"/>
                <w:sz w:val="18"/>
                <w:szCs w:val="18"/>
                <w:lang w:eastAsia="zh-CN"/>
              </w:rPr>
              <w:t>＞</w:t>
            </w:r>
            <w:r>
              <w:rPr>
                <w:rFonts w:hint="default" w:ascii="Times New Roman" w:hAnsi="Times New Roman" w:cs="Times New Roman"/>
                <w:spacing w:val="-1"/>
                <w:sz w:val="18"/>
                <w:szCs w:val="18"/>
              </w:rPr>
              <w:t>3.0～3.5</w:t>
            </w:r>
          </w:p>
        </w:tc>
        <w:tc>
          <w:tcPr>
            <w:tcW w:w="974" w:type="pct"/>
            <w:tcBorders>
              <w:bottom w:val="single" w:color="auto" w:sz="12" w:space="0"/>
            </w:tcBorders>
            <w:vAlign w:val="center"/>
          </w:tcPr>
          <w:p w14:paraId="18A3A8AF">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sz w:val="18"/>
                <w:szCs w:val="18"/>
              </w:rPr>
            </w:pPr>
            <w:r>
              <w:rPr>
                <w:rFonts w:hint="default" w:ascii="Times New Roman" w:hAnsi="Times New Roman" w:cs="Times New Roman"/>
                <w:spacing w:val="-6"/>
                <w:sz w:val="18"/>
                <w:szCs w:val="18"/>
              </w:rPr>
              <w:t>±0.30</w:t>
            </w:r>
          </w:p>
        </w:tc>
        <w:tc>
          <w:tcPr>
            <w:tcW w:w="985" w:type="pct"/>
            <w:tcBorders>
              <w:bottom w:val="single" w:color="auto" w:sz="12" w:space="0"/>
            </w:tcBorders>
            <w:vAlign w:val="center"/>
          </w:tcPr>
          <w:p w14:paraId="1A7F22BC">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sz w:val="18"/>
                <w:szCs w:val="18"/>
              </w:rPr>
            </w:pPr>
            <w:r>
              <w:rPr>
                <w:rFonts w:hint="default" w:ascii="Times New Roman" w:hAnsi="Times New Roman" w:cs="Times New Roman"/>
                <w:spacing w:val="-6"/>
                <w:sz w:val="18"/>
                <w:szCs w:val="18"/>
              </w:rPr>
              <w:t>±0.30</w:t>
            </w:r>
          </w:p>
        </w:tc>
        <w:tc>
          <w:tcPr>
            <w:tcW w:w="976" w:type="pct"/>
            <w:tcBorders>
              <w:bottom w:val="single" w:color="auto" w:sz="12" w:space="0"/>
            </w:tcBorders>
            <w:vAlign w:val="center"/>
          </w:tcPr>
          <w:p w14:paraId="3FBC2CB7">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sz w:val="18"/>
                <w:szCs w:val="18"/>
              </w:rPr>
            </w:pPr>
            <w:r>
              <w:rPr>
                <w:rFonts w:hint="default" w:ascii="Times New Roman" w:hAnsi="Times New Roman" w:cs="Times New Roman"/>
                <w:spacing w:val="-6"/>
                <w:sz w:val="18"/>
                <w:szCs w:val="18"/>
              </w:rPr>
              <w:t>±0.50</w:t>
            </w:r>
          </w:p>
        </w:tc>
        <w:tc>
          <w:tcPr>
            <w:tcW w:w="987" w:type="pct"/>
            <w:tcBorders>
              <w:bottom w:val="single" w:color="auto" w:sz="12" w:space="0"/>
            </w:tcBorders>
            <w:vAlign w:val="center"/>
          </w:tcPr>
          <w:p w14:paraId="7B4786DD">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sz w:val="18"/>
                <w:szCs w:val="18"/>
              </w:rPr>
            </w:pPr>
            <w:r>
              <w:rPr>
                <w:rFonts w:hint="default" w:ascii="Times New Roman" w:hAnsi="Times New Roman" w:cs="Times New Roman"/>
                <w:spacing w:val="-6"/>
                <w:sz w:val="18"/>
                <w:szCs w:val="18"/>
              </w:rPr>
              <w:t>±</w:t>
            </w:r>
            <w:r>
              <w:rPr>
                <w:rFonts w:hint="default" w:ascii="Times New Roman" w:hAnsi="Times New Roman" w:cs="Times New Roman"/>
                <w:spacing w:val="4"/>
                <w:sz w:val="18"/>
                <w:szCs w:val="18"/>
              </w:rPr>
              <w:t>0.60</w:t>
            </w:r>
          </w:p>
        </w:tc>
      </w:tr>
      <w:tr w14:paraId="5639D648">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5000" w:type="pct"/>
            <w:gridSpan w:val="5"/>
            <w:tcBorders>
              <w:top w:val="single" w:color="auto" w:sz="12" w:space="0"/>
            </w:tcBorders>
            <w:vAlign w:val="center"/>
          </w:tcPr>
          <w:p w14:paraId="28AC85E3">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firstLine="336" w:firstLineChars="200"/>
              <w:jc w:val="left"/>
              <w:textAlignment w:val="baseline"/>
              <w:rPr>
                <w:rFonts w:hint="default" w:ascii="Times New Roman" w:hAnsi="Times New Roman" w:cs="Times New Roman"/>
                <w:sz w:val="18"/>
                <w:szCs w:val="18"/>
              </w:rPr>
            </w:pPr>
            <w:r>
              <w:rPr>
                <w:rFonts w:hint="eastAsia" w:ascii="Times New Roman" w:hAnsi="Times New Roman" w:cs="Times New Roman"/>
                <w:spacing w:val="-6"/>
                <w:sz w:val="18"/>
                <w:szCs w:val="18"/>
                <w:vertAlign w:val="superscript"/>
                <w:lang w:val="en-US" w:eastAsia="zh-CN"/>
              </w:rPr>
              <w:t>a</w:t>
            </w:r>
            <w:r>
              <w:rPr>
                <w:rFonts w:hint="default" w:ascii="Times New Roman" w:hAnsi="Times New Roman" w:cs="Times New Roman"/>
                <w:spacing w:val="-14"/>
                <w:sz w:val="18"/>
                <w:szCs w:val="18"/>
              </w:rPr>
              <w:t>当要求允许偏差全为(十)或全为(一)单向偏差时，其值为表中相应数</w:t>
            </w:r>
            <w:r>
              <w:rPr>
                <w:rFonts w:hint="default" w:ascii="Times New Roman" w:hAnsi="Times New Roman" w:cs="Times New Roman"/>
                <w:spacing w:val="-15"/>
                <w:sz w:val="18"/>
                <w:szCs w:val="18"/>
              </w:rPr>
              <w:t>值的2倍</w:t>
            </w:r>
            <w:r>
              <w:rPr>
                <w:rFonts w:hint="default" w:ascii="Times New Roman" w:hAnsi="Times New Roman" w:cs="Times New Roman"/>
                <w:spacing w:val="-57"/>
                <w:sz w:val="18"/>
                <w:szCs w:val="18"/>
              </w:rPr>
              <w:t xml:space="preserve"> </w:t>
            </w:r>
            <w:r>
              <w:rPr>
                <w:rFonts w:hint="default" w:ascii="Times New Roman" w:hAnsi="Times New Roman" w:cs="Times New Roman"/>
                <w:spacing w:val="-15"/>
                <w:sz w:val="18"/>
                <w:szCs w:val="18"/>
              </w:rPr>
              <w:t>。</w:t>
            </w:r>
          </w:p>
        </w:tc>
      </w:tr>
    </w:tbl>
    <w:p w14:paraId="35D74CCE">
      <w:pPr>
        <w:pStyle w:val="9"/>
        <w:keepNext w:val="0"/>
        <w:keepLines w:val="0"/>
        <w:pageBreakBefore w:val="0"/>
        <w:widowControl w:val="0"/>
        <w:kinsoku/>
        <w:wordWrap/>
        <w:overflowPunct/>
        <w:topLinePunct w:val="0"/>
        <w:autoSpaceDE/>
        <w:autoSpaceDN/>
        <w:bidi w:val="0"/>
        <w:adjustRightInd/>
        <w:snapToGrid/>
        <w:spacing w:before="157" w:beforeLines="50"/>
        <w:jc w:val="right"/>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表</w:t>
      </w:r>
      <w:r>
        <w:rPr>
          <w:rFonts w:hint="eastAsia" w:ascii="Times New Roman" w:hAnsi="Times New Roman" w:cs="Times New Roman"/>
          <w:b w:val="0"/>
          <w:bCs/>
          <w:color w:val="000000" w:themeColor="text1"/>
          <w:highlight w:val="none"/>
          <w:lang w:val="en-US" w:eastAsia="zh-CN"/>
          <w14:textFill>
            <w14:solidFill>
              <w14:schemeClr w14:val="tx1"/>
            </w14:solidFill>
          </w14:textFill>
        </w:rPr>
        <w:t>11</w:t>
      </w:r>
      <w:r>
        <w:rPr>
          <w:rFonts w:hint="default" w:ascii="Times New Roman" w:hAnsi="Times New Roman" w:eastAsia="宋体" w:cs="Times New Roman"/>
          <w:b w:val="0"/>
          <w:bCs/>
          <w:color w:val="000000" w:themeColor="text1"/>
          <w:highlight w:val="none"/>
          <w:lang w:val="en-US" w:eastAsia="zh-CN"/>
          <w14:textFill>
            <w14:solidFill>
              <w14:schemeClr w14:val="tx1"/>
            </w14:solidFill>
          </w14:textFill>
        </w:rPr>
        <w:t xml:space="preserve"> </w:t>
      </w:r>
      <w:r>
        <w:rPr>
          <w:rFonts w:hint="eastAsia" w:ascii="Times New Roman" w:hAnsi="Times New Roman" w:eastAsia="宋体" w:cs="Times New Roman"/>
          <w:b w:val="0"/>
          <w:bCs/>
          <w:color w:val="000000" w:themeColor="text1"/>
          <w:highlight w:val="none"/>
          <w:lang w:val="en-US" w:eastAsia="zh-CN"/>
          <w14:textFill>
            <w14:solidFill>
              <w14:schemeClr w14:val="tx1"/>
            </w14:solidFill>
          </w14:textFill>
        </w:rPr>
        <w:t>A</w:t>
      </w:r>
      <w:r>
        <w:rPr>
          <w:rFonts w:hint="default" w:ascii="Times New Roman" w:hAnsi="Times New Roman" w:eastAsia="宋体" w:cs="Times New Roman"/>
          <w:b w:val="0"/>
          <w:bCs/>
          <w:color w:val="000000" w:themeColor="text1"/>
          <w:highlight w:val="none"/>
          <w14:textFill>
            <w14:solidFill>
              <w14:schemeClr w14:val="tx1"/>
            </w14:solidFill>
          </w14:textFill>
        </w:rPr>
        <w:t>STMB888-2019、ASTMB103-2019宽度允许偏差</w:t>
      </w:r>
      <w:r>
        <w:rPr>
          <w:rFonts w:hint="default" w:ascii="Times New Roman" w:hAnsi="Times New Roman" w:eastAsia="宋体" w:cs="Times New Roman"/>
          <w:b w:val="0"/>
          <w:bCs/>
          <w:color w:val="000000" w:themeColor="text1"/>
          <w:highlight w:val="none"/>
          <w:lang w:val="en-US" w:eastAsia="zh-CN"/>
          <w14:textFill>
            <w14:solidFill>
              <w14:schemeClr w14:val="tx1"/>
            </w14:solidFill>
          </w14:textFill>
        </w:rPr>
        <w:t xml:space="preserve">           </w:t>
      </w:r>
      <w:r>
        <w:rPr>
          <w:rFonts w:hint="default" w:ascii="Times New Roman" w:hAnsi="Times New Roman" w:eastAsia="宋体" w:cs="Times New Roman"/>
          <w:b w:val="0"/>
          <w:bCs/>
          <w:color w:val="000000" w:themeColor="text1"/>
          <w:highlight w:val="none"/>
          <w14:textFill>
            <w14:solidFill>
              <w14:schemeClr w14:val="tx1"/>
            </w14:solidFill>
          </w14:textFill>
        </w:rPr>
        <w:t>单位为毫米</w:t>
      </w:r>
    </w:p>
    <w:tbl>
      <w:tblPr>
        <w:tblStyle w:val="20"/>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3"/>
        <w:gridCol w:w="3377"/>
        <w:gridCol w:w="3516"/>
      </w:tblGrid>
      <w:tr w14:paraId="1410A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jc w:val="center"/>
        </w:trPr>
        <w:tc>
          <w:tcPr>
            <w:tcW w:w="1288" w:type="pct"/>
            <w:vMerge w:val="restart"/>
            <w:vAlign w:val="center"/>
          </w:tcPr>
          <w:p w14:paraId="7C679A18">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宽度</w:t>
            </w:r>
          </w:p>
        </w:tc>
        <w:tc>
          <w:tcPr>
            <w:tcW w:w="3711" w:type="pct"/>
            <w:gridSpan w:val="2"/>
            <w:vAlign w:val="center"/>
          </w:tcPr>
          <w:p w14:paraId="715EFE9C">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宽度允许偏差/±</w:t>
            </w:r>
          </w:p>
        </w:tc>
      </w:tr>
      <w:tr w14:paraId="1BABC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jc w:val="center"/>
        </w:trPr>
        <w:tc>
          <w:tcPr>
            <w:tcW w:w="1288" w:type="pct"/>
            <w:vMerge w:val="continue"/>
            <w:vAlign w:val="center"/>
          </w:tcPr>
          <w:p w14:paraId="3F0AA464">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1818" w:type="pct"/>
            <w:vAlign w:val="center"/>
          </w:tcPr>
          <w:p w14:paraId="56043DA5">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0.10-0.8</w:t>
            </w:r>
          </w:p>
        </w:tc>
        <w:tc>
          <w:tcPr>
            <w:tcW w:w="1892" w:type="pct"/>
            <w:vAlign w:val="center"/>
          </w:tcPr>
          <w:p w14:paraId="284B578A">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0.8-3.0</w:t>
            </w:r>
          </w:p>
        </w:tc>
      </w:tr>
      <w:tr w14:paraId="37366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 w:hRule="atLeast"/>
          <w:jc w:val="center"/>
        </w:trPr>
        <w:tc>
          <w:tcPr>
            <w:tcW w:w="1288" w:type="pct"/>
            <w:tcBorders>
              <w:bottom w:val="single" w:color="auto" w:sz="4" w:space="0"/>
            </w:tcBorders>
            <w:vAlign w:val="center"/>
          </w:tcPr>
          <w:p w14:paraId="75E9E7F5">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≤50.8</w:t>
            </w:r>
          </w:p>
        </w:tc>
        <w:tc>
          <w:tcPr>
            <w:tcW w:w="1818" w:type="pct"/>
            <w:tcBorders>
              <w:bottom w:val="single" w:color="auto" w:sz="4" w:space="0"/>
            </w:tcBorders>
            <w:vAlign w:val="center"/>
          </w:tcPr>
          <w:p w14:paraId="176C52CF">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0.13</w:t>
            </w:r>
          </w:p>
        </w:tc>
        <w:tc>
          <w:tcPr>
            <w:tcW w:w="1892" w:type="pct"/>
            <w:tcBorders>
              <w:bottom w:val="single" w:color="auto" w:sz="4" w:space="0"/>
            </w:tcBorders>
            <w:vAlign w:val="center"/>
          </w:tcPr>
          <w:p w14:paraId="1C09A9CD">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0.25</w:t>
            </w:r>
          </w:p>
        </w:tc>
      </w:tr>
      <w:tr w14:paraId="69254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88" w:type="pct"/>
            <w:vAlign w:val="center"/>
          </w:tcPr>
          <w:p w14:paraId="5E8D3396">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＞50.8-200</w:t>
            </w:r>
          </w:p>
        </w:tc>
        <w:tc>
          <w:tcPr>
            <w:tcW w:w="1818" w:type="pct"/>
            <w:vAlign w:val="center"/>
          </w:tcPr>
          <w:p w14:paraId="0D9A793D">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0.20</w:t>
            </w:r>
          </w:p>
        </w:tc>
        <w:tc>
          <w:tcPr>
            <w:tcW w:w="1892" w:type="pct"/>
            <w:vAlign w:val="center"/>
          </w:tcPr>
          <w:p w14:paraId="1DCF57BF">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0.33</w:t>
            </w:r>
          </w:p>
        </w:tc>
      </w:tr>
      <w:tr w14:paraId="534D1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88" w:type="pct"/>
            <w:vAlign w:val="center"/>
          </w:tcPr>
          <w:p w14:paraId="695C4908">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＞200-600</w:t>
            </w:r>
          </w:p>
        </w:tc>
        <w:tc>
          <w:tcPr>
            <w:tcW w:w="1818" w:type="pct"/>
            <w:vAlign w:val="center"/>
          </w:tcPr>
          <w:p w14:paraId="01DFA188">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0.40</w:t>
            </w:r>
          </w:p>
        </w:tc>
        <w:tc>
          <w:tcPr>
            <w:tcW w:w="1892" w:type="pct"/>
            <w:vAlign w:val="center"/>
          </w:tcPr>
          <w:p w14:paraId="750329BE">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0.40</w:t>
            </w:r>
          </w:p>
        </w:tc>
      </w:tr>
    </w:tbl>
    <w:p w14:paraId="64D10C7C">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20" w:firstLineChars="200"/>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（3）侧边弯曲度的对比情况见表</w:t>
      </w:r>
      <w:r>
        <w:rPr>
          <w:rFonts w:hint="eastAsia" w:cs="Times New Roman"/>
          <w:b w:val="0"/>
          <w:bCs/>
          <w:color w:val="000000" w:themeColor="text1"/>
          <w:highlight w:val="none"/>
          <w:lang w:val="en-US" w:eastAsia="zh-CN"/>
          <w14:textFill>
            <w14:solidFill>
              <w14:schemeClr w14:val="tx1"/>
            </w14:solidFill>
          </w14:textFill>
        </w:rPr>
        <w:t>12</w:t>
      </w:r>
      <w:r>
        <w:rPr>
          <w:rFonts w:hint="default" w:ascii="Times New Roman" w:hAnsi="Times New Roman" w:eastAsia="宋体" w:cs="Times New Roman"/>
          <w:b w:val="0"/>
          <w:bCs/>
          <w:color w:val="000000" w:themeColor="text1"/>
          <w:highlight w:val="none"/>
          <w14:textFill>
            <w14:solidFill>
              <w14:schemeClr w14:val="tx1"/>
            </w14:solidFill>
          </w14:textFill>
        </w:rPr>
        <w:t>-表</w:t>
      </w:r>
      <w:r>
        <w:rPr>
          <w:rFonts w:hint="eastAsia" w:cs="Times New Roman"/>
          <w:b w:val="0"/>
          <w:bCs/>
          <w:color w:val="000000" w:themeColor="text1"/>
          <w:highlight w:val="none"/>
          <w:lang w:val="en-US" w:eastAsia="zh-CN"/>
          <w14:textFill>
            <w14:solidFill>
              <w14:schemeClr w14:val="tx1"/>
            </w14:solidFill>
          </w14:textFill>
        </w:rPr>
        <w:t>13</w:t>
      </w:r>
      <w:r>
        <w:rPr>
          <w:rFonts w:hint="default" w:ascii="Times New Roman" w:hAnsi="Times New Roman" w:eastAsia="宋体" w:cs="Times New Roman"/>
          <w:b w:val="0"/>
          <w:bCs/>
          <w:color w:val="000000" w:themeColor="text1"/>
          <w:highlight w:val="none"/>
          <w14:textFill>
            <w14:solidFill>
              <w14:schemeClr w14:val="tx1"/>
            </w14:solidFill>
          </w14:textFill>
        </w:rPr>
        <w:t>。</w:t>
      </w:r>
    </w:p>
    <w:p w14:paraId="4184B755">
      <w:pPr>
        <w:pStyle w:val="9"/>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 xml:space="preserve">表 </w:t>
      </w:r>
      <w:r>
        <w:rPr>
          <w:rFonts w:hint="eastAsia" w:ascii="Times New Roman" w:hAnsi="Times New Roman" w:cs="Times New Roman"/>
          <w:b w:val="0"/>
          <w:bCs/>
          <w:color w:val="000000" w:themeColor="text1"/>
          <w:highlight w:val="none"/>
          <w:lang w:val="en-US" w:eastAsia="zh-CN"/>
          <w14:textFill>
            <w14:solidFill>
              <w14:schemeClr w14:val="tx1"/>
            </w14:solidFill>
          </w14:textFill>
        </w:rPr>
        <w:t>12</w:t>
      </w:r>
      <w:r>
        <w:rPr>
          <w:rFonts w:hint="default" w:ascii="Times New Roman" w:hAnsi="Times New Roman" w:eastAsia="宋体" w:cs="Times New Roman"/>
          <w:b w:val="0"/>
          <w:bCs/>
          <w:color w:val="000000" w:themeColor="text1"/>
          <w:highlight w:val="none"/>
          <w:lang w:val="en-US" w:eastAsia="zh-CN"/>
          <w14:textFill>
            <w14:solidFill>
              <w14:schemeClr w14:val="tx1"/>
            </w14:solidFill>
          </w14:textFill>
        </w:rPr>
        <w:t xml:space="preserve"> </w:t>
      </w:r>
      <w:r>
        <w:rPr>
          <w:rFonts w:hint="default" w:ascii="Times New Roman" w:hAnsi="Times New Roman" w:eastAsia="宋体" w:cs="Times New Roman"/>
          <w:b w:val="0"/>
          <w:bCs/>
          <w:color w:val="000000" w:themeColor="text1"/>
          <w:highlight w:val="none"/>
          <w14:textFill>
            <w14:solidFill>
              <w14:schemeClr w14:val="tx1"/>
            </w14:solidFill>
          </w14:textFill>
        </w:rPr>
        <w:t>本标准侧边弯曲度</w:t>
      </w:r>
    </w:p>
    <w:tbl>
      <w:tblPr>
        <w:tblStyle w:val="20"/>
        <w:tblW w:w="49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305"/>
        <w:gridCol w:w="3438"/>
        <w:gridCol w:w="3543"/>
      </w:tblGrid>
      <w:tr w14:paraId="159D9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1" w:type="pct"/>
            <w:vMerge w:val="restart"/>
            <w:vAlign w:val="center"/>
          </w:tcPr>
          <w:p w14:paraId="5438E1E7">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宽度/mm</w:t>
            </w:r>
          </w:p>
        </w:tc>
        <w:tc>
          <w:tcPr>
            <w:tcW w:w="3758" w:type="pct"/>
            <w:gridSpan w:val="2"/>
            <w:vAlign w:val="center"/>
          </w:tcPr>
          <w:p w14:paraId="2C128A9F">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侧边弯曲度/（mm/m），不大于</w:t>
            </w:r>
          </w:p>
        </w:tc>
      </w:tr>
      <w:tr w14:paraId="511EE3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7" w:hRule="atLeast"/>
          <w:jc w:val="center"/>
        </w:trPr>
        <w:tc>
          <w:tcPr>
            <w:tcW w:w="1241" w:type="pct"/>
            <w:vMerge w:val="continue"/>
            <w:vAlign w:val="center"/>
          </w:tcPr>
          <w:p w14:paraId="739AE5A7">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1851" w:type="pct"/>
            <w:vAlign w:val="center"/>
          </w:tcPr>
          <w:p w14:paraId="0CE7734F">
            <w:pPr>
              <w:widowControl/>
              <w:tabs>
                <w:tab w:val="center" w:pos="4201"/>
                <w:tab w:val="right" w:leader="dot" w:pos="9298"/>
              </w:tabs>
              <w:autoSpaceDE w:val="0"/>
              <w:autoSpaceDN w:val="0"/>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厚度≤0.50</w:t>
            </w:r>
          </w:p>
        </w:tc>
        <w:tc>
          <w:tcPr>
            <w:tcW w:w="1907" w:type="pct"/>
            <w:vAlign w:val="center"/>
          </w:tcPr>
          <w:p w14:paraId="04C0AD5A">
            <w:pPr>
              <w:widowControl/>
              <w:tabs>
                <w:tab w:val="center" w:pos="4201"/>
                <w:tab w:val="right" w:leader="dot" w:pos="9298"/>
              </w:tabs>
              <w:autoSpaceDE w:val="0"/>
              <w:autoSpaceDN w:val="0"/>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厚度＞0.50</w:t>
            </w:r>
          </w:p>
        </w:tc>
      </w:tr>
      <w:tr w14:paraId="0B0C90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1" w:type="pct"/>
            <w:vAlign w:val="center"/>
          </w:tcPr>
          <w:p w14:paraId="3B8FE8F9">
            <w:pPr>
              <w:widowControl/>
              <w:tabs>
                <w:tab w:val="center" w:pos="4201"/>
                <w:tab w:val="right" w:leader="dot" w:pos="9298"/>
              </w:tabs>
              <w:autoSpaceDE w:val="0"/>
              <w:autoSpaceDN w:val="0"/>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10-50</w:t>
            </w:r>
          </w:p>
        </w:tc>
        <w:tc>
          <w:tcPr>
            <w:tcW w:w="1851" w:type="pct"/>
            <w:vAlign w:val="center"/>
          </w:tcPr>
          <w:p w14:paraId="6B8F3A5F">
            <w:pPr>
              <w:widowControl/>
              <w:tabs>
                <w:tab w:val="center" w:pos="4201"/>
                <w:tab w:val="right" w:leader="dot" w:pos="9298"/>
              </w:tabs>
              <w:autoSpaceDE w:val="0"/>
              <w:autoSpaceDN w:val="0"/>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2.5</w:t>
            </w:r>
          </w:p>
        </w:tc>
        <w:tc>
          <w:tcPr>
            <w:tcW w:w="1907" w:type="pct"/>
            <w:vAlign w:val="center"/>
          </w:tcPr>
          <w:p w14:paraId="7A65F450">
            <w:pPr>
              <w:widowControl/>
              <w:tabs>
                <w:tab w:val="center" w:pos="4201"/>
                <w:tab w:val="right" w:leader="dot" w:pos="9298"/>
              </w:tabs>
              <w:autoSpaceDE w:val="0"/>
              <w:autoSpaceDN w:val="0"/>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3.0</w:t>
            </w:r>
          </w:p>
        </w:tc>
      </w:tr>
      <w:tr w14:paraId="20AEF8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1" w:type="pct"/>
            <w:vAlign w:val="center"/>
          </w:tcPr>
          <w:p w14:paraId="55545109">
            <w:pPr>
              <w:widowControl/>
              <w:tabs>
                <w:tab w:val="center" w:pos="4201"/>
                <w:tab w:val="right" w:leader="dot" w:pos="9298"/>
              </w:tabs>
              <w:autoSpaceDE w:val="0"/>
              <w:autoSpaceDN w:val="0"/>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＞50-100</w:t>
            </w:r>
          </w:p>
        </w:tc>
        <w:tc>
          <w:tcPr>
            <w:tcW w:w="1851" w:type="pct"/>
            <w:vAlign w:val="center"/>
          </w:tcPr>
          <w:p w14:paraId="41C0BDAE">
            <w:pPr>
              <w:widowControl/>
              <w:tabs>
                <w:tab w:val="center" w:pos="4201"/>
                <w:tab w:val="right" w:leader="dot" w:pos="9298"/>
              </w:tabs>
              <w:autoSpaceDE w:val="0"/>
              <w:autoSpaceDN w:val="0"/>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2.0</w:t>
            </w:r>
          </w:p>
        </w:tc>
        <w:tc>
          <w:tcPr>
            <w:tcW w:w="1907" w:type="pct"/>
            <w:vAlign w:val="center"/>
          </w:tcPr>
          <w:p w14:paraId="27BF8749">
            <w:pPr>
              <w:widowControl/>
              <w:tabs>
                <w:tab w:val="center" w:pos="4201"/>
                <w:tab w:val="right" w:leader="dot" w:pos="9298"/>
              </w:tabs>
              <w:autoSpaceDE w:val="0"/>
              <w:autoSpaceDN w:val="0"/>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2.0</w:t>
            </w:r>
          </w:p>
        </w:tc>
      </w:tr>
      <w:tr w14:paraId="2EF061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1" w:type="pct"/>
            <w:vAlign w:val="center"/>
          </w:tcPr>
          <w:p w14:paraId="4108D4AA">
            <w:pPr>
              <w:widowControl/>
              <w:tabs>
                <w:tab w:val="center" w:pos="4201"/>
                <w:tab w:val="right" w:leader="dot" w:pos="9298"/>
              </w:tabs>
              <w:autoSpaceDE w:val="0"/>
              <w:autoSpaceDN w:val="0"/>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＞100-200</w:t>
            </w:r>
          </w:p>
        </w:tc>
        <w:tc>
          <w:tcPr>
            <w:tcW w:w="1851" w:type="pct"/>
            <w:vAlign w:val="center"/>
          </w:tcPr>
          <w:p w14:paraId="4A50751E">
            <w:pPr>
              <w:widowControl/>
              <w:tabs>
                <w:tab w:val="center" w:pos="4201"/>
                <w:tab w:val="right" w:leader="dot" w:pos="9298"/>
              </w:tabs>
              <w:autoSpaceDE w:val="0"/>
              <w:autoSpaceDN w:val="0"/>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1.5</w:t>
            </w:r>
          </w:p>
        </w:tc>
        <w:tc>
          <w:tcPr>
            <w:tcW w:w="1907" w:type="pct"/>
            <w:vAlign w:val="center"/>
          </w:tcPr>
          <w:p w14:paraId="37EEA315">
            <w:pPr>
              <w:widowControl/>
              <w:tabs>
                <w:tab w:val="center" w:pos="4201"/>
                <w:tab w:val="right" w:leader="dot" w:pos="9298"/>
              </w:tabs>
              <w:autoSpaceDE w:val="0"/>
              <w:autoSpaceDN w:val="0"/>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1.5</w:t>
            </w:r>
          </w:p>
        </w:tc>
      </w:tr>
      <w:tr w14:paraId="2B5756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1" w:type="pct"/>
            <w:vAlign w:val="center"/>
          </w:tcPr>
          <w:p w14:paraId="53523F7C">
            <w:pPr>
              <w:widowControl/>
              <w:tabs>
                <w:tab w:val="center" w:pos="4201"/>
                <w:tab w:val="right" w:leader="dot" w:pos="9298"/>
              </w:tabs>
              <w:autoSpaceDE w:val="0"/>
              <w:autoSpaceDN w:val="0"/>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＞200-620</w:t>
            </w:r>
          </w:p>
        </w:tc>
        <w:tc>
          <w:tcPr>
            <w:tcW w:w="1851" w:type="pct"/>
            <w:vAlign w:val="center"/>
          </w:tcPr>
          <w:p w14:paraId="2A86A6A3">
            <w:pPr>
              <w:widowControl/>
              <w:tabs>
                <w:tab w:val="center" w:pos="4201"/>
                <w:tab w:val="right" w:leader="dot" w:pos="9298"/>
              </w:tabs>
              <w:autoSpaceDE w:val="0"/>
              <w:autoSpaceDN w:val="0"/>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1.0</w:t>
            </w:r>
          </w:p>
        </w:tc>
        <w:tc>
          <w:tcPr>
            <w:tcW w:w="1907" w:type="pct"/>
            <w:vAlign w:val="center"/>
          </w:tcPr>
          <w:p w14:paraId="13918442">
            <w:pPr>
              <w:widowControl/>
              <w:tabs>
                <w:tab w:val="center" w:pos="4201"/>
                <w:tab w:val="right" w:leader="dot" w:pos="9298"/>
              </w:tabs>
              <w:autoSpaceDE w:val="0"/>
              <w:autoSpaceDN w:val="0"/>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1.5</w:t>
            </w:r>
          </w:p>
        </w:tc>
      </w:tr>
    </w:tbl>
    <w:p w14:paraId="20610705">
      <w:pPr>
        <w:pStyle w:val="9"/>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表</w:t>
      </w:r>
      <w:r>
        <w:rPr>
          <w:rFonts w:hint="eastAsia" w:ascii="Times New Roman" w:hAnsi="Times New Roman" w:cs="Times New Roman"/>
          <w:b w:val="0"/>
          <w:bCs/>
          <w:color w:val="000000" w:themeColor="text1"/>
          <w:highlight w:val="none"/>
          <w:lang w:val="en-US" w:eastAsia="zh-CN"/>
          <w14:textFill>
            <w14:solidFill>
              <w14:schemeClr w14:val="tx1"/>
            </w14:solidFill>
          </w14:textFill>
        </w:rPr>
        <w:t xml:space="preserve">13 </w:t>
      </w:r>
      <w:r>
        <w:rPr>
          <w:rFonts w:hint="eastAsia" w:ascii="Times New Roman" w:hAnsi="Times New Roman" w:eastAsia="宋体" w:cs="Times New Roman"/>
          <w:b w:val="0"/>
          <w:bCs/>
          <w:color w:val="000000" w:themeColor="text1"/>
          <w:highlight w:val="none"/>
          <w:lang w:val="en-US" w:eastAsia="zh-CN"/>
          <w14:textFill>
            <w14:solidFill>
              <w14:schemeClr w14:val="tx1"/>
            </w14:solidFill>
          </w14:textFill>
        </w:rPr>
        <w:t xml:space="preserve"> A</w:t>
      </w:r>
      <w:r>
        <w:rPr>
          <w:rFonts w:hint="default" w:ascii="Times New Roman" w:hAnsi="Times New Roman" w:eastAsia="宋体" w:cs="Times New Roman"/>
          <w:b w:val="0"/>
          <w:bCs/>
          <w:color w:val="000000" w:themeColor="text1"/>
          <w:highlight w:val="none"/>
          <w14:textFill>
            <w14:solidFill>
              <w14:schemeClr w14:val="tx1"/>
            </w14:solidFill>
          </w14:textFill>
        </w:rPr>
        <w:t>STMB888-2019、ASTMB103-2019的侧边弯曲度</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4"/>
        <w:gridCol w:w="4644"/>
      </w:tblGrid>
      <w:tr w14:paraId="04436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vAlign w:val="center"/>
          </w:tcPr>
          <w:p w14:paraId="19DA6891">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宽度/mm</w:t>
            </w:r>
          </w:p>
        </w:tc>
        <w:tc>
          <w:tcPr>
            <w:tcW w:w="2500" w:type="pct"/>
            <w:vAlign w:val="center"/>
          </w:tcPr>
          <w:p w14:paraId="36884D73">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侧边弯曲度/mm/1800mm</w:t>
            </w:r>
          </w:p>
        </w:tc>
      </w:tr>
      <w:tr w14:paraId="7DA40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vAlign w:val="center"/>
          </w:tcPr>
          <w:p w14:paraId="08782C60">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≤25</w:t>
            </w:r>
          </w:p>
        </w:tc>
        <w:tc>
          <w:tcPr>
            <w:tcW w:w="2500" w:type="pct"/>
            <w:vAlign w:val="center"/>
          </w:tcPr>
          <w:p w14:paraId="521DB8E3">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≤13</w:t>
            </w:r>
          </w:p>
        </w:tc>
      </w:tr>
      <w:tr w14:paraId="726E3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vAlign w:val="center"/>
          </w:tcPr>
          <w:p w14:paraId="631805D4">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＞25-100</w:t>
            </w:r>
          </w:p>
        </w:tc>
        <w:tc>
          <w:tcPr>
            <w:tcW w:w="2500" w:type="pct"/>
            <w:vAlign w:val="center"/>
          </w:tcPr>
          <w:p w14:paraId="43DEFF6A">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≤9.5</w:t>
            </w:r>
          </w:p>
        </w:tc>
      </w:tr>
      <w:tr w14:paraId="2196E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vAlign w:val="center"/>
          </w:tcPr>
          <w:p w14:paraId="0CE762EE">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＞100</w:t>
            </w:r>
          </w:p>
        </w:tc>
        <w:tc>
          <w:tcPr>
            <w:tcW w:w="2500" w:type="pct"/>
            <w:vAlign w:val="center"/>
          </w:tcPr>
          <w:p w14:paraId="7728413D">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≤9.5</w:t>
            </w:r>
          </w:p>
        </w:tc>
      </w:tr>
    </w:tbl>
    <w:p w14:paraId="3FA6A3E5">
      <w:pPr>
        <w:pStyle w:val="2"/>
        <w:keepNext w:val="0"/>
        <w:keepLines w:val="0"/>
        <w:pageBreakBefore w:val="0"/>
        <w:widowControl w:val="0"/>
        <w:numPr>
          <w:ilvl w:val="0"/>
          <w:numId w:val="4"/>
        </w:numPr>
        <w:kinsoku/>
        <w:wordWrap/>
        <w:overflowPunct/>
        <w:topLinePunct w:val="0"/>
        <w:autoSpaceDE/>
        <w:autoSpaceDN/>
        <w:bidi w:val="0"/>
        <w:adjustRightInd/>
        <w:snapToGrid/>
        <w:spacing w:after="0" w:line="360" w:lineRule="auto"/>
        <w:ind w:left="0" w:leftChars="0" w:firstLine="420" w:firstLineChars="200"/>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板材的长度及其允许偏差应符合表</w:t>
      </w:r>
      <w:r>
        <w:rPr>
          <w:rFonts w:hint="eastAsia" w:cs="Times New Roman"/>
          <w:b w:val="0"/>
          <w:bCs/>
          <w:color w:val="000000" w:themeColor="text1"/>
          <w:highlight w:val="none"/>
          <w:lang w:val="en-US" w:eastAsia="zh-CN"/>
          <w14:textFill>
            <w14:solidFill>
              <w14:schemeClr w14:val="tx1"/>
            </w14:solidFill>
          </w14:textFill>
        </w:rPr>
        <w:t>14</w:t>
      </w:r>
      <w:r>
        <w:rPr>
          <w:rFonts w:hint="default" w:ascii="Times New Roman" w:hAnsi="Times New Roman" w:eastAsia="宋体" w:cs="Times New Roman"/>
          <w:b w:val="0"/>
          <w:bCs/>
          <w:color w:val="000000" w:themeColor="text1"/>
          <w:highlight w:val="none"/>
          <w14:textFill>
            <w14:solidFill>
              <w14:schemeClr w14:val="tx1"/>
            </w14:solidFill>
          </w14:textFill>
        </w:rPr>
        <w:t>的规定。</w:t>
      </w:r>
    </w:p>
    <w:p w14:paraId="17FC38AC">
      <w:pPr>
        <w:keepNext w:val="0"/>
        <w:keepLines w:val="0"/>
        <w:pageBreakBefore w:val="0"/>
        <w:widowControl w:val="0"/>
        <w:kinsoku/>
        <w:wordWrap/>
        <w:overflowPunct/>
        <w:topLinePunct w:val="0"/>
        <w:autoSpaceDE/>
        <w:autoSpaceDN/>
        <w:bidi w:val="0"/>
        <w:adjustRightInd/>
        <w:snapToGrid/>
        <w:spacing w:before="156" w:beforeLines="50" w:line="312" w:lineRule="auto"/>
        <w:jc w:val="center"/>
        <w:textAlignment w:val="auto"/>
        <w:rPr>
          <w:rFonts w:ascii="Times New Roman" w:hAnsi="Times New Roman" w:eastAsia="黑体" w:cs="Times New Roman"/>
          <w:snapToGrid/>
          <w:color w:val="000000"/>
          <w:kern w:val="0"/>
          <w:szCs w:val="21"/>
          <w:lang w:eastAsia="zh-CN"/>
        </w:rPr>
      </w:pPr>
      <w:r>
        <w:rPr>
          <w:rFonts w:ascii="Times New Roman" w:hAnsi="Times New Roman" w:eastAsia="黑体" w:cs="Times New Roman"/>
          <w:snapToGrid/>
          <w:color w:val="000000"/>
          <w:kern w:val="0"/>
          <w:szCs w:val="21"/>
          <w:lang w:eastAsia="zh-CN"/>
        </w:rPr>
        <w:t>表</w:t>
      </w:r>
      <w:r>
        <w:rPr>
          <w:rFonts w:hint="eastAsia" w:ascii="Times New Roman" w:hAnsi="Times New Roman" w:eastAsia="黑体" w:cs="Times New Roman"/>
          <w:snapToGrid/>
          <w:color w:val="000000"/>
          <w:kern w:val="0"/>
          <w:szCs w:val="21"/>
          <w:lang w:val="en-US" w:eastAsia="zh-CN"/>
        </w:rPr>
        <w:t>14</w:t>
      </w:r>
      <w:r>
        <w:rPr>
          <w:rFonts w:ascii="Times New Roman" w:hAnsi="Times New Roman" w:eastAsia="黑体" w:cs="Times New Roman"/>
          <w:snapToGrid/>
          <w:color w:val="000000"/>
          <w:kern w:val="0"/>
          <w:szCs w:val="21"/>
          <w:lang w:eastAsia="zh-CN"/>
        </w:rPr>
        <w:t xml:space="preserve"> 长度及其允许偏差</w:t>
      </w:r>
    </w:p>
    <w:p w14:paraId="722E6719">
      <w:pPr>
        <w:spacing w:before="20"/>
        <w:jc w:val="right"/>
        <w:rPr>
          <w:rFonts w:hint="eastAsia" w:ascii="宋体" w:hAnsi="宋体" w:eastAsia="宋体" w:cs="宋体"/>
          <w:snapToGrid/>
          <w:color w:val="000000"/>
          <w:kern w:val="0"/>
          <w:szCs w:val="21"/>
          <w:lang w:eastAsia="zh-CN"/>
        </w:rPr>
      </w:pPr>
      <w:r>
        <w:rPr>
          <w:rFonts w:hint="eastAsia" w:ascii="宋体" w:hAnsi="宋体" w:eastAsia="宋体" w:cs="宋体"/>
          <w:snapToGrid/>
          <w:color w:val="000000"/>
          <w:kern w:val="0"/>
          <w:szCs w:val="21"/>
          <w:lang w:eastAsia="zh-CN"/>
        </w:rPr>
        <w:t>单位：毫米</w:t>
      </w:r>
    </w:p>
    <w:tbl>
      <w:tblPr>
        <w:tblStyle w:val="21"/>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093"/>
        <w:gridCol w:w="3093"/>
        <w:gridCol w:w="3102"/>
      </w:tblGrid>
      <w:tr w14:paraId="7E7DF6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665" w:type="pct"/>
            <w:vMerge w:val="restart"/>
            <w:vAlign w:val="center"/>
          </w:tcPr>
          <w:p w14:paraId="5E7F0639">
            <w:pPr>
              <w:widowControl w:val="0"/>
              <w:spacing w:before="19"/>
              <w:jc w:val="center"/>
              <w:rPr>
                <w:rFonts w:hint="default" w:ascii="Times New Roman" w:hAnsi="Times New Roman" w:eastAsia="宋体" w:cs="Times New Roman"/>
                <w:sz w:val="18"/>
                <w:szCs w:val="18"/>
                <w:vertAlign w:val="baseline"/>
              </w:rPr>
            </w:pPr>
            <w:r>
              <w:rPr>
                <w:rFonts w:hint="default" w:ascii="Times New Roman" w:hAnsi="Times New Roman" w:eastAsia="宋体" w:cs="Times New Roman"/>
                <w:spacing w:val="11"/>
                <w:sz w:val="18"/>
                <w:szCs w:val="18"/>
              </w:rPr>
              <w:t>厚度</w:t>
            </w:r>
          </w:p>
        </w:tc>
        <w:tc>
          <w:tcPr>
            <w:tcW w:w="3334" w:type="pct"/>
            <w:gridSpan w:val="2"/>
            <w:vAlign w:val="center"/>
          </w:tcPr>
          <w:p w14:paraId="28C7CBAB">
            <w:pPr>
              <w:widowControl w:val="0"/>
              <w:spacing w:before="19"/>
              <w:jc w:val="center"/>
              <w:rPr>
                <w:rFonts w:hint="default" w:ascii="Times New Roman" w:hAnsi="Times New Roman" w:eastAsia="宋体" w:cs="Times New Roman"/>
                <w:sz w:val="18"/>
                <w:szCs w:val="18"/>
                <w:vertAlign w:val="baseline"/>
              </w:rPr>
            </w:pPr>
            <w:r>
              <w:rPr>
                <w:rFonts w:hint="default" w:ascii="Times New Roman" w:hAnsi="Times New Roman" w:eastAsia="宋体" w:cs="Times New Roman"/>
                <w:spacing w:val="11"/>
                <w:sz w:val="18"/>
                <w:szCs w:val="18"/>
              </w:rPr>
              <w:t>长度</w:t>
            </w:r>
          </w:p>
        </w:tc>
      </w:tr>
      <w:tr w14:paraId="00A5EC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665" w:type="pct"/>
            <w:vMerge w:val="continue"/>
            <w:vAlign w:val="center"/>
          </w:tcPr>
          <w:p w14:paraId="066154FC">
            <w:pPr>
              <w:widowControl w:val="0"/>
              <w:spacing w:before="19"/>
              <w:jc w:val="center"/>
              <w:rPr>
                <w:rFonts w:hint="default" w:ascii="Times New Roman" w:hAnsi="Times New Roman" w:eastAsia="宋体" w:cs="Times New Roman"/>
                <w:sz w:val="18"/>
                <w:szCs w:val="18"/>
                <w:vertAlign w:val="baseline"/>
              </w:rPr>
            </w:pPr>
          </w:p>
        </w:tc>
        <w:tc>
          <w:tcPr>
            <w:tcW w:w="1665" w:type="pct"/>
            <w:vAlign w:val="center"/>
          </w:tcPr>
          <w:p w14:paraId="284161CB">
            <w:pPr>
              <w:widowControl w:val="0"/>
              <w:spacing w:before="19"/>
              <w:jc w:val="center"/>
              <w:rPr>
                <w:rFonts w:hint="default" w:ascii="Times New Roman" w:hAnsi="Times New Roman" w:eastAsia="宋体" w:cs="Times New Roman"/>
                <w:sz w:val="18"/>
                <w:szCs w:val="18"/>
                <w:vertAlign w:val="baseline"/>
              </w:rPr>
            </w:pPr>
            <w:r>
              <w:rPr>
                <w:rFonts w:hint="eastAsia" w:ascii="宋体" w:hAnsi="宋体" w:eastAsia="宋体" w:cs="宋体"/>
                <w:spacing w:val="-3"/>
                <w:sz w:val="18"/>
                <w:szCs w:val="18"/>
                <w:lang w:eastAsia="zh-CN"/>
              </w:rPr>
              <w:t>≤</w:t>
            </w:r>
            <w:r>
              <w:rPr>
                <w:rFonts w:hint="default" w:ascii="Times New Roman" w:hAnsi="Times New Roman" w:eastAsia="宋体" w:cs="Times New Roman"/>
                <w:spacing w:val="-3"/>
                <w:sz w:val="18"/>
                <w:szCs w:val="18"/>
              </w:rPr>
              <w:t>2000</w:t>
            </w:r>
          </w:p>
        </w:tc>
        <w:tc>
          <w:tcPr>
            <w:tcW w:w="1668" w:type="pct"/>
            <w:vAlign w:val="center"/>
          </w:tcPr>
          <w:p w14:paraId="1089F077">
            <w:pPr>
              <w:widowControl w:val="0"/>
              <w:spacing w:before="19"/>
              <w:jc w:val="center"/>
              <w:rPr>
                <w:rFonts w:hint="default" w:ascii="Times New Roman" w:hAnsi="Times New Roman" w:eastAsia="宋体" w:cs="Times New Roman"/>
                <w:sz w:val="18"/>
                <w:szCs w:val="18"/>
                <w:vertAlign w:val="baseline"/>
              </w:rPr>
            </w:pPr>
            <w:r>
              <w:rPr>
                <w:rFonts w:hint="eastAsia" w:ascii="Times New Roman" w:hAnsi="Times New Roman" w:eastAsia="宋体" w:cs="Times New Roman"/>
                <w:sz w:val="18"/>
                <w:szCs w:val="18"/>
                <w:lang w:eastAsia="zh-CN"/>
              </w:rPr>
              <w:t>＞</w:t>
            </w:r>
            <w:r>
              <w:rPr>
                <w:rFonts w:hint="default" w:ascii="Times New Roman" w:hAnsi="Times New Roman" w:eastAsia="宋体" w:cs="Times New Roman"/>
                <w:sz w:val="18"/>
                <w:szCs w:val="18"/>
              </w:rPr>
              <w:t>2000～4000</w:t>
            </w:r>
          </w:p>
        </w:tc>
      </w:tr>
      <w:tr w14:paraId="459D6C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665" w:type="pct"/>
            <w:vMerge w:val="continue"/>
            <w:tcBorders>
              <w:bottom w:val="single" w:color="auto" w:sz="12" w:space="0"/>
            </w:tcBorders>
            <w:vAlign w:val="center"/>
          </w:tcPr>
          <w:p w14:paraId="42424021">
            <w:pPr>
              <w:widowControl w:val="0"/>
              <w:spacing w:before="19"/>
              <w:jc w:val="center"/>
              <w:rPr>
                <w:rFonts w:hint="default" w:ascii="Times New Roman" w:hAnsi="Times New Roman" w:eastAsia="宋体" w:cs="Times New Roman"/>
                <w:sz w:val="18"/>
                <w:szCs w:val="18"/>
                <w:vertAlign w:val="baseline"/>
              </w:rPr>
            </w:pPr>
          </w:p>
        </w:tc>
        <w:tc>
          <w:tcPr>
            <w:tcW w:w="3334" w:type="pct"/>
            <w:gridSpan w:val="2"/>
            <w:tcBorders>
              <w:bottom w:val="single" w:color="auto" w:sz="12" w:space="0"/>
            </w:tcBorders>
            <w:vAlign w:val="center"/>
          </w:tcPr>
          <w:p w14:paraId="5992C7B3">
            <w:pPr>
              <w:widowControl w:val="0"/>
              <w:spacing w:before="19"/>
              <w:jc w:val="center"/>
              <w:rPr>
                <w:rFonts w:hint="default" w:ascii="Times New Roman" w:hAnsi="Times New Roman" w:eastAsia="宋体" w:cs="Times New Roman"/>
                <w:sz w:val="18"/>
                <w:szCs w:val="18"/>
                <w:vertAlign w:val="baseline"/>
              </w:rPr>
            </w:pPr>
            <w:r>
              <w:rPr>
                <w:rFonts w:hint="default" w:ascii="Times New Roman" w:hAnsi="Times New Roman" w:eastAsia="宋体" w:cs="Times New Roman"/>
                <w:spacing w:val="10"/>
                <w:sz w:val="18"/>
                <w:szCs w:val="18"/>
              </w:rPr>
              <w:t>允许偏差</w:t>
            </w:r>
            <w:r>
              <w:rPr>
                <w:rFonts w:hint="eastAsia" w:ascii="Times New Roman" w:hAnsi="Times New Roman" w:cs="Times New Roman"/>
                <w:spacing w:val="-6"/>
                <w:sz w:val="18"/>
                <w:szCs w:val="18"/>
                <w:vertAlign w:val="superscript"/>
                <w:lang w:val="en-US" w:eastAsia="zh-CN"/>
              </w:rPr>
              <w:t>a</w:t>
            </w:r>
          </w:p>
        </w:tc>
      </w:tr>
      <w:tr w14:paraId="002168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665" w:type="pct"/>
            <w:tcBorders>
              <w:top w:val="single" w:color="auto" w:sz="12" w:space="0"/>
            </w:tcBorders>
            <w:vAlign w:val="center"/>
          </w:tcPr>
          <w:p w14:paraId="6B229C14">
            <w:pPr>
              <w:widowControl w:val="0"/>
              <w:spacing w:before="19"/>
              <w:jc w:val="center"/>
              <w:rPr>
                <w:rFonts w:hint="default" w:ascii="Times New Roman" w:hAnsi="Times New Roman" w:eastAsia="宋体" w:cs="Times New Roman"/>
                <w:sz w:val="18"/>
                <w:szCs w:val="18"/>
                <w:vertAlign w:val="baseline"/>
              </w:rPr>
            </w:pPr>
            <w:r>
              <w:rPr>
                <w:rFonts w:hint="default" w:ascii="Times New Roman" w:hAnsi="Times New Roman" w:eastAsia="宋体" w:cs="Times New Roman"/>
                <w:sz w:val="18"/>
                <w:szCs w:val="18"/>
              </w:rPr>
              <w:t>0.60～1.0</w:t>
            </w:r>
          </w:p>
        </w:tc>
        <w:tc>
          <w:tcPr>
            <w:tcW w:w="1665" w:type="pct"/>
            <w:tcBorders>
              <w:top w:val="single" w:color="auto" w:sz="12" w:space="0"/>
            </w:tcBorders>
            <w:vAlign w:val="center"/>
          </w:tcPr>
          <w:p w14:paraId="2F211649">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z w:val="18"/>
                <w:szCs w:val="18"/>
                <w:vertAlign w:val="baseline"/>
              </w:rPr>
            </w:pPr>
            <w:r>
              <w:rPr>
                <w:rFonts w:hint="default" w:ascii="Times New Roman" w:hAnsi="Times New Roman" w:eastAsia="宋体" w:cs="Times New Roman"/>
                <w:spacing w:val="-7"/>
                <w:sz w:val="18"/>
                <w:szCs w:val="18"/>
              </w:rPr>
              <w:t>±5.0</w:t>
            </w:r>
          </w:p>
        </w:tc>
        <w:tc>
          <w:tcPr>
            <w:tcW w:w="1668" w:type="pct"/>
            <w:tcBorders>
              <w:top w:val="single" w:color="auto" w:sz="12" w:space="0"/>
            </w:tcBorders>
            <w:vAlign w:val="center"/>
          </w:tcPr>
          <w:p w14:paraId="71BD9730">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z w:val="18"/>
                <w:szCs w:val="18"/>
                <w:vertAlign w:val="baseline"/>
              </w:rPr>
            </w:pPr>
            <w:r>
              <w:rPr>
                <w:rFonts w:hint="default" w:ascii="Times New Roman" w:hAnsi="Times New Roman" w:eastAsia="宋体" w:cs="Times New Roman"/>
                <w:spacing w:val="-7"/>
                <w:sz w:val="18"/>
                <w:szCs w:val="18"/>
              </w:rPr>
              <w:t>±5.0</w:t>
            </w:r>
          </w:p>
        </w:tc>
      </w:tr>
      <w:tr w14:paraId="39AC82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665" w:type="pct"/>
            <w:vAlign w:val="center"/>
          </w:tcPr>
          <w:p w14:paraId="68880B99">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z w:val="18"/>
                <w:szCs w:val="18"/>
                <w:vertAlign w:val="baseline"/>
              </w:rPr>
            </w:pPr>
            <w:r>
              <w:rPr>
                <w:rFonts w:hint="eastAsia" w:ascii="Times New Roman" w:hAnsi="Times New Roman" w:eastAsia="宋体" w:cs="Times New Roman"/>
                <w:spacing w:val="-1"/>
                <w:sz w:val="18"/>
                <w:szCs w:val="18"/>
                <w:lang w:eastAsia="zh-CN"/>
              </w:rPr>
              <w:t>＞</w:t>
            </w:r>
            <w:r>
              <w:rPr>
                <w:rFonts w:hint="default" w:ascii="Times New Roman" w:hAnsi="Times New Roman" w:eastAsia="宋体" w:cs="Times New Roman"/>
                <w:spacing w:val="-1"/>
                <w:sz w:val="18"/>
                <w:szCs w:val="18"/>
              </w:rPr>
              <w:t>1.0～1.8</w:t>
            </w:r>
          </w:p>
        </w:tc>
        <w:tc>
          <w:tcPr>
            <w:tcW w:w="1665" w:type="pct"/>
            <w:vAlign w:val="center"/>
          </w:tcPr>
          <w:p w14:paraId="727729B6">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z w:val="18"/>
                <w:szCs w:val="18"/>
                <w:vertAlign w:val="baseline"/>
              </w:rPr>
            </w:pPr>
            <w:r>
              <w:rPr>
                <w:rFonts w:hint="default" w:ascii="Times New Roman" w:hAnsi="Times New Roman" w:eastAsia="宋体" w:cs="Times New Roman"/>
                <w:spacing w:val="-7"/>
                <w:sz w:val="18"/>
                <w:szCs w:val="18"/>
              </w:rPr>
              <w:t>±5.0</w:t>
            </w:r>
          </w:p>
        </w:tc>
        <w:tc>
          <w:tcPr>
            <w:tcW w:w="1668" w:type="pct"/>
            <w:vAlign w:val="center"/>
          </w:tcPr>
          <w:p w14:paraId="76DD8CBA">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z w:val="18"/>
                <w:szCs w:val="18"/>
                <w:vertAlign w:val="baseline"/>
              </w:rPr>
            </w:pPr>
            <w:r>
              <w:rPr>
                <w:rFonts w:hint="default" w:ascii="Times New Roman" w:hAnsi="Times New Roman" w:eastAsia="宋体" w:cs="Times New Roman"/>
                <w:spacing w:val="-7"/>
                <w:sz w:val="18"/>
                <w:szCs w:val="18"/>
              </w:rPr>
              <w:t>±7.5</w:t>
            </w:r>
          </w:p>
        </w:tc>
      </w:tr>
      <w:tr w14:paraId="3D06E0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665" w:type="pct"/>
            <w:vAlign w:val="center"/>
          </w:tcPr>
          <w:p w14:paraId="55965AE5">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z w:val="18"/>
                <w:szCs w:val="18"/>
                <w:vertAlign w:val="baseline"/>
              </w:rPr>
            </w:pPr>
            <w:r>
              <w:rPr>
                <w:rFonts w:hint="eastAsia" w:ascii="Times New Roman" w:hAnsi="Times New Roman" w:eastAsia="宋体" w:cs="Times New Roman"/>
                <w:spacing w:val="-1"/>
                <w:sz w:val="18"/>
                <w:szCs w:val="18"/>
                <w:lang w:eastAsia="zh-CN"/>
              </w:rPr>
              <w:t>＞</w:t>
            </w:r>
            <w:r>
              <w:rPr>
                <w:rFonts w:hint="default" w:ascii="Times New Roman" w:hAnsi="Times New Roman" w:eastAsia="宋体" w:cs="Times New Roman"/>
                <w:spacing w:val="-1"/>
                <w:sz w:val="18"/>
                <w:szCs w:val="18"/>
              </w:rPr>
              <w:t>1.8～3.0</w:t>
            </w:r>
          </w:p>
        </w:tc>
        <w:tc>
          <w:tcPr>
            <w:tcW w:w="1665" w:type="pct"/>
            <w:vAlign w:val="center"/>
          </w:tcPr>
          <w:p w14:paraId="156E3A34">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z w:val="18"/>
                <w:szCs w:val="18"/>
                <w:vertAlign w:val="baseline"/>
              </w:rPr>
            </w:pPr>
            <w:r>
              <w:rPr>
                <w:rFonts w:hint="default" w:ascii="Times New Roman" w:hAnsi="Times New Roman" w:eastAsia="宋体" w:cs="Times New Roman"/>
                <w:spacing w:val="-7"/>
                <w:sz w:val="18"/>
                <w:szCs w:val="18"/>
              </w:rPr>
              <w:t>±7.5</w:t>
            </w:r>
          </w:p>
        </w:tc>
        <w:tc>
          <w:tcPr>
            <w:tcW w:w="1668" w:type="pct"/>
            <w:vAlign w:val="center"/>
          </w:tcPr>
          <w:p w14:paraId="2776E0A4">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z w:val="18"/>
                <w:szCs w:val="18"/>
                <w:vertAlign w:val="baseline"/>
              </w:rPr>
            </w:pPr>
            <w:r>
              <w:rPr>
                <w:rFonts w:hint="default" w:ascii="Times New Roman" w:hAnsi="Times New Roman" w:eastAsia="宋体" w:cs="Times New Roman"/>
                <w:spacing w:val="-7"/>
                <w:sz w:val="18"/>
                <w:szCs w:val="18"/>
              </w:rPr>
              <w:t>±7.5</w:t>
            </w:r>
          </w:p>
        </w:tc>
      </w:tr>
      <w:tr w14:paraId="7ABE21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665" w:type="pct"/>
            <w:tcBorders>
              <w:bottom w:val="single" w:color="auto" w:sz="12" w:space="0"/>
            </w:tcBorders>
            <w:vAlign w:val="center"/>
          </w:tcPr>
          <w:p w14:paraId="398D8FA8">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z w:val="18"/>
                <w:szCs w:val="18"/>
                <w:vertAlign w:val="baseline"/>
              </w:rPr>
            </w:pPr>
            <w:r>
              <w:rPr>
                <w:rFonts w:hint="eastAsia" w:ascii="Times New Roman" w:hAnsi="Times New Roman" w:eastAsia="宋体" w:cs="Times New Roman"/>
                <w:spacing w:val="-1"/>
                <w:sz w:val="18"/>
                <w:szCs w:val="18"/>
                <w:lang w:eastAsia="zh-CN"/>
              </w:rPr>
              <w:t>＞</w:t>
            </w:r>
            <w:r>
              <w:rPr>
                <w:rFonts w:hint="default" w:ascii="Times New Roman" w:hAnsi="Times New Roman" w:eastAsia="宋体" w:cs="Times New Roman"/>
                <w:spacing w:val="-1"/>
                <w:sz w:val="18"/>
                <w:szCs w:val="18"/>
              </w:rPr>
              <w:t>3.0～3.5</w:t>
            </w:r>
          </w:p>
        </w:tc>
        <w:tc>
          <w:tcPr>
            <w:tcW w:w="1665" w:type="pct"/>
            <w:tcBorders>
              <w:bottom w:val="single" w:color="auto" w:sz="12" w:space="0"/>
            </w:tcBorders>
            <w:vAlign w:val="center"/>
          </w:tcPr>
          <w:p w14:paraId="655DF1AD">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z w:val="18"/>
                <w:szCs w:val="18"/>
                <w:vertAlign w:val="baseline"/>
              </w:rPr>
            </w:pPr>
            <w:r>
              <w:rPr>
                <w:rFonts w:hint="default" w:ascii="Times New Roman" w:hAnsi="Times New Roman" w:eastAsia="宋体" w:cs="Times New Roman"/>
                <w:spacing w:val="-7"/>
                <w:sz w:val="18"/>
                <w:szCs w:val="18"/>
              </w:rPr>
              <w:t>±7.5</w:t>
            </w:r>
          </w:p>
        </w:tc>
        <w:tc>
          <w:tcPr>
            <w:tcW w:w="1668" w:type="pct"/>
            <w:tcBorders>
              <w:bottom w:val="single" w:color="auto" w:sz="12" w:space="0"/>
            </w:tcBorders>
            <w:vAlign w:val="center"/>
          </w:tcPr>
          <w:p w14:paraId="3A05983F">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z w:val="18"/>
                <w:szCs w:val="18"/>
                <w:vertAlign w:val="baseline"/>
              </w:rPr>
            </w:pPr>
            <w:r>
              <w:rPr>
                <w:rFonts w:hint="default" w:ascii="Times New Roman" w:hAnsi="Times New Roman" w:eastAsia="宋体" w:cs="Times New Roman"/>
                <w:spacing w:val="-7"/>
                <w:sz w:val="18"/>
                <w:szCs w:val="18"/>
              </w:rPr>
              <w:t>±7.5</w:t>
            </w:r>
          </w:p>
        </w:tc>
      </w:tr>
      <w:tr w14:paraId="3172A8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000" w:type="pct"/>
            <w:gridSpan w:val="3"/>
            <w:tcBorders>
              <w:top w:val="single" w:color="auto" w:sz="12" w:space="0"/>
            </w:tcBorders>
            <w:vAlign w:val="center"/>
          </w:tcPr>
          <w:p w14:paraId="45D4F612">
            <w:pPr>
              <w:keepNext w:val="0"/>
              <w:keepLines w:val="0"/>
              <w:pageBreakBefore w:val="0"/>
              <w:widowControl/>
              <w:kinsoku w:val="0"/>
              <w:wordWrap/>
              <w:overflowPunct/>
              <w:topLinePunct w:val="0"/>
              <w:autoSpaceDE w:val="0"/>
              <w:autoSpaceDN w:val="0"/>
              <w:bidi w:val="0"/>
              <w:adjustRightInd w:val="0"/>
              <w:snapToGrid w:val="0"/>
              <w:ind w:firstLine="336" w:firstLineChars="200"/>
              <w:jc w:val="both"/>
              <w:textAlignment w:val="baseline"/>
              <w:rPr>
                <w:rFonts w:hint="default" w:ascii="Times New Roman" w:hAnsi="Times New Roman" w:eastAsia="宋体" w:cs="Times New Roman"/>
                <w:sz w:val="18"/>
                <w:szCs w:val="18"/>
                <w:vertAlign w:val="baseline"/>
              </w:rPr>
            </w:pPr>
            <w:r>
              <w:rPr>
                <w:rFonts w:hint="eastAsia" w:ascii="Times New Roman" w:hAnsi="Times New Roman" w:cs="Times New Roman"/>
                <w:spacing w:val="-6"/>
                <w:sz w:val="18"/>
                <w:szCs w:val="18"/>
                <w:vertAlign w:val="superscript"/>
                <w:lang w:val="en-US" w:eastAsia="zh-CN"/>
              </w:rPr>
              <w:t>a</w:t>
            </w:r>
            <w:r>
              <w:rPr>
                <w:rFonts w:hint="default" w:ascii="Times New Roman" w:hAnsi="Times New Roman" w:eastAsia="宋体" w:cs="Times New Roman"/>
                <w:spacing w:val="-14"/>
                <w:sz w:val="18"/>
                <w:szCs w:val="18"/>
              </w:rPr>
              <w:t>当需方要求允许偏差全为(+)或全为(一)单向偏差时，其值为表中相应数值的2倍。</w:t>
            </w:r>
          </w:p>
        </w:tc>
      </w:tr>
    </w:tbl>
    <w:p w14:paraId="437AF611">
      <w:pPr>
        <w:keepNext w:val="0"/>
        <w:keepLines w:val="0"/>
        <w:pageBreakBefore w:val="0"/>
        <w:widowControl w:val="0"/>
        <w:kinsoku/>
        <w:wordWrap/>
        <w:overflowPunct/>
        <w:topLinePunct w:val="0"/>
        <w:autoSpaceDE/>
        <w:autoSpaceDN/>
        <w:bidi w:val="0"/>
        <w:adjustRightInd/>
        <w:snapToGrid/>
        <w:spacing w:before="157" w:beforeLines="50"/>
        <w:ind w:firstLine="420" w:firstLineChars="200"/>
        <w:textAlignment w:val="auto"/>
        <w:rPr>
          <w:rFonts w:hint="default" w:ascii="Times New Roman" w:hAnsi="Times New Roman" w:eastAsia="宋体" w:cs="Times New Roman"/>
          <w:b w:val="0"/>
          <w:bCs/>
          <w:color w:val="000000" w:themeColor="text1"/>
          <w:highlight w:val="none"/>
          <w:lang w:val="en-US"/>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本标准的外形尺寸允许偏差超过ASTMB888-2019以及ASTMB103-2019标准水平。</w:t>
      </w:r>
    </w:p>
    <w:p w14:paraId="74F22B6C">
      <w:pPr>
        <w:pStyle w:val="7"/>
        <w:keepNext/>
        <w:keepLines/>
        <w:pageBreakBefore w:val="0"/>
        <w:widowControl w:val="0"/>
        <w:numPr>
          <w:ilvl w:val="0"/>
          <w:numId w:val="0"/>
        </w:numPr>
        <w:kinsoku/>
        <w:wordWrap/>
        <w:overflowPunct/>
        <w:topLinePunct w:val="0"/>
        <w:autoSpaceDE/>
        <w:autoSpaceDN/>
        <w:bidi w:val="0"/>
        <w:adjustRightInd/>
        <w:snapToGrid/>
        <w:spacing w:before="157" w:beforeLines="50" w:after="0"/>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lang w:val="en-US"/>
          <w14:textFill>
            <w14:solidFill>
              <w14:schemeClr w14:val="tx1"/>
            </w14:solidFill>
          </w14:textFill>
        </w:rPr>
        <w:t>6.3</w:t>
      </w:r>
      <w:r>
        <w:rPr>
          <w:rFonts w:hint="default" w:ascii="Times New Roman" w:hAnsi="Times New Roman" w:eastAsia="宋体" w:cs="Times New Roman"/>
          <w:b w:val="0"/>
          <w:bCs/>
          <w:color w:val="000000" w:themeColor="text1"/>
          <w:highlight w:val="none"/>
          <w14:textFill>
            <w14:solidFill>
              <w14:schemeClr w14:val="tx1"/>
            </w14:solidFill>
          </w14:textFill>
        </w:rPr>
        <w:t>、力学性能对比情况见表</w:t>
      </w:r>
      <w:r>
        <w:rPr>
          <w:rFonts w:hint="eastAsia" w:ascii="Times New Roman" w:hAnsi="Times New Roman" w:cs="Times New Roman"/>
          <w:b w:val="0"/>
          <w:bCs/>
          <w:color w:val="000000" w:themeColor="text1"/>
          <w:highlight w:val="none"/>
          <w:lang w:val="en-US" w:eastAsia="zh-CN"/>
          <w14:textFill>
            <w14:solidFill>
              <w14:schemeClr w14:val="tx1"/>
            </w14:solidFill>
          </w14:textFill>
        </w:rPr>
        <w:t>15</w:t>
      </w:r>
      <w:r>
        <w:rPr>
          <w:rFonts w:hint="default" w:ascii="Times New Roman" w:hAnsi="Times New Roman" w:eastAsia="宋体" w:cs="Times New Roman"/>
          <w:b w:val="0"/>
          <w:bCs/>
          <w:color w:val="000000" w:themeColor="text1"/>
          <w:highlight w:val="none"/>
          <w14:textFill>
            <w14:solidFill>
              <w14:schemeClr w14:val="tx1"/>
            </w14:solidFill>
          </w14:textFill>
        </w:rPr>
        <w:t>-表</w:t>
      </w:r>
      <w:r>
        <w:rPr>
          <w:rFonts w:hint="eastAsia" w:ascii="Times New Roman" w:hAnsi="Times New Roman" w:cs="Times New Roman"/>
          <w:b w:val="0"/>
          <w:bCs/>
          <w:color w:val="000000" w:themeColor="text1"/>
          <w:highlight w:val="none"/>
          <w:lang w:val="en-US" w:eastAsia="zh-CN"/>
          <w14:textFill>
            <w14:solidFill>
              <w14:schemeClr w14:val="tx1"/>
            </w14:solidFill>
          </w14:textFill>
        </w:rPr>
        <w:t>22</w:t>
      </w:r>
      <w:r>
        <w:rPr>
          <w:rFonts w:hint="default" w:ascii="Times New Roman" w:hAnsi="Times New Roman" w:eastAsia="宋体" w:cs="Times New Roman"/>
          <w:b w:val="0"/>
          <w:bCs/>
          <w:color w:val="000000" w:themeColor="text1"/>
          <w:highlight w:val="none"/>
          <w14:textFill>
            <w14:solidFill>
              <w14:schemeClr w14:val="tx1"/>
            </w14:solidFill>
          </w14:textFill>
        </w:rPr>
        <w:t>。</w:t>
      </w:r>
    </w:p>
    <w:p w14:paraId="5E7EB28C">
      <w:pPr>
        <w:keepNext w:val="0"/>
        <w:keepLines w:val="0"/>
        <w:pageBreakBefore w:val="0"/>
        <w:widowControl w:val="0"/>
        <w:kinsoku/>
        <w:wordWrap/>
        <w:overflowPunct/>
        <w:topLinePunct w:val="0"/>
        <w:autoSpaceDE/>
        <w:autoSpaceDN/>
        <w:bidi w:val="0"/>
        <w:adjustRightInd/>
        <w:snapToGrid/>
        <w:spacing w:before="156" w:beforeLines="50" w:line="312" w:lineRule="auto"/>
        <w:jc w:val="center"/>
        <w:textAlignment w:val="auto"/>
        <w:rPr>
          <w:sz w:val="28"/>
          <w:szCs w:val="28"/>
        </w:rPr>
      </w:pPr>
      <w:r>
        <w:rPr>
          <w:rFonts w:ascii="Times New Roman" w:hAnsi="Times New Roman" w:eastAsia="黑体" w:cs="Times New Roman"/>
          <w:snapToGrid/>
          <w:color w:val="000000"/>
          <w:kern w:val="0"/>
          <w:szCs w:val="21"/>
          <w:lang w:eastAsia="zh-CN"/>
        </w:rPr>
        <w:t>表</w:t>
      </w:r>
      <w:r>
        <w:rPr>
          <w:rFonts w:hint="eastAsia" w:ascii="Times New Roman" w:hAnsi="Times New Roman" w:eastAsia="黑体" w:cs="Times New Roman"/>
          <w:snapToGrid/>
          <w:color w:val="000000"/>
          <w:kern w:val="0"/>
          <w:szCs w:val="21"/>
          <w:lang w:val="en-US" w:eastAsia="zh-CN"/>
        </w:rPr>
        <w:t>15</w:t>
      </w:r>
      <w:r>
        <w:rPr>
          <w:rFonts w:ascii="Times New Roman" w:hAnsi="Times New Roman" w:eastAsia="黑体" w:cs="Times New Roman"/>
          <w:snapToGrid/>
          <w:color w:val="000000"/>
          <w:kern w:val="0"/>
          <w:szCs w:val="21"/>
          <w:lang w:eastAsia="zh-CN"/>
        </w:rPr>
        <w:t xml:space="preserve"> 力学性能</w:t>
      </w:r>
    </w:p>
    <w:tbl>
      <w:tblPr>
        <w:tblStyle w:val="40"/>
        <w:tblW w:w="4998" w:type="pct"/>
        <w:tblInd w:w="0" w:type="dxa"/>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Layout w:type="autofit"/>
        <w:tblCellMar>
          <w:top w:w="0" w:type="dxa"/>
          <w:left w:w="0" w:type="dxa"/>
          <w:bottom w:w="0" w:type="dxa"/>
          <w:right w:w="0" w:type="dxa"/>
        </w:tblCellMar>
      </w:tblPr>
      <w:tblGrid>
        <w:gridCol w:w="1958"/>
        <w:gridCol w:w="1779"/>
        <w:gridCol w:w="1782"/>
        <w:gridCol w:w="1784"/>
        <w:gridCol w:w="1795"/>
      </w:tblGrid>
      <w:tr w14:paraId="6C82BF48">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1076" w:type="pct"/>
            <w:vMerge w:val="restart"/>
            <w:tcBorders>
              <w:bottom w:val="nil"/>
            </w:tcBorders>
            <w:vAlign w:val="center"/>
          </w:tcPr>
          <w:p w14:paraId="0AFE3F5A">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3"/>
                <w:sz w:val="18"/>
                <w:szCs w:val="18"/>
              </w:rPr>
              <w:t>牌号</w:t>
            </w:r>
          </w:p>
        </w:tc>
        <w:tc>
          <w:tcPr>
            <w:tcW w:w="977" w:type="pct"/>
            <w:vMerge w:val="restart"/>
            <w:tcBorders>
              <w:bottom w:val="nil"/>
            </w:tcBorders>
            <w:vAlign w:val="center"/>
          </w:tcPr>
          <w:p w14:paraId="3A7BFA20">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2"/>
                <w:sz w:val="18"/>
                <w:szCs w:val="18"/>
              </w:rPr>
              <w:t>状态</w:t>
            </w:r>
          </w:p>
        </w:tc>
        <w:tc>
          <w:tcPr>
            <w:tcW w:w="1959" w:type="pct"/>
            <w:gridSpan w:val="2"/>
            <w:vAlign w:val="center"/>
          </w:tcPr>
          <w:p w14:paraId="26C0F909">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7"/>
                <w:sz w:val="18"/>
                <w:szCs w:val="18"/>
              </w:rPr>
              <w:t>拉伸试验</w:t>
            </w:r>
          </w:p>
        </w:tc>
        <w:tc>
          <w:tcPr>
            <w:tcW w:w="986" w:type="pct"/>
            <w:vAlign w:val="center"/>
          </w:tcPr>
          <w:p w14:paraId="3543AB2E">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7"/>
                <w:sz w:val="18"/>
                <w:szCs w:val="18"/>
              </w:rPr>
              <w:t>硬度试验</w:t>
            </w:r>
          </w:p>
        </w:tc>
      </w:tr>
      <w:tr w14:paraId="4DB2CFBF">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1076" w:type="pct"/>
            <w:vMerge w:val="continue"/>
            <w:tcBorders>
              <w:top w:val="nil"/>
              <w:bottom w:val="single" w:color="auto" w:sz="12" w:space="0"/>
            </w:tcBorders>
            <w:vAlign w:val="center"/>
          </w:tcPr>
          <w:p w14:paraId="70952EA4">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p>
        </w:tc>
        <w:tc>
          <w:tcPr>
            <w:tcW w:w="977" w:type="pct"/>
            <w:vMerge w:val="continue"/>
            <w:tcBorders>
              <w:top w:val="nil"/>
              <w:bottom w:val="single" w:color="auto" w:sz="12" w:space="0"/>
            </w:tcBorders>
            <w:vAlign w:val="center"/>
          </w:tcPr>
          <w:p w14:paraId="424A7A5A">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p>
        </w:tc>
        <w:tc>
          <w:tcPr>
            <w:tcW w:w="979" w:type="pct"/>
            <w:tcBorders>
              <w:bottom w:val="single" w:color="auto" w:sz="12" w:space="0"/>
            </w:tcBorders>
            <w:vAlign w:val="center"/>
          </w:tcPr>
          <w:p w14:paraId="2E92F2DA">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Times New Roman" w:hAnsi="Times New Roman" w:eastAsia="宋体" w:cs="Times New Roman"/>
                <w:spacing w:val="-5"/>
                <w:position w:val="27"/>
                <w:sz w:val="18"/>
                <w:szCs w:val="18"/>
                <w:lang w:val="en-US" w:eastAsia="zh-CN"/>
              </w:rPr>
            </w:pPr>
            <w:r>
              <w:rPr>
                <w:rFonts w:hint="default" w:ascii="Times New Roman" w:hAnsi="Times New Roman" w:eastAsia="宋体" w:cs="Times New Roman"/>
                <w:spacing w:val="-5"/>
                <w:position w:val="27"/>
                <w:sz w:val="18"/>
                <w:szCs w:val="18"/>
              </w:rPr>
              <w:t>抗拉强度R</w:t>
            </w:r>
            <w:r>
              <w:rPr>
                <w:rFonts w:hint="eastAsia" w:ascii="Times New Roman" w:hAnsi="Times New Roman" w:eastAsia="宋体" w:cs="Times New Roman"/>
                <w:spacing w:val="-5"/>
                <w:position w:val="27"/>
                <w:sz w:val="18"/>
                <w:szCs w:val="18"/>
                <w:vertAlign w:val="subscript"/>
                <w:lang w:val="en-US" w:eastAsia="zh-CN"/>
              </w:rPr>
              <w:t>m</w:t>
            </w:r>
          </w:p>
          <w:p w14:paraId="1139AFE9">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3"/>
                <w:sz w:val="18"/>
                <w:szCs w:val="18"/>
              </w:rPr>
              <w:t>MPa</w:t>
            </w:r>
          </w:p>
        </w:tc>
        <w:tc>
          <w:tcPr>
            <w:tcW w:w="980" w:type="pct"/>
            <w:tcBorders>
              <w:bottom w:val="single" w:color="auto" w:sz="12" w:space="0"/>
            </w:tcBorders>
            <w:vAlign w:val="center"/>
          </w:tcPr>
          <w:p w14:paraId="04F97BF8">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27"/>
                <w:position w:val="15"/>
                <w:sz w:val="18"/>
                <w:szCs w:val="18"/>
              </w:rPr>
            </w:pPr>
            <w:r>
              <w:rPr>
                <w:rFonts w:hint="default" w:ascii="Times New Roman" w:hAnsi="Times New Roman" w:eastAsia="宋体" w:cs="Times New Roman"/>
                <w:spacing w:val="27"/>
                <w:position w:val="15"/>
                <w:sz w:val="18"/>
                <w:szCs w:val="18"/>
              </w:rPr>
              <w:t>断后伸长率A</w:t>
            </w:r>
            <w:r>
              <w:rPr>
                <w:rFonts w:hint="default" w:ascii="Times New Roman" w:hAnsi="Times New Roman" w:eastAsia="宋体" w:cs="Times New Roman"/>
                <w:spacing w:val="0"/>
                <w:position w:val="14"/>
                <w:sz w:val="18"/>
                <w:szCs w:val="18"/>
                <w:vertAlign w:val="subscript"/>
                <w:lang w:val="en-US" w:eastAsia="zh-CN"/>
              </w:rPr>
              <w:t>1</w:t>
            </w:r>
            <w:r>
              <w:rPr>
                <w:rFonts w:hint="default" w:ascii="Times New Roman" w:hAnsi="Times New Roman" w:eastAsia="宋体" w:cs="Times New Roman"/>
                <w:spacing w:val="0"/>
                <w:position w:val="14"/>
                <w:sz w:val="18"/>
                <w:szCs w:val="18"/>
                <w:vertAlign w:val="subscript"/>
              </w:rPr>
              <w:t>1.3</w:t>
            </w:r>
          </w:p>
          <w:p w14:paraId="0527948D">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position w:val="2"/>
                <w:sz w:val="18"/>
                <w:szCs w:val="18"/>
              </w:rPr>
              <w:t>%</w:t>
            </w:r>
          </w:p>
        </w:tc>
        <w:tc>
          <w:tcPr>
            <w:tcW w:w="986" w:type="pct"/>
            <w:tcBorders>
              <w:bottom w:val="single" w:color="auto" w:sz="12" w:space="0"/>
            </w:tcBorders>
            <w:vAlign w:val="center"/>
          </w:tcPr>
          <w:p w14:paraId="248BE2A3">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8"/>
                <w:position w:val="26"/>
                <w:sz w:val="18"/>
                <w:szCs w:val="18"/>
              </w:rPr>
            </w:pPr>
            <w:r>
              <w:rPr>
                <w:rFonts w:hint="default" w:ascii="Times New Roman" w:hAnsi="Times New Roman" w:eastAsia="宋体" w:cs="Times New Roman"/>
                <w:spacing w:val="8"/>
                <w:position w:val="26"/>
                <w:sz w:val="18"/>
                <w:szCs w:val="18"/>
              </w:rPr>
              <w:t>维氏硬度</w:t>
            </w:r>
          </w:p>
          <w:p w14:paraId="1F209685">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z w:val="18"/>
                <w:szCs w:val="18"/>
              </w:rPr>
              <w:t>HV</w:t>
            </w:r>
          </w:p>
        </w:tc>
      </w:tr>
      <w:tr w14:paraId="0593B213">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1076" w:type="pct"/>
            <w:vMerge w:val="restart"/>
            <w:tcBorders>
              <w:top w:val="single" w:color="auto" w:sz="12" w:space="0"/>
              <w:bottom w:val="nil"/>
            </w:tcBorders>
            <w:vAlign w:val="center"/>
          </w:tcPr>
          <w:p w14:paraId="5205C6E4">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H62</w:t>
            </w:r>
          </w:p>
        </w:tc>
        <w:tc>
          <w:tcPr>
            <w:tcW w:w="977" w:type="pct"/>
            <w:tcBorders>
              <w:top w:val="single" w:color="auto" w:sz="12" w:space="0"/>
            </w:tcBorders>
            <w:vAlign w:val="center"/>
          </w:tcPr>
          <w:p w14:paraId="2E51EC74">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O60</w:t>
            </w:r>
          </w:p>
        </w:tc>
        <w:tc>
          <w:tcPr>
            <w:tcW w:w="979" w:type="pct"/>
            <w:tcBorders>
              <w:top w:val="single" w:color="auto" w:sz="12" w:space="0"/>
            </w:tcBorders>
            <w:vAlign w:val="center"/>
          </w:tcPr>
          <w:p w14:paraId="386ED908">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eastAsia" w:ascii="宋体" w:hAnsi="宋体" w:eastAsia="宋体" w:cs="宋体"/>
                <w:spacing w:val="-5"/>
                <w:sz w:val="18"/>
                <w:szCs w:val="18"/>
                <w:lang w:eastAsia="zh-CN"/>
              </w:rPr>
              <w:t>≥</w:t>
            </w:r>
            <w:r>
              <w:rPr>
                <w:rFonts w:hint="default" w:ascii="Times New Roman" w:hAnsi="Times New Roman" w:eastAsia="宋体" w:cs="Times New Roman"/>
                <w:spacing w:val="-5"/>
                <w:sz w:val="18"/>
                <w:szCs w:val="18"/>
              </w:rPr>
              <w:t>290</w:t>
            </w:r>
          </w:p>
        </w:tc>
        <w:tc>
          <w:tcPr>
            <w:tcW w:w="980" w:type="pct"/>
            <w:tcBorders>
              <w:top w:val="single" w:color="auto" w:sz="12" w:space="0"/>
            </w:tcBorders>
            <w:vAlign w:val="center"/>
          </w:tcPr>
          <w:p w14:paraId="299A5A97">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eastAsia" w:ascii="Times New Roman" w:hAnsi="Times New Roman" w:eastAsia="宋体" w:cs="Times New Roman"/>
                <w:spacing w:val="-6"/>
                <w:sz w:val="18"/>
                <w:szCs w:val="18"/>
                <w:lang w:eastAsia="zh-CN"/>
              </w:rPr>
              <w:t>≥</w:t>
            </w:r>
            <w:r>
              <w:rPr>
                <w:rFonts w:hint="default" w:ascii="Times New Roman" w:hAnsi="Times New Roman" w:eastAsia="宋体" w:cs="Times New Roman"/>
                <w:spacing w:val="-6"/>
                <w:sz w:val="18"/>
                <w:szCs w:val="18"/>
              </w:rPr>
              <w:t>35</w:t>
            </w:r>
          </w:p>
        </w:tc>
        <w:tc>
          <w:tcPr>
            <w:tcW w:w="986" w:type="pct"/>
            <w:tcBorders>
              <w:top w:val="single" w:color="auto" w:sz="12" w:space="0"/>
            </w:tcBorders>
            <w:vAlign w:val="center"/>
          </w:tcPr>
          <w:p w14:paraId="0D35B81D">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75～95</w:t>
            </w:r>
          </w:p>
        </w:tc>
      </w:tr>
      <w:tr w14:paraId="52137259">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1076" w:type="pct"/>
            <w:vMerge w:val="continue"/>
            <w:tcBorders>
              <w:top w:val="nil"/>
            </w:tcBorders>
            <w:vAlign w:val="center"/>
          </w:tcPr>
          <w:p w14:paraId="307DBC31">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p>
        </w:tc>
        <w:tc>
          <w:tcPr>
            <w:tcW w:w="977" w:type="pct"/>
            <w:vAlign w:val="center"/>
          </w:tcPr>
          <w:p w14:paraId="6693ACC3">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H02</w:t>
            </w:r>
          </w:p>
        </w:tc>
        <w:tc>
          <w:tcPr>
            <w:tcW w:w="979" w:type="pct"/>
            <w:vAlign w:val="center"/>
          </w:tcPr>
          <w:p w14:paraId="3F70593B">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380～470</w:t>
            </w:r>
          </w:p>
        </w:tc>
        <w:tc>
          <w:tcPr>
            <w:tcW w:w="980" w:type="pct"/>
            <w:vAlign w:val="center"/>
          </w:tcPr>
          <w:p w14:paraId="2B612002">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eastAsia" w:ascii="Times New Roman" w:hAnsi="Times New Roman" w:eastAsia="宋体" w:cs="Times New Roman"/>
                <w:spacing w:val="-6"/>
                <w:sz w:val="18"/>
                <w:szCs w:val="18"/>
                <w:lang w:eastAsia="zh-CN"/>
              </w:rPr>
              <w:t>≥</w:t>
            </w:r>
            <w:r>
              <w:rPr>
                <w:rFonts w:hint="default" w:ascii="Times New Roman" w:hAnsi="Times New Roman" w:eastAsia="宋体" w:cs="Times New Roman"/>
                <w:spacing w:val="-6"/>
                <w:sz w:val="18"/>
                <w:szCs w:val="18"/>
              </w:rPr>
              <w:t>20</w:t>
            </w:r>
          </w:p>
        </w:tc>
        <w:tc>
          <w:tcPr>
            <w:tcW w:w="986" w:type="pct"/>
            <w:vAlign w:val="center"/>
          </w:tcPr>
          <w:p w14:paraId="25277396">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2"/>
                <w:sz w:val="18"/>
                <w:szCs w:val="18"/>
              </w:rPr>
              <w:t>100～130</w:t>
            </w:r>
          </w:p>
        </w:tc>
      </w:tr>
      <w:tr w14:paraId="57C194B0">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1076" w:type="pct"/>
            <w:vMerge w:val="restart"/>
            <w:tcBorders>
              <w:bottom w:val="nil"/>
            </w:tcBorders>
            <w:vAlign w:val="center"/>
          </w:tcPr>
          <w:p w14:paraId="7EFA23C6">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H68</w:t>
            </w:r>
          </w:p>
        </w:tc>
        <w:tc>
          <w:tcPr>
            <w:tcW w:w="977" w:type="pct"/>
            <w:vAlign w:val="center"/>
          </w:tcPr>
          <w:p w14:paraId="5CD153B5">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lang w:val="en-US" w:eastAsia="zh-CN"/>
              </w:rPr>
              <w:t>O</w:t>
            </w:r>
            <w:r>
              <w:rPr>
                <w:rFonts w:hint="default" w:ascii="Times New Roman" w:hAnsi="Times New Roman" w:eastAsia="宋体" w:cs="Times New Roman"/>
                <w:spacing w:val="-1"/>
                <w:sz w:val="18"/>
                <w:szCs w:val="18"/>
              </w:rPr>
              <w:t>60</w:t>
            </w:r>
          </w:p>
        </w:tc>
        <w:tc>
          <w:tcPr>
            <w:tcW w:w="979" w:type="pct"/>
            <w:vAlign w:val="center"/>
          </w:tcPr>
          <w:p w14:paraId="5D32B667">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eastAsia" w:ascii="Times New Roman" w:hAnsi="Times New Roman" w:eastAsia="宋体" w:cs="Times New Roman"/>
                <w:spacing w:val="-5"/>
                <w:sz w:val="18"/>
                <w:szCs w:val="18"/>
                <w:lang w:eastAsia="zh-CN"/>
              </w:rPr>
              <w:t>≥</w:t>
            </w:r>
            <w:r>
              <w:rPr>
                <w:rFonts w:hint="default" w:ascii="Times New Roman" w:hAnsi="Times New Roman" w:eastAsia="宋体" w:cs="Times New Roman"/>
                <w:spacing w:val="-5"/>
                <w:sz w:val="18"/>
                <w:szCs w:val="18"/>
              </w:rPr>
              <w:t>290</w:t>
            </w:r>
          </w:p>
        </w:tc>
        <w:tc>
          <w:tcPr>
            <w:tcW w:w="980" w:type="pct"/>
            <w:vAlign w:val="center"/>
          </w:tcPr>
          <w:p w14:paraId="52623104">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eastAsia" w:ascii="Times New Roman" w:hAnsi="Times New Roman" w:eastAsia="宋体" w:cs="Times New Roman"/>
                <w:spacing w:val="-6"/>
                <w:sz w:val="18"/>
                <w:szCs w:val="18"/>
                <w:lang w:eastAsia="zh-CN"/>
              </w:rPr>
              <w:t>≥</w:t>
            </w:r>
            <w:r>
              <w:rPr>
                <w:rFonts w:hint="default" w:ascii="Times New Roman" w:hAnsi="Times New Roman" w:eastAsia="宋体" w:cs="Times New Roman"/>
                <w:spacing w:val="-6"/>
                <w:sz w:val="18"/>
                <w:szCs w:val="18"/>
              </w:rPr>
              <w:t>40</w:t>
            </w:r>
          </w:p>
        </w:tc>
        <w:tc>
          <w:tcPr>
            <w:tcW w:w="986" w:type="pct"/>
            <w:vAlign w:val="center"/>
          </w:tcPr>
          <w:p w14:paraId="2CFD56B1">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70～90</w:t>
            </w:r>
          </w:p>
        </w:tc>
      </w:tr>
      <w:tr w14:paraId="2AFE91A4">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1076" w:type="pct"/>
            <w:vMerge w:val="continue"/>
            <w:tcBorders>
              <w:top w:val="nil"/>
            </w:tcBorders>
            <w:vAlign w:val="center"/>
          </w:tcPr>
          <w:p w14:paraId="1470DB9D">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p>
        </w:tc>
        <w:tc>
          <w:tcPr>
            <w:tcW w:w="977" w:type="pct"/>
            <w:vAlign w:val="center"/>
          </w:tcPr>
          <w:p w14:paraId="456B0217">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H02</w:t>
            </w:r>
          </w:p>
        </w:tc>
        <w:tc>
          <w:tcPr>
            <w:tcW w:w="979" w:type="pct"/>
            <w:vAlign w:val="center"/>
          </w:tcPr>
          <w:p w14:paraId="38AED6B2">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355～460</w:t>
            </w:r>
          </w:p>
        </w:tc>
        <w:tc>
          <w:tcPr>
            <w:tcW w:w="980" w:type="pct"/>
            <w:vAlign w:val="center"/>
          </w:tcPr>
          <w:p w14:paraId="1630F360">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eastAsia" w:ascii="Times New Roman" w:hAnsi="Times New Roman" w:eastAsia="宋体" w:cs="Times New Roman"/>
                <w:spacing w:val="-6"/>
                <w:sz w:val="18"/>
                <w:szCs w:val="18"/>
                <w:lang w:eastAsia="zh-CN"/>
              </w:rPr>
              <w:t>≥</w:t>
            </w:r>
            <w:r>
              <w:rPr>
                <w:rFonts w:hint="default" w:ascii="Times New Roman" w:hAnsi="Times New Roman" w:eastAsia="宋体" w:cs="Times New Roman"/>
                <w:spacing w:val="-6"/>
                <w:sz w:val="18"/>
                <w:szCs w:val="18"/>
              </w:rPr>
              <w:t>25</w:t>
            </w:r>
          </w:p>
        </w:tc>
        <w:tc>
          <w:tcPr>
            <w:tcW w:w="986" w:type="pct"/>
            <w:vAlign w:val="center"/>
          </w:tcPr>
          <w:p w14:paraId="06AB9068">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2"/>
                <w:sz w:val="18"/>
                <w:szCs w:val="18"/>
              </w:rPr>
              <w:t>100～130</w:t>
            </w:r>
          </w:p>
        </w:tc>
      </w:tr>
      <w:tr w14:paraId="4E9D84C0">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1076" w:type="pct"/>
            <w:vMerge w:val="restart"/>
            <w:tcBorders>
              <w:bottom w:val="nil"/>
            </w:tcBorders>
            <w:vAlign w:val="center"/>
          </w:tcPr>
          <w:p w14:paraId="1C992699">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z w:val="18"/>
                <w:szCs w:val="18"/>
              </w:rPr>
              <w:t>QSn</w:t>
            </w:r>
            <w:r>
              <w:rPr>
                <w:rFonts w:hint="default" w:ascii="Times New Roman" w:hAnsi="Times New Roman" w:eastAsia="宋体" w:cs="Times New Roman"/>
                <w:spacing w:val="2"/>
                <w:sz w:val="18"/>
                <w:szCs w:val="18"/>
              </w:rPr>
              <w:t>6.5-0.1</w:t>
            </w:r>
          </w:p>
        </w:tc>
        <w:tc>
          <w:tcPr>
            <w:tcW w:w="977" w:type="pct"/>
            <w:vAlign w:val="center"/>
          </w:tcPr>
          <w:p w14:paraId="39B6EC5A">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O60</w:t>
            </w:r>
          </w:p>
        </w:tc>
        <w:tc>
          <w:tcPr>
            <w:tcW w:w="979" w:type="pct"/>
            <w:vAlign w:val="center"/>
          </w:tcPr>
          <w:p w14:paraId="79DF1665">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eastAsia" w:ascii="Times New Roman" w:hAnsi="Times New Roman" w:eastAsia="宋体" w:cs="Times New Roman"/>
                <w:spacing w:val="-5"/>
                <w:sz w:val="18"/>
                <w:szCs w:val="18"/>
                <w:lang w:eastAsia="zh-CN"/>
              </w:rPr>
              <w:t>≥</w:t>
            </w:r>
            <w:r>
              <w:rPr>
                <w:rFonts w:hint="default" w:ascii="Times New Roman" w:hAnsi="Times New Roman" w:eastAsia="宋体" w:cs="Times New Roman"/>
                <w:spacing w:val="-5"/>
                <w:sz w:val="18"/>
                <w:szCs w:val="18"/>
              </w:rPr>
              <w:t>330</w:t>
            </w:r>
          </w:p>
        </w:tc>
        <w:tc>
          <w:tcPr>
            <w:tcW w:w="980" w:type="pct"/>
            <w:vAlign w:val="center"/>
          </w:tcPr>
          <w:p w14:paraId="20FAE167">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eastAsia" w:ascii="Times New Roman" w:hAnsi="Times New Roman" w:eastAsia="宋体" w:cs="Times New Roman"/>
                <w:spacing w:val="-6"/>
                <w:sz w:val="18"/>
                <w:szCs w:val="18"/>
                <w:lang w:eastAsia="zh-CN"/>
              </w:rPr>
              <w:t>≥</w:t>
            </w:r>
            <w:r>
              <w:rPr>
                <w:rFonts w:hint="default" w:ascii="Times New Roman" w:hAnsi="Times New Roman" w:eastAsia="宋体" w:cs="Times New Roman"/>
                <w:spacing w:val="-6"/>
                <w:sz w:val="18"/>
                <w:szCs w:val="18"/>
              </w:rPr>
              <w:t>40</w:t>
            </w:r>
          </w:p>
        </w:tc>
        <w:tc>
          <w:tcPr>
            <w:tcW w:w="986" w:type="pct"/>
            <w:vAlign w:val="center"/>
          </w:tcPr>
          <w:p w14:paraId="355D4E61">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90～120</w:t>
            </w:r>
          </w:p>
        </w:tc>
      </w:tr>
      <w:tr w14:paraId="6EB0AE73">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1076" w:type="pct"/>
            <w:vMerge w:val="continue"/>
            <w:tcBorders>
              <w:top w:val="nil"/>
              <w:bottom w:val="nil"/>
            </w:tcBorders>
            <w:vAlign w:val="center"/>
          </w:tcPr>
          <w:p w14:paraId="18FAE093">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p>
        </w:tc>
        <w:tc>
          <w:tcPr>
            <w:tcW w:w="977" w:type="pct"/>
            <w:vAlign w:val="center"/>
          </w:tcPr>
          <w:p w14:paraId="0AD5D0EB">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H01</w:t>
            </w:r>
          </w:p>
        </w:tc>
        <w:tc>
          <w:tcPr>
            <w:tcW w:w="979" w:type="pct"/>
            <w:vAlign w:val="center"/>
          </w:tcPr>
          <w:p w14:paraId="28F7E541">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390～510</w:t>
            </w:r>
          </w:p>
        </w:tc>
        <w:tc>
          <w:tcPr>
            <w:tcW w:w="980" w:type="pct"/>
            <w:vAlign w:val="center"/>
          </w:tcPr>
          <w:p w14:paraId="46A8F878">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eastAsia" w:ascii="Times New Roman" w:hAnsi="Times New Roman" w:eastAsia="宋体" w:cs="Times New Roman"/>
                <w:spacing w:val="-6"/>
                <w:sz w:val="18"/>
                <w:szCs w:val="18"/>
                <w:lang w:eastAsia="zh-CN"/>
              </w:rPr>
              <w:t>≥</w:t>
            </w:r>
            <w:r>
              <w:rPr>
                <w:rFonts w:hint="default" w:ascii="Times New Roman" w:hAnsi="Times New Roman" w:eastAsia="宋体" w:cs="Times New Roman"/>
                <w:spacing w:val="-6"/>
                <w:sz w:val="18"/>
                <w:szCs w:val="18"/>
              </w:rPr>
              <w:t>35</w:t>
            </w:r>
          </w:p>
        </w:tc>
        <w:tc>
          <w:tcPr>
            <w:tcW w:w="986" w:type="pct"/>
            <w:vAlign w:val="center"/>
          </w:tcPr>
          <w:p w14:paraId="4DD09E40">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2"/>
                <w:sz w:val="18"/>
                <w:szCs w:val="18"/>
              </w:rPr>
              <w:t>110～160</w:t>
            </w:r>
          </w:p>
        </w:tc>
      </w:tr>
      <w:tr w14:paraId="30EA1DE1">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1076" w:type="pct"/>
            <w:vMerge w:val="continue"/>
            <w:tcBorders>
              <w:top w:val="nil"/>
            </w:tcBorders>
            <w:vAlign w:val="center"/>
          </w:tcPr>
          <w:p w14:paraId="22E55D9E">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p>
        </w:tc>
        <w:tc>
          <w:tcPr>
            <w:tcW w:w="977" w:type="pct"/>
            <w:vAlign w:val="center"/>
          </w:tcPr>
          <w:p w14:paraId="02314987">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H02</w:t>
            </w:r>
          </w:p>
        </w:tc>
        <w:tc>
          <w:tcPr>
            <w:tcW w:w="979" w:type="pct"/>
            <w:vAlign w:val="center"/>
          </w:tcPr>
          <w:p w14:paraId="5FA0697C">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490～580</w:t>
            </w:r>
          </w:p>
        </w:tc>
        <w:tc>
          <w:tcPr>
            <w:tcW w:w="980" w:type="pct"/>
            <w:vAlign w:val="center"/>
          </w:tcPr>
          <w:p w14:paraId="69D8B66F">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eastAsia" w:ascii="Times New Roman" w:hAnsi="Times New Roman" w:eastAsia="宋体" w:cs="Times New Roman"/>
                <w:spacing w:val="-6"/>
                <w:sz w:val="18"/>
                <w:szCs w:val="18"/>
                <w:lang w:eastAsia="zh-CN"/>
              </w:rPr>
              <w:t>≥</w:t>
            </w:r>
            <w:r>
              <w:rPr>
                <w:rFonts w:hint="default" w:ascii="Times New Roman" w:hAnsi="Times New Roman" w:eastAsia="宋体" w:cs="Times New Roman"/>
                <w:spacing w:val="-6"/>
                <w:sz w:val="18"/>
                <w:szCs w:val="18"/>
              </w:rPr>
              <w:t>10</w:t>
            </w:r>
          </w:p>
        </w:tc>
        <w:tc>
          <w:tcPr>
            <w:tcW w:w="986" w:type="pct"/>
            <w:vAlign w:val="center"/>
          </w:tcPr>
          <w:p w14:paraId="41944C1D">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2"/>
                <w:sz w:val="18"/>
                <w:szCs w:val="18"/>
              </w:rPr>
              <w:t>150～180</w:t>
            </w:r>
          </w:p>
        </w:tc>
      </w:tr>
      <w:tr w14:paraId="00A9B91B">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1076" w:type="pct"/>
            <w:vMerge w:val="restart"/>
            <w:tcBorders>
              <w:bottom w:val="nil"/>
            </w:tcBorders>
            <w:vAlign w:val="center"/>
          </w:tcPr>
          <w:p w14:paraId="5DA38490">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z w:val="18"/>
                <w:szCs w:val="18"/>
              </w:rPr>
              <w:t>QSn</w:t>
            </w:r>
            <w:r>
              <w:rPr>
                <w:rFonts w:hint="default" w:ascii="Times New Roman" w:hAnsi="Times New Roman" w:eastAsia="宋体" w:cs="Times New Roman"/>
                <w:spacing w:val="2"/>
                <w:sz w:val="18"/>
                <w:szCs w:val="18"/>
              </w:rPr>
              <w:t>8-0.3</w:t>
            </w:r>
          </w:p>
        </w:tc>
        <w:tc>
          <w:tcPr>
            <w:tcW w:w="977" w:type="pct"/>
            <w:vAlign w:val="center"/>
          </w:tcPr>
          <w:p w14:paraId="459334D5">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lang w:val="en-US" w:eastAsia="zh-CN"/>
              </w:rPr>
              <w:t>O</w:t>
            </w:r>
            <w:r>
              <w:rPr>
                <w:rFonts w:hint="default" w:ascii="Times New Roman" w:hAnsi="Times New Roman" w:eastAsia="宋体" w:cs="Times New Roman"/>
                <w:spacing w:val="-1"/>
                <w:sz w:val="18"/>
                <w:szCs w:val="18"/>
              </w:rPr>
              <w:t>60</w:t>
            </w:r>
          </w:p>
        </w:tc>
        <w:tc>
          <w:tcPr>
            <w:tcW w:w="979" w:type="pct"/>
            <w:vAlign w:val="center"/>
          </w:tcPr>
          <w:p w14:paraId="7DF09627">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eastAsia" w:ascii="Times New Roman" w:hAnsi="Times New Roman" w:eastAsia="宋体" w:cs="Times New Roman"/>
                <w:spacing w:val="-5"/>
                <w:sz w:val="18"/>
                <w:szCs w:val="18"/>
                <w:lang w:eastAsia="zh-CN"/>
              </w:rPr>
              <w:t>≥</w:t>
            </w:r>
            <w:r>
              <w:rPr>
                <w:rFonts w:hint="default" w:ascii="Times New Roman" w:hAnsi="Times New Roman" w:eastAsia="宋体" w:cs="Times New Roman"/>
                <w:spacing w:val="-5"/>
                <w:sz w:val="18"/>
                <w:szCs w:val="18"/>
              </w:rPr>
              <w:t>345</w:t>
            </w:r>
          </w:p>
        </w:tc>
        <w:tc>
          <w:tcPr>
            <w:tcW w:w="980" w:type="pct"/>
            <w:vAlign w:val="center"/>
          </w:tcPr>
          <w:p w14:paraId="59610242">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eastAsia" w:ascii="Times New Roman" w:hAnsi="Times New Roman" w:eastAsia="宋体" w:cs="Times New Roman"/>
                <w:spacing w:val="-6"/>
                <w:sz w:val="18"/>
                <w:szCs w:val="18"/>
                <w:lang w:eastAsia="zh-CN"/>
              </w:rPr>
              <w:t>≥</w:t>
            </w:r>
            <w:r>
              <w:rPr>
                <w:rFonts w:hint="default" w:ascii="Times New Roman" w:hAnsi="Times New Roman" w:eastAsia="宋体" w:cs="Times New Roman"/>
                <w:spacing w:val="-6"/>
                <w:sz w:val="18"/>
                <w:szCs w:val="18"/>
              </w:rPr>
              <w:t>45</w:t>
            </w:r>
          </w:p>
        </w:tc>
        <w:tc>
          <w:tcPr>
            <w:tcW w:w="986" w:type="pct"/>
            <w:vAlign w:val="center"/>
          </w:tcPr>
          <w:p w14:paraId="74040E20">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90～120</w:t>
            </w:r>
          </w:p>
        </w:tc>
      </w:tr>
      <w:tr w14:paraId="57563CCC">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1076" w:type="pct"/>
            <w:vMerge w:val="continue"/>
            <w:tcBorders>
              <w:top w:val="nil"/>
              <w:bottom w:val="nil"/>
            </w:tcBorders>
            <w:vAlign w:val="center"/>
          </w:tcPr>
          <w:p w14:paraId="1DFEBA49">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p>
        </w:tc>
        <w:tc>
          <w:tcPr>
            <w:tcW w:w="977" w:type="pct"/>
            <w:vAlign w:val="center"/>
          </w:tcPr>
          <w:p w14:paraId="2E339CB7">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H02</w:t>
            </w:r>
          </w:p>
        </w:tc>
        <w:tc>
          <w:tcPr>
            <w:tcW w:w="979" w:type="pct"/>
            <w:vAlign w:val="center"/>
          </w:tcPr>
          <w:p w14:paraId="1895986B">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490～580</w:t>
            </w:r>
          </w:p>
        </w:tc>
        <w:tc>
          <w:tcPr>
            <w:tcW w:w="980" w:type="pct"/>
            <w:vAlign w:val="center"/>
          </w:tcPr>
          <w:p w14:paraId="376A348F">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eastAsia" w:ascii="Times New Roman" w:hAnsi="Times New Roman" w:eastAsia="宋体" w:cs="Times New Roman"/>
                <w:spacing w:val="-6"/>
                <w:sz w:val="18"/>
                <w:szCs w:val="18"/>
                <w:lang w:eastAsia="zh-CN"/>
              </w:rPr>
              <w:t>≥</w:t>
            </w:r>
            <w:r>
              <w:rPr>
                <w:rFonts w:hint="default" w:ascii="Times New Roman" w:hAnsi="Times New Roman" w:eastAsia="宋体" w:cs="Times New Roman"/>
                <w:spacing w:val="-6"/>
                <w:sz w:val="18"/>
                <w:szCs w:val="18"/>
              </w:rPr>
              <w:t>30</w:t>
            </w:r>
          </w:p>
        </w:tc>
        <w:tc>
          <w:tcPr>
            <w:tcW w:w="986" w:type="pct"/>
            <w:vAlign w:val="center"/>
          </w:tcPr>
          <w:p w14:paraId="2B50F8EF">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2"/>
                <w:sz w:val="18"/>
                <w:szCs w:val="18"/>
              </w:rPr>
              <w:t>150～180</w:t>
            </w:r>
          </w:p>
        </w:tc>
      </w:tr>
      <w:tr w14:paraId="20597099">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1076" w:type="pct"/>
            <w:vMerge w:val="continue"/>
            <w:tcBorders>
              <w:top w:val="nil"/>
              <w:bottom w:val="single" w:color="auto" w:sz="4" w:space="0"/>
            </w:tcBorders>
            <w:vAlign w:val="center"/>
          </w:tcPr>
          <w:p w14:paraId="330750BA">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p>
        </w:tc>
        <w:tc>
          <w:tcPr>
            <w:tcW w:w="977" w:type="pct"/>
            <w:tcBorders>
              <w:bottom w:val="single" w:color="auto" w:sz="4" w:space="0"/>
            </w:tcBorders>
            <w:vAlign w:val="center"/>
          </w:tcPr>
          <w:p w14:paraId="56CB4532">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H04</w:t>
            </w:r>
          </w:p>
        </w:tc>
        <w:tc>
          <w:tcPr>
            <w:tcW w:w="979" w:type="pct"/>
            <w:vAlign w:val="center"/>
          </w:tcPr>
          <w:p w14:paraId="15D1B01D">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590～690</w:t>
            </w:r>
          </w:p>
        </w:tc>
        <w:tc>
          <w:tcPr>
            <w:tcW w:w="980" w:type="pct"/>
            <w:vAlign w:val="center"/>
          </w:tcPr>
          <w:p w14:paraId="3B12961E">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eastAsia" w:ascii="Times New Roman" w:hAnsi="Times New Roman" w:eastAsia="宋体" w:cs="Times New Roman"/>
                <w:spacing w:val="-6"/>
                <w:sz w:val="18"/>
                <w:szCs w:val="18"/>
                <w:lang w:eastAsia="zh-CN"/>
              </w:rPr>
              <w:t>≥</w:t>
            </w:r>
            <w:r>
              <w:rPr>
                <w:rFonts w:hint="default" w:ascii="Times New Roman" w:hAnsi="Times New Roman" w:eastAsia="宋体" w:cs="Times New Roman"/>
                <w:spacing w:val="-6"/>
                <w:sz w:val="18"/>
                <w:szCs w:val="18"/>
              </w:rPr>
              <w:t>12</w:t>
            </w:r>
          </w:p>
        </w:tc>
        <w:tc>
          <w:tcPr>
            <w:tcW w:w="986" w:type="pct"/>
            <w:vAlign w:val="center"/>
          </w:tcPr>
          <w:p w14:paraId="5BDDF11C">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2"/>
                <w:sz w:val="18"/>
                <w:szCs w:val="18"/>
              </w:rPr>
              <w:t>180～220</w:t>
            </w:r>
          </w:p>
        </w:tc>
      </w:tr>
      <w:tr w14:paraId="084633C9">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1076" w:type="pct"/>
            <w:vMerge w:val="restart"/>
            <w:tcBorders>
              <w:top w:val="single" w:color="auto" w:sz="4" w:space="0"/>
              <w:bottom w:val="single" w:color="auto" w:sz="4" w:space="0"/>
              <w:right w:val="single" w:color="auto" w:sz="4" w:space="0"/>
            </w:tcBorders>
            <w:vAlign w:val="center"/>
          </w:tcPr>
          <w:p w14:paraId="10F66972">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z w:val="18"/>
                <w:szCs w:val="18"/>
              </w:rPr>
              <w:t>QSn</w:t>
            </w:r>
            <w:r>
              <w:rPr>
                <w:rFonts w:hint="default" w:ascii="Times New Roman" w:hAnsi="Times New Roman" w:eastAsia="宋体" w:cs="Times New Roman"/>
                <w:spacing w:val="2"/>
                <w:sz w:val="18"/>
                <w:szCs w:val="18"/>
              </w:rPr>
              <w:t>10-0.3</w:t>
            </w:r>
          </w:p>
        </w:tc>
        <w:tc>
          <w:tcPr>
            <w:tcW w:w="977" w:type="pct"/>
            <w:tcBorders>
              <w:top w:val="single" w:color="auto" w:sz="4" w:space="0"/>
              <w:left w:val="single" w:color="auto" w:sz="4" w:space="0"/>
              <w:bottom w:val="single" w:color="auto" w:sz="4" w:space="0"/>
              <w:right w:val="single" w:color="auto" w:sz="4" w:space="0"/>
            </w:tcBorders>
            <w:vAlign w:val="center"/>
          </w:tcPr>
          <w:p w14:paraId="16546217">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060</w:t>
            </w:r>
          </w:p>
        </w:tc>
        <w:tc>
          <w:tcPr>
            <w:tcW w:w="979" w:type="pct"/>
            <w:tcBorders>
              <w:left w:val="single" w:color="auto" w:sz="4" w:space="0"/>
            </w:tcBorders>
            <w:vAlign w:val="center"/>
          </w:tcPr>
          <w:p w14:paraId="0AE3E4C5">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eastAsia" w:ascii="Times New Roman" w:hAnsi="Times New Roman" w:eastAsia="宋体" w:cs="Times New Roman"/>
                <w:spacing w:val="-5"/>
                <w:sz w:val="18"/>
                <w:szCs w:val="18"/>
                <w:lang w:eastAsia="zh-CN"/>
              </w:rPr>
              <w:t>≥</w:t>
            </w:r>
            <w:r>
              <w:rPr>
                <w:rFonts w:hint="default" w:ascii="Times New Roman" w:hAnsi="Times New Roman" w:eastAsia="宋体" w:cs="Times New Roman"/>
                <w:spacing w:val="-5"/>
                <w:sz w:val="18"/>
                <w:szCs w:val="18"/>
              </w:rPr>
              <w:t>360</w:t>
            </w:r>
          </w:p>
        </w:tc>
        <w:tc>
          <w:tcPr>
            <w:tcW w:w="980" w:type="pct"/>
            <w:vAlign w:val="center"/>
          </w:tcPr>
          <w:p w14:paraId="2D0036FA">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eastAsia" w:ascii="Times New Roman" w:hAnsi="Times New Roman" w:eastAsia="宋体" w:cs="Times New Roman"/>
                <w:spacing w:val="-6"/>
                <w:sz w:val="18"/>
                <w:szCs w:val="18"/>
                <w:lang w:eastAsia="zh-CN"/>
              </w:rPr>
              <w:t>≥</w:t>
            </w:r>
            <w:r>
              <w:rPr>
                <w:rFonts w:hint="default" w:ascii="Times New Roman" w:hAnsi="Times New Roman" w:eastAsia="宋体" w:cs="Times New Roman"/>
                <w:spacing w:val="-6"/>
                <w:sz w:val="18"/>
                <w:szCs w:val="18"/>
              </w:rPr>
              <w:t>50</w:t>
            </w:r>
          </w:p>
        </w:tc>
        <w:tc>
          <w:tcPr>
            <w:tcW w:w="986" w:type="pct"/>
            <w:vAlign w:val="center"/>
          </w:tcPr>
          <w:p w14:paraId="052AA192">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2"/>
                <w:sz w:val="18"/>
                <w:szCs w:val="18"/>
              </w:rPr>
              <w:t>100～130</w:t>
            </w:r>
          </w:p>
        </w:tc>
      </w:tr>
      <w:tr w14:paraId="1FD9783F">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1076" w:type="pct"/>
            <w:vMerge w:val="continue"/>
            <w:tcBorders>
              <w:top w:val="single" w:color="auto" w:sz="4" w:space="0"/>
              <w:bottom w:val="single" w:color="auto" w:sz="4" w:space="0"/>
              <w:right w:val="single" w:color="auto" w:sz="4" w:space="0"/>
            </w:tcBorders>
            <w:vAlign w:val="center"/>
          </w:tcPr>
          <w:p w14:paraId="42D33F48">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p>
        </w:tc>
        <w:tc>
          <w:tcPr>
            <w:tcW w:w="977" w:type="pct"/>
            <w:tcBorders>
              <w:top w:val="single" w:color="auto" w:sz="4" w:space="0"/>
              <w:left w:val="single" w:color="auto" w:sz="4" w:space="0"/>
              <w:bottom w:val="single" w:color="auto" w:sz="4" w:space="0"/>
              <w:right w:val="single" w:color="auto" w:sz="4" w:space="0"/>
            </w:tcBorders>
            <w:vAlign w:val="center"/>
          </w:tcPr>
          <w:p w14:paraId="1CE579B3">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H02</w:t>
            </w:r>
          </w:p>
        </w:tc>
        <w:tc>
          <w:tcPr>
            <w:tcW w:w="979" w:type="pct"/>
            <w:tcBorders>
              <w:left w:val="single" w:color="auto" w:sz="4" w:space="0"/>
            </w:tcBorders>
            <w:vAlign w:val="center"/>
          </w:tcPr>
          <w:p w14:paraId="399C9AC1">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525～625</w:t>
            </w:r>
          </w:p>
        </w:tc>
        <w:tc>
          <w:tcPr>
            <w:tcW w:w="980" w:type="pct"/>
            <w:vAlign w:val="center"/>
          </w:tcPr>
          <w:p w14:paraId="16125DCE">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eastAsia" w:ascii="Times New Roman" w:hAnsi="Times New Roman" w:eastAsia="宋体" w:cs="Times New Roman"/>
                <w:spacing w:val="-6"/>
                <w:sz w:val="18"/>
                <w:szCs w:val="18"/>
                <w:lang w:eastAsia="zh-CN"/>
              </w:rPr>
              <w:t>≥</w:t>
            </w:r>
            <w:r>
              <w:rPr>
                <w:rFonts w:hint="default" w:ascii="Times New Roman" w:hAnsi="Times New Roman" w:eastAsia="宋体" w:cs="Times New Roman"/>
                <w:spacing w:val="-6"/>
                <w:sz w:val="18"/>
                <w:szCs w:val="18"/>
              </w:rPr>
              <w:t>30</w:t>
            </w:r>
          </w:p>
        </w:tc>
        <w:tc>
          <w:tcPr>
            <w:tcW w:w="986" w:type="pct"/>
            <w:vAlign w:val="center"/>
          </w:tcPr>
          <w:p w14:paraId="4ACD2CDB">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2"/>
                <w:sz w:val="18"/>
                <w:szCs w:val="18"/>
              </w:rPr>
              <w:t>160～210</w:t>
            </w:r>
          </w:p>
        </w:tc>
      </w:tr>
      <w:tr w14:paraId="33F428CE">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1076" w:type="pct"/>
            <w:vMerge w:val="restart"/>
            <w:tcBorders>
              <w:top w:val="single" w:color="auto" w:sz="4" w:space="0"/>
            </w:tcBorders>
            <w:vAlign w:val="center"/>
          </w:tcPr>
          <w:p w14:paraId="0D701886">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z w:val="18"/>
                <w:szCs w:val="18"/>
                <w:lang w:val="en-US" w:eastAsia="zh-CN"/>
              </w:rPr>
              <w:t>Cu9Ni6Sn</w:t>
            </w:r>
          </w:p>
        </w:tc>
        <w:tc>
          <w:tcPr>
            <w:tcW w:w="977" w:type="pct"/>
            <w:tcBorders>
              <w:top w:val="single" w:color="auto" w:sz="4" w:space="0"/>
            </w:tcBorders>
            <w:vAlign w:val="center"/>
          </w:tcPr>
          <w:p w14:paraId="5817FD05">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1"/>
                <w:sz w:val="18"/>
                <w:szCs w:val="18"/>
                <w:lang w:val="en-US" w:eastAsia="zh-CN"/>
              </w:rPr>
            </w:pPr>
            <w:r>
              <w:rPr>
                <w:rFonts w:hint="default" w:ascii="Times New Roman" w:hAnsi="Times New Roman" w:eastAsia="宋体" w:cs="Times New Roman"/>
                <w:spacing w:val="1"/>
                <w:sz w:val="18"/>
                <w:szCs w:val="18"/>
                <w:lang w:val="en-US" w:eastAsia="zh-CN"/>
              </w:rPr>
              <w:t>TB00</w:t>
            </w:r>
          </w:p>
        </w:tc>
        <w:tc>
          <w:tcPr>
            <w:tcW w:w="979" w:type="pct"/>
            <w:vAlign w:val="center"/>
          </w:tcPr>
          <w:p w14:paraId="29950403">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420~520</w:t>
            </w:r>
          </w:p>
        </w:tc>
        <w:tc>
          <w:tcPr>
            <w:tcW w:w="980" w:type="pct"/>
            <w:vAlign w:val="center"/>
          </w:tcPr>
          <w:p w14:paraId="6E4DA59E">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6"/>
                <w:sz w:val="18"/>
                <w:szCs w:val="18"/>
                <w:lang w:val="en-US" w:eastAsia="zh-CN"/>
              </w:rPr>
            </w:pPr>
            <w:r>
              <w:rPr>
                <w:rFonts w:hint="eastAsia" w:ascii="Times New Roman" w:hAnsi="Times New Roman" w:eastAsia="宋体" w:cs="Times New Roman"/>
                <w:spacing w:val="-6"/>
                <w:sz w:val="18"/>
                <w:szCs w:val="18"/>
                <w:lang w:eastAsia="zh-CN"/>
              </w:rPr>
              <w:t>≥</w:t>
            </w:r>
            <w:r>
              <w:rPr>
                <w:rFonts w:hint="default" w:ascii="Times New Roman" w:hAnsi="Times New Roman" w:eastAsia="宋体" w:cs="Times New Roman"/>
                <w:spacing w:val="-6"/>
                <w:sz w:val="18"/>
                <w:szCs w:val="18"/>
                <w:lang w:val="en-US" w:eastAsia="zh-CN"/>
              </w:rPr>
              <w:t>15</w:t>
            </w:r>
          </w:p>
        </w:tc>
        <w:tc>
          <w:tcPr>
            <w:tcW w:w="986" w:type="pct"/>
            <w:vAlign w:val="center"/>
          </w:tcPr>
          <w:p w14:paraId="497C9D6B">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2"/>
                <w:sz w:val="18"/>
                <w:szCs w:val="18"/>
                <w:lang w:val="en-US" w:eastAsia="zh-CN"/>
              </w:rPr>
            </w:pPr>
            <w:r>
              <w:rPr>
                <w:rFonts w:hint="default" w:ascii="Times New Roman" w:hAnsi="Times New Roman" w:eastAsia="宋体" w:cs="Times New Roman"/>
                <w:spacing w:val="-2"/>
                <w:sz w:val="18"/>
                <w:szCs w:val="18"/>
                <w:lang w:val="en-US" w:eastAsia="zh-CN"/>
              </w:rPr>
              <w:t>95~130</w:t>
            </w:r>
          </w:p>
        </w:tc>
      </w:tr>
      <w:tr w14:paraId="6CA1D2C7">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1076" w:type="pct"/>
            <w:vMerge w:val="continue"/>
            <w:vAlign w:val="center"/>
          </w:tcPr>
          <w:p w14:paraId="6CCC3CEE">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p>
        </w:tc>
        <w:tc>
          <w:tcPr>
            <w:tcW w:w="977" w:type="pct"/>
            <w:vAlign w:val="center"/>
          </w:tcPr>
          <w:p w14:paraId="11A8B22F">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1"/>
                <w:sz w:val="18"/>
                <w:szCs w:val="18"/>
                <w:lang w:val="en-US" w:eastAsia="zh-CN"/>
              </w:rPr>
            </w:pPr>
            <w:r>
              <w:rPr>
                <w:rFonts w:hint="default" w:ascii="Times New Roman" w:hAnsi="Times New Roman" w:eastAsia="宋体" w:cs="Times New Roman"/>
                <w:spacing w:val="1"/>
                <w:sz w:val="18"/>
                <w:szCs w:val="18"/>
                <w:lang w:val="en-US" w:eastAsia="zh-CN"/>
              </w:rPr>
              <w:t>TH00</w:t>
            </w:r>
          </w:p>
        </w:tc>
        <w:tc>
          <w:tcPr>
            <w:tcW w:w="979" w:type="pct"/>
            <w:vAlign w:val="center"/>
          </w:tcPr>
          <w:p w14:paraId="0B065861">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w:t>
            </w:r>
            <w:r>
              <w:rPr>
                <w:rFonts w:hint="default" w:ascii="Times New Roman" w:hAnsi="Times New Roman" w:eastAsia="宋体" w:cs="Times New Roman"/>
                <w:sz w:val="18"/>
                <w:szCs w:val="18"/>
                <w:lang w:val="en-US" w:eastAsia="zh-CN"/>
              </w:rPr>
              <w:t>750</w:t>
            </w:r>
          </w:p>
        </w:tc>
        <w:tc>
          <w:tcPr>
            <w:tcW w:w="980" w:type="pct"/>
            <w:vAlign w:val="center"/>
          </w:tcPr>
          <w:p w14:paraId="3ED20A8C">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6"/>
                <w:sz w:val="18"/>
                <w:szCs w:val="18"/>
                <w:lang w:val="en-US" w:eastAsia="zh-CN"/>
              </w:rPr>
            </w:pPr>
            <w:r>
              <w:rPr>
                <w:rFonts w:hint="eastAsia" w:ascii="Times New Roman" w:hAnsi="Times New Roman" w:eastAsia="宋体" w:cs="Times New Roman"/>
                <w:spacing w:val="-6"/>
                <w:sz w:val="18"/>
                <w:szCs w:val="18"/>
                <w:lang w:eastAsia="zh-CN"/>
              </w:rPr>
              <w:t>≥</w:t>
            </w:r>
            <w:r>
              <w:rPr>
                <w:rFonts w:hint="default" w:ascii="Times New Roman" w:hAnsi="Times New Roman" w:eastAsia="宋体" w:cs="Times New Roman"/>
                <w:spacing w:val="-6"/>
                <w:sz w:val="18"/>
                <w:szCs w:val="18"/>
                <w:lang w:val="en-US" w:eastAsia="zh-CN"/>
              </w:rPr>
              <w:t>7</w:t>
            </w:r>
          </w:p>
        </w:tc>
        <w:tc>
          <w:tcPr>
            <w:tcW w:w="986" w:type="pct"/>
            <w:vAlign w:val="center"/>
          </w:tcPr>
          <w:p w14:paraId="0A8630C2">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2"/>
                <w:sz w:val="18"/>
                <w:szCs w:val="18"/>
                <w:lang w:val="en-US" w:eastAsia="zh-CN"/>
              </w:rPr>
            </w:pPr>
            <w:r>
              <w:rPr>
                <w:rFonts w:hint="default" w:ascii="Times New Roman" w:hAnsi="Times New Roman" w:eastAsia="宋体" w:cs="Times New Roman"/>
                <w:spacing w:val="-2"/>
                <w:sz w:val="18"/>
                <w:szCs w:val="18"/>
                <w:lang w:val="en-US" w:eastAsia="zh-CN"/>
              </w:rPr>
              <w:t>260~330</w:t>
            </w:r>
          </w:p>
        </w:tc>
      </w:tr>
      <w:tr w14:paraId="7FC119AE">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1076" w:type="pct"/>
            <w:vMerge w:val="restart"/>
            <w:vAlign w:val="center"/>
          </w:tcPr>
          <w:p w14:paraId="16F76A02">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z w:val="18"/>
                <w:szCs w:val="18"/>
                <w:highlight w:val="yellow"/>
                <w:lang w:val="en-US" w:eastAsia="zh-CN"/>
              </w:rPr>
              <w:t>Cu9Ni</w:t>
            </w:r>
            <w:r>
              <w:rPr>
                <w:rFonts w:hint="eastAsia" w:ascii="Times New Roman" w:hAnsi="Times New Roman" w:eastAsia="宋体" w:cs="Times New Roman"/>
                <w:sz w:val="18"/>
                <w:szCs w:val="18"/>
                <w:highlight w:val="yellow"/>
                <w:lang w:val="en-US" w:eastAsia="zh-CN"/>
              </w:rPr>
              <w:t>2</w:t>
            </w:r>
            <w:r>
              <w:rPr>
                <w:rFonts w:hint="default" w:ascii="Times New Roman" w:hAnsi="Times New Roman" w:eastAsia="宋体" w:cs="Times New Roman"/>
                <w:sz w:val="18"/>
                <w:szCs w:val="18"/>
                <w:highlight w:val="yellow"/>
                <w:lang w:val="en-US" w:eastAsia="zh-CN"/>
              </w:rPr>
              <w:t>Sn</w:t>
            </w:r>
          </w:p>
        </w:tc>
        <w:tc>
          <w:tcPr>
            <w:tcW w:w="977" w:type="pct"/>
            <w:vAlign w:val="center"/>
          </w:tcPr>
          <w:p w14:paraId="2DA1BF0E">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1"/>
                <w:sz w:val="18"/>
                <w:szCs w:val="18"/>
                <w:lang w:val="en-US" w:eastAsia="zh-CN"/>
              </w:rPr>
            </w:pPr>
            <w:r>
              <w:rPr>
                <w:rFonts w:hint="default" w:ascii="Times New Roman" w:hAnsi="Times New Roman" w:eastAsia="宋体" w:cs="Times New Roman"/>
                <w:spacing w:val="1"/>
                <w:sz w:val="18"/>
                <w:szCs w:val="18"/>
                <w:lang w:val="en-US" w:eastAsia="zh-CN"/>
              </w:rPr>
              <w:t>H02</w:t>
            </w:r>
          </w:p>
        </w:tc>
        <w:tc>
          <w:tcPr>
            <w:tcW w:w="979" w:type="pct"/>
            <w:vAlign w:val="center"/>
          </w:tcPr>
          <w:p w14:paraId="3D497091">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w:t>
            </w:r>
            <w:r>
              <w:rPr>
                <w:rFonts w:hint="default" w:ascii="Times New Roman" w:hAnsi="Times New Roman" w:eastAsia="宋体" w:cs="Times New Roman"/>
                <w:sz w:val="18"/>
                <w:szCs w:val="18"/>
                <w:lang w:val="en-US" w:eastAsia="zh-CN"/>
              </w:rPr>
              <w:t>460</w:t>
            </w:r>
          </w:p>
        </w:tc>
        <w:tc>
          <w:tcPr>
            <w:tcW w:w="980" w:type="pct"/>
            <w:vAlign w:val="center"/>
          </w:tcPr>
          <w:p w14:paraId="521E67F2">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6"/>
                <w:sz w:val="18"/>
                <w:szCs w:val="18"/>
                <w:lang w:val="en-US" w:eastAsia="zh-CN"/>
              </w:rPr>
            </w:pPr>
            <w:r>
              <w:rPr>
                <w:rFonts w:hint="eastAsia" w:ascii="Times New Roman" w:hAnsi="Times New Roman" w:eastAsia="宋体" w:cs="Times New Roman"/>
                <w:spacing w:val="-6"/>
                <w:sz w:val="18"/>
                <w:szCs w:val="18"/>
                <w:lang w:eastAsia="zh-CN"/>
              </w:rPr>
              <w:t>≥</w:t>
            </w:r>
            <w:r>
              <w:rPr>
                <w:rFonts w:hint="default" w:ascii="Times New Roman" w:hAnsi="Times New Roman" w:eastAsia="宋体" w:cs="Times New Roman"/>
                <w:spacing w:val="-6"/>
                <w:sz w:val="18"/>
                <w:szCs w:val="18"/>
                <w:lang w:val="en-US" w:eastAsia="zh-CN"/>
              </w:rPr>
              <w:t>18</w:t>
            </w:r>
          </w:p>
        </w:tc>
        <w:tc>
          <w:tcPr>
            <w:tcW w:w="986" w:type="pct"/>
            <w:vAlign w:val="center"/>
          </w:tcPr>
          <w:p w14:paraId="7C03CBA7">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2"/>
                <w:sz w:val="18"/>
                <w:szCs w:val="18"/>
                <w:lang w:val="en-US" w:eastAsia="zh-CN"/>
              </w:rPr>
            </w:pPr>
            <w:r>
              <w:rPr>
                <w:rFonts w:hint="default" w:ascii="Times New Roman" w:hAnsi="Times New Roman" w:eastAsia="宋体" w:cs="Times New Roman"/>
                <w:spacing w:val="-2"/>
                <w:sz w:val="18"/>
                <w:szCs w:val="18"/>
                <w:lang w:val="en-US" w:eastAsia="zh-CN"/>
              </w:rPr>
              <w:t>-</w:t>
            </w:r>
          </w:p>
        </w:tc>
      </w:tr>
      <w:tr w14:paraId="21508ABB">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1076" w:type="pct"/>
            <w:vMerge w:val="continue"/>
            <w:vAlign w:val="center"/>
          </w:tcPr>
          <w:p w14:paraId="5693104B">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p>
        </w:tc>
        <w:tc>
          <w:tcPr>
            <w:tcW w:w="977" w:type="pct"/>
            <w:vAlign w:val="center"/>
          </w:tcPr>
          <w:p w14:paraId="51775D46">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1"/>
                <w:sz w:val="18"/>
                <w:szCs w:val="18"/>
                <w:lang w:val="en-US" w:eastAsia="zh-CN"/>
              </w:rPr>
            </w:pPr>
            <w:r>
              <w:rPr>
                <w:rFonts w:hint="default" w:ascii="Times New Roman" w:hAnsi="Times New Roman" w:eastAsia="宋体" w:cs="Times New Roman"/>
                <w:spacing w:val="1"/>
                <w:sz w:val="18"/>
                <w:szCs w:val="18"/>
                <w:lang w:val="en-US" w:eastAsia="zh-CN"/>
              </w:rPr>
              <w:t>H04</w:t>
            </w:r>
          </w:p>
        </w:tc>
        <w:tc>
          <w:tcPr>
            <w:tcW w:w="979" w:type="pct"/>
            <w:vAlign w:val="center"/>
          </w:tcPr>
          <w:p w14:paraId="7A15F17C">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w:t>
            </w:r>
            <w:r>
              <w:rPr>
                <w:rFonts w:hint="default" w:ascii="Times New Roman" w:hAnsi="Times New Roman" w:eastAsia="宋体" w:cs="Times New Roman"/>
                <w:sz w:val="18"/>
                <w:szCs w:val="18"/>
                <w:lang w:val="en-US" w:eastAsia="zh-CN"/>
              </w:rPr>
              <w:t>530</w:t>
            </w:r>
          </w:p>
        </w:tc>
        <w:tc>
          <w:tcPr>
            <w:tcW w:w="980" w:type="pct"/>
            <w:vAlign w:val="center"/>
          </w:tcPr>
          <w:p w14:paraId="25E42172">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6"/>
                <w:sz w:val="18"/>
                <w:szCs w:val="18"/>
                <w:lang w:val="en-US" w:eastAsia="zh-CN"/>
              </w:rPr>
            </w:pPr>
            <w:r>
              <w:rPr>
                <w:rFonts w:hint="eastAsia" w:ascii="Times New Roman" w:hAnsi="Times New Roman" w:eastAsia="宋体" w:cs="Times New Roman"/>
                <w:spacing w:val="-6"/>
                <w:sz w:val="18"/>
                <w:szCs w:val="18"/>
                <w:lang w:eastAsia="zh-CN"/>
              </w:rPr>
              <w:t>≥</w:t>
            </w:r>
            <w:r>
              <w:rPr>
                <w:rFonts w:hint="default" w:ascii="Times New Roman" w:hAnsi="Times New Roman" w:eastAsia="宋体" w:cs="Times New Roman"/>
                <w:spacing w:val="-6"/>
                <w:sz w:val="18"/>
                <w:szCs w:val="18"/>
                <w:lang w:val="en-US" w:eastAsia="zh-CN"/>
              </w:rPr>
              <w:t>10</w:t>
            </w:r>
          </w:p>
        </w:tc>
        <w:tc>
          <w:tcPr>
            <w:tcW w:w="986" w:type="pct"/>
            <w:vAlign w:val="center"/>
          </w:tcPr>
          <w:p w14:paraId="10EDC76F">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2"/>
                <w:sz w:val="18"/>
                <w:szCs w:val="18"/>
                <w:lang w:val="en-US" w:eastAsia="zh-CN"/>
              </w:rPr>
            </w:pPr>
            <w:r>
              <w:rPr>
                <w:rFonts w:hint="default" w:ascii="Times New Roman" w:hAnsi="Times New Roman" w:eastAsia="宋体" w:cs="Times New Roman"/>
                <w:spacing w:val="-2"/>
                <w:sz w:val="18"/>
                <w:szCs w:val="18"/>
                <w:lang w:val="en-US" w:eastAsia="zh-CN"/>
              </w:rPr>
              <w:t>-</w:t>
            </w:r>
          </w:p>
        </w:tc>
      </w:tr>
    </w:tbl>
    <w:p w14:paraId="17C51E0D">
      <w:pPr>
        <w:rPr>
          <w:rFonts w:hint="default"/>
        </w:rPr>
      </w:pPr>
    </w:p>
    <w:p w14:paraId="211B3CE6">
      <w:pPr>
        <w:pStyle w:val="9"/>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表</w:t>
      </w:r>
      <w:r>
        <w:rPr>
          <w:rFonts w:hint="eastAsia" w:ascii="Times New Roman" w:hAnsi="Times New Roman" w:cs="Times New Roman"/>
          <w:b w:val="0"/>
          <w:bCs/>
          <w:color w:val="000000" w:themeColor="text1"/>
          <w:highlight w:val="none"/>
          <w:lang w:val="en-US" w:eastAsia="zh-CN"/>
          <w14:textFill>
            <w14:solidFill>
              <w14:schemeClr w14:val="tx1"/>
            </w14:solidFill>
          </w14:textFill>
        </w:rPr>
        <w:t>16</w:t>
      </w:r>
      <w:r>
        <w:rPr>
          <w:rFonts w:hint="default" w:ascii="Times New Roman" w:hAnsi="Times New Roman" w:eastAsia="宋体" w:cs="Times New Roman"/>
          <w:b w:val="0"/>
          <w:bCs/>
          <w:color w:val="000000" w:themeColor="text1"/>
          <w:highlight w:val="none"/>
          <w14:textFill>
            <w14:solidFill>
              <w14:schemeClr w14:val="tx1"/>
            </w14:solidFill>
          </w14:textFill>
        </w:rPr>
        <w:t xml:space="preserve"> GB/T2059－2017力学性能</w:t>
      </w: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
        <w:gridCol w:w="1529"/>
        <w:gridCol w:w="2283"/>
        <w:gridCol w:w="2103"/>
        <w:gridCol w:w="1952"/>
      </w:tblGrid>
      <w:tr w14:paraId="71B68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pct"/>
            <w:vAlign w:val="center"/>
          </w:tcPr>
          <w:p w14:paraId="233B315E">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牌号</w:t>
            </w:r>
          </w:p>
        </w:tc>
        <w:tc>
          <w:tcPr>
            <w:tcW w:w="823" w:type="pct"/>
            <w:vAlign w:val="center"/>
          </w:tcPr>
          <w:p w14:paraId="43641566">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状态</w:t>
            </w:r>
          </w:p>
        </w:tc>
        <w:tc>
          <w:tcPr>
            <w:tcW w:w="1229" w:type="pct"/>
            <w:vAlign w:val="center"/>
          </w:tcPr>
          <w:p w14:paraId="3B012A17">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抗拉强度R</w:t>
            </w:r>
            <w:r>
              <w:rPr>
                <w:rFonts w:hint="default" w:ascii="Times New Roman" w:hAnsi="Times New Roman" w:eastAsia="宋体" w:cs="Times New Roman"/>
                <w:b w:val="0"/>
                <w:bCs/>
                <w:color w:val="000000" w:themeColor="text1"/>
                <w:sz w:val="21"/>
                <w:szCs w:val="21"/>
                <w:highlight w:val="none"/>
                <w:vertAlign w:val="subscript"/>
                <w14:textFill>
                  <w14:solidFill>
                    <w14:schemeClr w14:val="tx1"/>
                  </w14:solidFill>
                </w14:textFill>
              </w:rPr>
              <w:t>m</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/MPa</w:t>
            </w:r>
          </w:p>
        </w:tc>
        <w:tc>
          <w:tcPr>
            <w:tcW w:w="1132" w:type="pct"/>
            <w:vAlign w:val="center"/>
          </w:tcPr>
          <w:p w14:paraId="47BD4823">
            <w:pPr>
              <w:pStyle w:val="18"/>
              <w:spacing w:after="0"/>
              <w:ind w:firstLine="180"/>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伸长率/％</w:t>
            </w:r>
          </w:p>
        </w:tc>
        <w:tc>
          <w:tcPr>
            <w:tcW w:w="1051" w:type="pct"/>
            <w:vAlign w:val="center"/>
          </w:tcPr>
          <w:p w14:paraId="338484EA">
            <w:pPr>
              <w:pStyle w:val="18"/>
              <w:spacing w:after="0"/>
              <w:ind w:firstLine="180"/>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维氏硬度HV</w:t>
            </w:r>
          </w:p>
        </w:tc>
      </w:tr>
      <w:tr w14:paraId="7F45C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pct"/>
            <w:vMerge w:val="restart"/>
            <w:vAlign w:val="center"/>
          </w:tcPr>
          <w:p w14:paraId="35EE06FF">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T2、TP2</w:t>
            </w:r>
          </w:p>
        </w:tc>
        <w:tc>
          <w:tcPr>
            <w:tcW w:w="823" w:type="pct"/>
            <w:vAlign w:val="center"/>
          </w:tcPr>
          <w:p w14:paraId="5F87340A">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H01</w:t>
            </w:r>
          </w:p>
        </w:tc>
        <w:tc>
          <w:tcPr>
            <w:tcW w:w="1229" w:type="pct"/>
            <w:vAlign w:val="center"/>
          </w:tcPr>
          <w:p w14:paraId="62283EA0">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215</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2</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95</w:t>
            </w:r>
          </w:p>
        </w:tc>
        <w:tc>
          <w:tcPr>
            <w:tcW w:w="1132" w:type="pct"/>
            <w:vAlign w:val="center"/>
          </w:tcPr>
          <w:p w14:paraId="2ABDFF3C">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≥25</w:t>
            </w:r>
          </w:p>
        </w:tc>
        <w:tc>
          <w:tcPr>
            <w:tcW w:w="1051" w:type="pct"/>
            <w:vAlign w:val="center"/>
          </w:tcPr>
          <w:p w14:paraId="4BD4FD8C">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60</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9</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5</w:t>
            </w:r>
          </w:p>
        </w:tc>
      </w:tr>
      <w:tr w14:paraId="4C336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pct"/>
            <w:vMerge w:val="continue"/>
            <w:vAlign w:val="center"/>
          </w:tcPr>
          <w:p w14:paraId="22F5D808">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823" w:type="pct"/>
            <w:vAlign w:val="center"/>
          </w:tcPr>
          <w:p w14:paraId="380C8194">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H02</w:t>
            </w:r>
          </w:p>
        </w:tc>
        <w:tc>
          <w:tcPr>
            <w:tcW w:w="1229" w:type="pct"/>
            <w:vAlign w:val="center"/>
          </w:tcPr>
          <w:p w14:paraId="6FA92349">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245</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345</w:t>
            </w:r>
          </w:p>
        </w:tc>
        <w:tc>
          <w:tcPr>
            <w:tcW w:w="1132" w:type="pct"/>
            <w:vAlign w:val="center"/>
          </w:tcPr>
          <w:p w14:paraId="1881C447">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≥8</w:t>
            </w:r>
          </w:p>
        </w:tc>
        <w:tc>
          <w:tcPr>
            <w:tcW w:w="1051" w:type="pct"/>
            <w:vAlign w:val="center"/>
          </w:tcPr>
          <w:p w14:paraId="52406162">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80</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110</w:t>
            </w:r>
          </w:p>
        </w:tc>
      </w:tr>
      <w:tr w14:paraId="23A77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pct"/>
            <w:vMerge w:val="continue"/>
            <w:vAlign w:val="center"/>
          </w:tcPr>
          <w:p w14:paraId="7F502692">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823" w:type="pct"/>
            <w:vAlign w:val="center"/>
          </w:tcPr>
          <w:p w14:paraId="60AC0179">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H04</w:t>
            </w:r>
          </w:p>
        </w:tc>
        <w:tc>
          <w:tcPr>
            <w:tcW w:w="1229" w:type="pct"/>
            <w:vAlign w:val="center"/>
          </w:tcPr>
          <w:p w14:paraId="78C0D145">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295</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3</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95</w:t>
            </w:r>
          </w:p>
        </w:tc>
        <w:tc>
          <w:tcPr>
            <w:tcW w:w="1132" w:type="pct"/>
            <w:vAlign w:val="center"/>
          </w:tcPr>
          <w:p w14:paraId="366F9BE4">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≥3</w:t>
            </w:r>
          </w:p>
        </w:tc>
        <w:tc>
          <w:tcPr>
            <w:tcW w:w="1051" w:type="pct"/>
            <w:vAlign w:val="center"/>
          </w:tcPr>
          <w:p w14:paraId="2410E450">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90</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120</w:t>
            </w:r>
          </w:p>
        </w:tc>
      </w:tr>
      <w:tr w14:paraId="1F08E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pct"/>
            <w:vMerge w:val="continue"/>
            <w:vAlign w:val="center"/>
          </w:tcPr>
          <w:p w14:paraId="679FC2BA">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823" w:type="pct"/>
            <w:vAlign w:val="center"/>
          </w:tcPr>
          <w:p w14:paraId="413302BE">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H06</w:t>
            </w:r>
          </w:p>
        </w:tc>
        <w:tc>
          <w:tcPr>
            <w:tcW w:w="1229" w:type="pct"/>
            <w:vAlign w:val="center"/>
          </w:tcPr>
          <w:p w14:paraId="2E9830BC">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≥350</w:t>
            </w:r>
          </w:p>
        </w:tc>
        <w:tc>
          <w:tcPr>
            <w:tcW w:w="1132" w:type="pct"/>
            <w:vAlign w:val="center"/>
          </w:tcPr>
          <w:p w14:paraId="2A98951B">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p>
        </w:tc>
        <w:tc>
          <w:tcPr>
            <w:tcW w:w="1051" w:type="pct"/>
            <w:vAlign w:val="center"/>
          </w:tcPr>
          <w:p w14:paraId="5EF7FCD6">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≥110</w:t>
            </w:r>
          </w:p>
        </w:tc>
      </w:tr>
      <w:tr w14:paraId="31147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pct"/>
            <w:vMerge w:val="restart"/>
            <w:vAlign w:val="center"/>
          </w:tcPr>
          <w:p w14:paraId="01CB5E62">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H85</w:t>
            </w:r>
          </w:p>
        </w:tc>
        <w:tc>
          <w:tcPr>
            <w:tcW w:w="823" w:type="pct"/>
            <w:vAlign w:val="center"/>
          </w:tcPr>
          <w:p w14:paraId="7A81E703">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O60</w:t>
            </w:r>
          </w:p>
        </w:tc>
        <w:tc>
          <w:tcPr>
            <w:tcW w:w="1229" w:type="pct"/>
            <w:vAlign w:val="center"/>
          </w:tcPr>
          <w:p w14:paraId="08A177B4">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≥26</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5</w:t>
            </w:r>
          </w:p>
        </w:tc>
        <w:tc>
          <w:tcPr>
            <w:tcW w:w="1132" w:type="pct"/>
            <w:vAlign w:val="center"/>
          </w:tcPr>
          <w:p w14:paraId="7C3EC08F">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≥40</w:t>
            </w:r>
          </w:p>
        </w:tc>
        <w:tc>
          <w:tcPr>
            <w:tcW w:w="1051" w:type="pct"/>
            <w:vAlign w:val="center"/>
          </w:tcPr>
          <w:p w14:paraId="34F36027">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≤85</w:t>
            </w:r>
          </w:p>
        </w:tc>
      </w:tr>
      <w:tr w14:paraId="4FC93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pct"/>
            <w:vMerge w:val="continue"/>
            <w:vAlign w:val="center"/>
          </w:tcPr>
          <w:p w14:paraId="6A11EDDE">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823" w:type="pct"/>
            <w:vAlign w:val="center"/>
          </w:tcPr>
          <w:p w14:paraId="57B8D585">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H02</w:t>
            </w:r>
          </w:p>
        </w:tc>
        <w:tc>
          <w:tcPr>
            <w:tcW w:w="1229" w:type="pct"/>
            <w:vAlign w:val="center"/>
          </w:tcPr>
          <w:p w14:paraId="72C5C233">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305</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380</w:t>
            </w:r>
          </w:p>
        </w:tc>
        <w:tc>
          <w:tcPr>
            <w:tcW w:w="1132" w:type="pct"/>
            <w:vAlign w:val="center"/>
          </w:tcPr>
          <w:p w14:paraId="6580CF92">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≥15</w:t>
            </w:r>
          </w:p>
        </w:tc>
        <w:tc>
          <w:tcPr>
            <w:tcW w:w="1051" w:type="pct"/>
            <w:vAlign w:val="center"/>
          </w:tcPr>
          <w:p w14:paraId="536B365B">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80</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115</w:t>
            </w:r>
          </w:p>
        </w:tc>
      </w:tr>
      <w:tr w14:paraId="36ABE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pct"/>
            <w:vMerge w:val="continue"/>
            <w:vAlign w:val="center"/>
          </w:tcPr>
          <w:p w14:paraId="4955B17E">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823" w:type="pct"/>
            <w:vAlign w:val="center"/>
          </w:tcPr>
          <w:p w14:paraId="6A774CB2">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H04</w:t>
            </w:r>
          </w:p>
        </w:tc>
        <w:tc>
          <w:tcPr>
            <w:tcW w:w="1229" w:type="pct"/>
            <w:vAlign w:val="center"/>
          </w:tcPr>
          <w:p w14:paraId="000B0D2E">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≥350</w:t>
            </w:r>
          </w:p>
        </w:tc>
        <w:tc>
          <w:tcPr>
            <w:tcW w:w="1132" w:type="pct"/>
            <w:vAlign w:val="center"/>
          </w:tcPr>
          <w:p w14:paraId="343A8680">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p>
        </w:tc>
        <w:tc>
          <w:tcPr>
            <w:tcW w:w="1051" w:type="pct"/>
            <w:vAlign w:val="center"/>
          </w:tcPr>
          <w:p w14:paraId="51932AAE">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≥105</w:t>
            </w:r>
          </w:p>
        </w:tc>
      </w:tr>
      <w:tr w14:paraId="12A85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pct"/>
            <w:vMerge w:val="restart"/>
            <w:vAlign w:val="center"/>
          </w:tcPr>
          <w:p w14:paraId="7C51DE32">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H80</w:t>
            </w:r>
          </w:p>
        </w:tc>
        <w:tc>
          <w:tcPr>
            <w:tcW w:w="823" w:type="pct"/>
            <w:vAlign w:val="center"/>
          </w:tcPr>
          <w:p w14:paraId="1B6FA85E">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O60</w:t>
            </w:r>
          </w:p>
        </w:tc>
        <w:tc>
          <w:tcPr>
            <w:tcW w:w="1229" w:type="pct"/>
            <w:vAlign w:val="center"/>
          </w:tcPr>
          <w:p w14:paraId="564B9FEE">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≥265</w:t>
            </w:r>
          </w:p>
        </w:tc>
        <w:tc>
          <w:tcPr>
            <w:tcW w:w="1132" w:type="pct"/>
            <w:vAlign w:val="center"/>
          </w:tcPr>
          <w:p w14:paraId="2927D039">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≥50</w:t>
            </w:r>
          </w:p>
        </w:tc>
        <w:tc>
          <w:tcPr>
            <w:tcW w:w="1051" w:type="pct"/>
            <w:vMerge w:val="restart"/>
            <w:vAlign w:val="center"/>
          </w:tcPr>
          <w:p w14:paraId="1E057106">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p>
        </w:tc>
      </w:tr>
      <w:tr w14:paraId="65400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pct"/>
            <w:vMerge w:val="continue"/>
            <w:vAlign w:val="center"/>
          </w:tcPr>
          <w:p w14:paraId="15F80BB3">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823" w:type="pct"/>
            <w:vAlign w:val="center"/>
          </w:tcPr>
          <w:p w14:paraId="4C8B5F68">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H04</w:t>
            </w:r>
          </w:p>
        </w:tc>
        <w:tc>
          <w:tcPr>
            <w:tcW w:w="1229" w:type="pct"/>
            <w:vAlign w:val="center"/>
          </w:tcPr>
          <w:p w14:paraId="33E80F63">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≥390</w:t>
            </w:r>
          </w:p>
        </w:tc>
        <w:tc>
          <w:tcPr>
            <w:tcW w:w="1132" w:type="pct"/>
            <w:vAlign w:val="center"/>
          </w:tcPr>
          <w:p w14:paraId="0A599853">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≥3</w:t>
            </w:r>
          </w:p>
        </w:tc>
        <w:tc>
          <w:tcPr>
            <w:tcW w:w="1051" w:type="pct"/>
            <w:vMerge w:val="continue"/>
            <w:vAlign w:val="center"/>
          </w:tcPr>
          <w:p w14:paraId="7337FA78">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r>
      <w:tr w14:paraId="07ABA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pct"/>
            <w:vMerge w:val="restart"/>
            <w:vAlign w:val="center"/>
          </w:tcPr>
          <w:p w14:paraId="5CF8D356">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H70、H68</w:t>
            </w:r>
          </w:p>
          <w:p w14:paraId="16C9EF9D">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H65</w:t>
            </w:r>
          </w:p>
        </w:tc>
        <w:tc>
          <w:tcPr>
            <w:tcW w:w="823" w:type="pct"/>
            <w:vAlign w:val="center"/>
          </w:tcPr>
          <w:p w14:paraId="1A507E5F">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O60</w:t>
            </w:r>
          </w:p>
        </w:tc>
        <w:tc>
          <w:tcPr>
            <w:tcW w:w="1229" w:type="pct"/>
            <w:vAlign w:val="center"/>
          </w:tcPr>
          <w:p w14:paraId="6C5D2D5B">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≥290</w:t>
            </w:r>
          </w:p>
        </w:tc>
        <w:tc>
          <w:tcPr>
            <w:tcW w:w="1132" w:type="pct"/>
            <w:vAlign w:val="center"/>
          </w:tcPr>
          <w:p w14:paraId="3C2DF611">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≥40</w:t>
            </w:r>
          </w:p>
        </w:tc>
        <w:tc>
          <w:tcPr>
            <w:tcW w:w="1051" w:type="pct"/>
            <w:vAlign w:val="center"/>
          </w:tcPr>
          <w:p w14:paraId="529F2F91">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≤90</w:t>
            </w:r>
          </w:p>
        </w:tc>
      </w:tr>
      <w:tr w14:paraId="68845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pct"/>
            <w:vMerge w:val="continue"/>
            <w:vAlign w:val="center"/>
          </w:tcPr>
          <w:p w14:paraId="5180267F">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823" w:type="pct"/>
            <w:vAlign w:val="center"/>
          </w:tcPr>
          <w:p w14:paraId="5D9D9F7B">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H01</w:t>
            </w:r>
          </w:p>
        </w:tc>
        <w:tc>
          <w:tcPr>
            <w:tcW w:w="1229" w:type="pct"/>
            <w:vAlign w:val="center"/>
          </w:tcPr>
          <w:p w14:paraId="7BBD099D">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325</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410</w:t>
            </w:r>
          </w:p>
        </w:tc>
        <w:tc>
          <w:tcPr>
            <w:tcW w:w="1132" w:type="pct"/>
            <w:vAlign w:val="center"/>
          </w:tcPr>
          <w:p w14:paraId="64A4277A">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≥35</w:t>
            </w:r>
          </w:p>
        </w:tc>
        <w:tc>
          <w:tcPr>
            <w:tcW w:w="1051" w:type="pct"/>
            <w:vAlign w:val="center"/>
          </w:tcPr>
          <w:p w14:paraId="5660ECBC">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85</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115</w:t>
            </w:r>
          </w:p>
        </w:tc>
      </w:tr>
      <w:tr w14:paraId="5B7E8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pct"/>
            <w:vMerge w:val="continue"/>
            <w:vAlign w:val="center"/>
          </w:tcPr>
          <w:p w14:paraId="598DE057">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823" w:type="pct"/>
            <w:vAlign w:val="center"/>
          </w:tcPr>
          <w:p w14:paraId="1EB746FD">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H02</w:t>
            </w:r>
          </w:p>
        </w:tc>
        <w:tc>
          <w:tcPr>
            <w:tcW w:w="1229" w:type="pct"/>
            <w:vAlign w:val="center"/>
          </w:tcPr>
          <w:p w14:paraId="2B11A88F">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355</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460</w:t>
            </w:r>
          </w:p>
        </w:tc>
        <w:tc>
          <w:tcPr>
            <w:tcW w:w="1132" w:type="pct"/>
            <w:vAlign w:val="center"/>
          </w:tcPr>
          <w:p w14:paraId="1641B39A">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≥25</w:t>
            </w:r>
          </w:p>
        </w:tc>
        <w:tc>
          <w:tcPr>
            <w:tcW w:w="1051" w:type="pct"/>
            <w:vAlign w:val="center"/>
          </w:tcPr>
          <w:p w14:paraId="1781E571">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100</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130</w:t>
            </w:r>
          </w:p>
        </w:tc>
      </w:tr>
      <w:tr w14:paraId="787B5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pct"/>
            <w:vMerge w:val="continue"/>
            <w:vAlign w:val="center"/>
          </w:tcPr>
          <w:p w14:paraId="6CCC0E12">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823" w:type="pct"/>
            <w:vAlign w:val="center"/>
          </w:tcPr>
          <w:p w14:paraId="34E82611">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H04</w:t>
            </w:r>
          </w:p>
        </w:tc>
        <w:tc>
          <w:tcPr>
            <w:tcW w:w="1229" w:type="pct"/>
            <w:vAlign w:val="center"/>
          </w:tcPr>
          <w:p w14:paraId="5D433E0A">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410</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540</w:t>
            </w:r>
          </w:p>
        </w:tc>
        <w:tc>
          <w:tcPr>
            <w:tcW w:w="1132" w:type="pct"/>
            <w:vAlign w:val="center"/>
          </w:tcPr>
          <w:p w14:paraId="5D998543">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≥13</w:t>
            </w:r>
          </w:p>
        </w:tc>
        <w:tc>
          <w:tcPr>
            <w:tcW w:w="1051" w:type="pct"/>
            <w:vAlign w:val="center"/>
          </w:tcPr>
          <w:p w14:paraId="0CA71BF8">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120</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160</w:t>
            </w:r>
          </w:p>
        </w:tc>
      </w:tr>
      <w:tr w14:paraId="1B138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pct"/>
            <w:vMerge w:val="continue"/>
            <w:vAlign w:val="center"/>
          </w:tcPr>
          <w:p w14:paraId="524315D1">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823" w:type="pct"/>
            <w:vAlign w:val="center"/>
          </w:tcPr>
          <w:p w14:paraId="50854F6E">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H06</w:t>
            </w:r>
          </w:p>
        </w:tc>
        <w:tc>
          <w:tcPr>
            <w:tcW w:w="1229" w:type="pct"/>
            <w:vAlign w:val="center"/>
          </w:tcPr>
          <w:p w14:paraId="69D61F84">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520</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620</w:t>
            </w:r>
          </w:p>
        </w:tc>
        <w:tc>
          <w:tcPr>
            <w:tcW w:w="1132" w:type="pct"/>
            <w:vAlign w:val="center"/>
          </w:tcPr>
          <w:p w14:paraId="59331A32">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≥4</w:t>
            </w:r>
          </w:p>
        </w:tc>
        <w:tc>
          <w:tcPr>
            <w:tcW w:w="1051" w:type="pct"/>
            <w:vAlign w:val="center"/>
          </w:tcPr>
          <w:p w14:paraId="626C9327">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150</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190</w:t>
            </w:r>
          </w:p>
        </w:tc>
      </w:tr>
      <w:tr w14:paraId="306C2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pct"/>
            <w:vMerge w:val="continue"/>
            <w:vAlign w:val="center"/>
          </w:tcPr>
          <w:p w14:paraId="3FC173F5">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823" w:type="pct"/>
            <w:vAlign w:val="center"/>
          </w:tcPr>
          <w:p w14:paraId="206CFA39">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H08</w:t>
            </w:r>
          </w:p>
        </w:tc>
        <w:tc>
          <w:tcPr>
            <w:tcW w:w="1229" w:type="pct"/>
            <w:vAlign w:val="center"/>
          </w:tcPr>
          <w:p w14:paraId="6F0949A1">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≥570</w:t>
            </w:r>
          </w:p>
        </w:tc>
        <w:tc>
          <w:tcPr>
            <w:tcW w:w="1132" w:type="pct"/>
            <w:vAlign w:val="center"/>
          </w:tcPr>
          <w:p w14:paraId="58D6C33F">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p>
        </w:tc>
        <w:tc>
          <w:tcPr>
            <w:tcW w:w="1051" w:type="pct"/>
            <w:vAlign w:val="center"/>
          </w:tcPr>
          <w:p w14:paraId="5FE6C82C">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≥180</w:t>
            </w:r>
          </w:p>
        </w:tc>
      </w:tr>
      <w:tr w14:paraId="5AF6C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pct"/>
            <w:vMerge w:val="restart"/>
            <w:vAlign w:val="center"/>
          </w:tcPr>
          <w:p w14:paraId="7DB3B5D9">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H63</w:t>
            </w:r>
          </w:p>
        </w:tc>
        <w:tc>
          <w:tcPr>
            <w:tcW w:w="823" w:type="pct"/>
            <w:vAlign w:val="center"/>
          </w:tcPr>
          <w:p w14:paraId="7E8DBE8D">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O60</w:t>
            </w:r>
          </w:p>
        </w:tc>
        <w:tc>
          <w:tcPr>
            <w:tcW w:w="1229" w:type="pct"/>
            <w:vAlign w:val="center"/>
          </w:tcPr>
          <w:p w14:paraId="5F79B33D">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≥290</w:t>
            </w:r>
          </w:p>
        </w:tc>
        <w:tc>
          <w:tcPr>
            <w:tcW w:w="1132" w:type="pct"/>
            <w:vAlign w:val="center"/>
          </w:tcPr>
          <w:p w14:paraId="687C66E7">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≥35</w:t>
            </w:r>
          </w:p>
        </w:tc>
        <w:tc>
          <w:tcPr>
            <w:tcW w:w="1051" w:type="pct"/>
            <w:vAlign w:val="center"/>
          </w:tcPr>
          <w:p w14:paraId="3839C272">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≤95</w:t>
            </w:r>
          </w:p>
        </w:tc>
      </w:tr>
      <w:tr w14:paraId="0F063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pct"/>
            <w:vMerge w:val="continue"/>
            <w:vAlign w:val="center"/>
          </w:tcPr>
          <w:p w14:paraId="4252BC0C">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823" w:type="pct"/>
            <w:vAlign w:val="center"/>
          </w:tcPr>
          <w:p w14:paraId="6B77E380">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H02</w:t>
            </w:r>
          </w:p>
        </w:tc>
        <w:tc>
          <w:tcPr>
            <w:tcW w:w="1229" w:type="pct"/>
            <w:vAlign w:val="center"/>
          </w:tcPr>
          <w:p w14:paraId="0B7E95CB">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350</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470</w:t>
            </w:r>
          </w:p>
        </w:tc>
        <w:tc>
          <w:tcPr>
            <w:tcW w:w="1132" w:type="pct"/>
            <w:vAlign w:val="center"/>
          </w:tcPr>
          <w:p w14:paraId="672CC88E">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≥20</w:t>
            </w:r>
          </w:p>
        </w:tc>
        <w:tc>
          <w:tcPr>
            <w:tcW w:w="1051" w:type="pct"/>
            <w:vAlign w:val="center"/>
          </w:tcPr>
          <w:p w14:paraId="00EA733D">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90</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130</w:t>
            </w:r>
          </w:p>
        </w:tc>
      </w:tr>
      <w:tr w14:paraId="0EAA8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pct"/>
            <w:vMerge w:val="continue"/>
            <w:vAlign w:val="center"/>
          </w:tcPr>
          <w:p w14:paraId="5419DDAC">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823" w:type="pct"/>
            <w:vAlign w:val="center"/>
          </w:tcPr>
          <w:p w14:paraId="7AE56038">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H04</w:t>
            </w:r>
          </w:p>
        </w:tc>
        <w:tc>
          <w:tcPr>
            <w:tcW w:w="1229" w:type="pct"/>
            <w:vAlign w:val="center"/>
          </w:tcPr>
          <w:p w14:paraId="00A4AB4E">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410</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630</w:t>
            </w:r>
          </w:p>
        </w:tc>
        <w:tc>
          <w:tcPr>
            <w:tcW w:w="1132" w:type="pct"/>
            <w:vAlign w:val="center"/>
          </w:tcPr>
          <w:p w14:paraId="7052CC80">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≥10</w:t>
            </w:r>
          </w:p>
        </w:tc>
        <w:tc>
          <w:tcPr>
            <w:tcW w:w="1051" w:type="pct"/>
            <w:vAlign w:val="center"/>
          </w:tcPr>
          <w:p w14:paraId="7F2E4B4C">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125</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165</w:t>
            </w:r>
          </w:p>
        </w:tc>
      </w:tr>
      <w:tr w14:paraId="62887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pct"/>
            <w:vMerge w:val="continue"/>
            <w:vAlign w:val="center"/>
          </w:tcPr>
          <w:p w14:paraId="1E62ACAF">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823" w:type="pct"/>
            <w:vAlign w:val="center"/>
          </w:tcPr>
          <w:p w14:paraId="00784848">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H06</w:t>
            </w:r>
          </w:p>
        </w:tc>
        <w:tc>
          <w:tcPr>
            <w:tcW w:w="1229" w:type="pct"/>
            <w:vAlign w:val="center"/>
          </w:tcPr>
          <w:p w14:paraId="098C809F">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≥585</w:t>
            </w:r>
          </w:p>
        </w:tc>
        <w:tc>
          <w:tcPr>
            <w:tcW w:w="1132" w:type="pct"/>
            <w:vAlign w:val="center"/>
          </w:tcPr>
          <w:p w14:paraId="1A725047">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≥2.5</w:t>
            </w:r>
          </w:p>
        </w:tc>
        <w:tc>
          <w:tcPr>
            <w:tcW w:w="1051" w:type="pct"/>
            <w:vAlign w:val="center"/>
          </w:tcPr>
          <w:p w14:paraId="2018CE64">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≥155</w:t>
            </w:r>
          </w:p>
        </w:tc>
      </w:tr>
      <w:tr w14:paraId="0BDE3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pct"/>
            <w:vMerge w:val="restart"/>
            <w:vAlign w:val="center"/>
          </w:tcPr>
          <w:p w14:paraId="7141AD55">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QSn4-0.3</w:t>
            </w:r>
          </w:p>
        </w:tc>
        <w:tc>
          <w:tcPr>
            <w:tcW w:w="823" w:type="pct"/>
            <w:vAlign w:val="center"/>
          </w:tcPr>
          <w:p w14:paraId="5354242A">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O60</w:t>
            </w:r>
          </w:p>
        </w:tc>
        <w:tc>
          <w:tcPr>
            <w:tcW w:w="1229" w:type="pct"/>
            <w:vAlign w:val="center"/>
          </w:tcPr>
          <w:p w14:paraId="4F15385D">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≥290</w:t>
            </w:r>
          </w:p>
        </w:tc>
        <w:tc>
          <w:tcPr>
            <w:tcW w:w="1132" w:type="pct"/>
            <w:vAlign w:val="center"/>
          </w:tcPr>
          <w:p w14:paraId="6FD3A446">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≥40</w:t>
            </w:r>
          </w:p>
        </w:tc>
        <w:tc>
          <w:tcPr>
            <w:tcW w:w="1051" w:type="pct"/>
            <w:vMerge w:val="restart"/>
            <w:vAlign w:val="center"/>
          </w:tcPr>
          <w:p w14:paraId="69F55301">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p>
        </w:tc>
      </w:tr>
      <w:tr w14:paraId="7C36C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pct"/>
            <w:vMerge w:val="continue"/>
            <w:vAlign w:val="center"/>
          </w:tcPr>
          <w:p w14:paraId="78E7C783">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823" w:type="pct"/>
            <w:vAlign w:val="center"/>
          </w:tcPr>
          <w:p w14:paraId="54F2A49D">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H04</w:t>
            </w:r>
          </w:p>
        </w:tc>
        <w:tc>
          <w:tcPr>
            <w:tcW w:w="1229" w:type="pct"/>
            <w:vAlign w:val="center"/>
          </w:tcPr>
          <w:p w14:paraId="56835A64">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540</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690</w:t>
            </w:r>
          </w:p>
        </w:tc>
        <w:tc>
          <w:tcPr>
            <w:tcW w:w="1132" w:type="pct"/>
            <w:vAlign w:val="center"/>
          </w:tcPr>
          <w:p w14:paraId="111BFF73">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≥3</w:t>
            </w:r>
          </w:p>
        </w:tc>
        <w:tc>
          <w:tcPr>
            <w:tcW w:w="1051" w:type="pct"/>
            <w:vMerge w:val="continue"/>
            <w:vAlign w:val="center"/>
          </w:tcPr>
          <w:p w14:paraId="0E41881A">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r>
      <w:tr w14:paraId="7A4CA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pct"/>
            <w:vMerge w:val="continue"/>
            <w:vAlign w:val="center"/>
          </w:tcPr>
          <w:p w14:paraId="7A5DF422">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823" w:type="pct"/>
            <w:vAlign w:val="center"/>
          </w:tcPr>
          <w:p w14:paraId="623DB173">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H06</w:t>
            </w:r>
          </w:p>
        </w:tc>
        <w:tc>
          <w:tcPr>
            <w:tcW w:w="1229" w:type="pct"/>
            <w:vAlign w:val="center"/>
          </w:tcPr>
          <w:p w14:paraId="2032D21F">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≥635</w:t>
            </w:r>
          </w:p>
        </w:tc>
        <w:tc>
          <w:tcPr>
            <w:tcW w:w="1132" w:type="pct"/>
            <w:vAlign w:val="center"/>
          </w:tcPr>
          <w:p w14:paraId="0CE41ECF">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≥2</w:t>
            </w:r>
          </w:p>
        </w:tc>
        <w:tc>
          <w:tcPr>
            <w:tcW w:w="1051" w:type="pct"/>
            <w:vMerge w:val="continue"/>
            <w:vAlign w:val="center"/>
          </w:tcPr>
          <w:p w14:paraId="0C80F6C1">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r>
      <w:tr w14:paraId="52B2E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pct"/>
            <w:vMerge w:val="restart"/>
            <w:vAlign w:val="center"/>
          </w:tcPr>
          <w:p w14:paraId="27085C84">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QSn6.5-0.1</w:t>
            </w:r>
          </w:p>
        </w:tc>
        <w:tc>
          <w:tcPr>
            <w:tcW w:w="823" w:type="pct"/>
            <w:vAlign w:val="center"/>
          </w:tcPr>
          <w:p w14:paraId="70752919">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O60</w:t>
            </w:r>
          </w:p>
        </w:tc>
        <w:tc>
          <w:tcPr>
            <w:tcW w:w="1229" w:type="pct"/>
            <w:vAlign w:val="center"/>
          </w:tcPr>
          <w:p w14:paraId="177A94EF">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≥315</w:t>
            </w:r>
          </w:p>
        </w:tc>
        <w:tc>
          <w:tcPr>
            <w:tcW w:w="1132" w:type="pct"/>
            <w:vAlign w:val="center"/>
          </w:tcPr>
          <w:p w14:paraId="4032B715">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≥40</w:t>
            </w:r>
          </w:p>
        </w:tc>
        <w:tc>
          <w:tcPr>
            <w:tcW w:w="1051" w:type="pct"/>
            <w:vAlign w:val="center"/>
          </w:tcPr>
          <w:p w14:paraId="175D4D9E">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≤120</w:t>
            </w:r>
          </w:p>
        </w:tc>
      </w:tr>
      <w:tr w14:paraId="3773B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pct"/>
            <w:vMerge w:val="continue"/>
            <w:vAlign w:val="center"/>
          </w:tcPr>
          <w:p w14:paraId="5C705693">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823" w:type="pct"/>
            <w:vAlign w:val="center"/>
          </w:tcPr>
          <w:p w14:paraId="09D4286F">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H01</w:t>
            </w:r>
          </w:p>
        </w:tc>
        <w:tc>
          <w:tcPr>
            <w:tcW w:w="1229" w:type="pct"/>
            <w:vAlign w:val="center"/>
          </w:tcPr>
          <w:p w14:paraId="51363B28">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390</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510</w:t>
            </w:r>
          </w:p>
        </w:tc>
        <w:tc>
          <w:tcPr>
            <w:tcW w:w="1132" w:type="pct"/>
            <w:vAlign w:val="center"/>
          </w:tcPr>
          <w:p w14:paraId="2DC2F3FF">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≥35</w:t>
            </w:r>
          </w:p>
        </w:tc>
        <w:tc>
          <w:tcPr>
            <w:tcW w:w="1051" w:type="pct"/>
            <w:vAlign w:val="center"/>
          </w:tcPr>
          <w:p w14:paraId="0DD9999B">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110</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155</w:t>
            </w:r>
          </w:p>
        </w:tc>
      </w:tr>
      <w:tr w14:paraId="51792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pct"/>
            <w:vMerge w:val="continue"/>
            <w:vAlign w:val="center"/>
          </w:tcPr>
          <w:p w14:paraId="70184529">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823" w:type="pct"/>
            <w:vAlign w:val="center"/>
          </w:tcPr>
          <w:p w14:paraId="09138F04">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H02</w:t>
            </w:r>
          </w:p>
        </w:tc>
        <w:tc>
          <w:tcPr>
            <w:tcW w:w="1229" w:type="pct"/>
            <w:vAlign w:val="center"/>
          </w:tcPr>
          <w:p w14:paraId="62573341">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490</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610</w:t>
            </w:r>
          </w:p>
        </w:tc>
        <w:tc>
          <w:tcPr>
            <w:tcW w:w="1132" w:type="pct"/>
            <w:vAlign w:val="center"/>
          </w:tcPr>
          <w:p w14:paraId="2CD2DB8C">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≥10</w:t>
            </w:r>
          </w:p>
        </w:tc>
        <w:tc>
          <w:tcPr>
            <w:tcW w:w="1051" w:type="pct"/>
            <w:vAlign w:val="center"/>
          </w:tcPr>
          <w:p w14:paraId="28D2BA42">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150</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190</w:t>
            </w:r>
          </w:p>
        </w:tc>
      </w:tr>
      <w:tr w14:paraId="64D18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pct"/>
            <w:vMerge w:val="continue"/>
            <w:vAlign w:val="center"/>
          </w:tcPr>
          <w:p w14:paraId="41ADA2BD">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823" w:type="pct"/>
            <w:vAlign w:val="center"/>
          </w:tcPr>
          <w:p w14:paraId="74846E46">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H04</w:t>
            </w:r>
          </w:p>
        </w:tc>
        <w:tc>
          <w:tcPr>
            <w:tcW w:w="1229" w:type="pct"/>
            <w:vAlign w:val="center"/>
          </w:tcPr>
          <w:p w14:paraId="5C565DD0">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590</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690</w:t>
            </w:r>
          </w:p>
        </w:tc>
        <w:tc>
          <w:tcPr>
            <w:tcW w:w="1132" w:type="pct"/>
            <w:vAlign w:val="center"/>
          </w:tcPr>
          <w:p w14:paraId="5D71DE67">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≥8</w:t>
            </w:r>
          </w:p>
        </w:tc>
        <w:tc>
          <w:tcPr>
            <w:tcW w:w="1051" w:type="pct"/>
            <w:vAlign w:val="center"/>
          </w:tcPr>
          <w:p w14:paraId="134979AA">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180</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230</w:t>
            </w:r>
          </w:p>
        </w:tc>
      </w:tr>
      <w:tr w14:paraId="3DFFC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pct"/>
            <w:vMerge w:val="continue"/>
            <w:vAlign w:val="center"/>
          </w:tcPr>
          <w:p w14:paraId="20B9E80E">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823" w:type="pct"/>
            <w:vAlign w:val="center"/>
          </w:tcPr>
          <w:p w14:paraId="1A0F937A">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H06</w:t>
            </w:r>
          </w:p>
        </w:tc>
        <w:tc>
          <w:tcPr>
            <w:tcW w:w="1229" w:type="pct"/>
            <w:vAlign w:val="center"/>
          </w:tcPr>
          <w:p w14:paraId="2B28FF04">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635</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720</w:t>
            </w:r>
          </w:p>
        </w:tc>
        <w:tc>
          <w:tcPr>
            <w:tcW w:w="1132" w:type="pct"/>
            <w:vAlign w:val="center"/>
          </w:tcPr>
          <w:p w14:paraId="3E443D01">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≥5</w:t>
            </w:r>
          </w:p>
        </w:tc>
        <w:tc>
          <w:tcPr>
            <w:tcW w:w="1051" w:type="pct"/>
            <w:vAlign w:val="center"/>
          </w:tcPr>
          <w:p w14:paraId="64B18E3B">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200</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240</w:t>
            </w:r>
          </w:p>
        </w:tc>
      </w:tr>
      <w:tr w14:paraId="55EA3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pct"/>
            <w:vMerge w:val="continue"/>
            <w:vAlign w:val="center"/>
          </w:tcPr>
          <w:p w14:paraId="7C7FCEB1">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823" w:type="pct"/>
            <w:vAlign w:val="center"/>
          </w:tcPr>
          <w:p w14:paraId="16DD9423">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H08</w:t>
            </w:r>
          </w:p>
        </w:tc>
        <w:tc>
          <w:tcPr>
            <w:tcW w:w="1229" w:type="pct"/>
            <w:vAlign w:val="center"/>
          </w:tcPr>
          <w:p w14:paraId="6F159707">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≥690</w:t>
            </w:r>
          </w:p>
        </w:tc>
        <w:tc>
          <w:tcPr>
            <w:tcW w:w="1132" w:type="pct"/>
            <w:vAlign w:val="center"/>
          </w:tcPr>
          <w:p w14:paraId="01352DEB">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p>
        </w:tc>
        <w:tc>
          <w:tcPr>
            <w:tcW w:w="1051" w:type="pct"/>
            <w:vAlign w:val="center"/>
          </w:tcPr>
          <w:p w14:paraId="4D2B523E">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≥210</w:t>
            </w:r>
          </w:p>
        </w:tc>
      </w:tr>
      <w:tr w14:paraId="53819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pct"/>
            <w:vMerge w:val="restart"/>
            <w:vAlign w:val="center"/>
          </w:tcPr>
          <w:p w14:paraId="1A7B89D3">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QSn6.5-0.4</w:t>
            </w:r>
          </w:p>
        </w:tc>
        <w:tc>
          <w:tcPr>
            <w:tcW w:w="823" w:type="pct"/>
            <w:vAlign w:val="center"/>
          </w:tcPr>
          <w:p w14:paraId="300F2C0A">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O60</w:t>
            </w:r>
          </w:p>
        </w:tc>
        <w:tc>
          <w:tcPr>
            <w:tcW w:w="1229" w:type="pct"/>
            <w:vAlign w:val="center"/>
          </w:tcPr>
          <w:p w14:paraId="1EEF4748">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≥295</w:t>
            </w:r>
          </w:p>
        </w:tc>
        <w:tc>
          <w:tcPr>
            <w:tcW w:w="1132" w:type="pct"/>
            <w:vAlign w:val="center"/>
          </w:tcPr>
          <w:p w14:paraId="1DA6410F">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≥40</w:t>
            </w:r>
          </w:p>
        </w:tc>
        <w:tc>
          <w:tcPr>
            <w:tcW w:w="1051" w:type="pct"/>
            <w:vMerge w:val="restart"/>
            <w:vAlign w:val="center"/>
          </w:tcPr>
          <w:p w14:paraId="42DA47E1">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p>
        </w:tc>
      </w:tr>
      <w:tr w14:paraId="398EB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pct"/>
            <w:vMerge w:val="continue"/>
            <w:vAlign w:val="center"/>
          </w:tcPr>
          <w:p w14:paraId="0394733B">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823" w:type="pct"/>
            <w:vAlign w:val="center"/>
          </w:tcPr>
          <w:p w14:paraId="4C8C8C77">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H04</w:t>
            </w:r>
          </w:p>
        </w:tc>
        <w:tc>
          <w:tcPr>
            <w:tcW w:w="1229" w:type="pct"/>
            <w:vAlign w:val="center"/>
          </w:tcPr>
          <w:p w14:paraId="34378D5E">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540</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690</w:t>
            </w:r>
          </w:p>
        </w:tc>
        <w:tc>
          <w:tcPr>
            <w:tcW w:w="1132" w:type="pct"/>
            <w:vAlign w:val="center"/>
          </w:tcPr>
          <w:p w14:paraId="26DEE97F">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≥8</w:t>
            </w:r>
          </w:p>
        </w:tc>
        <w:tc>
          <w:tcPr>
            <w:tcW w:w="1051" w:type="pct"/>
            <w:vMerge w:val="continue"/>
            <w:vAlign w:val="center"/>
          </w:tcPr>
          <w:p w14:paraId="6C54A208">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r>
      <w:tr w14:paraId="5BCCE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pct"/>
            <w:vMerge w:val="continue"/>
            <w:vAlign w:val="center"/>
          </w:tcPr>
          <w:p w14:paraId="30E420C1">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823" w:type="pct"/>
            <w:vAlign w:val="center"/>
          </w:tcPr>
          <w:p w14:paraId="356151F9">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H06</w:t>
            </w:r>
          </w:p>
        </w:tc>
        <w:tc>
          <w:tcPr>
            <w:tcW w:w="1229" w:type="pct"/>
            <w:vAlign w:val="center"/>
          </w:tcPr>
          <w:p w14:paraId="19866EB5">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≥665</w:t>
            </w:r>
          </w:p>
        </w:tc>
        <w:tc>
          <w:tcPr>
            <w:tcW w:w="1132" w:type="pct"/>
            <w:vAlign w:val="center"/>
          </w:tcPr>
          <w:p w14:paraId="47E21B96">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≥2</w:t>
            </w:r>
          </w:p>
        </w:tc>
        <w:tc>
          <w:tcPr>
            <w:tcW w:w="1051" w:type="pct"/>
            <w:vMerge w:val="continue"/>
            <w:vAlign w:val="center"/>
          </w:tcPr>
          <w:p w14:paraId="57C0FD4C">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r>
      <w:tr w14:paraId="1A472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pct"/>
            <w:vMerge w:val="restart"/>
            <w:vAlign w:val="center"/>
          </w:tcPr>
          <w:p w14:paraId="0FE5919E">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QSn8-0.3</w:t>
            </w:r>
          </w:p>
        </w:tc>
        <w:tc>
          <w:tcPr>
            <w:tcW w:w="823" w:type="pct"/>
            <w:vAlign w:val="center"/>
          </w:tcPr>
          <w:p w14:paraId="0473888D">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O60</w:t>
            </w:r>
          </w:p>
        </w:tc>
        <w:tc>
          <w:tcPr>
            <w:tcW w:w="1229" w:type="pct"/>
            <w:vAlign w:val="center"/>
          </w:tcPr>
          <w:p w14:paraId="4A96305E">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≥345</w:t>
            </w:r>
          </w:p>
        </w:tc>
        <w:tc>
          <w:tcPr>
            <w:tcW w:w="1132" w:type="pct"/>
            <w:vAlign w:val="center"/>
          </w:tcPr>
          <w:p w14:paraId="3151ADE1">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≥45</w:t>
            </w:r>
          </w:p>
        </w:tc>
        <w:tc>
          <w:tcPr>
            <w:tcW w:w="1051" w:type="pct"/>
            <w:vAlign w:val="center"/>
          </w:tcPr>
          <w:p w14:paraId="2D035D17">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≤120</w:t>
            </w:r>
          </w:p>
        </w:tc>
      </w:tr>
      <w:tr w14:paraId="3B114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pct"/>
            <w:vMerge w:val="continue"/>
            <w:vAlign w:val="center"/>
          </w:tcPr>
          <w:p w14:paraId="7A4CC23B">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823" w:type="pct"/>
            <w:vAlign w:val="center"/>
          </w:tcPr>
          <w:p w14:paraId="70115AE5">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H01</w:t>
            </w:r>
          </w:p>
        </w:tc>
        <w:tc>
          <w:tcPr>
            <w:tcW w:w="1229" w:type="pct"/>
            <w:vAlign w:val="center"/>
          </w:tcPr>
          <w:p w14:paraId="6703FBB5">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390</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510</w:t>
            </w:r>
          </w:p>
        </w:tc>
        <w:tc>
          <w:tcPr>
            <w:tcW w:w="1132" w:type="pct"/>
            <w:vAlign w:val="center"/>
          </w:tcPr>
          <w:p w14:paraId="10DF40E7">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≥40</w:t>
            </w:r>
          </w:p>
        </w:tc>
        <w:tc>
          <w:tcPr>
            <w:tcW w:w="1051" w:type="pct"/>
            <w:vAlign w:val="center"/>
          </w:tcPr>
          <w:p w14:paraId="75B24957">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100</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160</w:t>
            </w:r>
          </w:p>
        </w:tc>
      </w:tr>
      <w:tr w14:paraId="37CC2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pct"/>
            <w:vMerge w:val="continue"/>
            <w:vAlign w:val="center"/>
          </w:tcPr>
          <w:p w14:paraId="45C06D30">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823" w:type="pct"/>
            <w:vAlign w:val="center"/>
          </w:tcPr>
          <w:p w14:paraId="59888F9D">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H02</w:t>
            </w:r>
          </w:p>
        </w:tc>
        <w:tc>
          <w:tcPr>
            <w:tcW w:w="1229" w:type="pct"/>
            <w:vAlign w:val="center"/>
          </w:tcPr>
          <w:p w14:paraId="18B02D27">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490</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610</w:t>
            </w:r>
          </w:p>
        </w:tc>
        <w:tc>
          <w:tcPr>
            <w:tcW w:w="1132" w:type="pct"/>
            <w:vAlign w:val="center"/>
          </w:tcPr>
          <w:p w14:paraId="362CCDE9">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≥30</w:t>
            </w:r>
          </w:p>
        </w:tc>
        <w:tc>
          <w:tcPr>
            <w:tcW w:w="1051" w:type="pct"/>
            <w:vAlign w:val="center"/>
          </w:tcPr>
          <w:p w14:paraId="22E7418A">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150</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205</w:t>
            </w:r>
          </w:p>
        </w:tc>
      </w:tr>
      <w:tr w14:paraId="24E90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pct"/>
            <w:vMerge w:val="continue"/>
            <w:vAlign w:val="center"/>
          </w:tcPr>
          <w:p w14:paraId="0C59EB25">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823" w:type="pct"/>
            <w:vAlign w:val="center"/>
          </w:tcPr>
          <w:p w14:paraId="7474E835">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H04</w:t>
            </w:r>
          </w:p>
        </w:tc>
        <w:tc>
          <w:tcPr>
            <w:tcW w:w="1229" w:type="pct"/>
            <w:vAlign w:val="center"/>
          </w:tcPr>
          <w:p w14:paraId="44318835">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590</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705</w:t>
            </w:r>
          </w:p>
        </w:tc>
        <w:tc>
          <w:tcPr>
            <w:tcW w:w="1132" w:type="pct"/>
            <w:vAlign w:val="center"/>
          </w:tcPr>
          <w:p w14:paraId="25FDB383">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≥12</w:t>
            </w:r>
          </w:p>
        </w:tc>
        <w:tc>
          <w:tcPr>
            <w:tcW w:w="1051" w:type="pct"/>
            <w:vAlign w:val="center"/>
          </w:tcPr>
          <w:p w14:paraId="73B1F29A">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180</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235</w:t>
            </w:r>
          </w:p>
        </w:tc>
      </w:tr>
      <w:tr w14:paraId="3B67E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pct"/>
            <w:vMerge w:val="continue"/>
            <w:vAlign w:val="center"/>
          </w:tcPr>
          <w:p w14:paraId="35C2BDF1">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823" w:type="pct"/>
            <w:vAlign w:val="center"/>
          </w:tcPr>
          <w:p w14:paraId="300F086C">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H06</w:t>
            </w:r>
          </w:p>
        </w:tc>
        <w:tc>
          <w:tcPr>
            <w:tcW w:w="1229" w:type="pct"/>
            <w:vAlign w:val="center"/>
          </w:tcPr>
          <w:p w14:paraId="166D2B91">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685</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785</w:t>
            </w:r>
          </w:p>
        </w:tc>
        <w:tc>
          <w:tcPr>
            <w:tcW w:w="1132" w:type="pct"/>
            <w:vAlign w:val="center"/>
          </w:tcPr>
          <w:p w14:paraId="5864AE4D">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≥5</w:t>
            </w:r>
          </w:p>
        </w:tc>
        <w:tc>
          <w:tcPr>
            <w:tcW w:w="1051" w:type="pct"/>
            <w:vAlign w:val="center"/>
          </w:tcPr>
          <w:p w14:paraId="453A489A">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210</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250</w:t>
            </w:r>
          </w:p>
        </w:tc>
      </w:tr>
      <w:tr w14:paraId="7E8D3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pct"/>
            <w:vMerge w:val="continue"/>
            <w:vAlign w:val="center"/>
          </w:tcPr>
          <w:p w14:paraId="29E2AF1D">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823" w:type="pct"/>
            <w:vAlign w:val="center"/>
          </w:tcPr>
          <w:p w14:paraId="351DAC29">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H08</w:t>
            </w:r>
          </w:p>
        </w:tc>
        <w:tc>
          <w:tcPr>
            <w:tcW w:w="1229" w:type="pct"/>
            <w:vAlign w:val="center"/>
          </w:tcPr>
          <w:p w14:paraId="6B04085A">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≥735</w:t>
            </w:r>
          </w:p>
        </w:tc>
        <w:tc>
          <w:tcPr>
            <w:tcW w:w="1132" w:type="pct"/>
            <w:vAlign w:val="center"/>
          </w:tcPr>
          <w:p w14:paraId="34F7DD04">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p>
        </w:tc>
        <w:tc>
          <w:tcPr>
            <w:tcW w:w="1051" w:type="pct"/>
            <w:vAlign w:val="center"/>
          </w:tcPr>
          <w:p w14:paraId="7C061C68">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≥230</w:t>
            </w:r>
          </w:p>
        </w:tc>
      </w:tr>
      <w:tr w14:paraId="0F46B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pct"/>
            <w:vMerge w:val="restart"/>
            <w:vAlign w:val="center"/>
          </w:tcPr>
          <w:p w14:paraId="59FDD763">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BZn18-18</w:t>
            </w:r>
          </w:p>
        </w:tc>
        <w:tc>
          <w:tcPr>
            <w:tcW w:w="823" w:type="pct"/>
            <w:vAlign w:val="center"/>
          </w:tcPr>
          <w:p w14:paraId="69ED35A4">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O60</w:t>
            </w:r>
          </w:p>
        </w:tc>
        <w:tc>
          <w:tcPr>
            <w:tcW w:w="1229" w:type="pct"/>
            <w:vAlign w:val="center"/>
          </w:tcPr>
          <w:p w14:paraId="4DD54E52">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≥385</w:t>
            </w:r>
          </w:p>
        </w:tc>
        <w:tc>
          <w:tcPr>
            <w:tcW w:w="1132" w:type="pct"/>
            <w:vAlign w:val="center"/>
          </w:tcPr>
          <w:p w14:paraId="474B85F4">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≥35</w:t>
            </w:r>
          </w:p>
        </w:tc>
        <w:tc>
          <w:tcPr>
            <w:tcW w:w="1051" w:type="pct"/>
            <w:vAlign w:val="center"/>
          </w:tcPr>
          <w:p w14:paraId="70683BD8">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≤105</w:t>
            </w:r>
          </w:p>
        </w:tc>
      </w:tr>
      <w:tr w14:paraId="7DF88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pct"/>
            <w:vMerge w:val="continue"/>
            <w:vAlign w:val="center"/>
          </w:tcPr>
          <w:p w14:paraId="00564A7B">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823" w:type="pct"/>
            <w:vAlign w:val="center"/>
          </w:tcPr>
          <w:p w14:paraId="0D60392E">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H01</w:t>
            </w:r>
          </w:p>
        </w:tc>
        <w:tc>
          <w:tcPr>
            <w:tcW w:w="1229" w:type="pct"/>
            <w:vAlign w:val="center"/>
          </w:tcPr>
          <w:p w14:paraId="1C12E36A">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400</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500</w:t>
            </w:r>
          </w:p>
        </w:tc>
        <w:tc>
          <w:tcPr>
            <w:tcW w:w="1132" w:type="pct"/>
            <w:vAlign w:val="center"/>
          </w:tcPr>
          <w:p w14:paraId="31155DB6">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≥20</w:t>
            </w:r>
          </w:p>
        </w:tc>
        <w:tc>
          <w:tcPr>
            <w:tcW w:w="1051" w:type="pct"/>
            <w:vAlign w:val="center"/>
          </w:tcPr>
          <w:p w14:paraId="471ED4C2">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100</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145</w:t>
            </w:r>
          </w:p>
        </w:tc>
      </w:tr>
      <w:tr w14:paraId="0E816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pct"/>
            <w:vMerge w:val="continue"/>
            <w:vAlign w:val="center"/>
          </w:tcPr>
          <w:p w14:paraId="6744AB85">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823" w:type="pct"/>
            <w:vAlign w:val="center"/>
          </w:tcPr>
          <w:p w14:paraId="09825D45">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H02</w:t>
            </w:r>
          </w:p>
        </w:tc>
        <w:tc>
          <w:tcPr>
            <w:tcW w:w="1229" w:type="pct"/>
            <w:vAlign w:val="center"/>
          </w:tcPr>
          <w:p w14:paraId="236AAD33">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460</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580</w:t>
            </w:r>
          </w:p>
        </w:tc>
        <w:tc>
          <w:tcPr>
            <w:tcW w:w="1132" w:type="pct"/>
            <w:vAlign w:val="center"/>
          </w:tcPr>
          <w:p w14:paraId="0C72F9AA">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≥11</w:t>
            </w:r>
          </w:p>
        </w:tc>
        <w:tc>
          <w:tcPr>
            <w:tcW w:w="1051" w:type="pct"/>
            <w:vAlign w:val="center"/>
          </w:tcPr>
          <w:p w14:paraId="6D14AD22">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130</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180</w:t>
            </w:r>
          </w:p>
        </w:tc>
      </w:tr>
      <w:tr w14:paraId="1F0AD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pct"/>
            <w:vMerge w:val="continue"/>
            <w:vAlign w:val="center"/>
          </w:tcPr>
          <w:p w14:paraId="6E600647">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823" w:type="pct"/>
            <w:vAlign w:val="center"/>
          </w:tcPr>
          <w:p w14:paraId="4ACEA663">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H04</w:t>
            </w:r>
          </w:p>
        </w:tc>
        <w:tc>
          <w:tcPr>
            <w:tcW w:w="1229" w:type="pct"/>
            <w:vAlign w:val="center"/>
          </w:tcPr>
          <w:p w14:paraId="0A94EB33">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≥545</w:t>
            </w:r>
          </w:p>
        </w:tc>
        <w:tc>
          <w:tcPr>
            <w:tcW w:w="1132" w:type="pct"/>
            <w:vAlign w:val="center"/>
          </w:tcPr>
          <w:p w14:paraId="248CB481">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≥3</w:t>
            </w:r>
          </w:p>
        </w:tc>
        <w:tc>
          <w:tcPr>
            <w:tcW w:w="1051" w:type="pct"/>
            <w:vAlign w:val="center"/>
          </w:tcPr>
          <w:p w14:paraId="510455BE">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≥165</w:t>
            </w:r>
          </w:p>
        </w:tc>
      </w:tr>
      <w:tr w14:paraId="54AC8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pct"/>
            <w:vMerge w:val="restart"/>
            <w:vAlign w:val="center"/>
          </w:tcPr>
          <w:p w14:paraId="35D7CE2D">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BZn18-26</w:t>
            </w:r>
          </w:p>
        </w:tc>
        <w:tc>
          <w:tcPr>
            <w:tcW w:w="823" w:type="pct"/>
            <w:vAlign w:val="center"/>
          </w:tcPr>
          <w:p w14:paraId="4143CD4C">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H01</w:t>
            </w:r>
          </w:p>
        </w:tc>
        <w:tc>
          <w:tcPr>
            <w:tcW w:w="1229" w:type="pct"/>
            <w:vAlign w:val="center"/>
          </w:tcPr>
          <w:p w14:paraId="72A8794A">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≥475</w:t>
            </w:r>
          </w:p>
        </w:tc>
        <w:tc>
          <w:tcPr>
            <w:tcW w:w="1132" w:type="pct"/>
            <w:vAlign w:val="center"/>
          </w:tcPr>
          <w:p w14:paraId="52292A16">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≥25</w:t>
            </w:r>
          </w:p>
        </w:tc>
        <w:tc>
          <w:tcPr>
            <w:tcW w:w="1051" w:type="pct"/>
            <w:vAlign w:val="center"/>
          </w:tcPr>
          <w:p w14:paraId="26C2B959">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≤165</w:t>
            </w:r>
          </w:p>
        </w:tc>
      </w:tr>
      <w:tr w14:paraId="54D52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pct"/>
            <w:vMerge w:val="continue"/>
            <w:vAlign w:val="center"/>
          </w:tcPr>
          <w:p w14:paraId="2E4BB7BD">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823" w:type="pct"/>
            <w:vAlign w:val="center"/>
          </w:tcPr>
          <w:p w14:paraId="558C13D3">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H02</w:t>
            </w:r>
          </w:p>
        </w:tc>
        <w:tc>
          <w:tcPr>
            <w:tcW w:w="1229" w:type="pct"/>
            <w:vAlign w:val="center"/>
          </w:tcPr>
          <w:p w14:paraId="2C9E822D">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540</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650</w:t>
            </w:r>
          </w:p>
        </w:tc>
        <w:tc>
          <w:tcPr>
            <w:tcW w:w="1132" w:type="pct"/>
            <w:vAlign w:val="center"/>
          </w:tcPr>
          <w:p w14:paraId="2B7CC83C">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≥11</w:t>
            </w:r>
          </w:p>
        </w:tc>
        <w:tc>
          <w:tcPr>
            <w:tcW w:w="1051" w:type="pct"/>
            <w:vAlign w:val="center"/>
          </w:tcPr>
          <w:p w14:paraId="70F2DD54">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140</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195</w:t>
            </w:r>
          </w:p>
        </w:tc>
      </w:tr>
      <w:tr w14:paraId="6F544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pct"/>
            <w:vMerge w:val="continue"/>
            <w:vAlign w:val="center"/>
          </w:tcPr>
          <w:p w14:paraId="23D883F2">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823" w:type="pct"/>
            <w:vAlign w:val="center"/>
          </w:tcPr>
          <w:p w14:paraId="026A6204">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H04</w:t>
            </w:r>
          </w:p>
        </w:tc>
        <w:tc>
          <w:tcPr>
            <w:tcW w:w="1229" w:type="pct"/>
            <w:vAlign w:val="center"/>
          </w:tcPr>
          <w:p w14:paraId="3030B648">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≥645</w:t>
            </w:r>
          </w:p>
        </w:tc>
        <w:tc>
          <w:tcPr>
            <w:tcW w:w="1132" w:type="pct"/>
            <w:vAlign w:val="center"/>
          </w:tcPr>
          <w:p w14:paraId="28C8FC71">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≥4</w:t>
            </w:r>
          </w:p>
        </w:tc>
        <w:tc>
          <w:tcPr>
            <w:tcW w:w="1051" w:type="pct"/>
            <w:vAlign w:val="center"/>
          </w:tcPr>
          <w:p w14:paraId="32621A6D">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≥190</w:t>
            </w:r>
          </w:p>
        </w:tc>
      </w:tr>
    </w:tbl>
    <w:p w14:paraId="4584451D">
      <w:pPr>
        <w:pStyle w:val="9"/>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表</w:t>
      </w:r>
      <w:r>
        <w:rPr>
          <w:rFonts w:hint="eastAsia" w:ascii="Times New Roman" w:hAnsi="Times New Roman" w:cs="Times New Roman"/>
          <w:b w:val="0"/>
          <w:bCs/>
          <w:color w:val="000000" w:themeColor="text1"/>
          <w:highlight w:val="none"/>
          <w:lang w:val="en-US" w:eastAsia="zh-CN"/>
          <w14:textFill>
            <w14:solidFill>
              <w14:schemeClr w14:val="tx1"/>
            </w14:solidFill>
          </w14:textFill>
        </w:rPr>
        <w:t>17</w:t>
      </w:r>
      <w:r>
        <w:rPr>
          <w:rFonts w:hint="default" w:ascii="Times New Roman" w:hAnsi="Times New Roman" w:eastAsia="宋体" w:cs="Times New Roman"/>
          <w:b w:val="0"/>
          <w:bCs/>
          <w:color w:val="000000" w:themeColor="text1"/>
          <w:highlight w:val="none"/>
          <w:lang w:val="en-US" w:eastAsia="zh-CN"/>
          <w14:textFill>
            <w14:solidFill>
              <w14:schemeClr w14:val="tx1"/>
            </w14:solidFill>
          </w14:textFill>
        </w:rPr>
        <w:t xml:space="preserve"> </w:t>
      </w:r>
      <w:r>
        <w:rPr>
          <w:rFonts w:hint="default" w:ascii="Times New Roman" w:hAnsi="Times New Roman" w:eastAsia="宋体" w:cs="Times New Roman"/>
          <w:b w:val="0"/>
          <w:bCs/>
          <w:color w:val="000000" w:themeColor="text1"/>
          <w:highlight w:val="none"/>
          <w14:textFill>
            <w14:solidFill>
              <w14:schemeClr w14:val="tx1"/>
            </w14:solidFill>
          </w14:textFill>
        </w:rPr>
        <w:t>GB/T26007-2017力学性能</w:t>
      </w:r>
    </w:p>
    <w:tbl>
      <w:tblPr>
        <w:tblStyle w:val="20"/>
        <w:tblW w:w="4947" w:type="pct"/>
        <w:jc w:val="center"/>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autofit"/>
        <w:tblCellMar>
          <w:top w:w="0" w:type="dxa"/>
          <w:left w:w="108" w:type="dxa"/>
          <w:bottom w:w="0" w:type="dxa"/>
          <w:right w:w="108" w:type="dxa"/>
        </w:tblCellMar>
      </w:tblPr>
      <w:tblGrid>
        <w:gridCol w:w="1371"/>
        <w:gridCol w:w="1506"/>
        <w:gridCol w:w="1431"/>
        <w:gridCol w:w="1576"/>
        <w:gridCol w:w="1434"/>
        <w:gridCol w:w="1872"/>
      </w:tblGrid>
      <w:tr w14:paraId="6FCFA9C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40" w:hRule="atLeast"/>
          <w:jc w:val="center"/>
        </w:trPr>
        <w:tc>
          <w:tcPr>
            <w:tcW w:w="746" w:type="pct"/>
            <w:vMerge w:val="restart"/>
            <w:tcBorders>
              <w:top w:val="single" w:color="auto" w:sz="4" w:space="0"/>
              <w:left w:val="single" w:color="auto" w:sz="4" w:space="0"/>
              <w:bottom w:val="single" w:color="auto" w:sz="4" w:space="0"/>
              <w:right w:val="single" w:color="auto" w:sz="4" w:space="0"/>
            </w:tcBorders>
            <w:vAlign w:val="center"/>
          </w:tcPr>
          <w:p w14:paraId="28464F7A">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牌号</w:t>
            </w:r>
          </w:p>
        </w:tc>
        <w:tc>
          <w:tcPr>
            <w:tcW w:w="819" w:type="pct"/>
            <w:vMerge w:val="restart"/>
            <w:tcBorders>
              <w:top w:val="single" w:color="auto" w:sz="4" w:space="0"/>
              <w:left w:val="single" w:color="auto" w:sz="4" w:space="0"/>
              <w:bottom w:val="single" w:color="auto" w:sz="4" w:space="0"/>
              <w:right w:val="single" w:color="auto" w:sz="4" w:space="0"/>
            </w:tcBorders>
            <w:vAlign w:val="center"/>
          </w:tcPr>
          <w:p w14:paraId="483F591F">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状态</w:t>
            </w:r>
          </w:p>
        </w:tc>
        <w:tc>
          <w:tcPr>
            <w:tcW w:w="778" w:type="pct"/>
            <w:vMerge w:val="restart"/>
            <w:tcBorders>
              <w:top w:val="single" w:color="auto" w:sz="4" w:space="0"/>
              <w:left w:val="single" w:color="auto" w:sz="4" w:space="0"/>
              <w:bottom w:val="single" w:color="auto" w:sz="4" w:space="0"/>
              <w:right w:val="single" w:color="auto" w:sz="4" w:space="0"/>
            </w:tcBorders>
            <w:vAlign w:val="center"/>
          </w:tcPr>
          <w:p w14:paraId="04030E88">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抗拉强度</w:t>
            </w:r>
          </w:p>
          <w:p w14:paraId="0250543F">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RmN/mm</w:t>
            </w:r>
            <w:r>
              <w:rPr>
                <w:rFonts w:hint="default" w:ascii="Times New Roman" w:hAnsi="Times New Roman" w:eastAsia="宋体" w:cs="Times New Roman"/>
                <w:b w:val="0"/>
                <w:bCs/>
                <w:color w:val="000000" w:themeColor="text1"/>
                <w:kern w:val="0"/>
                <w:sz w:val="21"/>
                <w:szCs w:val="21"/>
                <w:highlight w:val="none"/>
                <w:vertAlign w:val="superscript"/>
                <w14:textFill>
                  <w14:solidFill>
                    <w14:schemeClr w14:val="tx1"/>
                  </w14:solidFill>
                </w14:textFill>
              </w:rPr>
              <w:t>2</w:t>
            </w:r>
          </w:p>
        </w:tc>
        <w:tc>
          <w:tcPr>
            <w:tcW w:w="1637" w:type="pct"/>
            <w:gridSpan w:val="2"/>
            <w:tcBorders>
              <w:top w:val="single" w:color="auto" w:sz="4" w:space="0"/>
              <w:left w:val="nil"/>
              <w:bottom w:val="single" w:color="auto" w:sz="4" w:space="0"/>
              <w:right w:val="single" w:color="000000" w:sz="4" w:space="0"/>
            </w:tcBorders>
            <w:vAlign w:val="center"/>
          </w:tcPr>
          <w:p w14:paraId="22D4B07A">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伸长率A50mm/%</w:t>
            </w:r>
          </w:p>
        </w:tc>
        <w:tc>
          <w:tcPr>
            <w:tcW w:w="1018" w:type="pct"/>
            <w:vMerge w:val="restart"/>
            <w:tcBorders>
              <w:top w:val="single" w:color="auto" w:sz="4" w:space="0"/>
              <w:left w:val="single" w:color="auto" w:sz="4" w:space="0"/>
              <w:bottom w:val="single" w:color="auto" w:sz="4" w:space="0"/>
              <w:right w:val="single" w:color="auto" w:sz="4" w:space="0"/>
            </w:tcBorders>
            <w:vAlign w:val="center"/>
          </w:tcPr>
          <w:p w14:paraId="4491824D">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维氏硬度HV</w:t>
            </w:r>
          </w:p>
        </w:tc>
      </w:tr>
      <w:tr w14:paraId="7523046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40" w:hRule="atLeast"/>
          <w:jc w:val="center"/>
        </w:trPr>
        <w:tc>
          <w:tcPr>
            <w:tcW w:w="746" w:type="pct"/>
            <w:vMerge w:val="continue"/>
            <w:tcBorders>
              <w:top w:val="single" w:color="auto" w:sz="4" w:space="0"/>
              <w:left w:val="single" w:color="auto" w:sz="4" w:space="0"/>
              <w:bottom w:val="single" w:color="000000" w:sz="4" w:space="0"/>
              <w:right w:val="single" w:color="auto" w:sz="4" w:space="0"/>
            </w:tcBorders>
            <w:vAlign w:val="center"/>
          </w:tcPr>
          <w:p w14:paraId="7190012F">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p>
        </w:tc>
        <w:tc>
          <w:tcPr>
            <w:tcW w:w="819" w:type="pct"/>
            <w:vMerge w:val="continue"/>
            <w:tcBorders>
              <w:top w:val="single" w:color="auto" w:sz="4" w:space="0"/>
              <w:left w:val="single" w:color="auto" w:sz="4" w:space="0"/>
              <w:bottom w:val="single" w:color="000000" w:sz="4" w:space="0"/>
              <w:right w:val="single" w:color="auto" w:sz="4" w:space="0"/>
            </w:tcBorders>
            <w:vAlign w:val="center"/>
          </w:tcPr>
          <w:p w14:paraId="1D046150">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p>
        </w:tc>
        <w:tc>
          <w:tcPr>
            <w:tcW w:w="778" w:type="pct"/>
            <w:vMerge w:val="continue"/>
            <w:tcBorders>
              <w:top w:val="single" w:color="auto" w:sz="4" w:space="0"/>
              <w:left w:val="single" w:color="auto" w:sz="4" w:space="0"/>
              <w:bottom w:val="single" w:color="000000" w:sz="4" w:space="0"/>
              <w:right w:val="single" w:color="auto" w:sz="4" w:space="0"/>
            </w:tcBorders>
            <w:vAlign w:val="center"/>
          </w:tcPr>
          <w:p w14:paraId="6F5FF342">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p>
        </w:tc>
        <w:tc>
          <w:tcPr>
            <w:tcW w:w="857" w:type="pct"/>
            <w:tcBorders>
              <w:top w:val="single" w:color="auto" w:sz="4" w:space="0"/>
              <w:left w:val="nil"/>
              <w:bottom w:val="single" w:color="auto" w:sz="4" w:space="0"/>
              <w:right w:val="single" w:color="auto" w:sz="4" w:space="0"/>
            </w:tcBorders>
            <w:vAlign w:val="center"/>
          </w:tcPr>
          <w:p w14:paraId="22D9BDCB">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厚度</w:t>
            </w:r>
          </w:p>
          <w:p w14:paraId="344534DF">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0.1-0.25</w:t>
            </w:r>
          </w:p>
        </w:tc>
        <w:tc>
          <w:tcPr>
            <w:tcW w:w="780" w:type="pct"/>
            <w:tcBorders>
              <w:top w:val="single" w:color="auto" w:sz="4" w:space="0"/>
              <w:left w:val="nil"/>
              <w:bottom w:val="single" w:color="auto" w:sz="4" w:space="0"/>
              <w:right w:val="single" w:color="auto" w:sz="4" w:space="0"/>
            </w:tcBorders>
            <w:vAlign w:val="center"/>
          </w:tcPr>
          <w:p w14:paraId="5DF95E4C">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厚度</w:t>
            </w:r>
          </w:p>
          <w:p w14:paraId="741B39F9">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＞0.25-1.0</w:t>
            </w:r>
          </w:p>
        </w:tc>
        <w:tc>
          <w:tcPr>
            <w:tcW w:w="1018" w:type="pct"/>
            <w:vMerge w:val="continue"/>
            <w:tcBorders>
              <w:top w:val="single" w:color="auto" w:sz="4" w:space="0"/>
              <w:left w:val="single" w:color="auto" w:sz="4" w:space="0"/>
              <w:bottom w:val="single" w:color="000000" w:sz="4" w:space="0"/>
              <w:right w:val="single" w:color="auto" w:sz="4" w:space="0"/>
            </w:tcBorders>
            <w:vAlign w:val="center"/>
          </w:tcPr>
          <w:p w14:paraId="23119A39">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p>
        </w:tc>
      </w:tr>
      <w:tr w14:paraId="68A5E60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746" w:type="pct"/>
            <w:vMerge w:val="restart"/>
            <w:tcBorders>
              <w:top w:val="nil"/>
              <w:left w:val="single" w:color="auto" w:sz="4" w:space="0"/>
              <w:bottom w:val="single" w:color="000000" w:sz="4" w:space="0"/>
              <w:right w:val="single" w:color="auto" w:sz="4" w:space="0"/>
            </w:tcBorders>
            <w:vAlign w:val="center"/>
          </w:tcPr>
          <w:p w14:paraId="73A196F6">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H63</w:t>
            </w:r>
          </w:p>
        </w:tc>
        <w:tc>
          <w:tcPr>
            <w:tcW w:w="819" w:type="pct"/>
            <w:tcBorders>
              <w:top w:val="nil"/>
              <w:left w:val="nil"/>
              <w:bottom w:val="single" w:color="auto" w:sz="4" w:space="0"/>
              <w:right w:val="single" w:color="auto" w:sz="4" w:space="0"/>
            </w:tcBorders>
            <w:vAlign w:val="center"/>
          </w:tcPr>
          <w:p w14:paraId="3CB801FD">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H01</w:t>
            </w:r>
          </w:p>
        </w:tc>
        <w:tc>
          <w:tcPr>
            <w:tcW w:w="778" w:type="pct"/>
            <w:tcBorders>
              <w:top w:val="nil"/>
              <w:left w:val="nil"/>
              <w:bottom w:val="single" w:color="auto" w:sz="4" w:space="0"/>
              <w:right w:val="single" w:color="auto" w:sz="4" w:space="0"/>
            </w:tcBorders>
            <w:vAlign w:val="center"/>
          </w:tcPr>
          <w:p w14:paraId="35BFE852">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350</w:t>
            </w:r>
            <w:r>
              <w:rPr>
                <w:rFonts w:hint="default" w:ascii="Times New Roman" w:hAnsi="Times New Roman" w:eastAsia="宋体" w:cs="Times New Roman"/>
                <w:b w:val="0"/>
                <w:bCs/>
                <w:color w:val="000000" w:themeColor="text1"/>
                <w:kern w:val="0"/>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430</w:t>
            </w:r>
          </w:p>
        </w:tc>
        <w:tc>
          <w:tcPr>
            <w:tcW w:w="857" w:type="pct"/>
            <w:tcBorders>
              <w:top w:val="nil"/>
              <w:left w:val="nil"/>
              <w:bottom w:val="single" w:color="auto" w:sz="4" w:space="0"/>
              <w:right w:val="single" w:color="auto" w:sz="4" w:space="0"/>
            </w:tcBorders>
            <w:vAlign w:val="center"/>
          </w:tcPr>
          <w:p w14:paraId="2105D6FA">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19</w:t>
            </w:r>
          </w:p>
        </w:tc>
        <w:tc>
          <w:tcPr>
            <w:tcW w:w="780" w:type="pct"/>
            <w:tcBorders>
              <w:top w:val="nil"/>
              <w:left w:val="nil"/>
              <w:bottom w:val="single" w:color="auto" w:sz="4" w:space="0"/>
              <w:right w:val="single" w:color="auto" w:sz="4" w:space="0"/>
            </w:tcBorders>
            <w:vAlign w:val="center"/>
          </w:tcPr>
          <w:p w14:paraId="4078798E">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23</w:t>
            </w:r>
          </w:p>
        </w:tc>
        <w:tc>
          <w:tcPr>
            <w:tcW w:w="1018" w:type="pct"/>
            <w:tcBorders>
              <w:top w:val="nil"/>
              <w:left w:val="nil"/>
              <w:bottom w:val="single" w:color="auto" w:sz="4" w:space="0"/>
              <w:right w:val="single" w:color="auto" w:sz="4" w:space="0"/>
            </w:tcBorders>
            <w:vAlign w:val="center"/>
          </w:tcPr>
          <w:p w14:paraId="5DA69BF0">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95</w:t>
            </w:r>
            <w:r>
              <w:rPr>
                <w:rFonts w:hint="default" w:ascii="Times New Roman" w:hAnsi="Times New Roman" w:eastAsia="宋体" w:cs="Times New Roman"/>
                <w:b w:val="0"/>
                <w:bCs/>
                <w:color w:val="000000" w:themeColor="text1"/>
                <w:kern w:val="0"/>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125</w:t>
            </w:r>
          </w:p>
        </w:tc>
      </w:tr>
      <w:tr w14:paraId="5A215E8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746" w:type="pct"/>
            <w:vMerge w:val="continue"/>
            <w:tcBorders>
              <w:top w:val="nil"/>
              <w:left w:val="single" w:color="auto" w:sz="4" w:space="0"/>
              <w:bottom w:val="single" w:color="000000" w:sz="4" w:space="0"/>
              <w:right w:val="single" w:color="auto" w:sz="4" w:space="0"/>
            </w:tcBorders>
            <w:vAlign w:val="center"/>
          </w:tcPr>
          <w:p w14:paraId="5F24E120">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p>
        </w:tc>
        <w:tc>
          <w:tcPr>
            <w:tcW w:w="819" w:type="pct"/>
            <w:tcBorders>
              <w:top w:val="single" w:color="auto" w:sz="4" w:space="0"/>
              <w:left w:val="single" w:color="auto" w:sz="4" w:space="0"/>
              <w:bottom w:val="single" w:color="auto" w:sz="4" w:space="0"/>
              <w:right w:val="single" w:color="auto" w:sz="4" w:space="0"/>
            </w:tcBorders>
            <w:vAlign w:val="center"/>
          </w:tcPr>
          <w:p w14:paraId="1D865233">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H02</w:t>
            </w:r>
          </w:p>
        </w:tc>
        <w:tc>
          <w:tcPr>
            <w:tcW w:w="778" w:type="pct"/>
            <w:tcBorders>
              <w:top w:val="single" w:color="auto" w:sz="4" w:space="0"/>
              <w:left w:val="nil"/>
              <w:bottom w:val="single" w:color="auto" w:sz="4" w:space="0"/>
              <w:right w:val="single" w:color="auto" w:sz="4" w:space="0"/>
            </w:tcBorders>
            <w:vAlign w:val="center"/>
          </w:tcPr>
          <w:p w14:paraId="1047E8BB">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41</w:t>
            </w:r>
            <w:r>
              <w:rPr>
                <w:rFonts w:hint="default" w:ascii="Times New Roman" w:hAnsi="Times New Roman" w:eastAsia="宋体" w:cs="Times New Roman"/>
                <w:b w:val="0"/>
                <w:bCs/>
                <w:color w:val="000000" w:themeColor="text1"/>
                <w:kern w:val="0"/>
                <w:sz w:val="21"/>
                <w:szCs w:val="21"/>
                <w:highlight w:val="none"/>
                <w:lang w:val="en-US"/>
                <w14:textFill>
                  <w14:solidFill>
                    <w14:schemeClr w14:val="tx1"/>
                  </w14:solidFill>
                </w14:textFill>
              </w:rPr>
              <w:t>0～</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490</w:t>
            </w:r>
          </w:p>
        </w:tc>
        <w:tc>
          <w:tcPr>
            <w:tcW w:w="857" w:type="pct"/>
            <w:tcBorders>
              <w:top w:val="single" w:color="auto" w:sz="4" w:space="0"/>
              <w:left w:val="nil"/>
              <w:bottom w:val="single" w:color="auto" w:sz="4" w:space="0"/>
              <w:right w:val="single" w:color="auto" w:sz="4" w:space="0"/>
            </w:tcBorders>
            <w:vAlign w:val="center"/>
          </w:tcPr>
          <w:p w14:paraId="153099FF">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8</w:t>
            </w:r>
          </w:p>
        </w:tc>
        <w:tc>
          <w:tcPr>
            <w:tcW w:w="780" w:type="pct"/>
            <w:tcBorders>
              <w:top w:val="single" w:color="auto" w:sz="4" w:space="0"/>
              <w:left w:val="nil"/>
              <w:bottom w:val="single" w:color="auto" w:sz="4" w:space="0"/>
              <w:right w:val="single" w:color="auto" w:sz="4" w:space="0"/>
            </w:tcBorders>
            <w:vAlign w:val="center"/>
          </w:tcPr>
          <w:p w14:paraId="5A39834E">
            <w:pPr>
              <w:widowControl/>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≥10</w:t>
            </w:r>
          </w:p>
        </w:tc>
        <w:tc>
          <w:tcPr>
            <w:tcW w:w="1018" w:type="pct"/>
            <w:tcBorders>
              <w:top w:val="single" w:color="auto" w:sz="4" w:space="0"/>
              <w:left w:val="nil"/>
              <w:bottom w:val="single" w:color="auto" w:sz="4" w:space="0"/>
              <w:right w:val="single" w:color="auto" w:sz="4" w:space="0"/>
            </w:tcBorders>
            <w:vAlign w:val="center"/>
          </w:tcPr>
          <w:p w14:paraId="71763DC1">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120</w:t>
            </w:r>
            <w:r>
              <w:rPr>
                <w:rFonts w:hint="default" w:ascii="Times New Roman" w:hAnsi="Times New Roman" w:eastAsia="宋体" w:cs="Times New Roman"/>
                <w:b w:val="0"/>
                <w:bCs/>
                <w:color w:val="000000" w:themeColor="text1"/>
                <w:kern w:val="0"/>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155</w:t>
            </w:r>
          </w:p>
        </w:tc>
      </w:tr>
      <w:tr w14:paraId="1798429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746" w:type="pct"/>
            <w:vMerge w:val="continue"/>
            <w:tcBorders>
              <w:top w:val="nil"/>
              <w:left w:val="single" w:color="auto" w:sz="4" w:space="0"/>
              <w:bottom w:val="single" w:color="000000" w:sz="4" w:space="0"/>
              <w:right w:val="single" w:color="auto" w:sz="4" w:space="0"/>
            </w:tcBorders>
            <w:vAlign w:val="center"/>
          </w:tcPr>
          <w:p w14:paraId="4D8B144B">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p>
        </w:tc>
        <w:tc>
          <w:tcPr>
            <w:tcW w:w="819" w:type="pct"/>
            <w:tcBorders>
              <w:top w:val="single" w:color="auto" w:sz="4" w:space="0"/>
              <w:left w:val="nil"/>
              <w:bottom w:val="single" w:color="auto" w:sz="4" w:space="0"/>
              <w:right w:val="single" w:color="auto" w:sz="4" w:space="0"/>
            </w:tcBorders>
            <w:vAlign w:val="center"/>
          </w:tcPr>
          <w:p w14:paraId="19C7ED17">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H04</w:t>
            </w:r>
          </w:p>
        </w:tc>
        <w:tc>
          <w:tcPr>
            <w:tcW w:w="778" w:type="pct"/>
            <w:tcBorders>
              <w:top w:val="single" w:color="auto" w:sz="4" w:space="0"/>
              <w:left w:val="nil"/>
              <w:bottom w:val="single" w:color="auto" w:sz="4" w:space="0"/>
              <w:right w:val="single" w:color="auto" w:sz="4" w:space="0"/>
            </w:tcBorders>
            <w:vAlign w:val="center"/>
          </w:tcPr>
          <w:p w14:paraId="6236DA7D">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480</w:t>
            </w:r>
            <w:r>
              <w:rPr>
                <w:rFonts w:hint="default" w:ascii="Times New Roman" w:hAnsi="Times New Roman" w:eastAsia="宋体" w:cs="Times New Roman"/>
                <w:b w:val="0"/>
                <w:bCs/>
                <w:color w:val="000000" w:themeColor="text1"/>
                <w:kern w:val="0"/>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560</w:t>
            </w:r>
          </w:p>
        </w:tc>
        <w:tc>
          <w:tcPr>
            <w:tcW w:w="857" w:type="pct"/>
            <w:tcBorders>
              <w:top w:val="single" w:color="auto" w:sz="4" w:space="0"/>
              <w:left w:val="nil"/>
              <w:bottom w:val="single" w:color="auto" w:sz="4" w:space="0"/>
              <w:right w:val="single" w:color="auto" w:sz="4" w:space="0"/>
            </w:tcBorders>
            <w:vAlign w:val="center"/>
          </w:tcPr>
          <w:p w14:paraId="32FA8C96">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3</w:t>
            </w:r>
          </w:p>
        </w:tc>
        <w:tc>
          <w:tcPr>
            <w:tcW w:w="780" w:type="pct"/>
            <w:tcBorders>
              <w:top w:val="single" w:color="auto" w:sz="4" w:space="0"/>
              <w:left w:val="nil"/>
              <w:bottom w:val="single" w:color="auto" w:sz="4" w:space="0"/>
              <w:right w:val="single" w:color="auto" w:sz="4" w:space="0"/>
            </w:tcBorders>
            <w:vAlign w:val="center"/>
          </w:tcPr>
          <w:p w14:paraId="6375CA2D">
            <w:pPr>
              <w:widowControl/>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≥5</w:t>
            </w:r>
          </w:p>
        </w:tc>
        <w:tc>
          <w:tcPr>
            <w:tcW w:w="1018" w:type="pct"/>
            <w:tcBorders>
              <w:top w:val="single" w:color="auto" w:sz="4" w:space="0"/>
              <w:left w:val="nil"/>
              <w:bottom w:val="single" w:color="auto" w:sz="4" w:space="0"/>
              <w:right w:val="single" w:color="auto" w:sz="4" w:space="0"/>
            </w:tcBorders>
            <w:vAlign w:val="center"/>
          </w:tcPr>
          <w:p w14:paraId="1952D258">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150</w:t>
            </w:r>
            <w:r>
              <w:rPr>
                <w:rFonts w:hint="default" w:ascii="Times New Roman" w:hAnsi="Times New Roman" w:eastAsia="宋体" w:cs="Times New Roman"/>
                <w:b w:val="0"/>
                <w:bCs/>
                <w:color w:val="000000" w:themeColor="text1"/>
                <w:kern w:val="0"/>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180</w:t>
            </w:r>
          </w:p>
        </w:tc>
      </w:tr>
      <w:tr w14:paraId="0C20248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746" w:type="pct"/>
            <w:vMerge w:val="continue"/>
            <w:tcBorders>
              <w:top w:val="nil"/>
              <w:left w:val="single" w:color="auto" w:sz="4" w:space="0"/>
              <w:bottom w:val="single" w:color="000000" w:sz="4" w:space="0"/>
              <w:right w:val="single" w:color="auto" w:sz="4" w:space="0"/>
            </w:tcBorders>
            <w:vAlign w:val="center"/>
          </w:tcPr>
          <w:p w14:paraId="625101E2">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p>
        </w:tc>
        <w:tc>
          <w:tcPr>
            <w:tcW w:w="819" w:type="pct"/>
            <w:tcBorders>
              <w:top w:val="nil"/>
              <w:left w:val="nil"/>
              <w:bottom w:val="single" w:color="auto" w:sz="4" w:space="0"/>
              <w:right w:val="single" w:color="auto" w:sz="4" w:space="0"/>
            </w:tcBorders>
            <w:vAlign w:val="center"/>
          </w:tcPr>
          <w:p w14:paraId="646618EB">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H06</w:t>
            </w:r>
          </w:p>
        </w:tc>
        <w:tc>
          <w:tcPr>
            <w:tcW w:w="778" w:type="pct"/>
            <w:tcBorders>
              <w:top w:val="nil"/>
              <w:left w:val="nil"/>
              <w:bottom w:val="single" w:color="auto" w:sz="4" w:space="0"/>
              <w:right w:val="single" w:color="auto" w:sz="4" w:space="0"/>
            </w:tcBorders>
            <w:vAlign w:val="center"/>
          </w:tcPr>
          <w:p w14:paraId="55A0B7A9">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550</w:t>
            </w:r>
            <w:r>
              <w:rPr>
                <w:rFonts w:hint="default" w:ascii="Times New Roman" w:hAnsi="Times New Roman" w:eastAsia="宋体" w:cs="Times New Roman"/>
                <w:b w:val="0"/>
                <w:bCs/>
                <w:color w:val="000000" w:themeColor="text1"/>
                <w:kern w:val="0"/>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640</w:t>
            </w:r>
          </w:p>
        </w:tc>
        <w:tc>
          <w:tcPr>
            <w:tcW w:w="857" w:type="pct"/>
            <w:tcBorders>
              <w:top w:val="nil"/>
              <w:left w:val="nil"/>
              <w:bottom w:val="single" w:color="auto" w:sz="4" w:space="0"/>
              <w:right w:val="single" w:color="auto" w:sz="4" w:space="0"/>
            </w:tcBorders>
            <w:vAlign w:val="center"/>
          </w:tcPr>
          <w:p w14:paraId="6054EA2E">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w:t>
            </w:r>
          </w:p>
        </w:tc>
        <w:tc>
          <w:tcPr>
            <w:tcW w:w="780" w:type="pct"/>
            <w:tcBorders>
              <w:top w:val="nil"/>
              <w:left w:val="nil"/>
              <w:bottom w:val="single" w:color="auto" w:sz="4" w:space="0"/>
              <w:right w:val="single" w:color="auto" w:sz="4" w:space="0"/>
            </w:tcBorders>
            <w:vAlign w:val="center"/>
          </w:tcPr>
          <w:p w14:paraId="39B5EDC5">
            <w:pPr>
              <w:widowControl/>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≥2</w:t>
            </w:r>
          </w:p>
        </w:tc>
        <w:tc>
          <w:tcPr>
            <w:tcW w:w="1018" w:type="pct"/>
            <w:tcBorders>
              <w:top w:val="nil"/>
              <w:left w:val="nil"/>
              <w:bottom w:val="single" w:color="auto" w:sz="4" w:space="0"/>
              <w:right w:val="single" w:color="auto" w:sz="4" w:space="0"/>
            </w:tcBorders>
            <w:vAlign w:val="center"/>
          </w:tcPr>
          <w:p w14:paraId="46957F45">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170</w:t>
            </w:r>
            <w:r>
              <w:rPr>
                <w:rFonts w:hint="default" w:ascii="Times New Roman" w:hAnsi="Times New Roman" w:eastAsia="宋体" w:cs="Times New Roman"/>
                <w:b w:val="0"/>
                <w:bCs/>
                <w:color w:val="000000" w:themeColor="text1"/>
                <w:kern w:val="0"/>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200</w:t>
            </w:r>
          </w:p>
        </w:tc>
      </w:tr>
      <w:tr w14:paraId="55609C4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746" w:type="pct"/>
            <w:vMerge w:val="restart"/>
            <w:tcBorders>
              <w:top w:val="nil"/>
              <w:left w:val="single" w:color="auto" w:sz="4" w:space="0"/>
              <w:bottom w:val="nil"/>
              <w:right w:val="single" w:color="auto" w:sz="4" w:space="0"/>
            </w:tcBorders>
            <w:vAlign w:val="center"/>
          </w:tcPr>
          <w:p w14:paraId="3971DBCB">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H65</w:t>
            </w:r>
          </w:p>
        </w:tc>
        <w:tc>
          <w:tcPr>
            <w:tcW w:w="819" w:type="pct"/>
            <w:tcBorders>
              <w:top w:val="nil"/>
              <w:left w:val="nil"/>
              <w:bottom w:val="single" w:color="auto" w:sz="4" w:space="0"/>
              <w:right w:val="single" w:color="auto" w:sz="4" w:space="0"/>
            </w:tcBorders>
            <w:vAlign w:val="center"/>
          </w:tcPr>
          <w:p w14:paraId="34F0784A">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H01</w:t>
            </w:r>
          </w:p>
        </w:tc>
        <w:tc>
          <w:tcPr>
            <w:tcW w:w="778" w:type="pct"/>
            <w:tcBorders>
              <w:top w:val="nil"/>
              <w:left w:val="nil"/>
              <w:bottom w:val="single" w:color="auto" w:sz="4" w:space="0"/>
              <w:right w:val="single" w:color="auto" w:sz="4" w:space="0"/>
            </w:tcBorders>
            <w:vAlign w:val="center"/>
          </w:tcPr>
          <w:p w14:paraId="1BEDAF16">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350</w:t>
            </w:r>
            <w:r>
              <w:rPr>
                <w:rFonts w:hint="default" w:ascii="Times New Roman" w:hAnsi="Times New Roman" w:eastAsia="宋体" w:cs="Times New Roman"/>
                <w:b w:val="0"/>
                <w:bCs/>
                <w:color w:val="000000" w:themeColor="text1"/>
                <w:kern w:val="0"/>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430</w:t>
            </w:r>
          </w:p>
        </w:tc>
        <w:tc>
          <w:tcPr>
            <w:tcW w:w="857" w:type="pct"/>
            <w:tcBorders>
              <w:top w:val="nil"/>
              <w:left w:val="nil"/>
              <w:bottom w:val="single" w:color="auto" w:sz="4" w:space="0"/>
              <w:right w:val="single" w:color="auto" w:sz="4" w:space="0"/>
            </w:tcBorders>
            <w:vAlign w:val="center"/>
          </w:tcPr>
          <w:p w14:paraId="35E84C0A">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19</w:t>
            </w:r>
          </w:p>
        </w:tc>
        <w:tc>
          <w:tcPr>
            <w:tcW w:w="780" w:type="pct"/>
            <w:tcBorders>
              <w:top w:val="nil"/>
              <w:left w:val="nil"/>
              <w:bottom w:val="single" w:color="auto" w:sz="4" w:space="0"/>
              <w:right w:val="single" w:color="auto" w:sz="4" w:space="0"/>
            </w:tcBorders>
            <w:vAlign w:val="center"/>
          </w:tcPr>
          <w:p w14:paraId="23EA71C6">
            <w:pPr>
              <w:widowControl/>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≥23</w:t>
            </w:r>
          </w:p>
        </w:tc>
        <w:tc>
          <w:tcPr>
            <w:tcW w:w="1018" w:type="pct"/>
            <w:tcBorders>
              <w:top w:val="nil"/>
              <w:left w:val="nil"/>
              <w:bottom w:val="single" w:color="auto" w:sz="4" w:space="0"/>
              <w:right w:val="single" w:color="auto" w:sz="4" w:space="0"/>
            </w:tcBorders>
            <w:vAlign w:val="center"/>
          </w:tcPr>
          <w:p w14:paraId="3C3F127C">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95</w:t>
            </w:r>
            <w:r>
              <w:rPr>
                <w:rFonts w:hint="default" w:ascii="Times New Roman" w:hAnsi="Times New Roman" w:eastAsia="宋体" w:cs="Times New Roman"/>
                <w:b w:val="0"/>
                <w:bCs/>
                <w:color w:val="000000" w:themeColor="text1"/>
                <w:kern w:val="0"/>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125</w:t>
            </w:r>
          </w:p>
        </w:tc>
      </w:tr>
      <w:tr w14:paraId="2874A72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746" w:type="pct"/>
            <w:vMerge w:val="continue"/>
            <w:tcBorders>
              <w:top w:val="nil"/>
              <w:left w:val="single" w:color="auto" w:sz="4" w:space="0"/>
              <w:bottom w:val="nil"/>
              <w:right w:val="single" w:color="auto" w:sz="4" w:space="0"/>
            </w:tcBorders>
            <w:vAlign w:val="center"/>
          </w:tcPr>
          <w:p w14:paraId="5E018C91">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p>
        </w:tc>
        <w:tc>
          <w:tcPr>
            <w:tcW w:w="819" w:type="pct"/>
            <w:tcBorders>
              <w:top w:val="nil"/>
              <w:left w:val="nil"/>
              <w:bottom w:val="single" w:color="auto" w:sz="4" w:space="0"/>
              <w:right w:val="single" w:color="auto" w:sz="4" w:space="0"/>
            </w:tcBorders>
            <w:vAlign w:val="center"/>
          </w:tcPr>
          <w:p w14:paraId="0E8D6548">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H02</w:t>
            </w:r>
          </w:p>
        </w:tc>
        <w:tc>
          <w:tcPr>
            <w:tcW w:w="778" w:type="pct"/>
            <w:tcBorders>
              <w:top w:val="nil"/>
              <w:left w:val="nil"/>
              <w:bottom w:val="single" w:color="auto" w:sz="4" w:space="0"/>
              <w:right w:val="single" w:color="auto" w:sz="4" w:space="0"/>
            </w:tcBorders>
            <w:vAlign w:val="center"/>
          </w:tcPr>
          <w:p w14:paraId="1059EB08">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41</w:t>
            </w:r>
            <w:r>
              <w:rPr>
                <w:rFonts w:hint="default" w:ascii="Times New Roman" w:hAnsi="Times New Roman" w:eastAsia="宋体" w:cs="Times New Roman"/>
                <w:b w:val="0"/>
                <w:bCs/>
                <w:color w:val="000000" w:themeColor="text1"/>
                <w:kern w:val="0"/>
                <w:sz w:val="21"/>
                <w:szCs w:val="21"/>
                <w:highlight w:val="none"/>
                <w:lang w:val="en-US"/>
                <w14:textFill>
                  <w14:solidFill>
                    <w14:schemeClr w14:val="tx1"/>
                  </w14:solidFill>
                </w14:textFill>
              </w:rPr>
              <w:t>0～</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490</w:t>
            </w:r>
          </w:p>
        </w:tc>
        <w:tc>
          <w:tcPr>
            <w:tcW w:w="857" w:type="pct"/>
            <w:tcBorders>
              <w:top w:val="nil"/>
              <w:left w:val="nil"/>
              <w:bottom w:val="single" w:color="auto" w:sz="4" w:space="0"/>
              <w:right w:val="single" w:color="auto" w:sz="4" w:space="0"/>
            </w:tcBorders>
            <w:vAlign w:val="center"/>
          </w:tcPr>
          <w:p w14:paraId="250818C0">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8</w:t>
            </w:r>
          </w:p>
        </w:tc>
        <w:tc>
          <w:tcPr>
            <w:tcW w:w="780" w:type="pct"/>
            <w:tcBorders>
              <w:top w:val="nil"/>
              <w:left w:val="nil"/>
              <w:bottom w:val="single" w:color="auto" w:sz="4" w:space="0"/>
              <w:right w:val="single" w:color="auto" w:sz="4" w:space="0"/>
            </w:tcBorders>
            <w:vAlign w:val="center"/>
          </w:tcPr>
          <w:p w14:paraId="0434ACCB">
            <w:pPr>
              <w:widowControl/>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≥10</w:t>
            </w:r>
          </w:p>
        </w:tc>
        <w:tc>
          <w:tcPr>
            <w:tcW w:w="1018" w:type="pct"/>
            <w:tcBorders>
              <w:top w:val="nil"/>
              <w:left w:val="nil"/>
              <w:bottom w:val="single" w:color="auto" w:sz="4" w:space="0"/>
              <w:right w:val="single" w:color="auto" w:sz="4" w:space="0"/>
            </w:tcBorders>
            <w:vAlign w:val="center"/>
          </w:tcPr>
          <w:p w14:paraId="5BA47F92">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120</w:t>
            </w:r>
            <w:r>
              <w:rPr>
                <w:rFonts w:hint="default" w:ascii="Times New Roman" w:hAnsi="Times New Roman" w:eastAsia="宋体" w:cs="Times New Roman"/>
                <w:b w:val="0"/>
                <w:bCs/>
                <w:color w:val="000000" w:themeColor="text1"/>
                <w:kern w:val="0"/>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155</w:t>
            </w:r>
          </w:p>
        </w:tc>
      </w:tr>
      <w:tr w14:paraId="25C3B46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746" w:type="pct"/>
            <w:vMerge w:val="continue"/>
            <w:tcBorders>
              <w:top w:val="nil"/>
              <w:left w:val="single" w:color="auto" w:sz="4" w:space="0"/>
              <w:bottom w:val="nil"/>
              <w:right w:val="single" w:color="auto" w:sz="4" w:space="0"/>
            </w:tcBorders>
            <w:vAlign w:val="center"/>
          </w:tcPr>
          <w:p w14:paraId="2B4BF40F">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p>
        </w:tc>
        <w:tc>
          <w:tcPr>
            <w:tcW w:w="819" w:type="pct"/>
            <w:tcBorders>
              <w:top w:val="nil"/>
              <w:left w:val="nil"/>
              <w:bottom w:val="single" w:color="auto" w:sz="4" w:space="0"/>
              <w:right w:val="single" w:color="auto" w:sz="4" w:space="0"/>
            </w:tcBorders>
            <w:vAlign w:val="center"/>
          </w:tcPr>
          <w:p w14:paraId="4B5D17CC">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H04</w:t>
            </w:r>
          </w:p>
        </w:tc>
        <w:tc>
          <w:tcPr>
            <w:tcW w:w="778" w:type="pct"/>
            <w:tcBorders>
              <w:top w:val="nil"/>
              <w:left w:val="nil"/>
              <w:bottom w:val="single" w:color="auto" w:sz="4" w:space="0"/>
              <w:right w:val="single" w:color="auto" w:sz="4" w:space="0"/>
            </w:tcBorders>
            <w:vAlign w:val="center"/>
          </w:tcPr>
          <w:p w14:paraId="4C26220A">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480</w:t>
            </w:r>
            <w:r>
              <w:rPr>
                <w:rFonts w:hint="default" w:ascii="Times New Roman" w:hAnsi="Times New Roman" w:eastAsia="宋体" w:cs="Times New Roman"/>
                <w:b w:val="0"/>
                <w:bCs/>
                <w:color w:val="000000" w:themeColor="text1"/>
                <w:kern w:val="0"/>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560</w:t>
            </w:r>
          </w:p>
        </w:tc>
        <w:tc>
          <w:tcPr>
            <w:tcW w:w="857" w:type="pct"/>
            <w:tcBorders>
              <w:top w:val="nil"/>
              <w:left w:val="nil"/>
              <w:bottom w:val="single" w:color="auto" w:sz="4" w:space="0"/>
              <w:right w:val="single" w:color="auto" w:sz="4" w:space="0"/>
            </w:tcBorders>
            <w:vAlign w:val="center"/>
          </w:tcPr>
          <w:p w14:paraId="2D9433FA">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3</w:t>
            </w:r>
          </w:p>
        </w:tc>
        <w:tc>
          <w:tcPr>
            <w:tcW w:w="780" w:type="pct"/>
            <w:tcBorders>
              <w:top w:val="nil"/>
              <w:left w:val="nil"/>
              <w:bottom w:val="single" w:color="auto" w:sz="4" w:space="0"/>
              <w:right w:val="single" w:color="auto" w:sz="4" w:space="0"/>
            </w:tcBorders>
            <w:vAlign w:val="center"/>
          </w:tcPr>
          <w:p w14:paraId="12CEAB0B">
            <w:pPr>
              <w:widowControl/>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≥5</w:t>
            </w:r>
          </w:p>
        </w:tc>
        <w:tc>
          <w:tcPr>
            <w:tcW w:w="1018" w:type="pct"/>
            <w:tcBorders>
              <w:top w:val="nil"/>
              <w:left w:val="nil"/>
              <w:bottom w:val="single" w:color="auto" w:sz="4" w:space="0"/>
              <w:right w:val="single" w:color="auto" w:sz="4" w:space="0"/>
            </w:tcBorders>
            <w:vAlign w:val="center"/>
          </w:tcPr>
          <w:p w14:paraId="41FE88EC">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150</w:t>
            </w:r>
            <w:r>
              <w:rPr>
                <w:rFonts w:hint="default" w:ascii="Times New Roman" w:hAnsi="Times New Roman" w:eastAsia="宋体" w:cs="Times New Roman"/>
                <w:b w:val="0"/>
                <w:bCs/>
                <w:color w:val="000000" w:themeColor="text1"/>
                <w:kern w:val="0"/>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180</w:t>
            </w:r>
          </w:p>
        </w:tc>
      </w:tr>
      <w:tr w14:paraId="337E31D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746" w:type="pct"/>
            <w:vMerge w:val="continue"/>
            <w:tcBorders>
              <w:top w:val="nil"/>
              <w:left w:val="single" w:color="auto" w:sz="4" w:space="0"/>
              <w:bottom w:val="nil"/>
              <w:right w:val="single" w:color="auto" w:sz="4" w:space="0"/>
            </w:tcBorders>
            <w:vAlign w:val="center"/>
          </w:tcPr>
          <w:p w14:paraId="222EB326">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p>
        </w:tc>
        <w:tc>
          <w:tcPr>
            <w:tcW w:w="819" w:type="pct"/>
            <w:tcBorders>
              <w:top w:val="nil"/>
              <w:left w:val="nil"/>
              <w:bottom w:val="single" w:color="auto" w:sz="4" w:space="0"/>
              <w:right w:val="single" w:color="auto" w:sz="4" w:space="0"/>
            </w:tcBorders>
            <w:vAlign w:val="center"/>
          </w:tcPr>
          <w:p w14:paraId="67780F45">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H06</w:t>
            </w:r>
          </w:p>
        </w:tc>
        <w:tc>
          <w:tcPr>
            <w:tcW w:w="778" w:type="pct"/>
            <w:tcBorders>
              <w:top w:val="nil"/>
              <w:left w:val="nil"/>
              <w:bottom w:val="single" w:color="auto" w:sz="4" w:space="0"/>
              <w:right w:val="single" w:color="auto" w:sz="4" w:space="0"/>
            </w:tcBorders>
            <w:vAlign w:val="center"/>
          </w:tcPr>
          <w:p w14:paraId="048F9535">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550</w:t>
            </w:r>
            <w:r>
              <w:rPr>
                <w:rFonts w:hint="default" w:ascii="Times New Roman" w:hAnsi="Times New Roman" w:eastAsia="宋体" w:cs="Times New Roman"/>
                <w:b w:val="0"/>
                <w:bCs/>
                <w:color w:val="000000" w:themeColor="text1"/>
                <w:kern w:val="0"/>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640</w:t>
            </w:r>
          </w:p>
        </w:tc>
        <w:tc>
          <w:tcPr>
            <w:tcW w:w="857" w:type="pct"/>
            <w:tcBorders>
              <w:top w:val="nil"/>
              <w:left w:val="nil"/>
              <w:bottom w:val="single" w:color="auto" w:sz="4" w:space="0"/>
              <w:right w:val="single" w:color="auto" w:sz="4" w:space="0"/>
            </w:tcBorders>
            <w:vAlign w:val="center"/>
          </w:tcPr>
          <w:p w14:paraId="4D80BD95">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w:t>
            </w:r>
          </w:p>
        </w:tc>
        <w:tc>
          <w:tcPr>
            <w:tcW w:w="780" w:type="pct"/>
            <w:tcBorders>
              <w:top w:val="nil"/>
              <w:left w:val="nil"/>
              <w:bottom w:val="single" w:color="auto" w:sz="4" w:space="0"/>
              <w:right w:val="single" w:color="auto" w:sz="4" w:space="0"/>
            </w:tcBorders>
            <w:vAlign w:val="center"/>
          </w:tcPr>
          <w:p w14:paraId="73B5A71B">
            <w:pPr>
              <w:widowControl/>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≥2</w:t>
            </w:r>
          </w:p>
        </w:tc>
        <w:tc>
          <w:tcPr>
            <w:tcW w:w="1018" w:type="pct"/>
            <w:tcBorders>
              <w:top w:val="nil"/>
              <w:left w:val="nil"/>
              <w:bottom w:val="single" w:color="auto" w:sz="4" w:space="0"/>
              <w:right w:val="single" w:color="auto" w:sz="4" w:space="0"/>
            </w:tcBorders>
            <w:vAlign w:val="center"/>
          </w:tcPr>
          <w:p w14:paraId="2FE4B85A">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170</w:t>
            </w:r>
            <w:r>
              <w:rPr>
                <w:rFonts w:hint="default" w:ascii="Times New Roman" w:hAnsi="Times New Roman" w:eastAsia="宋体" w:cs="Times New Roman"/>
                <w:b w:val="0"/>
                <w:bCs/>
                <w:color w:val="000000" w:themeColor="text1"/>
                <w:kern w:val="0"/>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200</w:t>
            </w:r>
          </w:p>
        </w:tc>
      </w:tr>
      <w:tr w14:paraId="5A3D5F3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746" w:type="pct"/>
            <w:vMerge w:val="restart"/>
            <w:tcBorders>
              <w:top w:val="single" w:color="auto" w:sz="4" w:space="0"/>
              <w:left w:val="single" w:color="auto" w:sz="4" w:space="0"/>
              <w:bottom w:val="single" w:color="auto" w:sz="4" w:space="0"/>
              <w:right w:val="single" w:color="auto" w:sz="4" w:space="0"/>
            </w:tcBorders>
            <w:vAlign w:val="center"/>
          </w:tcPr>
          <w:p w14:paraId="32383540">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H70</w:t>
            </w:r>
          </w:p>
        </w:tc>
        <w:tc>
          <w:tcPr>
            <w:tcW w:w="819" w:type="pct"/>
            <w:tcBorders>
              <w:top w:val="nil"/>
              <w:left w:val="nil"/>
              <w:bottom w:val="single" w:color="auto" w:sz="4" w:space="0"/>
              <w:right w:val="single" w:color="auto" w:sz="4" w:space="0"/>
            </w:tcBorders>
            <w:vAlign w:val="center"/>
          </w:tcPr>
          <w:p w14:paraId="4705AAF0">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H01</w:t>
            </w:r>
          </w:p>
        </w:tc>
        <w:tc>
          <w:tcPr>
            <w:tcW w:w="778" w:type="pct"/>
            <w:tcBorders>
              <w:top w:val="nil"/>
              <w:left w:val="nil"/>
              <w:bottom w:val="single" w:color="auto" w:sz="4" w:space="0"/>
              <w:right w:val="single" w:color="auto" w:sz="4" w:space="0"/>
            </w:tcBorders>
            <w:vAlign w:val="center"/>
          </w:tcPr>
          <w:p w14:paraId="49FB3753">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350</w:t>
            </w:r>
            <w:r>
              <w:rPr>
                <w:rFonts w:hint="default" w:ascii="Times New Roman" w:hAnsi="Times New Roman" w:eastAsia="宋体" w:cs="Times New Roman"/>
                <w:b w:val="0"/>
                <w:bCs/>
                <w:color w:val="000000" w:themeColor="text1"/>
                <w:kern w:val="0"/>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430</w:t>
            </w:r>
          </w:p>
        </w:tc>
        <w:tc>
          <w:tcPr>
            <w:tcW w:w="857" w:type="pct"/>
            <w:tcBorders>
              <w:top w:val="nil"/>
              <w:left w:val="nil"/>
              <w:bottom w:val="single" w:color="auto" w:sz="4" w:space="0"/>
              <w:right w:val="single" w:color="auto" w:sz="4" w:space="0"/>
            </w:tcBorders>
            <w:vAlign w:val="center"/>
          </w:tcPr>
          <w:p w14:paraId="17E5A5F0">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21</w:t>
            </w:r>
          </w:p>
        </w:tc>
        <w:tc>
          <w:tcPr>
            <w:tcW w:w="780" w:type="pct"/>
            <w:tcBorders>
              <w:top w:val="nil"/>
              <w:left w:val="nil"/>
              <w:bottom w:val="single" w:color="auto" w:sz="4" w:space="0"/>
              <w:right w:val="single" w:color="auto" w:sz="4" w:space="0"/>
            </w:tcBorders>
            <w:vAlign w:val="center"/>
          </w:tcPr>
          <w:p w14:paraId="538BD3C0">
            <w:pPr>
              <w:widowControl/>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≥25</w:t>
            </w:r>
          </w:p>
        </w:tc>
        <w:tc>
          <w:tcPr>
            <w:tcW w:w="1018" w:type="pct"/>
            <w:tcBorders>
              <w:top w:val="nil"/>
              <w:left w:val="nil"/>
              <w:bottom w:val="single" w:color="auto" w:sz="4" w:space="0"/>
              <w:right w:val="single" w:color="auto" w:sz="4" w:space="0"/>
            </w:tcBorders>
            <w:vAlign w:val="center"/>
          </w:tcPr>
          <w:p w14:paraId="1EA8595B">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95</w:t>
            </w:r>
            <w:r>
              <w:rPr>
                <w:rFonts w:hint="default" w:ascii="Times New Roman" w:hAnsi="Times New Roman" w:eastAsia="宋体" w:cs="Times New Roman"/>
                <w:b w:val="0"/>
                <w:bCs/>
                <w:color w:val="000000" w:themeColor="text1"/>
                <w:kern w:val="0"/>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125</w:t>
            </w:r>
          </w:p>
        </w:tc>
      </w:tr>
      <w:tr w14:paraId="6AC33D6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746" w:type="pct"/>
            <w:vMerge w:val="continue"/>
            <w:tcBorders>
              <w:top w:val="single" w:color="auto" w:sz="4" w:space="0"/>
              <w:left w:val="single" w:color="auto" w:sz="4" w:space="0"/>
              <w:bottom w:val="single" w:color="auto" w:sz="4" w:space="0"/>
              <w:right w:val="single" w:color="auto" w:sz="4" w:space="0"/>
            </w:tcBorders>
            <w:vAlign w:val="center"/>
          </w:tcPr>
          <w:p w14:paraId="1380E4EA">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p>
        </w:tc>
        <w:tc>
          <w:tcPr>
            <w:tcW w:w="819" w:type="pct"/>
            <w:tcBorders>
              <w:top w:val="nil"/>
              <w:left w:val="nil"/>
              <w:bottom w:val="single" w:color="auto" w:sz="4" w:space="0"/>
              <w:right w:val="single" w:color="auto" w:sz="4" w:space="0"/>
            </w:tcBorders>
            <w:vAlign w:val="center"/>
          </w:tcPr>
          <w:p w14:paraId="404D16CB">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H02</w:t>
            </w:r>
          </w:p>
        </w:tc>
        <w:tc>
          <w:tcPr>
            <w:tcW w:w="778" w:type="pct"/>
            <w:tcBorders>
              <w:top w:val="nil"/>
              <w:left w:val="nil"/>
              <w:bottom w:val="single" w:color="auto" w:sz="4" w:space="0"/>
              <w:right w:val="single" w:color="auto" w:sz="4" w:space="0"/>
            </w:tcBorders>
            <w:vAlign w:val="center"/>
          </w:tcPr>
          <w:p w14:paraId="3B00ADC6">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410</w:t>
            </w:r>
            <w:r>
              <w:rPr>
                <w:rFonts w:hint="default" w:ascii="Times New Roman" w:hAnsi="Times New Roman" w:eastAsia="宋体" w:cs="Times New Roman"/>
                <w:b w:val="0"/>
                <w:bCs/>
                <w:color w:val="000000" w:themeColor="text1"/>
                <w:kern w:val="0"/>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490</w:t>
            </w:r>
          </w:p>
        </w:tc>
        <w:tc>
          <w:tcPr>
            <w:tcW w:w="857" w:type="pct"/>
            <w:tcBorders>
              <w:top w:val="nil"/>
              <w:left w:val="nil"/>
              <w:bottom w:val="single" w:color="auto" w:sz="4" w:space="0"/>
              <w:right w:val="single" w:color="auto" w:sz="4" w:space="0"/>
            </w:tcBorders>
            <w:vAlign w:val="center"/>
          </w:tcPr>
          <w:p w14:paraId="31400209">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9</w:t>
            </w:r>
          </w:p>
        </w:tc>
        <w:tc>
          <w:tcPr>
            <w:tcW w:w="780" w:type="pct"/>
            <w:tcBorders>
              <w:top w:val="nil"/>
              <w:left w:val="nil"/>
              <w:bottom w:val="single" w:color="auto" w:sz="4" w:space="0"/>
              <w:right w:val="single" w:color="auto" w:sz="4" w:space="0"/>
            </w:tcBorders>
            <w:vAlign w:val="center"/>
          </w:tcPr>
          <w:p w14:paraId="53674645">
            <w:pPr>
              <w:widowControl/>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≥12</w:t>
            </w:r>
          </w:p>
        </w:tc>
        <w:tc>
          <w:tcPr>
            <w:tcW w:w="1018" w:type="pct"/>
            <w:tcBorders>
              <w:top w:val="nil"/>
              <w:left w:val="nil"/>
              <w:bottom w:val="single" w:color="auto" w:sz="4" w:space="0"/>
              <w:right w:val="single" w:color="auto" w:sz="4" w:space="0"/>
            </w:tcBorders>
            <w:vAlign w:val="center"/>
          </w:tcPr>
          <w:p w14:paraId="788A1322">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120</w:t>
            </w:r>
            <w:r>
              <w:rPr>
                <w:rFonts w:hint="default" w:ascii="Times New Roman" w:hAnsi="Times New Roman" w:eastAsia="宋体" w:cs="Times New Roman"/>
                <w:b w:val="0"/>
                <w:bCs/>
                <w:color w:val="000000" w:themeColor="text1"/>
                <w:kern w:val="0"/>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155</w:t>
            </w:r>
          </w:p>
        </w:tc>
      </w:tr>
      <w:tr w14:paraId="670DBA4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746" w:type="pct"/>
            <w:vMerge w:val="continue"/>
            <w:tcBorders>
              <w:top w:val="single" w:color="auto" w:sz="4" w:space="0"/>
              <w:left w:val="single" w:color="auto" w:sz="4" w:space="0"/>
              <w:bottom w:val="single" w:color="auto" w:sz="4" w:space="0"/>
              <w:right w:val="single" w:color="auto" w:sz="4" w:space="0"/>
            </w:tcBorders>
            <w:vAlign w:val="center"/>
          </w:tcPr>
          <w:p w14:paraId="729C7C5B">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p>
        </w:tc>
        <w:tc>
          <w:tcPr>
            <w:tcW w:w="819" w:type="pct"/>
            <w:tcBorders>
              <w:top w:val="nil"/>
              <w:left w:val="nil"/>
              <w:bottom w:val="single" w:color="auto" w:sz="4" w:space="0"/>
              <w:right w:val="single" w:color="auto" w:sz="4" w:space="0"/>
            </w:tcBorders>
            <w:vAlign w:val="center"/>
          </w:tcPr>
          <w:p w14:paraId="0621580A">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H04</w:t>
            </w:r>
          </w:p>
        </w:tc>
        <w:tc>
          <w:tcPr>
            <w:tcW w:w="778" w:type="pct"/>
            <w:tcBorders>
              <w:top w:val="nil"/>
              <w:left w:val="nil"/>
              <w:bottom w:val="single" w:color="auto" w:sz="4" w:space="0"/>
              <w:right w:val="single" w:color="auto" w:sz="4" w:space="0"/>
            </w:tcBorders>
            <w:vAlign w:val="center"/>
          </w:tcPr>
          <w:p w14:paraId="7BFB9829">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480</w:t>
            </w:r>
            <w:r>
              <w:rPr>
                <w:rFonts w:hint="default" w:ascii="Times New Roman" w:hAnsi="Times New Roman" w:eastAsia="宋体" w:cs="Times New Roman"/>
                <w:b w:val="0"/>
                <w:bCs/>
                <w:color w:val="000000" w:themeColor="text1"/>
                <w:kern w:val="0"/>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560</w:t>
            </w:r>
          </w:p>
        </w:tc>
        <w:tc>
          <w:tcPr>
            <w:tcW w:w="857" w:type="pct"/>
            <w:tcBorders>
              <w:top w:val="nil"/>
              <w:left w:val="nil"/>
              <w:bottom w:val="single" w:color="auto" w:sz="4" w:space="0"/>
              <w:right w:val="single" w:color="auto" w:sz="4" w:space="0"/>
            </w:tcBorders>
            <w:vAlign w:val="center"/>
          </w:tcPr>
          <w:p w14:paraId="3FF8E4A2">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4</w:t>
            </w:r>
          </w:p>
        </w:tc>
        <w:tc>
          <w:tcPr>
            <w:tcW w:w="780" w:type="pct"/>
            <w:tcBorders>
              <w:top w:val="nil"/>
              <w:left w:val="nil"/>
              <w:bottom w:val="single" w:color="auto" w:sz="4" w:space="0"/>
              <w:right w:val="single" w:color="auto" w:sz="4" w:space="0"/>
            </w:tcBorders>
            <w:vAlign w:val="center"/>
          </w:tcPr>
          <w:p w14:paraId="20BF8266">
            <w:pPr>
              <w:widowControl/>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≥6</w:t>
            </w:r>
          </w:p>
        </w:tc>
        <w:tc>
          <w:tcPr>
            <w:tcW w:w="1018" w:type="pct"/>
            <w:tcBorders>
              <w:top w:val="nil"/>
              <w:left w:val="nil"/>
              <w:bottom w:val="single" w:color="auto" w:sz="4" w:space="0"/>
              <w:right w:val="single" w:color="auto" w:sz="4" w:space="0"/>
            </w:tcBorders>
            <w:vAlign w:val="center"/>
          </w:tcPr>
          <w:p w14:paraId="43B63CE6">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150</w:t>
            </w:r>
            <w:r>
              <w:rPr>
                <w:rFonts w:hint="default" w:ascii="Times New Roman" w:hAnsi="Times New Roman" w:eastAsia="宋体" w:cs="Times New Roman"/>
                <w:b w:val="0"/>
                <w:bCs/>
                <w:color w:val="000000" w:themeColor="text1"/>
                <w:kern w:val="0"/>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180</w:t>
            </w:r>
          </w:p>
        </w:tc>
      </w:tr>
      <w:tr w14:paraId="262754E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746" w:type="pct"/>
            <w:vMerge w:val="continue"/>
            <w:tcBorders>
              <w:top w:val="single" w:color="auto" w:sz="4" w:space="0"/>
              <w:left w:val="single" w:color="auto" w:sz="4" w:space="0"/>
              <w:bottom w:val="single" w:color="auto" w:sz="4" w:space="0"/>
              <w:right w:val="single" w:color="auto" w:sz="4" w:space="0"/>
            </w:tcBorders>
            <w:vAlign w:val="center"/>
          </w:tcPr>
          <w:p w14:paraId="0B1EDE89">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p>
        </w:tc>
        <w:tc>
          <w:tcPr>
            <w:tcW w:w="819" w:type="pct"/>
            <w:tcBorders>
              <w:top w:val="nil"/>
              <w:left w:val="nil"/>
              <w:bottom w:val="single" w:color="auto" w:sz="4" w:space="0"/>
              <w:right w:val="single" w:color="auto" w:sz="4" w:space="0"/>
            </w:tcBorders>
            <w:vAlign w:val="center"/>
          </w:tcPr>
          <w:p w14:paraId="2D916440">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H06</w:t>
            </w:r>
          </w:p>
        </w:tc>
        <w:tc>
          <w:tcPr>
            <w:tcW w:w="778" w:type="pct"/>
            <w:tcBorders>
              <w:top w:val="nil"/>
              <w:left w:val="nil"/>
              <w:bottom w:val="single" w:color="auto" w:sz="4" w:space="0"/>
              <w:right w:val="single" w:color="auto" w:sz="4" w:space="0"/>
            </w:tcBorders>
            <w:vAlign w:val="center"/>
          </w:tcPr>
          <w:p w14:paraId="2DD9C2F3">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550</w:t>
            </w:r>
            <w:r>
              <w:rPr>
                <w:rFonts w:hint="default" w:ascii="Times New Roman" w:hAnsi="Times New Roman" w:eastAsia="宋体" w:cs="Times New Roman"/>
                <w:b w:val="0"/>
                <w:bCs/>
                <w:color w:val="000000" w:themeColor="text1"/>
                <w:kern w:val="0"/>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640</w:t>
            </w:r>
          </w:p>
        </w:tc>
        <w:tc>
          <w:tcPr>
            <w:tcW w:w="857" w:type="pct"/>
            <w:tcBorders>
              <w:top w:val="nil"/>
              <w:left w:val="nil"/>
              <w:bottom w:val="single" w:color="auto" w:sz="4" w:space="0"/>
              <w:right w:val="single" w:color="auto" w:sz="4" w:space="0"/>
            </w:tcBorders>
            <w:vAlign w:val="center"/>
          </w:tcPr>
          <w:p w14:paraId="3645E6B8">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w:t>
            </w:r>
          </w:p>
        </w:tc>
        <w:tc>
          <w:tcPr>
            <w:tcW w:w="780" w:type="pct"/>
            <w:tcBorders>
              <w:top w:val="nil"/>
              <w:left w:val="nil"/>
              <w:bottom w:val="single" w:color="auto" w:sz="4" w:space="0"/>
              <w:right w:val="single" w:color="auto" w:sz="4" w:space="0"/>
            </w:tcBorders>
            <w:vAlign w:val="center"/>
          </w:tcPr>
          <w:p w14:paraId="2DE2B62C">
            <w:pPr>
              <w:widowControl/>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≥2</w:t>
            </w:r>
          </w:p>
        </w:tc>
        <w:tc>
          <w:tcPr>
            <w:tcW w:w="1018" w:type="pct"/>
            <w:tcBorders>
              <w:top w:val="nil"/>
              <w:left w:val="nil"/>
              <w:bottom w:val="single" w:color="auto" w:sz="4" w:space="0"/>
              <w:right w:val="single" w:color="auto" w:sz="4" w:space="0"/>
            </w:tcBorders>
            <w:vAlign w:val="center"/>
          </w:tcPr>
          <w:p w14:paraId="77A00E22">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170</w:t>
            </w:r>
            <w:r>
              <w:rPr>
                <w:rFonts w:hint="default" w:ascii="Times New Roman" w:hAnsi="Times New Roman" w:eastAsia="宋体" w:cs="Times New Roman"/>
                <w:b w:val="0"/>
                <w:bCs/>
                <w:color w:val="000000" w:themeColor="text1"/>
                <w:kern w:val="0"/>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200</w:t>
            </w:r>
          </w:p>
        </w:tc>
      </w:tr>
      <w:tr w14:paraId="56F43AE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746" w:type="pct"/>
            <w:vMerge w:val="restart"/>
            <w:tcBorders>
              <w:top w:val="nil"/>
              <w:left w:val="single" w:color="auto" w:sz="6" w:space="0"/>
              <w:bottom w:val="single" w:color="000000" w:sz="4" w:space="0"/>
              <w:right w:val="single" w:color="auto" w:sz="4" w:space="0"/>
            </w:tcBorders>
            <w:vAlign w:val="center"/>
          </w:tcPr>
          <w:p w14:paraId="22168707">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H80</w:t>
            </w:r>
          </w:p>
        </w:tc>
        <w:tc>
          <w:tcPr>
            <w:tcW w:w="819" w:type="pct"/>
            <w:tcBorders>
              <w:top w:val="nil"/>
              <w:left w:val="nil"/>
              <w:bottom w:val="single" w:color="auto" w:sz="4" w:space="0"/>
              <w:right w:val="single" w:color="auto" w:sz="4" w:space="0"/>
            </w:tcBorders>
            <w:vAlign w:val="center"/>
          </w:tcPr>
          <w:p w14:paraId="755FD0FF">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H01</w:t>
            </w:r>
          </w:p>
        </w:tc>
        <w:tc>
          <w:tcPr>
            <w:tcW w:w="778" w:type="pct"/>
            <w:tcBorders>
              <w:top w:val="nil"/>
              <w:left w:val="nil"/>
              <w:bottom w:val="single" w:color="auto" w:sz="4" w:space="0"/>
              <w:right w:val="single" w:color="auto" w:sz="4" w:space="0"/>
            </w:tcBorders>
            <w:vAlign w:val="center"/>
          </w:tcPr>
          <w:p w14:paraId="3E6FC01E">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330</w:t>
            </w:r>
            <w:r>
              <w:rPr>
                <w:rFonts w:hint="default" w:ascii="Times New Roman" w:hAnsi="Times New Roman" w:eastAsia="宋体" w:cs="Times New Roman"/>
                <w:b w:val="0"/>
                <w:bCs/>
                <w:color w:val="000000" w:themeColor="text1"/>
                <w:kern w:val="0"/>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410</w:t>
            </w:r>
          </w:p>
        </w:tc>
        <w:tc>
          <w:tcPr>
            <w:tcW w:w="857" w:type="pct"/>
            <w:tcBorders>
              <w:top w:val="nil"/>
              <w:left w:val="nil"/>
              <w:bottom w:val="single" w:color="auto" w:sz="4" w:space="0"/>
              <w:right w:val="single" w:color="auto" w:sz="4" w:space="0"/>
            </w:tcBorders>
            <w:vAlign w:val="center"/>
          </w:tcPr>
          <w:p w14:paraId="769718FF">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14</w:t>
            </w:r>
          </w:p>
        </w:tc>
        <w:tc>
          <w:tcPr>
            <w:tcW w:w="780" w:type="pct"/>
            <w:tcBorders>
              <w:top w:val="nil"/>
              <w:left w:val="nil"/>
              <w:bottom w:val="single" w:color="auto" w:sz="4" w:space="0"/>
              <w:right w:val="single" w:color="auto" w:sz="4" w:space="0"/>
            </w:tcBorders>
            <w:vAlign w:val="center"/>
          </w:tcPr>
          <w:p w14:paraId="61BAA53D">
            <w:pPr>
              <w:widowControl/>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≥18</w:t>
            </w:r>
          </w:p>
        </w:tc>
        <w:tc>
          <w:tcPr>
            <w:tcW w:w="1018" w:type="pct"/>
            <w:tcBorders>
              <w:top w:val="nil"/>
              <w:left w:val="nil"/>
              <w:bottom w:val="single" w:color="auto" w:sz="4" w:space="0"/>
              <w:right w:val="single" w:color="auto" w:sz="4" w:space="0"/>
            </w:tcBorders>
            <w:vAlign w:val="center"/>
          </w:tcPr>
          <w:p w14:paraId="622AC82B">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90</w:t>
            </w:r>
            <w:r>
              <w:rPr>
                <w:rFonts w:hint="default" w:ascii="Times New Roman" w:hAnsi="Times New Roman" w:eastAsia="宋体" w:cs="Times New Roman"/>
                <w:b w:val="0"/>
                <w:bCs/>
                <w:color w:val="000000" w:themeColor="text1"/>
                <w:kern w:val="0"/>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120</w:t>
            </w:r>
          </w:p>
        </w:tc>
      </w:tr>
      <w:tr w14:paraId="1D7863C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746" w:type="pct"/>
            <w:vMerge w:val="continue"/>
            <w:tcBorders>
              <w:top w:val="nil"/>
              <w:left w:val="single" w:color="auto" w:sz="6" w:space="0"/>
              <w:bottom w:val="single" w:color="auto" w:sz="6" w:space="0"/>
              <w:right w:val="single" w:color="auto" w:sz="4" w:space="0"/>
            </w:tcBorders>
            <w:vAlign w:val="center"/>
          </w:tcPr>
          <w:p w14:paraId="117253FB">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p>
        </w:tc>
        <w:tc>
          <w:tcPr>
            <w:tcW w:w="819" w:type="pct"/>
            <w:tcBorders>
              <w:top w:val="nil"/>
              <w:left w:val="nil"/>
              <w:bottom w:val="single" w:color="auto" w:sz="6" w:space="0"/>
              <w:right w:val="single" w:color="auto" w:sz="4" w:space="0"/>
            </w:tcBorders>
            <w:vAlign w:val="center"/>
          </w:tcPr>
          <w:p w14:paraId="1D9AFD78">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H02</w:t>
            </w:r>
          </w:p>
        </w:tc>
        <w:tc>
          <w:tcPr>
            <w:tcW w:w="778" w:type="pct"/>
            <w:tcBorders>
              <w:top w:val="nil"/>
              <w:left w:val="nil"/>
              <w:bottom w:val="single" w:color="auto" w:sz="6" w:space="0"/>
              <w:right w:val="single" w:color="auto" w:sz="4" w:space="0"/>
            </w:tcBorders>
            <w:vAlign w:val="center"/>
          </w:tcPr>
          <w:p w14:paraId="6ED716DB">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380</w:t>
            </w:r>
            <w:r>
              <w:rPr>
                <w:rFonts w:hint="default" w:ascii="Times New Roman" w:hAnsi="Times New Roman" w:eastAsia="宋体" w:cs="Times New Roman"/>
                <w:b w:val="0"/>
                <w:bCs/>
                <w:color w:val="000000" w:themeColor="text1"/>
                <w:kern w:val="0"/>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460</w:t>
            </w:r>
          </w:p>
        </w:tc>
        <w:tc>
          <w:tcPr>
            <w:tcW w:w="857" w:type="pct"/>
            <w:tcBorders>
              <w:top w:val="nil"/>
              <w:left w:val="nil"/>
              <w:bottom w:val="single" w:color="auto" w:sz="6" w:space="0"/>
              <w:right w:val="single" w:color="auto" w:sz="4" w:space="0"/>
            </w:tcBorders>
            <w:vAlign w:val="center"/>
          </w:tcPr>
          <w:p w14:paraId="5811DFA5">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7</w:t>
            </w:r>
          </w:p>
        </w:tc>
        <w:tc>
          <w:tcPr>
            <w:tcW w:w="780" w:type="pct"/>
            <w:tcBorders>
              <w:top w:val="nil"/>
              <w:left w:val="nil"/>
              <w:bottom w:val="single" w:color="auto" w:sz="6" w:space="0"/>
              <w:right w:val="single" w:color="auto" w:sz="4" w:space="0"/>
            </w:tcBorders>
            <w:vAlign w:val="center"/>
          </w:tcPr>
          <w:p w14:paraId="6F190F97">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10</w:t>
            </w:r>
          </w:p>
        </w:tc>
        <w:tc>
          <w:tcPr>
            <w:tcW w:w="1018" w:type="pct"/>
            <w:tcBorders>
              <w:top w:val="nil"/>
              <w:left w:val="nil"/>
              <w:bottom w:val="single" w:color="auto" w:sz="6" w:space="0"/>
              <w:right w:val="single" w:color="auto" w:sz="4" w:space="0"/>
            </w:tcBorders>
            <w:vAlign w:val="center"/>
          </w:tcPr>
          <w:p w14:paraId="099E02C0">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110</w:t>
            </w:r>
            <w:r>
              <w:rPr>
                <w:rFonts w:hint="default" w:ascii="Times New Roman" w:hAnsi="Times New Roman" w:eastAsia="宋体" w:cs="Times New Roman"/>
                <w:b w:val="0"/>
                <w:bCs/>
                <w:color w:val="000000" w:themeColor="text1"/>
                <w:kern w:val="0"/>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140</w:t>
            </w:r>
          </w:p>
        </w:tc>
      </w:tr>
      <w:tr w14:paraId="767F149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746" w:type="pct"/>
            <w:vMerge w:val="continue"/>
            <w:tcBorders>
              <w:top w:val="single" w:color="auto" w:sz="6" w:space="0"/>
              <w:left w:val="single" w:color="auto" w:sz="6" w:space="0"/>
              <w:bottom w:val="single" w:color="auto" w:sz="6" w:space="0"/>
              <w:right w:val="single" w:color="auto" w:sz="6" w:space="0"/>
            </w:tcBorders>
            <w:vAlign w:val="center"/>
          </w:tcPr>
          <w:p w14:paraId="141E03F7">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p>
        </w:tc>
        <w:tc>
          <w:tcPr>
            <w:tcW w:w="819" w:type="pct"/>
            <w:tcBorders>
              <w:top w:val="single" w:color="auto" w:sz="6" w:space="0"/>
              <w:left w:val="single" w:color="auto" w:sz="6" w:space="0"/>
              <w:bottom w:val="single" w:color="auto" w:sz="6" w:space="0"/>
              <w:right w:val="single" w:color="auto" w:sz="6" w:space="0"/>
            </w:tcBorders>
            <w:vAlign w:val="center"/>
          </w:tcPr>
          <w:p w14:paraId="63AFB0B5">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H04</w:t>
            </w:r>
          </w:p>
        </w:tc>
        <w:tc>
          <w:tcPr>
            <w:tcW w:w="778" w:type="pct"/>
            <w:tcBorders>
              <w:top w:val="single" w:color="auto" w:sz="6" w:space="0"/>
              <w:left w:val="single" w:color="auto" w:sz="6" w:space="0"/>
              <w:bottom w:val="single" w:color="auto" w:sz="6" w:space="0"/>
              <w:right w:val="single" w:color="auto" w:sz="6" w:space="0"/>
            </w:tcBorders>
            <w:vAlign w:val="center"/>
          </w:tcPr>
          <w:p w14:paraId="5CED270D">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440</w:t>
            </w:r>
            <w:r>
              <w:rPr>
                <w:rFonts w:hint="default" w:ascii="Times New Roman" w:hAnsi="Times New Roman" w:eastAsia="宋体" w:cs="Times New Roman"/>
                <w:b w:val="0"/>
                <w:bCs/>
                <w:color w:val="000000" w:themeColor="text1"/>
                <w:kern w:val="0"/>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530</w:t>
            </w:r>
          </w:p>
        </w:tc>
        <w:tc>
          <w:tcPr>
            <w:tcW w:w="857" w:type="pct"/>
            <w:tcBorders>
              <w:top w:val="single" w:color="auto" w:sz="6" w:space="0"/>
              <w:left w:val="single" w:color="auto" w:sz="6" w:space="0"/>
              <w:bottom w:val="single" w:color="auto" w:sz="6" w:space="0"/>
              <w:right w:val="single" w:color="auto" w:sz="6" w:space="0"/>
            </w:tcBorders>
            <w:vAlign w:val="center"/>
          </w:tcPr>
          <w:p w14:paraId="7BCF139B">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3</w:t>
            </w:r>
          </w:p>
        </w:tc>
        <w:tc>
          <w:tcPr>
            <w:tcW w:w="780" w:type="pct"/>
            <w:tcBorders>
              <w:top w:val="single" w:color="auto" w:sz="6" w:space="0"/>
              <w:left w:val="single" w:color="auto" w:sz="6" w:space="0"/>
              <w:bottom w:val="single" w:color="auto" w:sz="6" w:space="0"/>
              <w:right w:val="single" w:color="auto" w:sz="6" w:space="0"/>
            </w:tcBorders>
            <w:vAlign w:val="center"/>
          </w:tcPr>
          <w:p w14:paraId="4453ED4D">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4</w:t>
            </w:r>
          </w:p>
        </w:tc>
        <w:tc>
          <w:tcPr>
            <w:tcW w:w="1018" w:type="pct"/>
            <w:tcBorders>
              <w:top w:val="single" w:color="auto" w:sz="6" w:space="0"/>
              <w:left w:val="single" w:color="auto" w:sz="6" w:space="0"/>
              <w:bottom w:val="single" w:color="auto" w:sz="6" w:space="0"/>
              <w:right w:val="single" w:color="auto" w:sz="6" w:space="0"/>
            </w:tcBorders>
            <w:vAlign w:val="center"/>
          </w:tcPr>
          <w:p w14:paraId="69F66A16">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130</w:t>
            </w:r>
            <w:r>
              <w:rPr>
                <w:rFonts w:hint="default" w:ascii="Times New Roman" w:hAnsi="Times New Roman" w:eastAsia="宋体" w:cs="Times New Roman"/>
                <w:b w:val="0"/>
                <w:bCs/>
                <w:color w:val="000000" w:themeColor="text1"/>
                <w:kern w:val="0"/>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160</w:t>
            </w:r>
          </w:p>
        </w:tc>
      </w:tr>
      <w:tr w14:paraId="1F59410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746" w:type="pct"/>
            <w:vMerge w:val="continue"/>
            <w:tcBorders>
              <w:top w:val="single" w:color="auto" w:sz="6" w:space="0"/>
              <w:left w:val="single" w:color="auto" w:sz="6" w:space="0"/>
              <w:bottom w:val="single" w:color="auto" w:sz="4" w:space="0"/>
              <w:right w:val="single" w:color="auto" w:sz="4" w:space="0"/>
            </w:tcBorders>
            <w:vAlign w:val="center"/>
          </w:tcPr>
          <w:p w14:paraId="26CFCD80">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p>
        </w:tc>
        <w:tc>
          <w:tcPr>
            <w:tcW w:w="819" w:type="pct"/>
            <w:tcBorders>
              <w:top w:val="single" w:color="auto" w:sz="6" w:space="0"/>
              <w:left w:val="nil"/>
              <w:bottom w:val="single" w:color="auto" w:sz="4" w:space="0"/>
              <w:right w:val="single" w:color="auto" w:sz="4" w:space="0"/>
            </w:tcBorders>
            <w:vAlign w:val="center"/>
          </w:tcPr>
          <w:p w14:paraId="2DB9B78D">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H06</w:t>
            </w:r>
          </w:p>
        </w:tc>
        <w:tc>
          <w:tcPr>
            <w:tcW w:w="778" w:type="pct"/>
            <w:tcBorders>
              <w:top w:val="single" w:color="auto" w:sz="6" w:space="0"/>
              <w:left w:val="nil"/>
              <w:bottom w:val="single" w:color="auto" w:sz="4" w:space="0"/>
              <w:right w:val="single" w:color="auto" w:sz="4" w:space="0"/>
            </w:tcBorders>
            <w:vAlign w:val="center"/>
          </w:tcPr>
          <w:p w14:paraId="2E2FE788">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510</w:t>
            </w:r>
          </w:p>
        </w:tc>
        <w:tc>
          <w:tcPr>
            <w:tcW w:w="857" w:type="pct"/>
            <w:tcBorders>
              <w:top w:val="single" w:color="auto" w:sz="6" w:space="0"/>
              <w:left w:val="nil"/>
              <w:bottom w:val="single" w:color="auto" w:sz="4" w:space="0"/>
              <w:right w:val="single" w:color="auto" w:sz="4" w:space="0"/>
            </w:tcBorders>
            <w:vAlign w:val="center"/>
          </w:tcPr>
          <w:p w14:paraId="112101A5">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w:t>
            </w:r>
          </w:p>
        </w:tc>
        <w:tc>
          <w:tcPr>
            <w:tcW w:w="780" w:type="pct"/>
            <w:tcBorders>
              <w:top w:val="single" w:color="auto" w:sz="6" w:space="0"/>
              <w:left w:val="nil"/>
              <w:bottom w:val="single" w:color="auto" w:sz="4" w:space="0"/>
              <w:right w:val="single" w:color="auto" w:sz="4" w:space="0"/>
            </w:tcBorders>
            <w:vAlign w:val="center"/>
          </w:tcPr>
          <w:p w14:paraId="332A8750">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2</w:t>
            </w:r>
          </w:p>
        </w:tc>
        <w:tc>
          <w:tcPr>
            <w:tcW w:w="1018" w:type="pct"/>
            <w:tcBorders>
              <w:top w:val="single" w:color="auto" w:sz="6" w:space="0"/>
              <w:left w:val="nil"/>
              <w:bottom w:val="single" w:color="auto" w:sz="4" w:space="0"/>
              <w:right w:val="single" w:color="auto" w:sz="4" w:space="0"/>
            </w:tcBorders>
            <w:vAlign w:val="center"/>
          </w:tcPr>
          <w:p w14:paraId="4A35ADF1">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155</w:t>
            </w:r>
            <w:r>
              <w:rPr>
                <w:rFonts w:hint="default" w:ascii="Times New Roman" w:hAnsi="Times New Roman" w:eastAsia="宋体" w:cs="Times New Roman"/>
                <w:b w:val="0"/>
                <w:bCs/>
                <w:color w:val="000000" w:themeColor="text1"/>
                <w:kern w:val="0"/>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185</w:t>
            </w:r>
          </w:p>
        </w:tc>
      </w:tr>
      <w:tr w14:paraId="661094B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746" w:type="pct"/>
            <w:vMerge w:val="restart"/>
            <w:tcBorders>
              <w:top w:val="single" w:color="auto" w:sz="4" w:space="0"/>
              <w:left w:val="single" w:color="auto" w:sz="4" w:space="0"/>
              <w:bottom w:val="single" w:color="auto" w:sz="4" w:space="0"/>
              <w:right w:val="single" w:color="auto" w:sz="4" w:space="0"/>
            </w:tcBorders>
            <w:vAlign w:val="center"/>
          </w:tcPr>
          <w:p w14:paraId="42BABC9F">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H85</w:t>
            </w:r>
          </w:p>
        </w:tc>
        <w:tc>
          <w:tcPr>
            <w:tcW w:w="819" w:type="pct"/>
            <w:tcBorders>
              <w:top w:val="single" w:color="auto" w:sz="4" w:space="0"/>
              <w:left w:val="nil"/>
              <w:bottom w:val="single" w:color="auto" w:sz="4" w:space="0"/>
              <w:right w:val="single" w:color="auto" w:sz="4" w:space="0"/>
            </w:tcBorders>
            <w:vAlign w:val="center"/>
          </w:tcPr>
          <w:p w14:paraId="5A64F254">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H01</w:t>
            </w:r>
          </w:p>
        </w:tc>
        <w:tc>
          <w:tcPr>
            <w:tcW w:w="778" w:type="pct"/>
            <w:tcBorders>
              <w:top w:val="single" w:color="auto" w:sz="4" w:space="0"/>
              <w:left w:val="nil"/>
              <w:bottom w:val="single" w:color="auto" w:sz="4" w:space="0"/>
              <w:right w:val="single" w:color="auto" w:sz="4" w:space="0"/>
            </w:tcBorders>
            <w:vAlign w:val="center"/>
          </w:tcPr>
          <w:p w14:paraId="13E9275F">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300</w:t>
            </w:r>
            <w:r>
              <w:rPr>
                <w:rFonts w:hint="default" w:ascii="Times New Roman" w:hAnsi="Times New Roman" w:eastAsia="宋体" w:cs="Times New Roman"/>
                <w:b w:val="0"/>
                <w:bCs/>
                <w:color w:val="000000" w:themeColor="text1"/>
                <w:kern w:val="0"/>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370</w:t>
            </w:r>
          </w:p>
        </w:tc>
        <w:tc>
          <w:tcPr>
            <w:tcW w:w="857" w:type="pct"/>
            <w:tcBorders>
              <w:top w:val="single" w:color="auto" w:sz="4" w:space="0"/>
              <w:left w:val="nil"/>
              <w:bottom w:val="single" w:color="auto" w:sz="4" w:space="0"/>
              <w:right w:val="single" w:color="auto" w:sz="4" w:space="0"/>
            </w:tcBorders>
            <w:vAlign w:val="center"/>
          </w:tcPr>
          <w:p w14:paraId="164A6550">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16</w:t>
            </w:r>
          </w:p>
        </w:tc>
        <w:tc>
          <w:tcPr>
            <w:tcW w:w="780" w:type="pct"/>
            <w:tcBorders>
              <w:top w:val="single" w:color="auto" w:sz="4" w:space="0"/>
              <w:left w:val="nil"/>
              <w:bottom w:val="single" w:color="auto" w:sz="4" w:space="0"/>
              <w:right w:val="single" w:color="auto" w:sz="4" w:space="0"/>
            </w:tcBorders>
            <w:vAlign w:val="center"/>
          </w:tcPr>
          <w:p w14:paraId="67AFDAB3">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20</w:t>
            </w:r>
          </w:p>
        </w:tc>
        <w:tc>
          <w:tcPr>
            <w:tcW w:w="1018" w:type="pct"/>
            <w:tcBorders>
              <w:top w:val="single" w:color="auto" w:sz="4" w:space="0"/>
              <w:left w:val="nil"/>
              <w:bottom w:val="single" w:color="auto" w:sz="4" w:space="0"/>
              <w:right w:val="single" w:color="auto" w:sz="4" w:space="0"/>
            </w:tcBorders>
            <w:vAlign w:val="center"/>
          </w:tcPr>
          <w:p w14:paraId="4127CA83">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85</w:t>
            </w:r>
            <w:r>
              <w:rPr>
                <w:rFonts w:hint="default" w:ascii="Times New Roman" w:hAnsi="Times New Roman" w:eastAsia="宋体" w:cs="Times New Roman"/>
                <w:b w:val="0"/>
                <w:bCs/>
                <w:color w:val="000000" w:themeColor="text1"/>
                <w:kern w:val="0"/>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115</w:t>
            </w:r>
          </w:p>
        </w:tc>
      </w:tr>
      <w:tr w14:paraId="1AB8696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746" w:type="pct"/>
            <w:vMerge w:val="continue"/>
            <w:tcBorders>
              <w:top w:val="single" w:color="auto" w:sz="4" w:space="0"/>
              <w:left w:val="single" w:color="auto" w:sz="4" w:space="0"/>
              <w:bottom w:val="nil"/>
              <w:right w:val="single" w:color="auto" w:sz="4" w:space="0"/>
            </w:tcBorders>
            <w:vAlign w:val="center"/>
          </w:tcPr>
          <w:p w14:paraId="0352A1EF">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p>
        </w:tc>
        <w:tc>
          <w:tcPr>
            <w:tcW w:w="819" w:type="pct"/>
            <w:tcBorders>
              <w:top w:val="single" w:color="auto" w:sz="4" w:space="0"/>
              <w:left w:val="nil"/>
              <w:bottom w:val="single" w:color="auto" w:sz="4" w:space="0"/>
              <w:right w:val="single" w:color="auto" w:sz="4" w:space="0"/>
            </w:tcBorders>
            <w:vAlign w:val="center"/>
          </w:tcPr>
          <w:p w14:paraId="387732C5">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H02</w:t>
            </w:r>
          </w:p>
        </w:tc>
        <w:tc>
          <w:tcPr>
            <w:tcW w:w="778" w:type="pct"/>
            <w:tcBorders>
              <w:top w:val="single" w:color="auto" w:sz="4" w:space="0"/>
              <w:left w:val="nil"/>
              <w:bottom w:val="single" w:color="auto" w:sz="4" w:space="0"/>
              <w:right w:val="single" w:color="auto" w:sz="4" w:space="0"/>
            </w:tcBorders>
            <w:vAlign w:val="center"/>
          </w:tcPr>
          <w:p w14:paraId="02C04637">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350</w:t>
            </w:r>
            <w:r>
              <w:rPr>
                <w:rFonts w:hint="default" w:ascii="Times New Roman" w:hAnsi="Times New Roman" w:eastAsia="宋体" w:cs="Times New Roman"/>
                <w:b w:val="0"/>
                <w:bCs/>
                <w:color w:val="000000" w:themeColor="text1"/>
                <w:kern w:val="0"/>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420</w:t>
            </w:r>
          </w:p>
        </w:tc>
        <w:tc>
          <w:tcPr>
            <w:tcW w:w="857" w:type="pct"/>
            <w:tcBorders>
              <w:top w:val="single" w:color="auto" w:sz="4" w:space="0"/>
              <w:left w:val="nil"/>
              <w:bottom w:val="single" w:color="auto" w:sz="4" w:space="0"/>
              <w:right w:val="single" w:color="auto" w:sz="4" w:space="0"/>
            </w:tcBorders>
            <w:vAlign w:val="center"/>
          </w:tcPr>
          <w:p w14:paraId="388ADC91">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8</w:t>
            </w:r>
          </w:p>
        </w:tc>
        <w:tc>
          <w:tcPr>
            <w:tcW w:w="780" w:type="pct"/>
            <w:tcBorders>
              <w:top w:val="single" w:color="auto" w:sz="4" w:space="0"/>
              <w:left w:val="nil"/>
              <w:bottom w:val="single" w:color="auto" w:sz="4" w:space="0"/>
              <w:right w:val="single" w:color="auto" w:sz="4" w:space="0"/>
            </w:tcBorders>
            <w:vAlign w:val="center"/>
          </w:tcPr>
          <w:p w14:paraId="50EE9DBA">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12</w:t>
            </w:r>
          </w:p>
        </w:tc>
        <w:tc>
          <w:tcPr>
            <w:tcW w:w="1018" w:type="pct"/>
            <w:tcBorders>
              <w:top w:val="single" w:color="auto" w:sz="4" w:space="0"/>
              <w:left w:val="nil"/>
              <w:bottom w:val="single" w:color="auto" w:sz="4" w:space="0"/>
              <w:right w:val="single" w:color="auto" w:sz="4" w:space="0"/>
            </w:tcBorders>
            <w:vAlign w:val="center"/>
          </w:tcPr>
          <w:p w14:paraId="5F346380">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105</w:t>
            </w:r>
            <w:r>
              <w:rPr>
                <w:rFonts w:hint="default" w:ascii="Times New Roman" w:hAnsi="Times New Roman" w:eastAsia="宋体" w:cs="Times New Roman"/>
                <w:b w:val="0"/>
                <w:bCs/>
                <w:color w:val="000000" w:themeColor="text1"/>
                <w:kern w:val="0"/>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135</w:t>
            </w:r>
          </w:p>
        </w:tc>
      </w:tr>
      <w:tr w14:paraId="76332E4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746" w:type="pct"/>
            <w:vMerge w:val="continue"/>
            <w:tcBorders>
              <w:top w:val="nil"/>
              <w:left w:val="single" w:color="auto" w:sz="4" w:space="0"/>
              <w:bottom w:val="nil"/>
              <w:right w:val="single" w:color="auto" w:sz="4" w:space="0"/>
            </w:tcBorders>
            <w:vAlign w:val="center"/>
          </w:tcPr>
          <w:p w14:paraId="1C65D3C7">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p>
        </w:tc>
        <w:tc>
          <w:tcPr>
            <w:tcW w:w="819" w:type="pct"/>
            <w:tcBorders>
              <w:top w:val="nil"/>
              <w:left w:val="nil"/>
              <w:bottom w:val="single" w:color="auto" w:sz="4" w:space="0"/>
              <w:right w:val="single" w:color="auto" w:sz="4" w:space="0"/>
            </w:tcBorders>
            <w:vAlign w:val="center"/>
          </w:tcPr>
          <w:p w14:paraId="5028FE40">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H04</w:t>
            </w:r>
          </w:p>
        </w:tc>
        <w:tc>
          <w:tcPr>
            <w:tcW w:w="778" w:type="pct"/>
            <w:tcBorders>
              <w:top w:val="nil"/>
              <w:left w:val="nil"/>
              <w:bottom w:val="single" w:color="auto" w:sz="4" w:space="0"/>
              <w:right w:val="single" w:color="auto" w:sz="4" w:space="0"/>
            </w:tcBorders>
            <w:vAlign w:val="center"/>
          </w:tcPr>
          <w:p w14:paraId="4BD20069">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410</w:t>
            </w:r>
            <w:r>
              <w:rPr>
                <w:rFonts w:hint="default" w:ascii="Times New Roman" w:hAnsi="Times New Roman" w:eastAsia="宋体" w:cs="Times New Roman"/>
                <w:b w:val="0"/>
                <w:bCs/>
                <w:color w:val="000000" w:themeColor="text1"/>
                <w:kern w:val="0"/>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490</w:t>
            </w:r>
          </w:p>
        </w:tc>
        <w:tc>
          <w:tcPr>
            <w:tcW w:w="857" w:type="pct"/>
            <w:tcBorders>
              <w:top w:val="nil"/>
              <w:left w:val="nil"/>
              <w:bottom w:val="single" w:color="auto" w:sz="4" w:space="0"/>
              <w:right w:val="single" w:color="auto" w:sz="4" w:space="0"/>
            </w:tcBorders>
            <w:vAlign w:val="center"/>
          </w:tcPr>
          <w:p w14:paraId="730003E7">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3</w:t>
            </w:r>
          </w:p>
        </w:tc>
        <w:tc>
          <w:tcPr>
            <w:tcW w:w="780" w:type="pct"/>
            <w:tcBorders>
              <w:top w:val="nil"/>
              <w:left w:val="nil"/>
              <w:bottom w:val="single" w:color="auto" w:sz="4" w:space="0"/>
              <w:right w:val="single" w:color="auto" w:sz="4" w:space="0"/>
            </w:tcBorders>
            <w:vAlign w:val="center"/>
          </w:tcPr>
          <w:p w14:paraId="78BED2BA">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4</w:t>
            </w:r>
          </w:p>
        </w:tc>
        <w:tc>
          <w:tcPr>
            <w:tcW w:w="1018" w:type="pct"/>
            <w:tcBorders>
              <w:top w:val="nil"/>
              <w:left w:val="nil"/>
              <w:bottom w:val="single" w:color="auto" w:sz="4" w:space="0"/>
              <w:right w:val="single" w:color="auto" w:sz="4" w:space="0"/>
            </w:tcBorders>
            <w:vAlign w:val="center"/>
          </w:tcPr>
          <w:p w14:paraId="38A37E78">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125</w:t>
            </w:r>
            <w:r>
              <w:rPr>
                <w:rFonts w:hint="default" w:ascii="Times New Roman" w:hAnsi="Times New Roman" w:eastAsia="宋体" w:cs="Times New Roman"/>
                <w:b w:val="0"/>
                <w:bCs/>
                <w:color w:val="000000" w:themeColor="text1"/>
                <w:kern w:val="0"/>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155</w:t>
            </w:r>
          </w:p>
        </w:tc>
      </w:tr>
      <w:tr w14:paraId="1F7FD78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746" w:type="pct"/>
            <w:vMerge w:val="continue"/>
            <w:tcBorders>
              <w:top w:val="nil"/>
              <w:left w:val="single" w:color="auto" w:sz="4" w:space="0"/>
              <w:bottom w:val="nil"/>
              <w:right w:val="single" w:color="auto" w:sz="4" w:space="0"/>
            </w:tcBorders>
            <w:vAlign w:val="center"/>
          </w:tcPr>
          <w:p w14:paraId="69259966">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p>
        </w:tc>
        <w:tc>
          <w:tcPr>
            <w:tcW w:w="819" w:type="pct"/>
            <w:tcBorders>
              <w:top w:val="nil"/>
              <w:left w:val="nil"/>
              <w:bottom w:val="single" w:color="auto" w:sz="4" w:space="0"/>
              <w:right w:val="single" w:color="auto" w:sz="4" w:space="0"/>
            </w:tcBorders>
            <w:vAlign w:val="center"/>
          </w:tcPr>
          <w:p w14:paraId="039A3B84">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H06</w:t>
            </w:r>
          </w:p>
        </w:tc>
        <w:tc>
          <w:tcPr>
            <w:tcW w:w="778" w:type="pct"/>
            <w:tcBorders>
              <w:top w:val="nil"/>
              <w:left w:val="nil"/>
              <w:bottom w:val="single" w:color="auto" w:sz="4" w:space="0"/>
              <w:right w:val="single" w:color="auto" w:sz="4" w:space="0"/>
            </w:tcBorders>
            <w:vAlign w:val="center"/>
          </w:tcPr>
          <w:p w14:paraId="5FC8267B">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480</w:t>
            </w:r>
            <w:r>
              <w:rPr>
                <w:rFonts w:hint="default" w:ascii="Times New Roman" w:hAnsi="Times New Roman" w:eastAsia="宋体" w:cs="Times New Roman"/>
                <w:b w:val="0"/>
                <w:bCs/>
                <w:color w:val="000000" w:themeColor="text1"/>
                <w:kern w:val="0"/>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560</w:t>
            </w:r>
          </w:p>
        </w:tc>
        <w:tc>
          <w:tcPr>
            <w:tcW w:w="857" w:type="pct"/>
            <w:tcBorders>
              <w:top w:val="nil"/>
              <w:left w:val="nil"/>
              <w:bottom w:val="single" w:color="auto" w:sz="4" w:space="0"/>
              <w:right w:val="single" w:color="auto" w:sz="4" w:space="0"/>
            </w:tcBorders>
            <w:vAlign w:val="center"/>
          </w:tcPr>
          <w:p w14:paraId="64E15301">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w:t>
            </w:r>
          </w:p>
        </w:tc>
        <w:tc>
          <w:tcPr>
            <w:tcW w:w="780" w:type="pct"/>
            <w:tcBorders>
              <w:top w:val="nil"/>
              <w:left w:val="nil"/>
              <w:bottom w:val="single" w:color="auto" w:sz="4" w:space="0"/>
              <w:right w:val="single" w:color="auto" w:sz="4" w:space="0"/>
            </w:tcBorders>
            <w:vAlign w:val="center"/>
          </w:tcPr>
          <w:p w14:paraId="43BD557B">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2</w:t>
            </w:r>
          </w:p>
        </w:tc>
        <w:tc>
          <w:tcPr>
            <w:tcW w:w="1018" w:type="pct"/>
            <w:tcBorders>
              <w:top w:val="nil"/>
              <w:left w:val="nil"/>
              <w:bottom w:val="single" w:color="auto" w:sz="4" w:space="0"/>
              <w:right w:val="single" w:color="auto" w:sz="4" w:space="0"/>
            </w:tcBorders>
            <w:vAlign w:val="center"/>
          </w:tcPr>
          <w:p w14:paraId="03B248F1">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150</w:t>
            </w:r>
            <w:r>
              <w:rPr>
                <w:rFonts w:hint="default" w:ascii="Times New Roman" w:hAnsi="Times New Roman" w:eastAsia="宋体" w:cs="Times New Roman"/>
                <w:b w:val="0"/>
                <w:bCs/>
                <w:color w:val="000000" w:themeColor="text1"/>
                <w:kern w:val="0"/>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180</w:t>
            </w:r>
          </w:p>
        </w:tc>
      </w:tr>
      <w:tr w14:paraId="0D9E63F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746" w:type="pct"/>
            <w:vMerge w:val="restart"/>
            <w:tcBorders>
              <w:top w:val="single" w:color="auto" w:sz="4" w:space="0"/>
              <w:left w:val="single" w:color="auto" w:sz="4" w:space="0"/>
              <w:bottom w:val="nil"/>
              <w:right w:val="single" w:color="auto" w:sz="4" w:space="0"/>
            </w:tcBorders>
            <w:vAlign w:val="center"/>
          </w:tcPr>
          <w:p w14:paraId="6EC8F4D9">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QSn4-0.3</w:t>
            </w:r>
          </w:p>
        </w:tc>
        <w:tc>
          <w:tcPr>
            <w:tcW w:w="819" w:type="pct"/>
            <w:tcBorders>
              <w:top w:val="nil"/>
              <w:left w:val="nil"/>
              <w:bottom w:val="single" w:color="auto" w:sz="4" w:space="0"/>
              <w:right w:val="single" w:color="auto" w:sz="4" w:space="0"/>
            </w:tcBorders>
            <w:vAlign w:val="center"/>
          </w:tcPr>
          <w:p w14:paraId="2F1FFAA3">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H01</w:t>
            </w:r>
          </w:p>
        </w:tc>
        <w:tc>
          <w:tcPr>
            <w:tcW w:w="778" w:type="pct"/>
            <w:tcBorders>
              <w:top w:val="nil"/>
              <w:left w:val="nil"/>
              <w:bottom w:val="single" w:color="auto" w:sz="4" w:space="0"/>
              <w:right w:val="single" w:color="auto" w:sz="4" w:space="0"/>
            </w:tcBorders>
            <w:vAlign w:val="center"/>
          </w:tcPr>
          <w:p w14:paraId="0A55412A">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390</w:t>
            </w:r>
            <w:r>
              <w:rPr>
                <w:rFonts w:hint="default" w:ascii="Times New Roman" w:hAnsi="Times New Roman" w:eastAsia="宋体" w:cs="Times New Roman"/>
                <w:b w:val="0"/>
                <w:bCs/>
                <w:color w:val="000000" w:themeColor="text1"/>
                <w:kern w:val="0"/>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490</w:t>
            </w:r>
          </w:p>
        </w:tc>
        <w:tc>
          <w:tcPr>
            <w:tcW w:w="857" w:type="pct"/>
            <w:tcBorders>
              <w:top w:val="nil"/>
              <w:left w:val="nil"/>
              <w:bottom w:val="single" w:color="auto" w:sz="4" w:space="0"/>
              <w:right w:val="single" w:color="auto" w:sz="4" w:space="0"/>
            </w:tcBorders>
            <w:vAlign w:val="center"/>
          </w:tcPr>
          <w:p w14:paraId="741DA5F6">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11</w:t>
            </w:r>
          </w:p>
        </w:tc>
        <w:tc>
          <w:tcPr>
            <w:tcW w:w="780" w:type="pct"/>
            <w:tcBorders>
              <w:top w:val="nil"/>
              <w:left w:val="nil"/>
              <w:bottom w:val="single" w:color="auto" w:sz="4" w:space="0"/>
              <w:right w:val="single" w:color="auto" w:sz="4" w:space="0"/>
            </w:tcBorders>
            <w:vAlign w:val="center"/>
          </w:tcPr>
          <w:p w14:paraId="03012BB2">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13</w:t>
            </w:r>
          </w:p>
        </w:tc>
        <w:tc>
          <w:tcPr>
            <w:tcW w:w="1018" w:type="pct"/>
            <w:tcBorders>
              <w:top w:val="nil"/>
              <w:left w:val="nil"/>
              <w:bottom w:val="single" w:color="auto" w:sz="4" w:space="0"/>
              <w:right w:val="single" w:color="auto" w:sz="4" w:space="0"/>
            </w:tcBorders>
            <w:vAlign w:val="center"/>
          </w:tcPr>
          <w:p w14:paraId="1591187F">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115</w:t>
            </w:r>
            <w:r>
              <w:rPr>
                <w:rFonts w:hint="default" w:ascii="Times New Roman" w:hAnsi="Times New Roman" w:eastAsia="宋体" w:cs="Times New Roman"/>
                <w:b w:val="0"/>
                <w:bCs/>
                <w:color w:val="000000" w:themeColor="text1"/>
                <w:kern w:val="0"/>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155</w:t>
            </w:r>
          </w:p>
        </w:tc>
      </w:tr>
      <w:tr w14:paraId="6DB911E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746" w:type="pct"/>
            <w:vMerge w:val="continue"/>
            <w:tcBorders>
              <w:top w:val="single" w:color="auto" w:sz="4" w:space="0"/>
              <w:left w:val="single" w:color="auto" w:sz="4" w:space="0"/>
              <w:bottom w:val="nil"/>
              <w:right w:val="single" w:color="auto" w:sz="4" w:space="0"/>
            </w:tcBorders>
            <w:vAlign w:val="center"/>
          </w:tcPr>
          <w:p w14:paraId="49336893">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p>
        </w:tc>
        <w:tc>
          <w:tcPr>
            <w:tcW w:w="819" w:type="pct"/>
            <w:tcBorders>
              <w:top w:val="nil"/>
              <w:left w:val="nil"/>
              <w:bottom w:val="single" w:color="auto" w:sz="4" w:space="0"/>
              <w:right w:val="single" w:color="auto" w:sz="4" w:space="0"/>
            </w:tcBorders>
            <w:vAlign w:val="center"/>
          </w:tcPr>
          <w:p w14:paraId="3C043793">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H02</w:t>
            </w:r>
          </w:p>
        </w:tc>
        <w:tc>
          <w:tcPr>
            <w:tcW w:w="778" w:type="pct"/>
            <w:tcBorders>
              <w:top w:val="nil"/>
              <w:left w:val="nil"/>
              <w:bottom w:val="single" w:color="auto" w:sz="4" w:space="0"/>
              <w:right w:val="single" w:color="auto" w:sz="4" w:space="0"/>
            </w:tcBorders>
            <w:vAlign w:val="center"/>
          </w:tcPr>
          <w:p w14:paraId="07591A47">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480</w:t>
            </w:r>
            <w:r>
              <w:rPr>
                <w:rFonts w:hint="default" w:ascii="Times New Roman" w:hAnsi="Times New Roman" w:eastAsia="宋体" w:cs="Times New Roman"/>
                <w:b w:val="0"/>
                <w:bCs/>
                <w:color w:val="000000" w:themeColor="text1"/>
                <w:kern w:val="0"/>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570</w:t>
            </w:r>
          </w:p>
        </w:tc>
        <w:tc>
          <w:tcPr>
            <w:tcW w:w="857" w:type="pct"/>
            <w:tcBorders>
              <w:top w:val="nil"/>
              <w:left w:val="nil"/>
              <w:bottom w:val="single" w:color="auto" w:sz="4" w:space="0"/>
              <w:right w:val="single" w:color="auto" w:sz="4" w:space="0"/>
            </w:tcBorders>
            <w:vAlign w:val="center"/>
          </w:tcPr>
          <w:p w14:paraId="6113F225">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4</w:t>
            </w:r>
          </w:p>
        </w:tc>
        <w:tc>
          <w:tcPr>
            <w:tcW w:w="780" w:type="pct"/>
            <w:tcBorders>
              <w:top w:val="nil"/>
              <w:left w:val="nil"/>
              <w:bottom w:val="single" w:color="auto" w:sz="4" w:space="0"/>
              <w:right w:val="single" w:color="auto" w:sz="4" w:space="0"/>
            </w:tcBorders>
            <w:vAlign w:val="center"/>
          </w:tcPr>
          <w:p w14:paraId="75D1486F">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5</w:t>
            </w:r>
          </w:p>
        </w:tc>
        <w:tc>
          <w:tcPr>
            <w:tcW w:w="1018" w:type="pct"/>
            <w:tcBorders>
              <w:top w:val="nil"/>
              <w:left w:val="nil"/>
              <w:bottom w:val="single" w:color="auto" w:sz="4" w:space="0"/>
              <w:right w:val="single" w:color="auto" w:sz="4" w:space="0"/>
            </w:tcBorders>
            <w:vAlign w:val="center"/>
          </w:tcPr>
          <w:p w14:paraId="6C36FF0D">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150</w:t>
            </w:r>
            <w:r>
              <w:rPr>
                <w:rFonts w:hint="default" w:ascii="Times New Roman" w:hAnsi="Times New Roman" w:eastAsia="宋体" w:cs="Times New Roman"/>
                <w:b w:val="0"/>
                <w:bCs/>
                <w:color w:val="000000" w:themeColor="text1"/>
                <w:kern w:val="0"/>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180</w:t>
            </w:r>
          </w:p>
        </w:tc>
      </w:tr>
      <w:tr w14:paraId="70A7510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746" w:type="pct"/>
            <w:vMerge w:val="continue"/>
            <w:tcBorders>
              <w:top w:val="single" w:color="auto" w:sz="4" w:space="0"/>
              <w:left w:val="single" w:color="auto" w:sz="4" w:space="0"/>
              <w:bottom w:val="nil"/>
              <w:right w:val="single" w:color="auto" w:sz="4" w:space="0"/>
            </w:tcBorders>
            <w:vAlign w:val="center"/>
          </w:tcPr>
          <w:p w14:paraId="01769FB2">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p>
        </w:tc>
        <w:tc>
          <w:tcPr>
            <w:tcW w:w="819" w:type="pct"/>
            <w:tcBorders>
              <w:top w:val="nil"/>
              <w:left w:val="nil"/>
              <w:bottom w:val="single" w:color="auto" w:sz="4" w:space="0"/>
              <w:right w:val="single" w:color="auto" w:sz="4" w:space="0"/>
            </w:tcBorders>
            <w:vAlign w:val="center"/>
          </w:tcPr>
          <w:p w14:paraId="1DE37242">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H04</w:t>
            </w:r>
          </w:p>
        </w:tc>
        <w:tc>
          <w:tcPr>
            <w:tcW w:w="778" w:type="pct"/>
            <w:tcBorders>
              <w:top w:val="nil"/>
              <w:left w:val="nil"/>
              <w:bottom w:val="single" w:color="auto" w:sz="4" w:space="0"/>
              <w:right w:val="single" w:color="auto" w:sz="4" w:space="0"/>
            </w:tcBorders>
            <w:vAlign w:val="center"/>
          </w:tcPr>
          <w:p w14:paraId="01C6C2F9">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540</w:t>
            </w:r>
            <w:r>
              <w:rPr>
                <w:rFonts w:hint="default" w:ascii="Times New Roman" w:hAnsi="Times New Roman" w:eastAsia="宋体" w:cs="Times New Roman"/>
                <w:b w:val="0"/>
                <w:bCs/>
                <w:color w:val="000000" w:themeColor="text1"/>
                <w:kern w:val="0"/>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630</w:t>
            </w:r>
          </w:p>
        </w:tc>
        <w:tc>
          <w:tcPr>
            <w:tcW w:w="857" w:type="pct"/>
            <w:tcBorders>
              <w:top w:val="nil"/>
              <w:left w:val="nil"/>
              <w:bottom w:val="single" w:color="auto" w:sz="4" w:space="0"/>
              <w:right w:val="single" w:color="auto" w:sz="4" w:space="0"/>
            </w:tcBorders>
            <w:vAlign w:val="center"/>
          </w:tcPr>
          <w:p w14:paraId="6401384C">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3</w:t>
            </w:r>
          </w:p>
        </w:tc>
        <w:tc>
          <w:tcPr>
            <w:tcW w:w="780" w:type="pct"/>
            <w:tcBorders>
              <w:top w:val="nil"/>
              <w:left w:val="nil"/>
              <w:bottom w:val="single" w:color="auto" w:sz="4" w:space="0"/>
              <w:right w:val="single" w:color="auto" w:sz="4" w:space="0"/>
            </w:tcBorders>
            <w:vAlign w:val="center"/>
          </w:tcPr>
          <w:p w14:paraId="5A9F82E9">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4</w:t>
            </w:r>
          </w:p>
        </w:tc>
        <w:tc>
          <w:tcPr>
            <w:tcW w:w="1018" w:type="pct"/>
            <w:tcBorders>
              <w:top w:val="nil"/>
              <w:left w:val="nil"/>
              <w:bottom w:val="single" w:color="auto" w:sz="4" w:space="0"/>
              <w:right w:val="single" w:color="auto" w:sz="4" w:space="0"/>
            </w:tcBorders>
            <w:vAlign w:val="center"/>
          </w:tcPr>
          <w:p w14:paraId="03A192A4">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170</w:t>
            </w:r>
            <w:r>
              <w:rPr>
                <w:rFonts w:hint="default" w:ascii="Times New Roman" w:hAnsi="Times New Roman" w:eastAsia="宋体" w:cs="Times New Roman"/>
                <w:b w:val="0"/>
                <w:bCs/>
                <w:color w:val="000000" w:themeColor="text1"/>
                <w:kern w:val="0"/>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200</w:t>
            </w:r>
          </w:p>
        </w:tc>
      </w:tr>
      <w:tr w14:paraId="0FA5A93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746" w:type="pct"/>
            <w:vMerge w:val="continue"/>
            <w:tcBorders>
              <w:top w:val="single" w:color="auto" w:sz="4" w:space="0"/>
              <w:left w:val="single" w:color="auto" w:sz="4" w:space="0"/>
              <w:bottom w:val="nil"/>
              <w:right w:val="single" w:color="auto" w:sz="4" w:space="0"/>
            </w:tcBorders>
            <w:vAlign w:val="center"/>
          </w:tcPr>
          <w:p w14:paraId="24592EBD">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p>
        </w:tc>
        <w:tc>
          <w:tcPr>
            <w:tcW w:w="819" w:type="pct"/>
            <w:tcBorders>
              <w:top w:val="nil"/>
              <w:left w:val="nil"/>
              <w:bottom w:val="single" w:color="auto" w:sz="4" w:space="0"/>
              <w:right w:val="single" w:color="auto" w:sz="4" w:space="0"/>
            </w:tcBorders>
            <w:vAlign w:val="center"/>
          </w:tcPr>
          <w:p w14:paraId="3736FA22">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H06</w:t>
            </w:r>
          </w:p>
        </w:tc>
        <w:tc>
          <w:tcPr>
            <w:tcW w:w="778" w:type="pct"/>
            <w:tcBorders>
              <w:top w:val="nil"/>
              <w:left w:val="nil"/>
              <w:bottom w:val="single" w:color="auto" w:sz="4" w:space="0"/>
              <w:right w:val="single" w:color="auto" w:sz="4" w:space="0"/>
            </w:tcBorders>
            <w:vAlign w:val="center"/>
          </w:tcPr>
          <w:p w14:paraId="4D08792C">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610</w:t>
            </w:r>
          </w:p>
        </w:tc>
        <w:tc>
          <w:tcPr>
            <w:tcW w:w="857" w:type="pct"/>
            <w:tcBorders>
              <w:top w:val="nil"/>
              <w:left w:val="nil"/>
              <w:bottom w:val="single" w:color="auto" w:sz="4" w:space="0"/>
              <w:right w:val="single" w:color="auto" w:sz="4" w:space="0"/>
            </w:tcBorders>
            <w:vAlign w:val="center"/>
          </w:tcPr>
          <w:p w14:paraId="5370486C">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w:t>
            </w:r>
          </w:p>
        </w:tc>
        <w:tc>
          <w:tcPr>
            <w:tcW w:w="780" w:type="pct"/>
            <w:tcBorders>
              <w:top w:val="nil"/>
              <w:left w:val="nil"/>
              <w:bottom w:val="single" w:color="auto" w:sz="4" w:space="0"/>
              <w:right w:val="single" w:color="auto" w:sz="4" w:space="0"/>
            </w:tcBorders>
            <w:vAlign w:val="center"/>
          </w:tcPr>
          <w:p w14:paraId="473D5675">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2</w:t>
            </w:r>
          </w:p>
        </w:tc>
        <w:tc>
          <w:tcPr>
            <w:tcW w:w="1018" w:type="pct"/>
            <w:tcBorders>
              <w:top w:val="nil"/>
              <w:left w:val="nil"/>
              <w:bottom w:val="single" w:color="auto" w:sz="4" w:space="0"/>
              <w:right w:val="single" w:color="auto" w:sz="4" w:space="0"/>
            </w:tcBorders>
            <w:vAlign w:val="center"/>
          </w:tcPr>
          <w:p w14:paraId="5375732F">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190</w:t>
            </w:r>
          </w:p>
        </w:tc>
      </w:tr>
      <w:tr w14:paraId="3362195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746" w:type="pct"/>
            <w:vMerge w:val="restart"/>
            <w:tcBorders>
              <w:top w:val="single" w:color="000000" w:sz="4" w:space="0"/>
              <w:left w:val="single" w:color="auto" w:sz="4" w:space="0"/>
              <w:bottom w:val="single" w:color="auto" w:sz="4" w:space="0"/>
              <w:right w:val="single" w:color="auto" w:sz="4" w:space="0"/>
            </w:tcBorders>
            <w:vAlign w:val="center"/>
          </w:tcPr>
          <w:p w14:paraId="2E4639BB">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QSn6.5-0.1</w:t>
            </w:r>
          </w:p>
        </w:tc>
        <w:tc>
          <w:tcPr>
            <w:tcW w:w="819" w:type="pct"/>
            <w:tcBorders>
              <w:top w:val="single" w:color="auto" w:sz="4" w:space="0"/>
              <w:left w:val="single" w:color="auto" w:sz="4" w:space="0"/>
              <w:bottom w:val="single" w:color="auto" w:sz="4" w:space="0"/>
              <w:right w:val="single" w:color="auto" w:sz="4" w:space="0"/>
            </w:tcBorders>
            <w:vAlign w:val="center"/>
          </w:tcPr>
          <w:p w14:paraId="10D7A405">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H01</w:t>
            </w:r>
          </w:p>
        </w:tc>
        <w:tc>
          <w:tcPr>
            <w:tcW w:w="778" w:type="pct"/>
            <w:tcBorders>
              <w:top w:val="single" w:color="auto" w:sz="4" w:space="0"/>
              <w:left w:val="single" w:color="auto" w:sz="4" w:space="0"/>
              <w:bottom w:val="single" w:color="auto" w:sz="4" w:space="0"/>
              <w:right w:val="single" w:color="auto" w:sz="4" w:space="0"/>
            </w:tcBorders>
            <w:vAlign w:val="center"/>
          </w:tcPr>
          <w:p w14:paraId="7A15C82B">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420</w:t>
            </w:r>
            <w:r>
              <w:rPr>
                <w:rFonts w:hint="default" w:ascii="Times New Roman" w:hAnsi="Times New Roman" w:eastAsia="宋体" w:cs="Times New Roman"/>
                <w:b w:val="0"/>
                <w:bCs/>
                <w:color w:val="000000" w:themeColor="text1"/>
                <w:kern w:val="0"/>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520</w:t>
            </w:r>
          </w:p>
        </w:tc>
        <w:tc>
          <w:tcPr>
            <w:tcW w:w="857" w:type="pct"/>
            <w:tcBorders>
              <w:top w:val="single" w:color="auto" w:sz="4" w:space="0"/>
              <w:left w:val="single" w:color="auto" w:sz="4" w:space="0"/>
              <w:bottom w:val="single" w:color="auto" w:sz="4" w:space="0"/>
              <w:right w:val="single" w:color="auto" w:sz="4" w:space="0"/>
            </w:tcBorders>
            <w:vAlign w:val="center"/>
          </w:tcPr>
          <w:p w14:paraId="781B62C4">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17</w:t>
            </w:r>
          </w:p>
        </w:tc>
        <w:tc>
          <w:tcPr>
            <w:tcW w:w="780" w:type="pct"/>
            <w:tcBorders>
              <w:top w:val="single" w:color="auto" w:sz="4" w:space="0"/>
              <w:left w:val="single" w:color="auto" w:sz="4" w:space="0"/>
              <w:bottom w:val="single" w:color="auto" w:sz="4" w:space="0"/>
              <w:right w:val="single" w:color="auto" w:sz="4" w:space="0"/>
            </w:tcBorders>
            <w:vAlign w:val="center"/>
          </w:tcPr>
          <w:p w14:paraId="6034DB2A">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20</w:t>
            </w:r>
          </w:p>
        </w:tc>
        <w:tc>
          <w:tcPr>
            <w:tcW w:w="1018" w:type="pct"/>
            <w:tcBorders>
              <w:top w:val="single" w:color="auto" w:sz="4" w:space="0"/>
              <w:left w:val="single" w:color="auto" w:sz="4" w:space="0"/>
              <w:bottom w:val="single" w:color="auto" w:sz="4" w:space="0"/>
              <w:right w:val="single" w:color="auto" w:sz="4" w:space="0"/>
            </w:tcBorders>
            <w:vAlign w:val="center"/>
          </w:tcPr>
          <w:p w14:paraId="2363E7B7">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125</w:t>
            </w:r>
            <w:r>
              <w:rPr>
                <w:rFonts w:hint="default" w:ascii="Times New Roman" w:hAnsi="Times New Roman" w:eastAsia="宋体" w:cs="Times New Roman"/>
                <w:b w:val="0"/>
                <w:bCs/>
                <w:color w:val="000000" w:themeColor="text1"/>
                <w:kern w:val="0"/>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165</w:t>
            </w:r>
          </w:p>
        </w:tc>
      </w:tr>
      <w:tr w14:paraId="36D76BC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746" w:type="pct"/>
            <w:vMerge w:val="continue"/>
            <w:tcBorders>
              <w:top w:val="single" w:color="auto" w:sz="4" w:space="0"/>
              <w:left w:val="single" w:color="auto" w:sz="4" w:space="0"/>
              <w:bottom w:val="single" w:color="auto" w:sz="4" w:space="0"/>
              <w:right w:val="single" w:color="auto" w:sz="4" w:space="0"/>
            </w:tcBorders>
            <w:vAlign w:val="center"/>
          </w:tcPr>
          <w:p w14:paraId="1175B8B1">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p>
        </w:tc>
        <w:tc>
          <w:tcPr>
            <w:tcW w:w="819" w:type="pct"/>
            <w:tcBorders>
              <w:top w:val="single" w:color="auto" w:sz="4" w:space="0"/>
              <w:left w:val="nil"/>
              <w:bottom w:val="single" w:color="auto" w:sz="4" w:space="0"/>
              <w:right w:val="single" w:color="auto" w:sz="4" w:space="0"/>
            </w:tcBorders>
            <w:vAlign w:val="center"/>
          </w:tcPr>
          <w:p w14:paraId="699634F6">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H02</w:t>
            </w:r>
          </w:p>
        </w:tc>
        <w:tc>
          <w:tcPr>
            <w:tcW w:w="778" w:type="pct"/>
            <w:tcBorders>
              <w:top w:val="single" w:color="auto" w:sz="4" w:space="0"/>
              <w:left w:val="nil"/>
              <w:bottom w:val="single" w:color="auto" w:sz="4" w:space="0"/>
              <w:right w:val="single" w:color="auto" w:sz="4" w:space="0"/>
            </w:tcBorders>
            <w:vAlign w:val="center"/>
          </w:tcPr>
          <w:p w14:paraId="5D4C6C7E">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500</w:t>
            </w:r>
            <w:r>
              <w:rPr>
                <w:rFonts w:hint="default" w:ascii="Times New Roman" w:hAnsi="Times New Roman" w:eastAsia="宋体" w:cs="Times New Roman"/>
                <w:b w:val="0"/>
                <w:bCs/>
                <w:color w:val="000000" w:themeColor="text1"/>
                <w:kern w:val="0"/>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590</w:t>
            </w:r>
          </w:p>
        </w:tc>
        <w:tc>
          <w:tcPr>
            <w:tcW w:w="857" w:type="pct"/>
            <w:tcBorders>
              <w:top w:val="single" w:color="auto" w:sz="4" w:space="0"/>
              <w:left w:val="nil"/>
              <w:bottom w:val="single" w:color="auto" w:sz="4" w:space="0"/>
              <w:right w:val="single" w:color="auto" w:sz="4" w:space="0"/>
            </w:tcBorders>
            <w:vAlign w:val="center"/>
          </w:tcPr>
          <w:p w14:paraId="5F8F1317">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8</w:t>
            </w:r>
          </w:p>
        </w:tc>
        <w:tc>
          <w:tcPr>
            <w:tcW w:w="780" w:type="pct"/>
            <w:tcBorders>
              <w:top w:val="single" w:color="auto" w:sz="4" w:space="0"/>
              <w:left w:val="nil"/>
              <w:bottom w:val="single" w:color="auto" w:sz="4" w:space="0"/>
              <w:right w:val="single" w:color="auto" w:sz="4" w:space="0"/>
            </w:tcBorders>
            <w:vAlign w:val="center"/>
          </w:tcPr>
          <w:p w14:paraId="675177B5">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10</w:t>
            </w:r>
          </w:p>
        </w:tc>
        <w:tc>
          <w:tcPr>
            <w:tcW w:w="1018" w:type="pct"/>
            <w:tcBorders>
              <w:top w:val="single" w:color="auto" w:sz="4" w:space="0"/>
              <w:left w:val="nil"/>
              <w:bottom w:val="single" w:color="auto" w:sz="4" w:space="0"/>
              <w:right w:val="single" w:color="auto" w:sz="4" w:space="0"/>
            </w:tcBorders>
            <w:vAlign w:val="center"/>
          </w:tcPr>
          <w:p w14:paraId="65BAFDB3">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160</w:t>
            </w:r>
            <w:r>
              <w:rPr>
                <w:rFonts w:hint="default" w:ascii="Times New Roman" w:hAnsi="Times New Roman" w:eastAsia="宋体" w:cs="Times New Roman"/>
                <w:b w:val="0"/>
                <w:bCs/>
                <w:color w:val="000000" w:themeColor="text1"/>
                <w:kern w:val="0"/>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190</w:t>
            </w:r>
          </w:p>
        </w:tc>
      </w:tr>
      <w:tr w14:paraId="4CDDC0B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746" w:type="pct"/>
            <w:vMerge w:val="continue"/>
            <w:tcBorders>
              <w:top w:val="single" w:color="auto" w:sz="4" w:space="0"/>
              <w:left w:val="single" w:color="auto" w:sz="4" w:space="0"/>
              <w:bottom w:val="single" w:color="auto" w:sz="4" w:space="0"/>
              <w:right w:val="single" w:color="auto" w:sz="4" w:space="0"/>
            </w:tcBorders>
            <w:vAlign w:val="center"/>
          </w:tcPr>
          <w:p w14:paraId="008B6082">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p>
        </w:tc>
        <w:tc>
          <w:tcPr>
            <w:tcW w:w="819" w:type="pct"/>
            <w:tcBorders>
              <w:top w:val="nil"/>
              <w:left w:val="nil"/>
              <w:bottom w:val="single" w:color="auto" w:sz="4" w:space="0"/>
              <w:right w:val="single" w:color="auto" w:sz="4" w:space="0"/>
            </w:tcBorders>
            <w:vAlign w:val="center"/>
          </w:tcPr>
          <w:p w14:paraId="42B0E2DD">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H04</w:t>
            </w:r>
          </w:p>
        </w:tc>
        <w:tc>
          <w:tcPr>
            <w:tcW w:w="778" w:type="pct"/>
            <w:tcBorders>
              <w:top w:val="nil"/>
              <w:left w:val="nil"/>
              <w:bottom w:val="single" w:color="auto" w:sz="4" w:space="0"/>
              <w:right w:val="single" w:color="auto" w:sz="4" w:space="0"/>
            </w:tcBorders>
            <w:vAlign w:val="center"/>
          </w:tcPr>
          <w:p w14:paraId="73CF3FAD">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560</w:t>
            </w:r>
            <w:r>
              <w:rPr>
                <w:rFonts w:hint="default" w:ascii="Times New Roman" w:hAnsi="Times New Roman" w:eastAsia="宋体" w:cs="Times New Roman"/>
                <w:b w:val="0"/>
                <w:bCs/>
                <w:color w:val="000000" w:themeColor="text1"/>
                <w:kern w:val="0"/>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650</w:t>
            </w:r>
          </w:p>
        </w:tc>
        <w:tc>
          <w:tcPr>
            <w:tcW w:w="857" w:type="pct"/>
            <w:tcBorders>
              <w:top w:val="nil"/>
              <w:left w:val="nil"/>
              <w:bottom w:val="single" w:color="auto" w:sz="4" w:space="0"/>
              <w:right w:val="single" w:color="auto" w:sz="4" w:space="0"/>
            </w:tcBorders>
            <w:vAlign w:val="center"/>
          </w:tcPr>
          <w:p w14:paraId="26DE4796">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5</w:t>
            </w:r>
          </w:p>
        </w:tc>
        <w:tc>
          <w:tcPr>
            <w:tcW w:w="780" w:type="pct"/>
            <w:tcBorders>
              <w:top w:val="nil"/>
              <w:left w:val="nil"/>
              <w:bottom w:val="single" w:color="auto" w:sz="4" w:space="0"/>
              <w:right w:val="single" w:color="auto" w:sz="4" w:space="0"/>
            </w:tcBorders>
            <w:vAlign w:val="center"/>
          </w:tcPr>
          <w:p w14:paraId="1F01C78F">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7</w:t>
            </w:r>
          </w:p>
        </w:tc>
        <w:tc>
          <w:tcPr>
            <w:tcW w:w="1018" w:type="pct"/>
            <w:tcBorders>
              <w:top w:val="nil"/>
              <w:left w:val="nil"/>
              <w:bottom w:val="single" w:color="auto" w:sz="4" w:space="0"/>
              <w:right w:val="single" w:color="auto" w:sz="4" w:space="0"/>
            </w:tcBorders>
            <w:vAlign w:val="center"/>
          </w:tcPr>
          <w:p w14:paraId="605113A7">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180</w:t>
            </w:r>
            <w:r>
              <w:rPr>
                <w:rFonts w:hint="default" w:ascii="Times New Roman" w:hAnsi="Times New Roman" w:eastAsia="宋体" w:cs="Times New Roman"/>
                <w:b w:val="0"/>
                <w:bCs/>
                <w:color w:val="000000" w:themeColor="text1"/>
                <w:kern w:val="0"/>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210</w:t>
            </w:r>
          </w:p>
        </w:tc>
      </w:tr>
      <w:tr w14:paraId="56E421C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746" w:type="pct"/>
            <w:vMerge w:val="continue"/>
            <w:tcBorders>
              <w:top w:val="single" w:color="auto" w:sz="4" w:space="0"/>
              <w:left w:val="single" w:color="auto" w:sz="4" w:space="0"/>
              <w:bottom w:val="single" w:color="auto" w:sz="4" w:space="0"/>
              <w:right w:val="single" w:color="auto" w:sz="4" w:space="0"/>
            </w:tcBorders>
            <w:vAlign w:val="center"/>
          </w:tcPr>
          <w:p w14:paraId="1F7BA166">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p>
        </w:tc>
        <w:tc>
          <w:tcPr>
            <w:tcW w:w="819" w:type="pct"/>
            <w:tcBorders>
              <w:top w:val="nil"/>
              <w:left w:val="nil"/>
              <w:bottom w:val="single" w:color="auto" w:sz="4" w:space="0"/>
              <w:right w:val="single" w:color="auto" w:sz="4" w:space="0"/>
            </w:tcBorders>
            <w:vAlign w:val="center"/>
          </w:tcPr>
          <w:p w14:paraId="0FE6990C">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H06</w:t>
            </w:r>
          </w:p>
        </w:tc>
        <w:tc>
          <w:tcPr>
            <w:tcW w:w="778" w:type="pct"/>
            <w:tcBorders>
              <w:top w:val="nil"/>
              <w:left w:val="nil"/>
              <w:bottom w:val="single" w:color="auto" w:sz="4" w:space="0"/>
              <w:right w:val="single" w:color="auto" w:sz="4" w:space="0"/>
            </w:tcBorders>
            <w:vAlign w:val="center"/>
          </w:tcPr>
          <w:p w14:paraId="5B411F3E">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640</w:t>
            </w:r>
            <w:r>
              <w:rPr>
                <w:rFonts w:hint="default" w:ascii="Times New Roman" w:hAnsi="Times New Roman" w:eastAsia="宋体" w:cs="Times New Roman"/>
                <w:b w:val="0"/>
                <w:bCs/>
                <w:color w:val="000000" w:themeColor="text1"/>
                <w:kern w:val="0"/>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730</w:t>
            </w:r>
          </w:p>
        </w:tc>
        <w:tc>
          <w:tcPr>
            <w:tcW w:w="857" w:type="pct"/>
            <w:tcBorders>
              <w:top w:val="nil"/>
              <w:left w:val="nil"/>
              <w:bottom w:val="single" w:color="auto" w:sz="4" w:space="0"/>
              <w:right w:val="single" w:color="auto" w:sz="4" w:space="0"/>
            </w:tcBorders>
            <w:vAlign w:val="center"/>
          </w:tcPr>
          <w:p w14:paraId="19840BF5">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3</w:t>
            </w:r>
          </w:p>
        </w:tc>
        <w:tc>
          <w:tcPr>
            <w:tcW w:w="780" w:type="pct"/>
            <w:tcBorders>
              <w:top w:val="nil"/>
              <w:left w:val="nil"/>
              <w:bottom w:val="single" w:color="auto" w:sz="4" w:space="0"/>
              <w:right w:val="single" w:color="auto" w:sz="4" w:space="0"/>
            </w:tcBorders>
            <w:vAlign w:val="center"/>
          </w:tcPr>
          <w:p w14:paraId="37CA447C">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4</w:t>
            </w:r>
          </w:p>
        </w:tc>
        <w:tc>
          <w:tcPr>
            <w:tcW w:w="1018" w:type="pct"/>
            <w:tcBorders>
              <w:top w:val="nil"/>
              <w:left w:val="nil"/>
              <w:bottom w:val="single" w:color="auto" w:sz="4" w:space="0"/>
              <w:right w:val="single" w:color="auto" w:sz="4" w:space="0"/>
            </w:tcBorders>
            <w:vAlign w:val="center"/>
          </w:tcPr>
          <w:p w14:paraId="1C025CB7">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200</w:t>
            </w:r>
            <w:r>
              <w:rPr>
                <w:rFonts w:hint="default" w:ascii="Times New Roman" w:hAnsi="Times New Roman" w:eastAsia="宋体" w:cs="Times New Roman"/>
                <w:b w:val="0"/>
                <w:bCs/>
                <w:color w:val="000000" w:themeColor="text1"/>
                <w:kern w:val="0"/>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230</w:t>
            </w:r>
          </w:p>
        </w:tc>
      </w:tr>
      <w:tr w14:paraId="041881A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746" w:type="pct"/>
            <w:vMerge w:val="restart"/>
            <w:tcBorders>
              <w:top w:val="single" w:color="auto" w:sz="4" w:space="0"/>
              <w:left w:val="single" w:color="auto" w:sz="4" w:space="0"/>
              <w:bottom w:val="single" w:color="000000" w:sz="4" w:space="0"/>
              <w:right w:val="single" w:color="auto" w:sz="4" w:space="0"/>
            </w:tcBorders>
            <w:vAlign w:val="center"/>
          </w:tcPr>
          <w:p w14:paraId="504417CB">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QSn8-0.3</w:t>
            </w:r>
          </w:p>
        </w:tc>
        <w:tc>
          <w:tcPr>
            <w:tcW w:w="819" w:type="pct"/>
            <w:tcBorders>
              <w:top w:val="single" w:color="auto" w:sz="4" w:space="0"/>
              <w:left w:val="single" w:color="auto" w:sz="4" w:space="0"/>
              <w:bottom w:val="single" w:color="auto" w:sz="4" w:space="0"/>
              <w:right w:val="single" w:color="auto" w:sz="4" w:space="0"/>
            </w:tcBorders>
            <w:vAlign w:val="center"/>
          </w:tcPr>
          <w:p w14:paraId="6FD8B328">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H01</w:t>
            </w:r>
          </w:p>
        </w:tc>
        <w:tc>
          <w:tcPr>
            <w:tcW w:w="778" w:type="pct"/>
            <w:tcBorders>
              <w:top w:val="single" w:color="auto" w:sz="4" w:space="0"/>
              <w:left w:val="single" w:color="auto" w:sz="4" w:space="0"/>
              <w:bottom w:val="single" w:color="auto" w:sz="4" w:space="0"/>
              <w:right w:val="single" w:color="auto" w:sz="4" w:space="0"/>
            </w:tcBorders>
            <w:vAlign w:val="center"/>
          </w:tcPr>
          <w:p w14:paraId="134A10F0">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450</w:t>
            </w:r>
            <w:r>
              <w:rPr>
                <w:rFonts w:hint="default" w:ascii="Times New Roman" w:hAnsi="Times New Roman" w:eastAsia="宋体" w:cs="Times New Roman"/>
                <w:b w:val="0"/>
                <w:bCs/>
                <w:color w:val="000000" w:themeColor="text1"/>
                <w:kern w:val="0"/>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550</w:t>
            </w:r>
          </w:p>
        </w:tc>
        <w:tc>
          <w:tcPr>
            <w:tcW w:w="857" w:type="pct"/>
            <w:tcBorders>
              <w:top w:val="single" w:color="auto" w:sz="4" w:space="0"/>
              <w:left w:val="single" w:color="auto" w:sz="4" w:space="0"/>
              <w:bottom w:val="single" w:color="auto" w:sz="4" w:space="0"/>
              <w:right w:val="single" w:color="auto" w:sz="4" w:space="0"/>
            </w:tcBorders>
            <w:vAlign w:val="center"/>
          </w:tcPr>
          <w:p w14:paraId="5E21FDB3">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20</w:t>
            </w:r>
          </w:p>
        </w:tc>
        <w:tc>
          <w:tcPr>
            <w:tcW w:w="780" w:type="pct"/>
            <w:tcBorders>
              <w:top w:val="single" w:color="auto" w:sz="4" w:space="0"/>
              <w:left w:val="single" w:color="auto" w:sz="4" w:space="0"/>
              <w:bottom w:val="single" w:color="auto" w:sz="4" w:space="0"/>
              <w:right w:val="single" w:color="auto" w:sz="4" w:space="0"/>
            </w:tcBorders>
            <w:vAlign w:val="center"/>
          </w:tcPr>
          <w:p w14:paraId="26616C95">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23</w:t>
            </w:r>
          </w:p>
        </w:tc>
        <w:tc>
          <w:tcPr>
            <w:tcW w:w="1018" w:type="pct"/>
            <w:tcBorders>
              <w:top w:val="single" w:color="auto" w:sz="4" w:space="0"/>
              <w:left w:val="single" w:color="auto" w:sz="4" w:space="0"/>
              <w:bottom w:val="single" w:color="auto" w:sz="4" w:space="0"/>
              <w:right w:val="single" w:color="auto" w:sz="4" w:space="0"/>
            </w:tcBorders>
            <w:vAlign w:val="center"/>
          </w:tcPr>
          <w:p w14:paraId="56AD7842">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135</w:t>
            </w:r>
            <w:r>
              <w:rPr>
                <w:rFonts w:hint="default" w:ascii="Times New Roman" w:hAnsi="Times New Roman" w:eastAsia="宋体" w:cs="Times New Roman"/>
                <w:b w:val="0"/>
                <w:bCs/>
                <w:color w:val="000000" w:themeColor="text1"/>
                <w:kern w:val="0"/>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175</w:t>
            </w:r>
          </w:p>
        </w:tc>
      </w:tr>
      <w:tr w14:paraId="0A07C91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746" w:type="pct"/>
            <w:vMerge w:val="continue"/>
            <w:tcBorders>
              <w:top w:val="nil"/>
              <w:left w:val="single" w:color="auto" w:sz="4" w:space="0"/>
              <w:bottom w:val="single" w:color="000000" w:sz="4" w:space="0"/>
              <w:right w:val="single" w:color="auto" w:sz="4" w:space="0"/>
            </w:tcBorders>
            <w:vAlign w:val="center"/>
          </w:tcPr>
          <w:p w14:paraId="6B39F156">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p>
        </w:tc>
        <w:tc>
          <w:tcPr>
            <w:tcW w:w="819" w:type="pct"/>
            <w:tcBorders>
              <w:top w:val="single" w:color="auto" w:sz="4" w:space="0"/>
              <w:left w:val="nil"/>
              <w:bottom w:val="single" w:color="auto" w:sz="4" w:space="0"/>
              <w:right w:val="single" w:color="auto" w:sz="4" w:space="0"/>
            </w:tcBorders>
            <w:vAlign w:val="center"/>
          </w:tcPr>
          <w:p w14:paraId="711CD99B">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H02</w:t>
            </w:r>
          </w:p>
        </w:tc>
        <w:tc>
          <w:tcPr>
            <w:tcW w:w="778" w:type="pct"/>
            <w:tcBorders>
              <w:top w:val="single" w:color="auto" w:sz="4" w:space="0"/>
              <w:left w:val="nil"/>
              <w:bottom w:val="single" w:color="auto" w:sz="4" w:space="0"/>
              <w:right w:val="single" w:color="auto" w:sz="4" w:space="0"/>
            </w:tcBorders>
            <w:vAlign w:val="center"/>
          </w:tcPr>
          <w:p w14:paraId="5A497475">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540</w:t>
            </w:r>
            <w:r>
              <w:rPr>
                <w:rFonts w:hint="default" w:ascii="Times New Roman" w:hAnsi="Times New Roman" w:eastAsia="宋体" w:cs="Times New Roman"/>
                <w:b w:val="0"/>
                <w:bCs/>
                <w:color w:val="000000" w:themeColor="text1"/>
                <w:kern w:val="0"/>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630</w:t>
            </w:r>
          </w:p>
        </w:tc>
        <w:tc>
          <w:tcPr>
            <w:tcW w:w="857" w:type="pct"/>
            <w:tcBorders>
              <w:top w:val="single" w:color="auto" w:sz="4" w:space="0"/>
              <w:left w:val="nil"/>
              <w:bottom w:val="single" w:color="auto" w:sz="4" w:space="0"/>
              <w:right w:val="single" w:color="auto" w:sz="4" w:space="0"/>
            </w:tcBorders>
            <w:vAlign w:val="center"/>
          </w:tcPr>
          <w:p w14:paraId="47528DD5">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13</w:t>
            </w:r>
          </w:p>
        </w:tc>
        <w:tc>
          <w:tcPr>
            <w:tcW w:w="780" w:type="pct"/>
            <w:tcBorders>
              <w:top w:val="single" w:color="auto" w:sz="4" w:space="0"/>
              <w:left w:val="nil"/>
              <w:bottom w:val="single" w:color="auto" w:sz="4" w:space="0"/>
              <w:right w:val="single" w:color="auto" w:sz="4" w:space="0"/>
            </w:tcBorders>
            <w:vAlign w:val="center"/>
          </w:tcPr>
          <w:p w14:paraId="31CEFD6D">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15</w:t>
            </w:r>
          </w:p>
        </w:tc>
        <w:tc>
          <w:tcPr>
            <w:tcW w:w="1018" w:type="pct"/>
            <w:tcBorders>
              <w:top w:val="single" w:color="auto" w:sz="4" w:space="0"/>
              <w:left w:val="nil"/>
              <w:bottom w:val="single" w:color="auto" w:sz="4" w:space="0"/>
              <w:right w:val="single" w:color="auto" w:sz="4" w:space="0"/>
            </w:tcBorders>
            <w:vAlign w:val="center"/>
          </w:tcPr>
          <w:p w14:paraId="52E7D517">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170</w:t>
            </w:r>
            <w:r>
              <w:rPr>
                <w:rFonts w:hint="default" w:ascii="Times New Roman" w:hAnsi="Times New Roman" w:eastAsia="宋体" w:cs="Times New Roman"/>
                <w:b w:val="0"/>
                <w:bCs/>
                <w:color w:val="000000" w:themeColor="text1"/>
                <w:kern w:val="0"/>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200</w:t>
            </w:r>
          </w:p>
        </w:tc>
      </w:tr>
      <w:tr w14:paraId="0AF3CB0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746" w:type="pct"/>
            <w:vMerge w:val="continue"/>
            <w:tcBorders>
              <w:top w:val="nil"/>
              <w:left w:val="single" w:color="auto" w:sz="4" w:space="0"/>
              <w:bottom w:val="single" w:color="000000" w:sz="4" w:space="0"/>
              <w:right w:val="single" w:color="auto" w:sz="4" w:space="0"/>
            </w:tcBorders>
            <w:vAlign w:val="center"/>
          </w:tcPr>
          <w:p w14:paraId="30958081">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p>
        </w:tc>
        <w:tc>
          <w:tcPr>
            <w:tcW w:w="819" w:type="pct"/>
            <w:tcBorders>
              <w:top w:val="nil"/>
              <w:left w:val="nil"/>
              <w:bottom w:val="single" w:color="auto" w:sz="4" w:space="0"/>
              <w:right w:val="single" w:color="auto" w:sz="4" w:space="0"/>
            </w:tcBorders>
            <w:vAlign w:val="center"/>
          </w:tcPr>
          <w:p w14:paraId="4CAFABC9">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H04</w:t>
            </w:r>
          </w:p>
        </w:tc>
        <w:tc>
          <w:tcPr>
            <w:tcW w:w="778" w:type="pct"/>
            <w:tcBorders>
              <w:top w:val="nil"/>
              <w:left w:val="nil"/>
              <w:bottom w:val="single" w:color="auto" w:sz="4" w:space="0"/>
              <w:right w:val="single" w:color="auto" w:sz="4" w:space="0"/>
            </w:tcBorders>
            <w:vAlign w:val="center"/>
          </w:tcPr>
          <w:p w14:paraId="0C82EE87">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600</w:t>
            </w:r>
            <w:r>
              <w:rPr>
                <w:rFonts w:hint="default" w:ascii="Times New Roman" w:hAnsi="Times New Roman" w:eastAsia="宋体" w:cs="Times New Roman"/>
                <w:b w:val="0"/>
                <w:bCs/>
                <w:color w:val="000000" w:themeColor="text1"/>
                <w:kern w:val="0"/>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690</w:t>
            </w:r>
          </w:p>
        </w:tc>
        <w:tc>
          <w:tcPr>
            <w:tcW w:w="857" w:type="pct"/>
            <w:tcBorders>
              <w:top w:val="nil"/>
              <w:left w:val="nil"/>
              <w:bottom w:val="single" w:color="auto" w:sz="4" w:space="0"/>
              <w:right w:val="single" w:color="auto" w:sz="4" w:space="0"/>
            </w:tcBorders>
            <w:vAlign w:val="center"/>
          </w:tcPr>
          <w:p w14:paraId="6543328D">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5</w:t>
            </w:r>
          </w:p>
        </w:tc>
        <w:tc>
          <w:tcPr>
            <w:tcW w:w="780" w:type="pct"/>
            <w:tcBorders>
              <w:top w:val="nil"/>
              <w:left w:val="nil"/>
              <w:bottom w:val="single" w:color="auto" w:sz="4" w:space="0"/>
              <w:right w:val="single" w:color="auto" w:sz="4" w:space="0"/>
            </w:tcBorders>
            <w:vAlign w:val="center"/>
          </w:tcPr>
          <w:p w14:paraId="64924A94">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7</w:t>
            </w:r>
          </w:p>
        </w:tc>
        <w:tc>
          <w:tcPr>
            <w:tcW w:w="1018" w:type="pct"/>
            <w:tcBorders>
              <w:top w:val="nil"/>
              <w:left w:val="nil"/>
              <w:bottom w:val="single" w:color="auto" w:sz="4" w:space="0"/>
              <w:right w:val="single" w:color="auto" w:sz="4" w:space="0"/>
            </w:tcBorders>
            <w:vAlign w:val="center"/>
          </w:tcPr>
          <w:p w14:paraId="6E967B60">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190</w:t>
            </w:r>
            <w:r>
              <w:rPr>
                <w:rFonts w:hint="default" w:ascii="Times New Roman" w:hAnsi="Times New Roman" w:eastAsia="宋体" w:cs="Times New Roman"/>
                <w:b w:val="0"/>
                <w:bCs/>
                <w:color w:val="000000" w:themeColor="text1"/>
                <w:kern w:val="0"/>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220</w:t>
            </w:r>
          </w:p>
        </w:tc>
      </w:tr>
      <w:tr w14:paraId="3927A09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746" w:type="pct"/>
            <w:vMerge w:val="continue"/>
            <w:tcBorders>
              <w:top w:val="nil"/>
              <w:left w:val="single" w:color="auto" w:sz="4" w:space="0"/>
              <w:bottom w:val="single" w:color="000000" w:sz="4" w:space="0"/>
              <w:right w:val="single" w:color="auto" w:sz="4" w:space="0"/>
            </w:tcBorders>
            <w:vAlign w:val="center"/>
          </w:tcPr>
          <w:p w14:paraId="44EB3E2A">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p>
        </w:tc>
        <w:tc>
          <w:tcPr>
            <w:tcW w:w="819" w:type="pct"/>
            <w:tcBorders>
              <w:top w:val="nil"/>
              <w:left w:val="nil"/>
              <w:bottom w:val="single" w:color="auto" w:sz="4" w:space="0"/>
              <w:right w:val="single" w:color="auto" w:sz="4" w:space="0"/>
            </w:tcBorders>
            <w:vAlign w:val="center"/>
          </w:tcPr>
          <w:p w14:paraId="48669149">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H06</w:t>
            </w:r>
          </w:p>
        </w:tc>
        <w:tc>
          <w:tcPr>
            <w:tcW w:w="778" w:type="pct"/>
            <w:tcBorders>
              <w:top w:val="nil"/>
              <w:left w:val="nil"/>
              <w:bottom w:val="single" w:color="auto" w:sz="4" w:space="0"/>
              <w:right w:val="single" w:color="auto" w:sz="4" w:space="0"/>
            </w:tcBorders>
            <w:vAlign w:val="center"/>
          </w:tcPr>
          <w:p w14:paraId="56AC4EA0">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660</w:t>
            </w:r>
            <w:r>
              <w:rPr>
                <w:rFonts w:hint="default" w:ascii="Times New Roman" w:hAnsi="Times New Roman" w:eastAsia="宋体" w:cs="Times New Roman"/>
                <w:b w:val="0"/>
                <w:bCs/>
                <w:color w:val="000000" w:themeColor="text1"/>
                <w:kern w:val="0"/>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750</w:t>
            </w:r>
          </w:p>
        </w:tc>
        <w:tc>
          <w:tcPr>
            <w:tcW w:w="857" w:type="pct"/>
            <w:tcBorders>
              <w:top w:val="nil"/>
              <w:left w:val="nil"/>
              <w:bottom w:val="single" w:color="auto" w:sz="4" w:space="0"/>
              <w:right w:val="single" w:color="auto" w:sz="4" w:space="0"/>
            </w:tcBorders>
            <w:vAlign w:val="center"/>
          </w:tcPr>
          <w:p w14:paraId="7F3A33A9">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3</w:t>
            </w:r>
          </w:p>
        </w:tc>
        <w:tc>
          <w:tcPr>
            <w:tcW w:w="780" w:type="pct"/>
            <w:tcBorders>
              <w:top w:val="nil"/>
              <w:left w:val="nil"/>
              <w:bottom w:val="single" w:color="auto" w:sz="4" w:space="0"/>
              <w:right w:val="single" w:color="auto" w:sz="4" w:space="0"/>
            </w:tcBorders>
            <w:vAlign w:val="center"/>
          </w:tcPr>
          <w:p w14:paraId="7DC4D47A">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4</w:t>
            </w:r>
          </w:p>
        </w:tc>
        <w:tc>
          <w:tcPr>
            <w:tcW w:w="1018" w:type="pct"/>
            <w:tcBorders>
              <w:top w:val="nil"/>
              <w:left w:val="nil"/>
              <w:bottom w:val="single" w:color="auto" w:sz="4" w:space="0"/>
              <w:right w:val="single" w:color="auto" w:sz="4" w:space="0"/>
            </w:tcBorders>
            <w:vAlign w:val="center"/>
          </w:tcPr>
          <w:p w14:paraId="3FA68EE6">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210</w:t>
            </w:r>
            <w:r>
              <w:rPr>
                <w:rFonts w:hint="default" w:ascii="Times New Roman" w:hAnsi="Times New Roman" w:eastAsia="宋体" w:cs="Times New Roman"/>
                <w:b w:val="0"/>
                <w:bCs/>
                <w:color w:val="000000" w:themeColor="text1"/>
                <w:kern w:val="0"/>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240</w:t>
            </w:r>
          </w:p>
        </w:tc>
      </w:tr>
      <w:tr w14:paraId="42F4CBE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746" w:type="pct"/>
            <w:vMerge w:val="continue"/>
            <w:tcBorders>
              <w:top w:val="nil"/>
              <w:left w:val="single" w:color="auto" w:sz="4" w:space="0"/>
              <w:bottom w:val="single" w:color="000000" w:sz="4" w:space="0"/>
              <w:right w:val="single" w:color="auto" w:sz="4" w:space="0"/>
            </w:tcBorders>
            <w:vAlign w:val="center"/>
          </w:tcPr>
          <w:p w14:paraId="457D051E">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p>
        </w:tc>
        <w:tc>
          <w:tcPr>
            <w:tcW w:w="819" w:type="pct"/>
            <w:tcBorders>
              <w:top w:val="nil"/>
              <w:left w:val="nil"/>
              <w:bottom w:val="single" w:color="auto" w:sz="4" w:space="0"/>
              <w:right w:val="single" w:color="auto" w:sz="4" w:space="0"/>
            </w:tcBorders>
            <w:vAlign w:val="center"/>
          </w:tcPr>
          <w:p w14:paraId="59BE2CC7">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H08</w:t>
            </w:r>
          </w:p>
        </w:tc>
        <w:tc>
          <w:tcPr>
            <w:tcW w:w="778" w:type="pct"/>
            <w:tcBorders>
              <w:top w:val="nil"/>
              <w:left w:val="nil"/>
              <w:bottom w:val="single" w:color="auto" w:sz="4" w:space="0"/>
              <w:right w:val="single" w:color="auto" w:sz="4" w:space="0"/>
            </w:tcBorders>
            <w:vAlign w:val="center"/>
          </w:tcPr>
          <w:p w14:paraId="3F70F5B9">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740</w:t>
            </w:r>
          </w:p>
        </w:tc>
        <w:tc>
          <w:tcPr>
            <w:tcW w:w="857" w:type="pct"/>
            <w:tcBorders>
              <w:top w:val="nil"/>
              <w:left w:val="nil"/>
              <w:bottom w:val="single" w:color="auto" w:sz="4" w:space="0"/>
              <w:right w:val="single" w:color="auto" w:sz="4" w:space="0"/>
            </w:tcBorders>
            <w:vAlign w:val="center"/>
          </w:tcPr>
          <w:p w14:paraId="164812C4">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w:t>
            </w:r>
          </w:p>
        </w:tc>
        <w:tc>
          <w:tcPr>
            <w:tcW w:w="780" w:type="pct"/>
            <w:tcBorders>
              <w:top w:val="nil"/>
              <w:left w:val="nil"/>
              <w:bottom w:val="single" w:color="auto" w:sz="4" w:space="0"/>
              <w:right w:val="single" w:color="auto" w:sz="4" w:space="0"/>
            </w:tcBorders>
            <w:vAlign w:val="center"/>
          </w:tcPr>
          <w:p w14:paraId="1D34A55C">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w:t>
            </w:r>
          </w:p>
        </w:tc>
        <w:tc>
          <w:tcPr>
            <w:tcW w:w="1018" w:type="pct"/>
            <w:tcBorders>
              <w:top w:val="nil"/>
              <w:left w:val="nil"/>
              <w:bottom w:val="single" w:color="auto" w:sz="4" w:space="0"/>
              <w:right w:val="single" w:color="auto" w:sz="4" w:space="0"/>
            </w:tcBorders>
            <w:vAlign w:val="center"/>
          </w:tcPr>
          <w:p w14:paraId="30EB35DB">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230</w:t>
            </w:r>
          </w:p>
        </w:tc>
      </w:tr>
      <w:tr w14:paraId="5125F71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746" w:type="pct"/>
            <w:vMerge w:val="restart"/>
            <w:tcBorders>
              <w:top w:val="nil"/>
              <w:left w:val="single" w:color="auto" w:sz="4" w:space="0"/>
              <w:bottom w:val="single" w:color="000000" w:sz="4" w:space="0"/>
              <w:right w:val="single" w:color="auto" w:sz="4" w:space="0"/>
            </w:tcBorders>
            <w:vAlign w:val="center"/>
          </w:tcPr>
          <w:p w14:paraId="1EDBB90D">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BZn18-18</w:t>
            </w:r>
          </w:p>
        </w:tc>
        <w:tc>
          <w:tcPr>
            <w:tcW w:w="819" w:type="pct"/>
            <w:tcBorders>
              <w:top w:val="nil"/>
              <w:left w:val="nil"/>
              <w:bottom w:val="single" w:color="auto" w:sz="4" w:space="0"/>
              <w:right w:val="single" w:color="auto" w:sz="4" w:space="0"/>
            </w:tcBorders>
            <w:vAlign w:val="center"/>
          </w:tcPr>
          <w:p w14:paraId="68D46F5D">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H02</w:t>
            </w:r>
          </w:p>
        </w:tc>
        <w:tc>
          <w:tcPr>
            <w:tcW w:w="778" w:type="pct"/>
            <w:tcBorders>
              <w:top w:val="nil"/>
              <w:left w:val="nil"/>
              <w:bottom w:val="single" w:color="auto" w:sz="4" w:space="0"/>
              <w:right w:val="single" w:color="auto" w:sz="4" w:space="0"/>
            </w:tcBorders>
            <w:vAlign w:val="center"/>
          </w:tcPr>
          <w:p w14:paraId="4D7A4521">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500</w:t>
            </w:r>
            <w:r>
              <w:rPr>
                <w:rFonts w:hint="default" w:ascii="Times New Roman" w:hAnsi="Times New Roman" w:eastAsia="宋体" w:cs="Times New Roman"/>
                <w:b w:val="0"/>
                <w:bCs/>
                <w:color w:val="000000" w:themeColor="text1"/>
                <w:kern w:val="0"/>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590</w:t>
            </w:r>
          </w:p>
        </w:tc>
        <w:tc>
          <w:tcPr>
            <w:tcW w:w="857" w:type="pct"/>
            <w:tcBorders>
              <w:top w:val="nil"/>
              <w:left w:val="nil"/>
              <w:bottom w:val="single" w:color="auto" w:sz="4" w:space="0"/>
              <w:right w:val="single" w:color="auto" w:sz="4" w:space="0"/>
            </w:tcBorders>
            <w:vAlign w:val="center"/>
          </w:tcPr>
          <w:p w14:paraId="68CD44A5">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3</w:t>
            </w:r>
          </w:p>
        </w:tc>
        <w:tc>
          <w:tcPr>
            <w:tcW w:w="780" w:type="pct"/>
            <w:tcBorders>
              <w:top w:val="nil"/>
              <w:left w:val="nil"/>
              <w:bottom w:val="single" w:color="auto" w:sz="4" w:space="0"/>
              <w:right w:val="single" w:color="auto" w:sz="4" w:space="0"/>
            </w:tcBorders>
            <w:vAlign w:val="center"/>
          </w:tcPr>
          <w:p w14:paraId="0949DB47">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5</w:t>
            </w:r>
          </w:p>
        </w:tc>
        <w:tc>
          <w:tcPr>
            <w:tcW w:w="1018" w:type="pct"/>
            <w:tcBorders>
              <w:top w:val="nil"/>
              <w:left w:val="nil"/>
              <w:bottom w:val="single" w:color="auto" w:sz="4" w:space="0"/>
              <w:right w:val="single" w:color="auto" w:sz="4" w:space="0"/>
            </w:tcBorders>
            <w:vAlign w:val="center"/>
          </w:tcPr>
          <w:p w14:paraId="1B8EE5CE">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160</w:t>
            </w:r>
            <w:r>
              <w:rPr>
                <w:rFonts w:hint="default" w:ascii="Times New Roman" w:hAnsi="Times New Roman" w:eastAsia="宋体" w:cs="Times New Roman"/>
                <w:b w:val="0"/>
                <w:bCs/>
                <w:color w:val="000000" w:themeColor="text1"/>
                <w:kern w:val="0"/>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190</w:t>
            </w:r>
          </w:p>
        </w:tc>
      </w:tr>
      <w:tr w14:paraId="0DD6CE5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746" w:type="pct"/>
            <w:vMerge w:val="continue"/>
            <w:tcBorders>
              <w:top w:val="nil"/>
              <w:left w:val="single" w:color="auto" w:sz="4" w:space="0"/>
              <w:bottom w:val="single" w:color="000000" w:sz="4" w:space="0"/>
              <w:right w:val="single" w:color="auto" w:sz="4" w:space="0"/>
            </w:tcBorders>
            <w:vAlign w:val="center"/>
          </w:tcPr>
          <w:p w14:paraId="153695E5">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p>
        </w:tc>
        <w:tc>
          <w:tcPr>
            <w:tcW w:w="819" w:type="pct"/>
            <w:tcBorders>
              <w:top w:val="nil"/>
              <w:left w:val="nil"/>
              <w:bottom w:val="single" w:color="auto" w:sz="4" w:space="0"/>
              <w:right w:val="single" w:color="auto" w:sz="4" w:space="0"/>
            </w:tcBorders>
            <w:vAlign w:val="center"/>
          </w:tcPr>
          <w:p w14:paraId="1C0143B3">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H04</w:t>
            </w:r>
          </w:p>
        </w:tc>
        <w:tc>
          <w:tcPr>
            <w:tcW w:w="778" w:type="pct"/>
            <w:tcBorders>
              <w:top w:val="nil"/>
              <w:left w:val="nil"/>
              <w:bottom w:val="single" w:color="auto" w:sz="4" w:space="0"/>
              <w:right w:val="single" w:color="auto" w:sz="4" w:space="0"/>
            </w:tcBorders>
            <w:vAlign w:val="center"/>
          </w:tcPr>
          <w:p w14:paraId="5D8D1656">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580</w:t>
            </w:r>
            <w:r>
              <w:rPr>
                <w:rFonts w:hint="default" w:ascii="Times New Roman" w:hAnsi="Times New Roman" w:eastAsia="宋体" w:cs="Times New Roman"/>
                <w:b w:val="0"/>
                <w:bCs/>
                <w:color w:val="000000" w:themeColor="text1"/>
                <w:kern w:val="0"/>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670</w:t>
            </w:r>
          </w:p>
        </w:tc>
        <w:tc>
          <w:tcPr>
            <w:tcW w:w="857" w:type="pct"/>
            <w:tcBorders>
              <w:top w:val="nil"/>
              <w:left w:val="nil"/>
              <w:bottom w:val="single" w:color="auto" w:sz="4" w:space="0"/>
              <w:right w:val="single" w:color="auto" w:sz="4" w:space="0"/>
            </w:tcBorders>
            <w:vAlign w:val="center"/>
          </w:tcPr>
          <w:p w14:paraId="574E27A8">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w:t>
            </w:r>
          </w:p>
        </w:tc>
        <w:tc>
          <w:tcPr>
            <w:tcW w:w="780" w:type="pct"/>
            <w:tcBorders>
              <w:top w:val="nil"/>
              <w:left w:val="nil"/>
              <w:bottom w:val="single" w:color="auto" w:sz="4" w:space="0"/>
              <w:right w:val="single" w:color="auto" w:sz="4" w:space="0"/>
            </w:tcBorders>
            <w:vAlign w:val="center"/>
          </w:tcPr>
          <w:p w14:paraId="33233579">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2</w:t>
            </w:r>
          </w:p>
        </w:tc>
        <w:tc>
          <w:tcPr>
            <w:tcW w:w="1018" w:type="pct"/>
            <w:tcBorders>
              <w:top w:val="nil"/>
              <w:left w:val="nil"/>
              <w:bottom w:val="single" w:color="auto" w:sz="4" w:space="0"/>
              <w:right w:val="single" w:color="auto" w:sz="4" w:space="0"/>
            </w:tcBorders>
            <w:vAlign w:val="center"/>
          </w:tcPr>
          <w:p w14:paraId="63B07FEC">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180</w:t>
            </w:r>
            <w:r>
              <w:rPr>
                <w:rFonts w:hint="default" w:ascii="Times New Roman" w:hAnsi="Times New Roman" w:eastAsia="宋体" w:cs="Times New Roman"/>
                <w:b w:val="0"/>
                <w:bCs/>
                <w:color w:val="000000" w:themeColor="text1"/>
                <w:kern w:val="0"/>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210</w:t>
            </w:r>
          </w:p>
        </w:tc>
      </w:tr>
      <w:tr w14:paraId="2452942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746" w:type="pct"/>
            <w:vMerge w:val="continue"/>
            <w:tcBorders>
              <w:top w:val="nil"/>
              <w:left w:val="single" w:color="auto" w:sz="4" w:space="0"/>
              <w:bottom w:val="single" w:color="000000" w:sz="4" w:space="0"/>
              <w:right w:val="single" w:color="auto" w:sz="4" w:space="0"/>
            </w:tcBorders>
            <w:vAlign w:val="center"/>
          </w:tcPr>
          <w:p w14:paraId="28B38083">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p>
        </w:tc>
        <w:tc>
          <w:tcPr>
            <w:tcW w:w="819" w:type="pct"/>
            <w:tcBorders>
              <w:top w:val="nil"/>
              <w:left w:val="nil"/>
              <w:bottom w:val="single" w:color="auto" w:sz="4" w:space="0"/>
              <w:right w:val="single" w:color="auto" w:sz="4" w:space="0"/>
            </w:tcBorders>
            <w:vAlign w:val="center"/>
          </w:tcPr>
          <w:p w14:paraId="091E518F">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H06</w:t>
            </w:r>
          </w:p>
        </w:tc>
        <w:tc>
          <w:tcPr>
            <w:tcW w:w="778" w:type="pct"/>
            <w:tcBorders>
              <w:top w:val="nil"/>
              <w:left w:val="nil"/>
              <w:bottom w:val="single" w:color="auto" w:sz="4" w:space="0"/>
              <w:right w:val="single" w:color="auto" w:sz="4" w:space="0"/>
            </w:tcBorders>
            <w:vAlign w:val="center"/>
          </w:tcPr>
          <w:p w14:paraId="4ABE0048">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640</w:t>
            </w:r>
            <w:r>
              <w:rPr>
                <w:rFonts w:hint="default" w:ascii="Times New Roman" w:hAnsi="Times New Roman" w:eastAsia="宋体" w:cs="Times New Roman"/>
                <w:b w:val="0"/>
                <w:bCs/>
                <w:color w:val="000000" w:themeColor="text1"/>
                <w:kern w:val="0"/>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730</w:t>
            </w:r>
          </w:p>
        </w:tc>
        <w:tc>
          <w:tcPr>
            <w:tcW w:w="857" w:type="pct"/>
            <w:tcBorders>
              <w:top w:val="nil"/>
              <w:left w:val="nil"/>
              <w:bottom w:val="single" w:color="auto" w:sz="4" w:space="0"/>
              <w:right w:val="single" w:color="auto" w:sz="4" w:space="0"/>
            </w:tcBorders>
            <w:vAlign w:val="center"/>
          </w:tcPr>
          <w:p w14:paraId="0FF1E4DF">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w:t>
            </w:r>
          </w:p>
        </w:tc>
        <w:tc>
          <w:tcPr>
            <w:tcW w:w="780" w:type="pct"/>
            <w:tcBorders>
              <w:top w:val="nil"/>
              <w:left w:val="nil"/>
              <w:bottom w:val="single" w:color="auto" w:sz="4" w:space="0"/>
              <w:right w:val="single" w:color="auto" w:sz="4" w:space="0"/>
            </w:tcBorders>
            <w:vAlign w:val="center"/>
          </w:tcPr>
          <w:p w14:paraId="68FF51F7">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w:t>
            </w:r>
          </w:p>
        </w:tc>
        <w:tc>
          <w:tcPr>
            <w:tcW w:w="1018" w:type="pct"/>
            <w:tcBorders>
              <w:top w:val="nil"/>
              <w:left w:val="nil"/>
              <w:bottom w:val="single" w:color="auto" w:sz="4" w:space="0"/>
              <w:right w:val="single" w:color="auto" w:sz="4" w:space="0"/>
            </w:tcBorders>
            <w:vAlign w:val="center"/>
          </w:tcPr>
          <w:p w14:paraId="3B66EBC1">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200</w:t>
            </w:r>
            <w:r>
              <w:rPr>
                <w:rFonts w:hint="default" w:ascii="Times New Roman" w:hAnsi="Times New Roman" w:eastAsia="宋体" w:cs="Times New Roman"/>
                <w:b w:val="0"/>
                <w:bCs/>
                <w:color w:val="000000" w:themeColor="text1"/>
                <w:kern w:val="0"/>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230</w:t>
            </w:r>
          </w:p>
        </w:tc>
      </w:tr>
      <w:tr w14:paraId="61A5B6C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746" w:type="pct"/>
            <w:vMerge w:val="restart"/>
            <w:tcBorders>
              <w:top w:val="nil"/>
              <w:left w:val="single" w:color="auto" w:sz="4" w:space="0"/>
              <w:bottom w:val="single" w:color="000000" w:sz="4" w:space="0"/>
              <w:right w:val="single" w:color="auto" w:sz="4" w:space="0"/>
            </w:tcBorders>
            <w:vAlign w:val="center"/>
          </w:tcPr>
          <w:p w14:paraId="43CCBA31">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BZn18-26</w:t>
            </w:r>
          </w:p>
        </w:tc>
        <w:tc>
          <w:tcPr>
            <w:tcW w:w="819" w:type="pct"/>
            <w:tcBorders>
              <w:top w:val="nil"/>
              <w:left w:val="nil"/>
              <w:bottom w:val="single" w:color="auto" w:sz="4" w:space="0"/>
              <w:right w:val="single" w:color="auto" w:sz="4" w:space="0"/>
            </w:tcBorders>
            <w:vAlign w:val="center"/>
          </w:tcPr>
          <w:p w14:paraId="016428C5">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H02</w:t>
            </w:r>
          </w:p>
        </w:tc>
        <w:tc>
          <w:tcPr>
            <w:tcW w:w="778" w:type="pct"/>
            <w:tcBorders>
              <w:top w:val="nil"/>
              <w:left w:val="nil"/>
              <w:bottom w:val="single" w:color="auto" w:sz="4" w:space="0"/>
              <w:right w:val="single" w:color="auto" w:sz="4" w:space="0"/>
            </w:tcBorders>
            <w:vAlign w:val="center"/>
          </w:tcPr>
          <w:p w14:paraId="3F86304C">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540</w:t>
            </w:r>
            <w:r>
              <w:rPr>
                <w:rFonts w:hint="default" w:ascii="Times New Roman" w:hAnsi="Times New Roman" w:eastAsia="宋体" w:cs="Times New Roman"/>
                <w:b w:val="0"/>
                <w:bCs/>
                <w:color w:val="000000" w:themeColor="text1"/>
                <w:kern w:val="0"/>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630</w:t>
            </w:r>
          </w:p>
        </w:tc>
        <w:tc>
          <w:tcPr>
            <w:tcW w:w="857" w:type="pct"/>
            <w:tcBorders>
              <w:top w:val="nil"/>
              <w:left w:val="nil"/>
              <w:bottom w:val="single" w:color="auto" w:sz="4" w:space="0"/>
              <w:right w:val="single" w:color="auto" w:sz="4" w:space="0"/>
            </w:tcBorders>
            <w:vAlign w:val="center"/>
          </w:tcPr>
          <w:p w14:paraId="18D096E0">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3</w:t>
            </w:r>
          </w:p>
        </w:tc>
        <w:tc>
          <w:tcPr>
            <w:tcW w:w="780" w:type="pct"/>
            <w:tcBorders>
              <w:top w:val="nil"/>
              <w:left w:val="nil"/>
              <w:bottom w:val="single" w:color="auto" w:sz="4" w:space="0"/>
              <w:right w:val="single" w:color="auto" w:sz="4" w:space="0"/>
            </w:tcBorders>
            <w:vAlign w:val="center"/>
          </w:tcPr>
          <w:p w14:paraId="6106165B">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5</w:t>
            </w:r>
          </w:p>
        </w:tc>
        <w:tc>
          <w:tcPr>
            <w:tcW w:w="1018" w:type="pct"/>
            <w:tcBorders>
              <w:top w:val="nil"/>
              <w:left w:val="nil"/>
              <w:bottom w:val="single" w:color="auto" w:sz="4" w:space="0"/>
              <w:right w:val="single" w:color="auto" w:sz="4" w:space="0"/>
            </w:tcBorders>
            <w:vAlign w:val="center"/>
          </w:tcPr>
          <w:p w14:paraId="46FF2BBD">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170</w:t>
            </w:r>
            <w:r>
              <w:rPr>
                <w:rFonts w:hint="default" w:ascii="Times New Roman" w:hAnsi="Times New Roman" w:eastAsia="宋体" w:cs="Times New Roman"/>
                <w:b w:val="0"/>
                <w:bCs/>
                <w:color w:val="000000" w:themeColor="text1"/>
                <w:kern w:val="0"/>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200</w:t>
            </w:r>
          </w:p>
        </w:tc>
      </w:tr>
      <w:tr w14:paraId="078C1A3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746" w:type="pct"/>
            <w:vMerge w:val="continue"/>
            <w:tcBorders>
              <w:top w:val="nil"/>
              <w:left w:val="single" w:color="auto" w:sz="4" w:space="0"/>
              <w:bottom w:val="single" w:color="000000" w:sz="4" w:space="0"/>
              <w:right w:val="single" w:color="auto" w:sz="4" w:space="0"/>
            </w:tcBorders>
            <w:vAlign w:val="center"/>
          </w:tcPr>
          <w:p w14:paraId="1ECC7083">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p>
        </w:tc>
        <w:tc>
          <w:tcPr>
            <w:tcW w:w="819" w:type="pct"/>
            <w:tcBorders>
              <w:top w:val="nil"/>
              <w:left w:val="nil"/>
              <w:bottom w:val="single" w:color="auto" w:sz="4" w:space="0"/>
              <w:right w:val="single" w:color="auto" w:sz="4" w:space="0"/>
            </w:tcBorders>
            <w:vAlign w:val="center"/>
          </w:tcPr>
          <w:p w14:paraId="3F739D19">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H04</w:t>
            </w:r>
          </w:p>
        </w:tc>
        <w:tc>
          <w:tcPr>
            <w:tcW w:w="778" w:type="pct"/>
            <w:tcBorders>
              <w:top w:val="nil"/>
              <w:left w:val="nil"/>
              <w:bottom w:val="single" w:color="auto" w:sz="4" w:space="0"/>
              <w:right w:val="single" w:color="auto" w:sz="4" w:space="0"/>
            </w:tcBorders>
            <w:vAlign w:val="center"/>
          </w:tcPr>
          <w:p w14:paraId="1F513589">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600</w:t>
            </w:r>
            <w:r>
              <w:rPr>
                <w:rFonts w:hint="default" w:ascii="Times New Roman" w:hAnsi="Times New Roman" w:eastAsia="宋体" w:cs="Times New Roman"/>
                <w:b w:val="0"/>
                <w:bCs/>
                <w:color w:val="000000" w:themeColor="text1"/>
                <w:kern w:val="0"/>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700</w:t>
            </w:r>
          </w:p>
        </w:tc>
        <w:tc>
          <w:tcPr>
            <w:tcW w:w="857" w:type="pct"/>
            <w:tcBorders>
              <w:top w:val="nil"/>
              <w:left w:val="nil"/>
              <w:bottom w:val="single" w:color="auto" w:sz="4" w:space="0"/>
              <w:right w:val="single" w:color="auto" w:sz="4" w:space="0"/>
            </w:tcBorders>
            <w:vAlign w:val="center"/>
          </w:tcPr>
          <w:p w14:paraId="46EA06E6">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w:t>
            </w:r>
          </w:p>
        </w:tc>
        <w:tc>
          <w:tcPr>
            <w:tcW w:w="780" w:type="pct"/>
            <w:tcBorders>
              <w:top w:val="nil"/>
              <w:left w:val="nil"/>
              <w:bottom w:val="single" w:color="auto" w:sz="4" w:space="0"/>
              <w:right w:val="single" w:color="auto" w:sz="4" w:space="0"/>
            </w:tcBorders>
            <w:vAlign w:val="center"/>
          </w:tcPr>
          <w:p w14:paraId="7B5E515B">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2</w:t>
            </w:r>
          </w:p>
        </w:tc>
        <w:tc>
          <w:tcPr>
            <w:tcW w:w="1018" w:type="pct"/>
            <w:tcBorders>
              <w:top w:val="nil"/>
              <w:left w:val="nil"/>
              <w:bottom w:val="single" w:color="auto" w:sz="4" w:space="0"/>
              <w:right w:val="single" w:color="auto" w:sz="4" w:space="0"/>
            </w:tcBorders>
            <w:vAlign w:val="center"/>
          </w:tcPr>
          <w:p w14:paraId="1CE72D9B">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190</w:t>
            </w:r>
            <w:r>
              <w:rPr>
                <w:rFonts w:hint="default" w:ascii="Times New Roman" w:hAnsi="Times New Roman" w:eastAsia="宋体" w:cs="Times New Roman"/>
                <w:b w:val="0"/>
                <w:bCs/>
                <w:color w:val="000000" w:themeColor="text1"/>
                <w:kern w:val="0"/>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220</w:t>
            </w:r>
          </w:p>
        </w:tc>
      </w:tr>
      <w:tr w14:paraId="458CD7D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746" w:type="pct"/>
            <w:vMerge w:val="continue"/>
            <w:tcBorders>
              <w:top w:val="nil"/>
              <w:left w:val="single" w:color="auto" w:sz="4" w:space="0"/>
              <w:bottom w:val="single" w:color="000000" w:sz="4" w:space="0"/>
              <w:right w:val="single" w:color="auto" w:sz="4" w:space="0"/>
            </w:tcBorders>
            <w:vAlign w:val="center"/>
          </w:tcPr>
          <w:p w14:paraId="6849135D">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p>
        </w:tc>
        <w:tc>
          <w:tcPr>
            <w:tcW w:w="819" w:type="pct"/>
            <w:tcBorders>
              <w:top w:val="nil"/>
              <w:left w:val="nil"/>
              <w:bottom w:val="single" w:color="auto" w:sz="4" w:space="0"/>
              <w:right w:val="single" w:color="auto" w:sz="4" w:space="0"/>
            </w:tcBorders>
            <w:vAlign w:val="center"/>
          </w:tcPr>
          <w:p w14:paraId="5FBE4A87">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H06</w:t>
            </w:r>
          </w:p>
        </w:tc>
        <w:tc>
          <w:tcPr>
            <w:tcW w:w="778" w:type="pct"/>
            <w:tcBorders>
              <w:top w:val="nil"/>
              <w:left w:val="nil"/>
              <w:bottom w:val="single" w:color="auto" w:sz="4" w:space="0"/>
              <w:right w:val="single" w:color="auto" w:sz="4" w:space="0"/>
            </w:tcBorders>
            <w:vAlign w:val="center"/>
          </w:tcPr>
          <w:p w14:paraId="3D807C6B">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700</w:t>
            </w:r>
          </w:p>
        </w:tc>
        <w:tc>
          <w:tcPr>
            <w:tcW w:w="857" w:type="pct"/>
            <w:tcBorders>
              <w:top w:val="nil"/>
              <w:left w:val="nil"/>
              <w:bottom w:val="single" w:color="auto" w:sz="4" w:space="0"/>
              <w:right w:val="single" w:color="auto" w:sz="4" w:space="0"/>
            </w:tcBorders>
            <w:vAlign w:val="center"/>
          </w:tcPr>
          <w:p w14:paraId="129C6922">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w:t>
            </w:r>
          </w:p>
        </w:tc>
        <w:tc>
          <w:tcPr>
            <w:tcW w:w="780" w:type="pct"/>
            <w:tcBorders>
              <w:top w:val="nil"/>
              <w:left w:val="nil"/>
              <w:bottom w:val="single" w:color="auto" w:sz="4" w:space="0"/>
              <w:right w:val="single" w:color="auto" w:sz="4" w:space="0"/>
            </w:tcBorders>
            <w:vAlign w:val="center"/>
          </w:tcPr>
          <w:p w14:paraId="3A530310">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w:t>
            </w:r>
          </w:p>
        </w:tc>
        <w:tc>
          <w:tcPr>
            <w:tcW w:w="1018" w:type="pct"/>
            <w:tcBorders>
              <w:top w:val="nil"/>
              <w:left w:val="nil"/>
              <w:bottom w:val="single" w:color="auto" w:sz="4" w:space="0"/>
              <w:right w:val="single" w:color="auto" w:sz="4" w:space="0"/>
            </w:tcBorders>
            <w:vAlign w:val="center"/>
          </w:tcPr>
          <w:p w14:paraId="3301BB92">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220</w:t>
            </w:r>
          </w:p>
        </w:tc>
      </w:tr>
    </w:tbl>
    <w:p w14:paraId="740558FB">
      <w:pPr>
        <w:pStyle w:val="9"/>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表</w:t>
      </w:r>
      <w:r>
        <w:rPr>
          <w:rFonts w:hint="eastAsia" w:ascii="Times New Roman" w:hAnsi="Times New Roman" w:cs="Times New Roman"/>
          <w:b w:val="0"/>
          <w:bCs/>
          <w:color w:val="000000" w:themeColor="text1"/>
          <w:highlight w:val="none"/>
          <w:lang w:val="en-US" w:eastAsia="zh-CN"/>
          <w14:textFill>
            <w14:solidFill>
              <w14:schemeClr w14:val="tx1"/>
            </w14:solidFill>
          </w14:textFill>
        </w:rPr>
        <w:t>18</w:t>
      </w:r>
      <w:r>
        <w:rPr>
          <w:rFonts w:hint="default" w:ascii="Times New Roman" w:hAnsi="Times New Roman" w:eastAsia="宋体" w:cs="Times New Roman"/>
          <w:b w:val="0"/>
          <w:bCs/>
          <w:color w:val="000000" w:themeColor="text1"/>
          <w:highlight w:val="none"/>
          <w14:textFill>
            <w14:solidFill>
              <w14:schemeClr w14:val="tx1"/>
            </w14:solidFill>
          </w14:textFill>
        </w:rPr>
        <w:t xml:space="preserve">  EN1758:1998力学性能</w:t>
      </w: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2"/>
        <w:gridCol w:w="1596"/>
        <w:gridCol w:w="2164"/>
        <w:gridCol w:w="1897"/>
        <w:gridCol w:w="2175"/>
      </w:tblGrid>
      <w:tr w14:paraId="09855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782" w:type="pct"/>
            <w:vAlign w:val="center"/>
          </w:tcPr>
          <w:p w14:paraId="7A3A5AB5">
            <w:pPr>
              <w:snapToGrid w:val="0"/>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牌号</w:t>
            </w:r>
          </w:p>
        </w:tc>
        <w:tc>
          <w:tcPr>
            <w:tcW w:w="859" w:type="pct"/>
            <w:vAlign w:val="center"/>
          </w:tcPr>
          <w:p w14:paraId="4CE1E474">
            <w:pPr>
              <w:snapToGrid w:val="0"/>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状态</w:t>
            </w:r>
          </w:p>
        </w:tc>
        <w:tc>
          <w:tcPr>
            <w:tcW w:w="1165" w:type="pct"/>
            <w:vAlign w:val="center"/>
          </w:tcPr>
          <w:p w14:paraId="7673824B">
            <w:pPr>
              <w:snapToGrid w:val="0"/>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抗拉强度R</w:t>
            </w:r>
            <w:r>
              <w:rPr>
                <w:rFonts w:hint="default" w:ascii="Times New Roman" w:hAnsi="Times New Roman" w:eastAsia="宋体" w:cs="Times New Roman"/>
                <w:b w:val="0"/>
                <w:bCs/>
                <w:color w:val="000000" w:themeColor="text1"/>
                <w:sz w:val="21"/>
                <w:szCs w:val="21"/>
                <w:highlight w:val="none"/>
                <w:vertAlign w:val="subscript"/>
                <w14:textFill>
                  <w14:solidFill>
                    <w14:schemeClr w14:val="tx1"/>
                  </w14:solidFill>
                </w14:textFill>
              </w:rPr>
              <w:t>m</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/MPa</w:t>
            </w:r>
          </w:p>
        </w:tc>
        <w:tc>
          <w:tcPr>
            <w:tcW w:w="1021" w:type="pct"/>
            <w:vAlign w:val="center"/>
          </w:tcPr>
          <w:p w14:paraId="3C2689EA">
            <w:pPr>
              <w:snapToGrid w:val="0"/>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伸长率A</w:t>
            </w:r>
            <w:r>
              <w:rPr>
                <w:rFonts w:hint="default" w:ascii="Times New Roman" w:hAnsi="Times New Roman" w:eastAsia="宋体" w:cs="Times New Roman"/>
                <w:b w:val="0"/>
                <w:bCs/>
                <w:color w:val="000000" w:themeColor="text1"/>
                <w:sz w:val="21"/>
                <w:szCs w:val="21"/>
                <w:highlight w:val="none"/>
                <w:vertAlign w:val="subscript"/>
                <w14:textFill>
                  <w14:solidFill>
                    <w14:schemeClr w14:val="tx1"/>
                  </w14:solidFill>
                </w14:textFill>
              </w:rPr>
              <w:t>50</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mm/%</w:t>
            </w:r>
          </w:p>
        </w:tc>
        <w:tc>
          <w:tcPr>
            <w:tcW w:w="1171" w:type="pct"/>
            <w:vAlign w:val="center"/>
          </w:tcPr>
          <w:p w14:paraId="21438715">
            <w:pPr>
              <w:snapToGrid w:val="0"/>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硬度/HV</w:t>
            </w:r>
          </w:p>
        </w:tc>
      </w:tr>
      <w:tr w14:paraId="3AE3F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782" w:type="pct"/>
            <w:vMerge w:val="restart"/>
            <w:vAlign w:val="center"/>
          </w:tcPr>
          <w:p w14:paraId="77EEB5AB">
            <w:pPr>
              <w:snapToGrid w:val="0"/>
              <w:ind w:firstLine="130" w:firstLineChars="62"/>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CuSn0.15</w:t>
            </w:r>
          </w:p>
        </w:tc>
        <w:tc>
          <w:tcPr>
            <w:tcW w:w="859" w:type="pct"/>
            <w:vAlign w:val="center"/>
          </w:tcPr>
          <w:p w14:paraId="3466EA9D">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R250</w:t>
            </w:r>
          </w:p>
        </w:tc>
        <w:tc>
          <w:tcPr>
            <w:tcW w:w="1165" w:type="pct"/>
            <w:vAlign w:val="center"/>
          </w:tcPr>
          <w:p w14:paraId="4855014B">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250</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320</w:t>
            </w:r>
          </w:p>
        </w:tc>
        <w:tc>
          <w:tcPr>
            <w:tcW w:w="1021" w:type="pct"/>
            <w:vAlign w:val="center"/>
          </w:tcPr>
          <w:p w14:paraId="08543228">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≥9</w:t>
            </w:r>
          </w:p>
        </w:tc>
        <w:tc>
          <w:tcPr>
            <w:tcW w:w="1171" w:type="pct"/>
            <w:vAlign w:val="center"/>
          </w:tcPr>
          <w:p w14:paraId="7F0F88C0">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60</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90</w:t>
            </w:r>
          </w:p>
        </w:tc>
      </w:tr>
      <w:tr w14:paraId="3830D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782" w:type="pct"/>
            <w:vMerge w:val="continue"/>
            <w:vAlign w:val="center"/>
          </w:tcPr>
          <w:p w14:paraId="59671053">
            <w:pPr>
              <w:snapToGrid w:val="0"/>
              <w:ind w:firstLine="130" w:firstLineChars="62"/>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859" w:type="pct"/>
            <w:vAlign w:val="center"/>
          </w:tcPr>
          <w:p w14:paraId="003C5EE8">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R300</w:t>
            </w:r>
          </w:p>
        </w:tc>
        <w:tc>
          <w:tcPr>
            <w:tcW w:w="1165" w:type="pct"/>
            <w:vAlign w:val="center"/>
          </w:tcPr>
          <w:p w14:paraId="5E31555B">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300</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370</w:t>
            </w:r>
          </w:p>
        </w:tc>
        <w:tc>
          <w:tcPr>
            <w:tcW w:w="1021" w:type="pct"/>
            <w:vAlign w:val="center"/>
          </w:tcPr>
          <w:p w14:paraId="555A8B46">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≥4</w:t>
            </w:r>
          </w:p>
        </w:tc>
        <w:tc>
          <w:tcPr>
            <w:tcW w:w="1171" w:type="pct"/>
            <w:vAlign w:val="center"/>
          </w:tcPr>
          <w:p w14:paraId="69D2107C">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85</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110</w:t>
            </w:r>
          </w:p>
        </w:tc>
      </w:tr>
      <w:tr w14:paraId="7C208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782" w:type="pct"/>
            <w:vMerge w:val="continue"/>
            <w:vAlign w:val="center"/>
          </w:tcPr>
          <w:p w14:paraId="3E49E5A4">
            <w:pPr>
              <w:snapToGrid w:val="0"/>
              <w:ind w:firstLine="130" w:firstLineChars="62"/>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859" w:type="pct"/>
            <w:vAlign w:val="center"/>
          </w:tcPr>
          <w:p w14:paraId="3E400E52">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R360</w:t>
            </w:r>
          </w:p>
        </w:tc>
        <w:tc>
          <w:tcPr>
            <w:tcW w:w="1165" w:type="pct"/>
            <w:vAlign w:val="center"/>
          </w:tcPr>
          <w:p w14:paraId="43C4109D">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360</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430</w:t>
            </w:r>
          </w:p>
        </w:tc>
        <w:tc>
          <w:tcPr>
            <w:tcW w:w="1021" w:type="pct"/>
            <w:vAlign w:val="center"/>
          </w:tcPr>
          <w:p w14:paraId="738DCC07">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≥3</w:t>
            </w:r>
          </w:p>
        </w:tc>
        <w:tc>
          <w:tcPr>
            <w:tcW w:w="1171" w:type="pct"/>
            <w:vAlign w:val="center"/>
          </w:tcPr>
          <w:p w14:paraId="6DBC6391">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105</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130</w:t>
            </w:r>
          </w:p>
        </w:tc>
      </w:tr>
      <w:tr w14:paraId="7BFB6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782" w:type="pct"/>
            <w:vMerge w:val="continue"/>
            <w:vAlign w:val="center"/>
          </w:tcPr>
          <w:p w14:paraId="74633F10">
            <w:pPr>
              <w:snapToGrid w:val="0"/>
              <w:ind w:firstLine="130" w:firstLineChars="62"/>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859" w:type="pct"/>
            <w:vAlign w:val="center"/>
          </w:tcPr>
          <w:p w14:paraId="7CE85175">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R420</w:t>
            </w:r>
          </w:p>
        </w:tc>
        <w:tc>
          <w:tcPr>
            <w:tcW w:w="1165" w:type="pct"/>
            <w:vAlign w:val="center"/>
          </w:tcPr>
          <w:p w14:paraId="753BB383">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420</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490</w:t>
            </w:r>
          </w:p>
        </w:tc>
        <w:tc>
          <w:tcPr>
            <w:tcW w:w="1021" w:type="pct"/>
            <w:vAlign w:val="center"/>
          </w:tcPr>
          <w:p w14:paraId="6D5C3F12">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≥2</w:t>
            </w:r>
          </w:p>
        </w:tc>
        <w:tc>
          <w:tcPr>
            <w:tcW w:w="1171" w:type="pct"/>
            <w:vAlign w:val="center"/>
          </w:tcPr>
          <w:p w14:paraId="4340A268">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120</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140</w:t>
            </w:r>
          </w:p>
        </w:tc>
      </w:tr>
    </w:tbl>
    <w:p w14:paraId="2A2F4217">
      <w:pPr>
        <w:pStyle w:val="9"/>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default" w:ascii="Times New Roman" w:hAnsi="Times New Roman" w:eastAsia="宋体" w:cs="Times New Roman"/>
          <w:b w:val="0"/>
          <w:bCs/>
          <w:color w:val="000000" w:themeColor="text1"/>
          <w:highlight w:val="none"/>
          <w:lang w:val="en-US" w:eastAsia="zh-CN"/>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表</w:t>
      </w:r>
      <w:r>
        <w:rPr>
          <w:rFonts w:hint="eastAsia" w:ascii="Times New Roman" w:hAnsi="Times New Roman" w:cs="Times New Roman"/>
          <w:b w:val="0"/>
          <w:bCs/>
          <w:color w:val="000000" w:themeColor="text1"/>
          <w:highlight w:val="none"/>
          <w:lang w:val="en-US" w:eastAsia="zh-CN"/>
          <w14:textFill>
            <w14:solidFill>
              <w14:schemeClr w14:val="tx1"/>
            </w14:solidFill>
          </w14:textFill>
        </w:rPr>
        <w:t>19</w:t>
      </w:r>
      <w:r>
        <w:rPr>
          <w:rFonts w:hint="default" w:ascii="Times New Roman" w:hAnsi="Times New Roman" w:eastAsia="宋体" w:cs="Times New Roman"/>
          <w:b w:val="0"/>
          <w:bCs/>
          <w:color w:val="000000" w:themeColor="text1"/>
          <w:highlight w:val="none"/>
          <w14:textFill>
            <w14:solidFill>
              <w14:schemeClr w14:val="tx1"/>
            </w14:solidFill>
          </w14:textFill>
        </w:rPr>
        <w:t xml:space="preserve"> </w:t>
      </w:r>
      <w:r>
        <w:rPr>
          <w:rFonts w:hint="default" w:ascii="Times New Roman" w:hAnsi="Times New Roman" w:eastAsia="宋体" w:cs="Times New Roman"/>
          <w:b w:val="0"/>
          <w:bCs/>
          <w:color w:val="000000" w:themeColor="text1"/>
          <w:highlight w:val="none"/>
          <w:lang w:val="en-US"/>
          <w14:textFill>
            <w14:solidFill>
              <w14:schemeClr w14:val="tx1"/>
            </w14:solidFill>
          </w14:textFill>
        </w:rPr>
        <w:t>A</w:t>
      </w:r>
      <w:r>
        <w:rPr>
          <w:rFonts w:hint="default" w:ascii="Times New Roman" w:hAnsi="Times New Roman" w:eastAsia="宋体" w:cs="Times New Roman"/>
          <w:b w:val="0"/>
          <w:bCs/>
          <w:color w:val="000000" w:themeColor="text1"/>
          <w:highlight w:val="none"/>
          <w14:textFill>
            <w14:solidFill>
              <w14:schemeClr w14:val="tx1"/>
            </w14:solidFill>
          </w14:textFill>
        </w:rPr>
        <w:t>STMB888－2019力学性能</w:t>
      </w:r>
    </w:p>
    <w:tbl>
      <w:tblPr>
        <w:tblStyle w:val="2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1528"/>
        <w:gridCol w:w="2281"/>
        <w:gridCol w:w="2104"/>
        <w:gridCol w:w="1950"/>
      </w:tblGrid>
      <w:tr w14:paraId="458C9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pct"/>
            <w:vAlign w:val="center"/>
          </w:tcPr>
          <w:p w14:paraId="3ED4BC01">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牌号</w:t>
            </w:r>
          </w:p>
        </w:tc>
        <w:tc>
          <w:tcPr>
            <w:tcW w:w="823" w:type="pct"/>
            <w:vAlign w:val="center"/>
          </w:tcPr>
          <w:p w14:paraId="5EEFFA9D">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状态</w:t>
            </w:r>
          </w:p>
        </w:tc>
        <w:tc>
          <w:tcPr>
            <w:tcW w:w="1228" w:type="pct"/>
            <w:vAlign w:val="center"/>
          </w:tcPr>
          <w:p w14:paraId="2F53B3E1">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抗拉强度R</w:t>
            </w:r>
            <w:r>
              <w:rPr>
                <w:rFonts w:hint="default" w:ascii="Times New Roman" w:hAnsi="Times New Roman" w:eastAsia="宋体" w:cs="Times New Roman"/>
                <w:b w:val="0"/>
                <w:bCs/>
                <w:color w:val="000000" w:themeColor="text1"/>
                <w:sz w:val="21"/>
                <w:szCs w:val="21"/>
                <w:highlight w:val="none"/>
                <w:vertAlign w:val="subscript"/>
                <w14:textFill>
                  <w14:solidFill>
                    <w14:schemeClr w14:val="tx1"/>
                  </w14:solidFill>
                </w14:textFill>
              </w:rPr>
              <w:t>m</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/MPa</w:t>
            </w:r>
          </w:p>
        </w:tc>
        <w:tc>
          <w:tcPr>
            <w:tcW w:w="1133" w:type="pct"/>
            <w:vAlign w:val="center"/>
          </w:tcPr>
          <w:p w14:paraId="5CD1291F">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规定塑性延伸强度R</w:t>
            </w:r>
            <w:r>
              <w:rPr>
                <w:rFonts w:hint="default" w:ascii="Times New Roman" w:hAnsi="Times New Roman" w:eastAsia="宋体" w:cs="Times New Roman"/>
                <w:b w:val="0"/>
                <w:bCs/>
                <w:color w:val="000000" w:themeColor="text1"/>
                <w:sz w:val="21"/>
                <w:szCs w:val="21"/>
                <w:highlight w:val="none"/>
                <w:vertAlign w:val="subscript"/>
                <w14:textFill>
                  <w14:solidFill>
                    <w14:schemeClr w14:val="tx1"/>
                  </w14:solidFill>
                </w14:textFill>
              </w:rPr>
              <w:t>p0.2</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/MPa</w:t>
            </w:r>
          </w:p>
        </w:tc>
        <w:tc>
          <w:tcPr>
            <w:tcW w:w="1050" w:type="pct"/>
            <w:vAlign w:val="center"/>
          </w:tcPr>
          <w:p w14:paraId="5A3B9802">
            <w:pPr>
              <w:pStyle w:val="18"/>
              <w:spacing w:after="0"/>
              <w:ind w:firstLine="180"/>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伸长率/％</w:t>
            </w:r>
          </w:p>
        </w:tc>
      </w:tr>
      <w:tr w14:paraId="14008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pct"/>
            <w:vMerge w:val="restart"/>
            <w:vAlign w:val="center"/>
          </w:tcPr>
          <w:p w14:paraId="1101331F">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C19010</w:t>
            </w:r>
          </w:p>
        </w:tc>
        <w:tc>
          <w:tcPr>
            <w:tcW w:w="823" w:type="pct"/>
            <w:vAlign w:val="center"/>
          </w:tcPr>
          <w:p w14:paraId="165A21FD">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TM03</w:t>
            </w:r>
          </w:p>
        </w:tc>
        <w:tc>
          <w:tcPr>
            <w:tcW w:w="1228" w:type="pct"/>
            <w:vAlign w:val="center"/>
          </w:tcPr>
          <w:p w14:paraId="67109B4E">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460</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520</w:t>
            </w:r>
          </w:p>
        </w:tc>
        <w:tc>
          <w:tcPr>
            <w:tcW w:w="1133" w:type="pct"/>
            <w:vAlign w:val="center"/>
          </w:tcPr>
          <w:p w14:paraId="2E1E4BCE">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≥340</w:t>
            </w:r>
          </w:p>
        </w:tc>
        <w:tc>
          <w:tcPr>
            <w:tcW w:w="1050" w:type="pct"/>
            <w:vAlign w:val="center"/>
          </w:tcPr>
          <w:p w14:paraId="08CAE2DF">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≥12</w:t>
            </w:r>
          </w:p>
        </w:tc>
      </w:tr>
      <w:tr w14:paraId="0C2FA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pct"/>
            <w:vMerge w:val="continue"/>
            <w:vAlign w:val="center"/>
          </w:tcPr>
          <w:p w14:paraId="77DA7F6F">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823" w:type="pct"/>
            <w:vAlign w:val="center"/>
          </w:tcPr>
          <w:p w14:paraId="5129E006">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TM04</w:t>
            </w:r>
          </w:p>
        </w:tc>
        <w:tc>
          <w:tcPr>
            <w:tcW w:w="1228" w:type="pct"/>
            <w:vAlign w:val="center"/>
          </w:tcPr>
          <w:p w14:paraId="5F1D5E52">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490</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560</w:t>
            </w:r>
          </w:p>
        </w:tc>
        <w:tc>
          <w:tcPr>
            <w:tcW w:w="1133" w:type="pct"/>
            <w:vAlign w:val="center"/>
          </w:tcPr>
          <w:p w14:paraId="024502B9">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≥410</w:t>
            </w:r>
          </w:p>
        </w:tc>
        <w:tc>
          <w:tcPr>
            <w:tcW w:w="1050" w:type="pct"/>
            <w:vAlign w:val="center"/>
          </w:tcPr>
          <w:p w14:paraId="6F9BA194">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≥10</w:t>
            </w:r>
          </w:p>
        </w:tc>
      </w:tr>
      <w:tr w14:paraId="085F5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pct"/>
            <w:vMerge w:val="continue"/>
            <w:vAlign w:val="center"/>
          </w:tcPr>
          <w:p w14:paraId="7D032CE8">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823" w:type="pct"/>
            <w:vAlign w:val="center"/>
          </w:tcPr>
          <w:p w14:paraId="51E92D41">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TM06</w:t>
            </w:r>
          </w:p>
        </w:tc>
        <w:tc>
          <w:tcPr>
            <w:tcW w:w="1228" w:type="pct"/>
            <w:vAlign w:val="center"/>
          </w:tcPr>
          <w:p w14:paraId="07D5D1AE">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520</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590</w:t>
            </w:r>
          </w:p>
        </w:tc>
        <w:tc>
          <w:tcPr>
            <w:tcW w:w="1133" w:type="pct"/>
            <w:vAlign w:val="center"/>
          </w:tcPr>
          <w:p w14:paraId="3E0E5487">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≥440</w:t>
            </w:r>
          </w:p>
        </w:tc>
        <w:tc>
          <w:tcPr>
            <w:tcW w:w="1050" w:type="pct"/>
            <w:vAlign w:val="center"/>
          </w:tcPr>
          <w:p w14:paraId="7BF26B4B">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≥8</w:t>
            </w:r>
          </w:p>
        </w:tc>
      </w:tr>
      <w:tr w14:paraId="4E4B6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pct"/>
            <w:vMerge w:val="continue"/>
            <w:vAlign w:val="center"/>
          </w:tcPr>
          <w:p w14:paraId="06A1746D">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823" w:type="pct"/>
            <w:vAlign w:val="center"/>
          </w:tcPr>
          <w:p w14:paraId="528843D1">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TM08</w:t>
            </w:r>
          </w:p>
        </w:tc>
        <w:tc>
          <w:tcPr>
            <w:tcW w:w="1228" w:type="pct"/>
            <w:vAlign w:val="center"/>
          </w:tcPr>
          <w:p w14:paraId="340DC356">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≥580</w:t>
            </w:r>
          </w:p>
        </w:tc>
        <w:tc>
          <w:tcPr>
            <w:tcW w:w="1133" w:type="pct"/>
            <w:vAlign w:val="center"/>
          </w:tcPr>
          <w:p w14:paraId="1A9AFA95">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≥510</w:t>
            </w:r>
          </w:p>
        </w:tc>
        <w:tc>
          <w:tcPr>
            <w:tcW w:w="1050" w:type="pct"/>
            <w:vAlign w:val="center"/>
          </w:tcPr>
          <w:p w14:paraId="46AFF813">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≥6</w:t>
            </w:r>
          </w:p>
        </w:tc>
      </w:tr>
      <w:tr w14:paraId="7C9E3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pct"/>
            <w:vMerge w:val="restart"/>
            <w:vAlign w:val="center"/>
          </w:tcPr>
          <w:p w14:paraId="1FB4BE31">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C19400</w:t>
            </w:r>
          </w:p>
        </w:tc>
        <w:tc>
          <w:tcPr>
            <w:tcW w:w="823" w:type="pct"/>
            <w:vAlign w:val="center"/>
          </w:tcPr>
          <w:p w14:paraId="6D119536">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H02</w:t>
            </w:r>
          </w:p>
        </w:tc>
        <w:tc>
          <w:tcPr>
            <w:tcW w:w="1228" w:type="pct"/>
            <w:vAlign w:val="center"/>
          </w:tcPr>
          <w:p w14:paraId="0D07A655">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365</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435</w:t>
            </w:r>
          </w:p>
        </w:tc>
        <w:tc>
          <w:tcPr>
            <w:tcW w:w="1133" w:type="pct"/>
            <w:vAlign w:val="center"/>
          </w:tcPr>
          <w:p w14:paraId="5035CE94">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≥250</w:t>
            </w:r>
          </w:p>
        </w:tc>
        <w:tc>
          <w:tcPr>
            <w:tcW w:w="1050" w:type="pct"/>
            <w:vAlign w:val="center"/>
          </w:tcPr>
          <w:p w14:paraId="06C6947E">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≥6</w:t>
            </w:r>
          </w:p>
        </w:tc>
      </w:tr>
      <w:tr w14:paraId="75E70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pct"/>
            <w:vMerge w:val="continue"/>
            <w:vAlign w:val="center"/>
          </w:tcPr>
          <w:p w14:paraId="3EA5C788">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823" w:type="pct"/>
            <w:vAlign w:val="center"/>
          </w:tcPr>
          <w:p w14:paraId="28C27A42">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H04</w:t>
            </w:r>
          </w:p>
        </w:tc>
        <w:tc>
          <w:tcPr>
            <w:tcW w:w="1228" w:type="pct"/>
            <w:vAlign w:val="center"/>
          </w:tcPr>
          <w:p w14:paraId="78840830">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415</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485</w:t>
            </w:r>
          </w:p>
        </w:tc>
        <w:tc>
          <w:tcPr>
            <w:tcW w:w="1133" w:type="pct"/>
            <w:vAlign w:val="center"/>
          </w:tcPr>
          <w:p w14:paraId="20528FE9">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≥365</w:t>
            </w:r>
          </w:p>
        </w:tc>
        <w:tc>
          <w:tcPr>
            <w:tcW w:w="1050" w:type="pct"/>
            <w:vAlign w:val="center"/>
          </w:tcPr>
          <w:p w14:paraId="2CD4D05C">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≥3</w:t>
            </w:r>
          </w:p>
        </w:tc>
      </w:tr>
      <w:tr w14:paraId="44B3A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pct"/>
            <w:vMerge w:val="continue"/>
            <w:vAlign w:val="center"/>
          </w:tcPr>
          <w:p w14:paraId="5C9751C5">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823" w:type="pct"/>
            <w:vAlign w:val="center"/>
          </w:tcPr>
          <w:p w14:paraId="4D2A8CCA">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H06</w:t>
            </w:r>
          </w:p>
        </w:tc>
        <w:tc>
          <w:tcPr>
            <w:tcW w:w="1228" w:type="pct"/>
            <w:vAlign w:val="center"/>
          </w:tcPr>
          <w:p w14:paraId="2CFCCC3D">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460</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505</w:t>
            </w:r>
          </w:p>
        </w:tc>
        <w:tc>
          <w:tcPr>
            <w:tcW w:w="1133" w:type="pct"/>
            <w:vAlign w:val="center"/>
          </w:tcPr>
          <w:p w14:paraId="50AC7633">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≥440</w:t>
            </w:r>
          </w:p>
        </w:tc>
        <w:tc>
          <w:tcPr>
            <w:tcW w:w="1050" w:type="pct"/>
            <w:vAlign w:val="center"/>
          </w:tcPr>
          <w:p w14:paraId="1AA69BB6">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≥2</w:t>
            </w:r>
          </w:p>
        </w:tc>
      </w:tr>
      <w:tr w14:paraId="4F8DE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pct"/>
            <w:vMerge w:val="continue"/>
            <w:vAlign w:val="center"/>
          </w:tcPr>
          <w:p w14:paraId="16F611FE">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823" w:type="pct"/>
            <w:vAlign w:val="center"/>
          </w:tcPr>
          <w:p w14:paraId="0FF0C9B2">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H08</w:t>
            </w:r>
          </w:p>
        </w:tc>
        <w:tc>
          <w:tcPr>
            <w:tcW w:w="1228" w:type="pct"/>
            <w:vAlign w:val="center"/>
          </w:tcPr>
          <w:p w14:paraId="778C76A8">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485</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525</w:t>
            </w:r>
          </w:p>
        </w:tc>
        <w:tc>
          <w:tcPr>
            <w:tcW w:w="1133" w:type="pct"/>
            <w:vAlign w:val="center"/>
          </w:tcPr>
          <w:p w14:paraId="19E812BD">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≥460</w:t>
            </w:r>
          </w:p>
        </w:tc>
        <w:tc>
          <w:tcPr>
            <w:tcW w:w="1050" w:type="pct"/>
            <w:vAlign w:val="center"/>
          </w:tcPr>
          <w:p w14:paraId="1156FEDF">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≥2</w:t>
            </w:r>
          </w:p>
        </w:tc>
      </w:tr>
      <w:tr w14:paraId="63337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pct"/>
            <w:vMerge w:val="continue"/>
            <w:vAlign w:val="center"/>
          </w:tcPr>
          <w:p w14:paraId="1F7BDD4E">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823" w:type="pct"/>
            <w:vAlign w:val="center"/>
          </w:tcPr>
          <w:p w14:paraId="711C5698">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H10</w:t>
            </w:r>
          </w:p>
        </w:tc>
        <w:tc>
          <w:tcPr>
            <w:tcW w:w="1228" w:type="pct"/>
            <w:vAlign w:val="center"/>
          </w:tcPr>
          <w:p w14:paraId="736161F1">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505</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550</w:t>
            </w:r>
          </w:p>
        </w:tc>
        <w:tc>
          <w:tcPr>
            <w:tcW w:w="1133" w:type="pct"/>
            <w:vAlign w:val="center"/>
          </w:tcPr>
          <w:p w14:paraId="030124E1">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≥485</w:t>
            </w:r>
          </w:p>
        </w:tc>
        <w:tc>
          <w:tcPr>
            <w:tcW w:w="1050" w:type="pct"/>
            <w:vAlign w:val="center"/>
          </w:tcPr>
          <w:p w14:paraId="00A6D0B6">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w:t>
            </w:r>
          </w:p>
        </w:tc>
      </w:tr>
      <w:tr w14:paraId="128C4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pct"/>
            <w:vMerge w:val="restart"/>
            <w:vAlign w:val="center"/>
          </w:tcPr>
          <w:p w14:paraId="194ABFF5">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C19700</w:t>
            </w:r>
          </w:p>
        </w:tc>
        <w:tc>
          <w:tcPr>
            <w:tcW w:w="823" w:type="pct"/>
            <w:vAlign w:val="center"/>
          </w:tcPr>
          <w:p w14:paraId="49AF251D">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H02</w:t>
            </w:r>
          </w:p>
        </w:tc>
        <w:tc>
          <w:tcPr>
            <w:tcW w:w="1228" w:type="pct"/>
            <w:vAlign w:val="center"/>
          </w:tcPr>
          <w:p w14:paraId="5FE0834E">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365</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435</w:t>
            </w:r>
          </w:p>
        </w:tc>
        <w:tc>
          <w:tcPr>
            <w:tcW w:w="1133" w:type="pct"/>
            <w:vAlign w:val="center"/>
          </w:tcPr>
          <w:p w14:paraId="7EC66EE1">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≥250</w:t>
            </w:r>
          </w:p>
        </w:tc>
        <w:tc>
          <w:tcPr>
            <w:tcW w:w="1050" w:type="pct"/>
            <w:vAlign w:val="center"/>
          </w:tcPr>
          <w:p w14:paraId="245671A3">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≥6</w:t>
            </w:r>
          </w:p>
        </w:tc>
      </w:tr>
      <w:tr w14:paraId="7CCA3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pct"/>
            <w:vMerge w:val="continue"/>
            <w:vAlign w:val="center"/>
          </w:tcPr>
          <w:p w14:paraId="0DD11F5C">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823" w:type="pct"/>
            <w:vAlign w:val="center"/>
          </w:tcPr>
          <w:p w14:paraId="7B8E60AD">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H04</w:t>
            </w:r>
          </w:p>
        </w:tc>
        <w:tc>
          <w:tcPr>
            <w:tcW w:w="1228" w:type="pct"/>
            <w:vAlign w:val="center"/>
          </w:tcPr>
          <w:p w14:paraId="7417CCCE">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415</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485</w:t>
            </w:r>
          </w:p>
        </w:tc>
        <w:tc>
          <w:tcPr>
            <w:tcW w:w="1133" w:type="pct"/>
            <w:vAlign w:val="center"/>
          </w:tcPr>
          <w:p w14:paraId="4AF1163F">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≥365</w:t>
            </w:r>
          </w:p>
        </w:tc>
        <w:tc>
          <w:tcPr>
            <w:tcW w:w="1050" w:type="pct"/>
            <w:vAlign w:val="center"/>
          </w:tcPr>
          <w:p w14:paraId="10754D49">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≥2</w:t>
            </w:r>
          </w:p>
        </w:tc>
      </w:tr>
      <w:tr w14:paraId="146F6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pct"/>
            <w:vMerge w:val="continue"/>
            <w:vAlign w:val="center"/>
          </w:tcPr>
          <w:p w14:paraId="340A999B">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823" w:type="pct"/>
            <w:vAlign w:val="center"/>
          </w:tcPr>
          <w:p w14:paraId="7D4B5463">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H06</w:t>
            </w:r>
          </w:p>
        </w:tc>
        <w:tc>
          <w:tcPr>
            <w:tcW w:w="1228" w:type="pct"/>
            <w:vAlign w:val="center"/>
          </w:tcPr>
          <w:p w14:paraId="4534491C">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460</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505</w:t>
            </w:r>
          </w:p>
        </w:tc>
        <w:tc>
          <w:tcPr>
            <w:tcW w:w="1133" w:type="pct"/>
            <w:vAlign w:val="center"/>
          </w:tcPr>
          <w:p w14:paraId="0904D365">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≥440</w:t>
            </w:r>
          </w:p>
        </w:tc>
        <w:tc>
          <w:tcPr>
            <w:tcW w:w="1050" w:type="pct"/>
            <w:vAlign w:val="center"/>
          </w:tcPr>
          <w:p w14:paraId="7776A655">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≥2</w:t>
            </w:r>
          </w:p>
        </w:tc>
      </w:tr>
      <w:tr w14:paraId="286AD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pct"/>
            <w:vMerge w:val="continue"/>
            <w:vAlign w:val="center"/>
          </w:tcPr>
          <w:p w14:paraId="10EF7695">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823" w:type="pct"/>
            <w:vAlign w:val="center"/>
          </w:tcPr>
          <w:p w14:paraId="59D76FC9">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H08</w:t>
            </w:r>
          </w:p>
        </w:tc>
        <w:tc>
          <w:tcPr>
            <w:tcW w:w="1228" w:type="pct"/>
            <w:vAlign w:val="center"/>
          </w:tcPr>
          <w:p w14:paraId="7918F1CB">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485</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525</w:t>
            </w:r>
          </w:p>
        </w:tc>
        <w:tc>
          <w:tcPr>
            <w:tcW w:w="1133" w:type="pct"/>
            <w:vAlign w:val="center"/>
          </w:tcPr>
          <w:p w14:paraId="7ED4C914">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≥460</w:t>
            </w:r>
          </w:p>
        </w:tc>
        <w:tc>
          <w:tcPr>
            <w:tcW w:w="1050" w:type="pct"/>
            <w:vAlign w:val="center"/>
          </w:tcPr>
          <w:p w14:paraId="7326B046">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≥2</w:t>
            </w:r>
          </w:p>
        </w:tc>
      </w:tr>
      <w:tr w14:paraId="4B61D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pct"/>
            <w:vMerge w:val="continue"/>
            <w:vAlign w:val="center"/>
          </w:tcPr>
          <w:p w14:paraId="585D969B">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823" w:type="pct"/>
            <w:vAlign w:val="center"/>
          </w:tcPr>
          <w:p w14:paraId="464278F6">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H10</w:t>
            </w:r>
          </w:p>
        </w:tc>
        <w:tc>
          <w:tcPr>
            <w:tcW w:w="1228" w:type="pct"/>
            <w:vAlign w:val="center"/>
          </w:tcPr>
          <w:p w14:paraId="39A48956">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505</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550</w:t>
            </w:r>
          </w:p>
        </w:tc>
        <w:tc>
          <w:tcPr>
            <w:tcW w:w="1133" w:type="pct"/>
            <w:vAlign w:val="center"/>
          </w:tcPr>
          <w:p w14:paraId="468A059D">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≥485</w:t>
            </w:r>
          </w:p>
        </w:tc>
        <w:tc>
          <w:tcPr>
            <w:tcW w:w="1050" w:type="pct"/>
            <w:vAlign w:val="center"/>
          </w:tcPr>
          <w:p w14:paraId="7AE2ACF2">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w:t>
            </w:r>
          </w:p>
        </w:tc>
      </w:tr>
      <w:tr w14:paraId="7AE89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pct"/>
            <w:vMerge w:val="restart"/>
            <w:vAlign w:val="center"/>
          </w:tcPr>
          <w:p w14:paraId="5154D9C3">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C19210</w:t>
            </w:r>
          </w:p>
        </w:tc>
        <w:tc>
          <w:tcPr>
            <w:tcW w:w="823" w:type="pct"/>
            <w:vAlign w:val="center"/>
          </w:tcPr>
          <w:p w14:paraId="3A3B73A0">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H01</w:t>
            </w:r>
          </w:p>
        </w:tc>
        <w:tc>
          <w:tcPr>
            <w:tcW w:w="1228" w:type="pct"/>
            <w:vAlign w:val="center"/>
          </w:tcPr>
          <w:p w14:paraId="4D0ECFCA">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300</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365</w:t>
            </w:r>
          </w:p>
        </w:tc>
        <w:tc>
          <w:tcPr>
            <w:tcW w:w="1133" w:type="pct"/>
            <w:vAlign w:val="center"/>
          </w:tcPr>
          <w:p w14:paraId="072DCB80">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≥135</w:t>
            </w:r>
          </w:p>
        </w:tc>
        <w:tc>
          <w:tcPr>
            <w:tcW w:w="1050" w:type="pct"/>
            <w:vAlign w:val="center"/>
          </w:tcPr>
          <w:p w14:paraId="43062546">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≥20</w:t>
            </w:r>
          </w:p>
        </w:tc>
      </w:tr>
      <w:tr w14:paraId="6BCE3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pct"/>
            <w:vMerge w:val="continue"/>
            <w:vAlign w:val="center"/>
          </w:tcPr>
          <w:p w14:paraId="5D2CC81C">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823" w:type="pct"/>
            <w:vAlign w:val="center"/>
          </w:tcPr>
          <w:p w14:paraId="4D91802D">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H02</w:t>
            </w:r>
          </w:p>
        </w:tc>
        <w:tc>
          <w:tcPr>
            <w:tcW w:w="1228" w:type="pct"/>
            <w:vAlign w:val="center"/>
          </w:tcPr>
          <w:p w14:paraId="57F0CD57">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325</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410</w:t>
            </w:r>
          </w:p>
        </w:tc>
        <w:tc>
          <w:tcPr>
            <w:tcW w:w="1133" w:type="pct"/>
            <w:vAlign w:val="center"/>
          </w:tcPr>
          <w:p w14:paraId="13FF07FB">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≥310</w:t>
            </w:r>
          </w:p>
        </w:tc>
        <w:tc>
          <w:tcPr>
            <w:tcW w:w="1050" w:type="pct"/>
            <w:vAlign w:val="center"/>
          </w:tcPr>
          <w:p w14:paraId="703811CE">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≥5</w:t>
            </w:r>
          </w:p>
        </w:tc>
      </w:tr>
      <w:tr w14:paraId="4D83B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pct"/>
            <w:vMerge w:val="continue"/>
            <w:vAlign w:val="center"/>
          </w:tcPr>
          <w:p w14:paraId="0C3C7056">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823" w:type="pct"/>
            <w:vAlign w:val="center"/>
          </w:tcPr>
          <w:p w14:paraId="14ADD5F7">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H03</w:t>
            </w:r>
          </w:p>
        </w:tc>
        <w:tc>
          <w:tcPr>
            <w:tcW w:w="1228" w:type="pct"/>
            <w:vAlign w:val="center"/>
          </w:tcPr>
          <w:p w14:paraId="06870972">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355</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425</w:t>
            </w:r>
          </w:p>
        </w:tc>
        <w:tc>
          <w:tcPr>
            <w:tcW w:w="1133" w:type="pct"/>
            <w:vAlign w:val="center"/>
          </w:tcPr>
          <w:p w14:paraId="30BBE8DC">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≥345</w:t>
            </w:r>
          </w:p>
        </w:tc>
        <w:tc>
          <w:tcPr>
            <w:tcW w:w="1050" w:type="pct"/>
            <w:vAlign w:val="center"/>
          </w:tcPr>
          <w:p w14:paraId="52813F81">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≥4</w:t>
            </w:r>
          </w:p>
        </w:tc>
      </w:tr>
      <w:tr w14:paraId="795F6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pct"/>
            <w:vMerge w:val="continue"/>
            <w:vAlign w:val="center"/>
          </w:tcPr>
          <w:p w14:paraId="50CA9906">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823" w:type="pct"/>
            <w:vAlign w:val="center"/>
          </w:tcPr>
          <w:p w14:paraId="4CE9D83A">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H04</w:t>
            </w:r>
          </w:p>
        </w:tc>
        <w:tc>
          <w:tcPr>
            <w:tcW w:w="1228" w:type="pct"/>
            <w:vAlign w:val="center"/>
          </w:tcPr>
          <w:p w14:paraId="5FC04D2A">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385</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455</w:t>
            </w:r>
          </w:p>
        </w:tc>
        <w:tc>
          <w:tcPr>
            <w:tcW w:w="1133" w:type="pct"/>
            <w:vAlign w:val="center"/>
          </w:tcPr>
          <w:p w14:paraId="446D6515">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≥355</w:t>
            </w:r>
          </w:p>
        </w:tc>
        <w:tc>
          <w:tcPr>
            <w:tcW w:w="1050" w:type="pct"/>
            <w:vAlign w:val="center"/>
          </w:tcPr>
          <w:p w14:paraId="55D3A52F">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≥3</w:t>
            </w:r>
          </w:p>
        </w:tc>
      </w:tr>
      <w:tr w14:paraId="0D9D7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pct"/>
            <w:vMerge w:val="continue"/>
            <w:vAlign w:val="center"/>
          </w:tcPr>
          <w:p w14:paraId="40462167">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823" w:type="pct"/>
            <w:vAlign w:val="center"/>
          </w:tcPr>
          <w:p w14:paraId="7C1BC485">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H06</w:t>
            </w:r>
          </w:p>
        </w:tc>
        <w:tc>
          <w:tcPr>
            <w:tcW w:w="1228" w:type="pct"/>
            <w:vAlign w:val="center"/>
          </w:tcPr>
          <w:p w14:paraId="2B3E0A21">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410</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480</w:t>
            </w:r>
          </w:p>
        </w:tc>
        <w:tc>
          <w:tcPr>
            <w:tcW w:w="1133" w:type="pct"/>
            <w:vAlign w:val="center"/>
          </w:tcPr>
          <w:p w14:paraId="5E792312">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≥400</w:t>
            </w:r>
          </w:p>
        </w:tc>
        <w:tc>
          <w:tcPr>
            <w:tcW w:w="1050" w:type="pct"/>
            <w:vAlign w:val="center"/>
          </w:tcPr>
          <w:p w14:paraId="2C9C9BA2">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≥2</w:t>
            </w:r>
          </w:p>
        </w:tc>
      </w:tr>
      <w:tr w14:paraId="0F08E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pct"/>
            <w:vMerge w:val="continue"/>
            <w:vAlign w:val="center"/>
          </w:tcPr>
          <w:p w14:paraId="794BA902">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823" w:type="pct"/>
            <w:vAlign w:val="center"/>
          </w:tcPr>
          <w:p w14:paraId="5833B016">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H08</w:t>
            </w:r>
          </w:p>
        </w:tc>
        <w:tc>
          <w:tcPr>
            <w:tcW w:w="1228" w:type="pct"/>
            <w:vAlign w:val="center"/>
          </w:tcPr>
          <w:p w14:paraId="593B2A14">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440</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510</w:t>
            </w:r>
          </w:p>
        </w:tc>
        <w:tc>
          <w:tcPr>
            <w:tcW w:w="1133" w:type="pct"/>
            <w:vAlign w:val="center"/>
          </w:tcPr>
          <w:p w14:paraId="58F13DD1">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≥425</w:t>
            </w:r>
          </w:p>
        </w:tc>
        <w:tc>
          <w:tcPr>
            <w:tcW w:w="1050" w:type="pct"/>
            <w:vAlign w:val="center"/>
          </w:tcPr>
          <w:p w14:paraId="0835ED87">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w:t>
            </w:r>
          </w:p>
        </w:tc>
      </w:tr>
      <w:tr w14:paraId="016BB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pct"/>
            <w:vMerge w:val="continue"/>
            <w:vAlign w:val="center"/>
          </w:tcPr>
          <w:p w14:paraId="7315F1CB">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823" w:type="pct"/>
            <w:vAlign w:val="center"/>
          </w:tcPr>
          <w:p w14:paraId="6847DA58">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H10</w:t>
            </w:r>
          </w:p>
        </w:tc>
        <w:tc>
          <w:tcPr>
            <w:tcW w:w="1228" w:type="pct"/>
            <w:vAlign w:val="center"/>
          </w:tcPr>
          <w:p w14:paraId="2A8D9CCF">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≥455</w:t>
            </w:r>
          </w:p>
        </w:tc>
        <w:tc>
          <w:tcPr>
            <w:tcW w:w="1133" w:type="pct"/>
            <w:vAlign w:val="center"/>
          </w:tcPr>
          <w:p w14:paraId="66AEB6BA">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≥440</w:t>
            </w:r>
          </w:p>
        </w:tc>
        <w:tc>
          <w:tcPr>
            <w:tcW w:w="1050" w:type="pct"/>
            <w:vAlign w:val="center"/>
          </w:tcPr>
          <w:p w14:paraId="0E49E5D5">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w:t>
            </w:r>
          </w:p>
        </w:tc>
      </w:tr>
      <w:tr w14:paraId="5680D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pct"/>
            <w:vMerge w:val="restart"/>
            <w:vAlign w:val="center"/>
          </w:tcPr>
          <w:p w14:paraId="0D3B50CE">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C42200</w:t>
            </w:r>
          </w:p>
        </w:tc>
        <w:tc>
          <w:tcPr>
            <w:tcW w:w="823" w:type="pct"/>
            <w:vAlign w:val="center"/>
          </w:tcPr>
          <w:p w14:paraId="6A64230C">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H01</w:t>
            </w:r>
          </w:p>
        </w:tc>
        <w:tc>
          <w:tcPr>
            <w:tcW w:w="1228" w:type="pct"/>
            <w:vAlign w:val="center"/>
          </w:tcPr>
          <w:p w14:paraId="52339F96">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325</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395</w:t>
            </w:r>
          </w:p>
        </w:tc>
        <w:tc>
          <w:tcPr>
            <w:tcW w:w="1133" w:type="pct"/>
            <w:vAlign w:val="center"/>
          </w:tcPr>
          <w:p w14:paraId="4E18E261">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≥145</w:t>
            </w:r>
          </w:p>
        </w:tc>
        <w:tc>
          <w:tcPr>
            <w:tcW w:w="1050" w:type="pct"/>
            <w:vAlign w:val="center"/>
          </w:tcPr>
          <w:p w14:paraId="0E3F59D9">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≥17</w:t>
            </w:r>
          </w:p>
        </w:tc>
      </w:tr>
      <w:tr w14:paraId="0AD0A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pct"/>
            <w:vMerge w:val="continue"/>
            <w:vAlign w:val="center"/>
          </w:tcPr>
          <w:p w14:paraId="37B5A409">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823" w:type="pct"/>
            <w:vAlign w:val="center"/>
          </w:tcPr>
          <w:p w14:paraId="2DE1C76A">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H02</w:t>
            </w:r>
          </w:p>
        </w:tc>
        <w:tc>
          <w:tcPr>
            <w:tcW w:w="1228" w:type="pct"/>
            <w:vAlign w:val="center"/>
          </w:tcPr>
          <w:p w14:paraId="367EF39C">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370</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450</w:t>
            </w:r>
          </w:p>
        </w:tc>
        <w:tc>
          <w:tcPr>
            <w:tcW w:w="1133" w:type="pct"/>
            <w:vAlign w:val="center"/>
          </w:tcPr>
          <w:p w14:paraId="11922730">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≥330</w:t>
            </w:r>
          </w:p>
        </w:tc>
        <w:tc>
          <w:tcPr>
            <w:tcW w:w="1050" w:type="pct"/>
            <w:vAlign w:val="center"/>
          </w:tcPr>
          <w:p w14:paraId="364D9B92">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≥6</w:t>
            </w:r>
          </w:p>
        </w:tc>
      </w:tr>
      <w:tr w14:paraId="67479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pct"/>
            <w:vMerge w:val="continue"/>
            <w:vAlign w:val="center"/>
          </w:tcPr>
          <w:p w14:paraId="456F64EB">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823" w:type="pct"/>
            <w:vAlign w:val="center"/>
          </w:tcPr>
          <w:p w14:paraId="542C3528">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H03</w:t>
            </w:r>
          </w:p>
        </w:tc>
        <w:tc>
          <w:tcPr>
            <w:tcW w:w="1228" w:type="pct"/>
            <w:vAlign w:val="center"/>
          </w:tcPr>
          <w:p w14:paraId="13167130">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415</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495</w:t>
            </w:r>
          </w:p>
        </w:tc>
        <w:tc>
          <w:tcPr>
            <w:tcW w:w="1133" w:type="pct"/>
            <w:vAlign w:val="center"/>
          </w:tcPr>
          <w:p w14:paraId="480B167A">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≥400</w:t>
            </w:r>
          </w:p>
        </w:tc>
        <w:tc>
          <w:tcPr>
            <w:tcW w:w="1050" w:type="pct"/>
            <w:vAlign w:val="center"/>
          </w:tcPr>
          <w:p w14:paraId="112173EF">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≥4</w:t>
            </w:r>
          </w:p>
        </w:tc>
      </w:tr>
      <w:tr w14:paraId="72736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pct"/>
            <w:vMerge w:val="continue"/>
            <w:vAlign w:val="center"/>
          </w:tcPr>
          <w:p w14:paraId="714FB29A">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823" w:type="pct"/>
            <w:vAlign w:val="center"/>
          </w:tcPr>
          <w:p w14:paraId="26BFCDF5">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H04</w:t>
            </w:r>
          </w:p>
        </w:tc>
        <w:tc>
          <w:tcPr>
            <w:tcW w:w="1228" w:type="pct"/>
            <w:vAlign w:val="center"/>
          </w:tcPr>
          <w:p w14:paraId="75602CCD">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460</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545</w:t>
            </w:r>
          </w:p>
        </w:tc>
        <w:tc>
          <w:tcPr>
            <w:tcW w:w="1133" w:type="pct"/>
            <w:vAlign w:val="center"/>
          </w:tcPr>
          <w:p w14:paraId="1DEF1CD0">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≥460</w:t>
            </w:r>
          </w:p>
        </w:tc>
        <w:tc>
          <w:tcPr>
            <w:tcW w:w="1050" w:type="pct"/>
            <w:vAlign w:val="center"/>
          </w:tcPr>
          <w:p w14:paraId="2927348F">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≥3</w:t>
            </w:r>
          </w:p>
        </w:tc>
      </w:tr>
      <w:tr w14:paraId="3A7A8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pct"/>
            <w:vMerge w:val="continue"/>
            <w:vAlign w:val="center"/>
          </w:tcPr>
          <w:p w14:paraId="251E7171">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823" w:type="pct"/>
            <w:vAlign w:val="center"/>
          </w:tcPr>
          <w:p w14:paraId="0707114D">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H06</w:t>
            </w:r>
          </w:p>
        </w:tc>
        <w:tc>
          <w:tcPr>
            <w:tcW w:w="1228" w:type="pct"/>
            <w:vAlign w:val="center"/>
          </w:tcPr>
          <w:p w14:paraId="48BF8D4E">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515</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585</w:t>
            </w:r>
          </w:p>
        </w:tc>
        <w:tc>
          <w:tcPr>
            <w:tcW w:w="1133" w:type="pct"/>
            <w:vAlign w:val="center"/>
          </w:tcPr>
          <w:p w14:paraId="05BB307A">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≥495</w:t>
            </w:r>
          </w:p>
        </w:tc>
        <w:tc>
          <w:tcPr>
            <w:tcW w:w="1050" w:type="pct"/>
            <w:vAlign w:val="center"/>
          </w:tcPr>
          <w:p w14:paraId="4A7B4FDA">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≥2</w:t>
            </w:r>
          </w:p>
        </w:tc>
      </w:tr>
      <w:tr w14:paraId="05B7C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pct"/>
            <w:vMerge w:val="continue"/>
            <w:vAlign w:val="center"/>
          </w:tcPr>
          <w:p w14:paraId="5E16F126">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823" w:type="pct"/>
            <w:vAlign w:val="center"/>
          </w:tcPr>
          <w:p w14:paraId="2CF47BBB">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H08</w:t>
            </w:r>
          </w:p>
        </w:tc>
        <w:tc>
          <w:tcPr>
            <w:tcW w:w="1228" w:type="pct"/>
            <w:vAlign w:val="center"/>
          </w:tcPr>
          <w:p w14:paraId="74FBDCB9">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565</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635</w:t>
            </w:r>
          </w:p>
        </w:tc>
        <w:tc>
          <w:tcPr>
            <w:tcW w:w="1133" w:type="pct"/>
            <w:vAlign w:val="center"/>
          </w:tcPr>
          <w:p w14:paraId="79329355">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≥530</w:t>
            </w:r>
          </w:p>
        </w:tc>
        <w:tc>
          <w:tcPr>
            <w:tcW w:w="1050" w:type="pct"/>
            <w:vAlign w:val="center"/>
          </w:tcPr>
          <w:p w14:paraId="74D76F60">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≥2</w:t>
            </w:r>
          </w:p>
        </w:tc>
      </w:tr>
      <w:tr w14:paraId="52F57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pct"/>
            <w:vMerge w:val="continue"/>
            <w:vAlign w:val="center"/>
          </w:tcPr>
          <w:p w14:paraId="75173C1E">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823" w:type="pct"/>
            <w:vAlign w:val="center"/>
          </w:tcPr>
          <w:p w14:paraId="6F3A6A8D">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H10</w:t>
            </w:r>
          </w:p>
        </w:tc>
        <w:tc>
          <w:tcPr>
            <w:tcW w:w="1228" w:type="pct"/>
            <w:vAlign w:val="center"/>
          </w:tcPr>
          <w:p w14:paraId="5ABC514F">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≥605</w:t>
            </w:r>
          </w:p>
        </w:tc>
        <w:tc>
          <w:tcPr>
            <w:tcW w:w="1133" w:type="pct"/>
            <w:vAlign w:val="center"/>
          </w:tcPr>
          <w:p w14:paraId="1B06F8D9">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≥565</w:t>
            </w:r>
          </w:p>
        </w:tc>
        <w:tc>
          <w:tcPr>
            <w:tcW w:w="1050" w:type="pct"/>
            <w:vAlign w:val="center"/>
          </w:tcPr>
          <w:p w14:paraId="62FE56E0">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w:t>
            </w:r>
          </w:p>
        </w:tc>
      </w:tr>
      <w:tr w14:paraId="1E6EA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pct"/>
            <w:vMerge w:val="restart"/>
            <w:vAlign w:val="center"/>
          </w:tcPr>
          <w:p w14:paraId="5A822CED">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C42500</w:t>
            </w:r>
          </w:p>
        </w:tc>
        <w:tc>
          <w:tcPr>
            <w:tcW w:w="823" w:type="pct"/>
            <w:vAlign w:val="center"/>
          </w:tcPr>
          <w:p w14:paraId="6E17D278">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H01</w:t>
            </w:r>
          </w:p>
        </w:tc>
        <w:tc>
          <w:tcPr>
            <w:tcW w:w="1228" w:type="pct"/>
            <w:vAlign w:val="center"/>
          </w:tcPr>
          <w:p w14:paraId="56611E89">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340</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405</w:t>
            </w:r>
          </w:p>
        </w:tc>
        <w:tc>
          <w:tcPr>
            <w:tcW w:w="1133" w:type="pct"/>
            <w:vAlign w:val="center"/>
          </w:tcPr>
          <w:p w14:paraId="4B5EA2E1">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≥140</w:t>
            </w:r>
          </w:p>
        </w:tc>
        <w:tc>
          <w:tcPr>
            <w:tcW w:w="1050" w:type="pct"/>
            <w:vAlign w:val="center"/>
          </w:tcPr>
          <w:p w14:paraId="3F41B2CF">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≥24</w:t>
            </w:r>
          </w:p>
        </w:tc>
      </w:tr>
      <w:tr w14:paraId="6B30E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pct"/>
            <w:vMerge w:val="continue"/>
            <w:vAlign w:val="center"/>
          </w:tcPr>
          <w:p w14:paraId="470577CE">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823" w:type="pct"/>
            <w:vAlign w:val="center"/>
          </w:tcPr>
          <w:p w14:paraId="58F12EE6">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H02</w:t>
            </w:r>
          </w:p>
        </w:tc>
        <w:tc>
          <w:tcPr>
            <w:tcW w:w="1228" w:type="pct"/>
            <w:vAlign w:val="center"/>
          </w:tcPr>
          <w:p w14:paraId="3B924284">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395</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475</w:t>
            </w:r>
          </w:p>
        </w:tc>
        <w:tc>
          <w:tcPr>
            <w:tcW w:w="1133" w:type="pct"/>
            <w:vAlign w:val="center"/>
          </w:tcPr>
          <w:p w14:paraId="6B138C2F">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≥350</w:t>
            </w:r>
          </w:p>
        </w:tc>
        <w:tc>
          <w:tcPr>
            <w:tcW w:w="1050" w:type="pct"/>
            <w:vAlign w:val="center"/>
          </w:tcPr>
          <w:p w14:paraId="47BB95A0">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≥13</w:t>
            </w:r>
          </w:p>
        </w:tc>
      </w:tr>
      <w:tr w14:paraId="3D094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pct"/>
            <w:vMerge w:val="continue"/>
            <w:vAlign w:val="center"/>
          </w:tcPr>
          <w:p w14:paraId="06903C28">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823" w:type="pct"/>
            <w:vAlign w:val="center"/>
          </w:tcPr>
          <w:p w14:paraId="737DF7C9">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H03</w:t>
            </w:r>
          </w:p>
        </w:tc>
        <w:tc>
          <w:tcPr>
            <w:tcW w:w="1228" w:type="pct"/>
            <w:vAlign w:val="center"/>
          </w:tcPr>
          <w:p w14:paraId="70F7B148">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425</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510</w:t>
            </w:r>
          </w:p>
        </w:tc>
        <w:tc>
          <w:tcPr>
            <w:tcW w:w="1133" w:type="pct"/>
            <w:vAlign w:val="center"/>
          </w:tcPr>
          <w:p w14:paraId="204A4195">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≥375</w:t>
            </w:r>
          </w:p>
        </w:tc>
        <w:tc>
          <w:tcPr>
            <w:tcW w:w="1050" w:type="pct"/>
            <w:vAlign w:val="center"/>
          </w:tcPr>
          <w:p w14:paraId="48799683">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≥10</w:t>
            </w:r>
          </w:p>
        </w:tc>
      </w:tr>
      <w:tr w14:paraId="58BF2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pct"/>
            <w:vMerge w:val="continue"/>
            <w:vAlign w:val="center"/>
          </w:tcPr>
          <w:p w14:paraId="75571AE7">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823" w:type="pct"/>
            <w:vAlign w:val="center"/>
          </w:tcPr>
          <w:p w14:paraId="03B965A2">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H04</w:t>
            </w:r>
          </w:p>
        </w:tc>
        <w:tc>
          <w:tcPr>
            <w:tcW w:w="1228" w:type="pct"/>
            <w:vAlign w:val="center"/>
          </w:tcPr>
          <w:p w14:paraId="14EBFF0B">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485</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565</w:t>
            </w:r>
          </w:p>
        </w:tc>
        <w:tc>
          <w:tcPr>
            <w:tcW w:w="1133" w:type="pct"/>
            <w:vAlign w:val="center"/>
          </w:tcPr>
          <w:p w14:paraId="147E959B">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≥430</w:t>
            </w:r>
          </w:p>
        </w:tc>
        <w:tc>
          <w:tcPr>
            <w:tcW w:w="1050" w:type="pct"/>
            <w:vAlign w:val="center"/>
          </w:tcPr>
          <w:p w14:paraId="7E6491CB">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≥6</w:t>
            </w:r>
          </w:p>
        </w:tc>
      </w:tr>
      <w:tr w14:paraId="4BB81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pct"/>
            <w:vMerge w:val="continue"/>
            <w:vAlign w:val="center"/>
          </w:tcPr>
          <w:p w14:paraId="649B1FC9">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823" w:type="pct"/>
            <w:vAlign w:val="center"/>
          </w:tcPr>
          <w:p w14:paraId="31D6454A">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H06</w:t>
            </w:r>
          </w:p>
        </w:tc>
        <w:tc>
          <w:tcPr>
            <w:tcW w:w="1228" w:type="pct"/>
            <w:vAlign w:val="center"/>
          </w:tcPr>
          <w:p w14:paraId="4B82602A">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525</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605</w:t>
            </w:r>
          </w:p>
        </w:tc>
        <w:tc>
          <w:tcPr>
            <w:tcW w:w="1133" w:type="pct"/>
            <w:vAlign w:val="center"/>
          </w:tcPr>
          <w:p w14:paraId="328586E6">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≥480</w:t>
            </w:r>
          </w:p>
        </w:tc>
        <w:tc>
          <w:tcPr>
            <w:tcW w:w="1050" w:type="pct"/>
            <w:vAlign w:val="center"/>
          </w:tcPr>
          <w:p w14:paraId="3D852CED">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≥5</w:t>
            </w:r>
          </w:p>
        </w:tc>
      </w:tr>
      <w:tr w14:paraId="23B79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pct"/>
            <w:vMerge w:val="continue"/>
            <w:vAlign w:val="center"/>
          </w:tcPr>
          <w:p w14:paraId="5BD8E7AC">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823" w:type="pct"/>
            <w:vAlign w:val="center"/>
          </w:tcPr>
          <w:p w14:paraId="6398C1D0">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H08</w:t>
            </w:r>
          </w:p>
        </w:tc>
        <w:tc>
          <w:tcPr>
            <w:tcW w:w="1228" w:type="pct"/>
            <w:vAlign w:val="center"/>
          </w:tcPr>
          <w:p w14:paraId="30A67C08">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580</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650</w:t>
            </w:r>
          </w:p>
        </w:tc>
        <w:tc>
          <w:tcPr>
            <w:tcW w:w="1133" w:type="pct"/>
            <w:vAlign w:val="center"/>
          </w:tcPr>
          <w:p w14:paraId="721BABB1">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≥545</w:t>
            </w:r>
          </w:p>
        </w:tc>
        <w:tc>
          <w:tcPr>
            <w:tcW w:w="1050" w:type="pct"/>
            <w:vAlign w:val="center"/>
          </w:tcPr>
          <w:p w14:paraId="642725CB">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≥3</w:t>
            </w:r>
          </w:p>
        </w:tc>
      </w:tr>
      <w:tr w14:paraId="6B66B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pct"/>
            <w:vMerge w:val="continue"/>
            <w:vAlign w:val="center"/>
          </w:tcPr>
          <w:p w14:paraId="22B21837">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823" w:type="pct"/>
            <w:vAlign w:val="center"/>
          </w:tcPr>
          <w:p w14:paraId="4B15AFC9">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H10</w:t>
            </w:r>
          </w:p>
        </w:tc>
        <w:tc>
          <w:tcPr>
            <w:tcW w:w="1228" w:type="pct"/>
            <w:vAlign w:val="center"/>
          </w:tcPr>
          <w:p w14:paraId="7E194554">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≥635</w:t>
            </w:r>
          </w:p>
        </w:tc>
        <w:tc>
          <w:tcPr>
            <w:tcW w:w="1133" w:type="pct"/>
            <w:vAlign w:val="center"/>
          </w:tcPr>
          <w:p w14:paraId="18849A10">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≥585</w:t>
            </w:r>
          </w:p>
        </w:tc>
        <w:tc>
          <w:tcPr>
            <w:tcW w:w="1050" w:type="pct"/>
            <w:vAlign w:val="center"/>
          </w:tcPr>
          <w:p w14:paraId="0924AB67">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p>
        </w:tc>
      </w:tr>
      <w:tr w14:paraId="20B11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pct"/>
            <w:vMerge w:val="restart"/>
            <w:vAlign w:val="center"/>
          </w:tcPr>
          <w:p w14:paraId="21B5F654">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C51180</w:t>
            </w:r>
          </w:p>
        </w:tc>
        <w:tc>
          <w:tcPr>
            <w:tcW w:w="823" w:type="pct"/>
            <w:vAlign w:val="center"/>
          </w:tcPr>
          <w:p w14:paraId="00C7A83B">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H02</w:t>
            </w:r>
          </w:p>
        </w:tc>
        <w:tc>
          <w:tcPr>
            <w:tcW w:w="1228" w:type="pct"/>
            <w:vAlign w:val="center"/>
          </w:tcPr>
          <w:p w14:paraId="395B9965">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570</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675</w:t>
            </w:r>
          </w:p>
        </w:tc>
        <w:tc>
          <w:tcPr>
            <w:tcW w:w="1133" w:type="pct"/>
            <w:vAlign w:val="center"/>
          </w:tcPr>
          <w:p w14:paraId="6C4A9DCC">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≥540</w:t>
            </w:r>
          </w:p>
        </w:tc>
        <w:tc>
          <w:tcPr>
            <w:tcW w:w="1050" w:type="pct"/>
            <w:vAlign w:val="center"/>
          </w:tcPr>
          <w:p w14:paraId="45C41062">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≥15</w:t>
            </w:r>
          </w:p>
        </w:tc>
      </w:tr>
      <w:tr w14:paraId="1EC94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pct"/>
            <w:vMerge w:val="continue"/>
            <w:vAlign w:val="center"/>
          </w:tcPr>
          <w:p w14:paraId="2DE8085C">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823" w:type="pct"/>
            <w:vAlign w:val="center"/>
          </w:tcPr>
          <w:p w14:paraId="33709FFA">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H04</w:t>
            </w:r>
          </w:p>
        </w:tc>
        <w:tc>
          <w:tcPr>
            <w:tcW w:w="1228" w:type="pct"/>
            <w:vAlign w:val="center"/>
          </w:tcPr>
          <w:p w14:paraId="61BF9F83">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670</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770</w:t>
            </w:r>
          </w:p>
        </w:tc>
        <w:tc>
          <w:tcPr>
            <w:tcW w:w="1133" w:type="pct"/>
            <w:vAlign w:val="center"/>
          </w:tcPr>
          <w:p w14:paraId="69C5D812">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≥640</w:t>
            </w:r>
          </w:p>
        </w:tc>
        <w:tc>
          <w:tcPr>
            <w:tcW w:w="1050" w:type="pct"/>
            <w:vAlign w:val="center"/>
          </w:tcPr>
          <w:p w14:paraId="3856A1CB">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≥8</w:t>
            </w:r>
          </w:p>
        </w:tc>
      </w:tr>
      <w:tr w14:paraId="40451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pct"/>
            <w:vMerge w:val="continue"/>
            <w:vAlign w:val="center"/>
          </w:tcPr>
          <w:p w14:paraId="465348BA">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823" w:type="pct"/>
            <w:vAlign w:val="center"/>
          </w:tcPr>
          <w:p w14:paraId="54C125C2">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H06</w:t>
            </w:r>
          </w:p>
        </w:tc>
        <w:tc>
          <w:tcPr>
            <w:tcW w:w="1228" w:type="pct"/>
            <w:vAlign w:val="center"/>
          </w:tcPr>
          <w:p w14:paraId="2A78736B">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705</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805</w:t>
            </w:r>
          </w:p>
        </w:tc>
        <w:tc>
          <w:tcPr>
            <w:tcW w:w="1133" w:type="pct"/>
            <w:vAlign w:val="center"/>
          </w:tcPr>
          <w:p w14:paraId="3036D72A">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≥675</w:t>
            </w:r>
          </w:p>
        </w:tc>
        <w:tc>
          <w:tcPr>
            <w:tcW w:w="1050" w:type="pct"/>
            <w:vAlign w:val="center"/>
          </w:tcPr>
          <w:p w14:paraId="15816442">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≥5</w:t>
            </w:r>
          </w:p>
        </w:tc>
      </w:tr>
      <w:tr w14:paraId="445CE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pct"/>
            <w:vMerge w:val="continue"/>
            <w:vAlign w:val="center"/>
          </w:tcPr>
          <w:p w14:paraId="24A82655">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823" w:type="pct"/>
            <w:vAlign w:val="center"/>
          </w:tcPr>
          <w:p w14:paraId="74B5C4CD">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H08</w:t>
            </w:r>
          </w:p>
        </w:tc>
        <w:tc>
          <w:tcPr>
            <w:tcW w:w="1228" w:type="pct"/>
            <w:vAlign w:val="center"/>
          </w:tcPr>
          <w:p w14:paraId="07EC9E1C">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725</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825</w:t>
            </w:r>
          </w:p>
        </w:tc>
        <w:tc>
          <w:tcPr>
            <w:tcW w:w="1133" w:type="pct"/>
            <w:vAlign w:val="center"/>
          </w:tcPr>
          <w:p w14:paraId="126B0F41">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≥710</w:t>
            </w:r>
          </w:p>
        </w:tc>
        <w:tc>
          <w:tcPr>
            <w:tcW w:w="1050" w:type="pct"/>
            <w:vAlign w:val="center"/>
          </w:tcPr>
          <w:p w14:paraId="35B63C04">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≥2</w:t>
            </w:r>
          </w:p>
        </w:tc>
      </w:tr>
      <w:tr w14:paraId="3173D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pct"/>
            <w:vMerge w:val="restart"/>
            <w:vAlign w:val="center"/>
          </w:tcPr>
          <w:p w14:paraId="644E161C">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C70250</w:t>
            </w:r>
          </w:p>
        </w:tc>
        <w:tc>
          <w:tcPr>
            <w:tcW w:w="823" w:type="pct"/>
            <w:vAlign w:val="center"/>
          </w:tcPr>
          <w:p w14:paraId="5DFF2011">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TM00</w:t>
            </w:r>
          </w:p>
        </w:tc>
        <w:tc>
          <w:tcPr>
            <w:tcW w:w="1228" w:type="pct"/>
            <w:vAlign w:val="center"/>
          </w:tcPr>
          <w:p w14:paraId="0B020FBA">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620</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760</w:t>
            </w:r>
          </w:p>
        </w:tc>
        <w:tc>
          <w:tcPr>
            <w:tcW w:w="1133" w:type="pct"/>
            <w:vAlign w:val="center"/>
          </w:tcPr>
          <w:p w14:paraId="02F614CC">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≥450</w:t>
            </w:r>
          </w:p>
        </w:tc>
        <w:tc>
          <w:tcPr>
            <w:tcW w:w="1050" w:type="pct"/>
            <w:vAlign w:val="center"/>
          </w:tcPr>
          <w:p w14:paraId="4D5A0546">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≥10</w:t>
            </w:r>
          </w:p>
        </w:tc>
      </w:tr>
      <w:tr w14:paraId="2F23A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pct"/>
            <w:vMerge w:val="continue"/>
            <w:vAlign w:val="center"/>
          </w:tcPr>
          <w:p w14:paraId="2FE22002">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823" w:type="pct"/>
            <w:vAlign w:val="center"/>
          </w:tcPr>
          <w:p w14:paraId="0C5F7DA7">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TM02</w:t>
            </w:r>
          </w:p>
        </w:tc>
        <w:tc>
          <w:tcPr>
            <w:tcW w:w="1228" w:type="pct"/>
            <w:vAlign w:val="center"/>
          </w:tcPr>
          <w:p w14:paraId="42EF0D1E">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655</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825</w:t>
            </w:r>
          </w:p>
        </w:tc>
        <w:tc>
          <w:tcPr>
            <w:tcW w:w="1133" w:type="pct"/>
            <w:vAlign w:val="center"/>
          </w:tcPr>
          <w:p w14:paraId="406D653B">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≥585</w:t>
            </w:r>
          </w:p>
        </w:tc>
        <w:tc>
          <w:tcPr>
            <w:tcW w:w="1050" w:type="pct"/>
            <w:vAlign w:val="center"/>
          </w:tcPr>
          <w:p w14:paraId="21503BB0">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≥7</w:t>
            </w:r>
          </w:p>
        </w:tc>
      </w:tr>
      <w:tr w14:paraId="61C23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pct"/>
            <w:vMerge w:val="continue"/>
            <w:vAlign w:val="center"/>
          </w:tcPr>
          <w:p w14:paraId="4DA9B8B0">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823" w:type="pct"/>
            <w:vAlign w:val="center"/>
          </w:tcPr>
          <w:p w14:paraId="4E38AE45">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TM03</w:t>
            </w:r>
          </w:p>
        </w:tc>
        <w:tc>
          <w:tcPr>
            <w:tcW w:w="1228" w:type="pct"/>
            <w:vAlign w:val="center"/>
          </w:tcPr>
          <w:p w14:paraId="5C966EDC">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690</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860</w:t>
            </w:r>
          </w:p>
        </w:tc>
        <w:tc>
          <w:tcPr>
            <w:tcW w:w="1133" w:type="pct"/>
            <w:vAlign w:val="center"/>
          </w:tcPr>
          <w:p w14:paraId="65C5A65B">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≥655</w:t>
            </w:r>
          </w:p>
        </w:tc>
        <w:tc>
          <w:tcPr>
            <w:tcW w:w="1050" w:type="pct"/>
            <w:vAlign w:val="center"/>
          </w:tcPr>
          <w:p w14:paraId="48406539">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≥5</w:t>
            </w:r>
          </w:p>
        </w:tc>
      </w:tr>
      <w:tr w14:paraId="38FCD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pct"/>
            <w:vMerge w:val="restart"/>
            <w:vAlign w:val="center"/>
          </w:tcPr>
          <w:p w14:paraId="1065FE67">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C70260</w:t>
            </w:r>
          </w:p>
        </w:tc>
        <w:tc>
          <w:tcPr>
            <w:tcW w:w="823" w:type="pct"/>
            <w:vAlign w:val="center"/>
          </w:tcPr>
          <w:p w14:paraId="2E57CE24">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TM01</w:t>
            </w:r>
          </w:p>
        </w:tc>
        <w:tc>
          <w:tcPr>
            <w:tcW w:w="1228" w:type="pct"/>
            <w:vAlign w:val="center"/>
          </w:tcPr>
          <w:p w14:paraId="1992CDF3">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620</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720</w:t>
            </w:r>
          </w:p>
        </w:tc>
        <w:tc>
          <w:tcPr>
            <w:tcW w:w="1133" w:type="pct"/>
            <w:vAlign w:val="center"/>
          </w:tcPr>
          <w:p w14:paraId="161ECFC7">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≥515</w:t>
            </w:r>
          </w:p>
        </w:tc>
        <w:tc>
          <w:tcPr>
            <w:tcW w:w="1050" w:type="pct"/>
            <w:vAlign w:val="center"/>
          </w:tcPr>
          <w:p w14:paraId="1F15CFB0">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≥6</w:t>
            </w:r>
          </w:p>
        </w:tc>
      </w:tr>
      <w:tr w14:paraId="079B9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pct"/>
            <w:vMerge w:val="continue"/>
            <w:vAlign w:val="center"/>
          </w:tcPr>
          <w:p w14:paraId="22B13C10">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823" w:type="pct"/>
            <w:vAlign w:val="center"/>
          </w:tcPr>
          <w:p w14:paraId="4B87F41B">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TM02</w:t>
            </w:r>
          </w:p>
        </w:tc>
        <w:tc>
          <w:tcPr>
            <w:tcW w:w="1228" w:type="pct"/>
            <w:vAlign w:val="center"/>
          </w:tcPr>
          <w:p w14:paraId="51A117D5">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620</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760</w:t>
            </w:r>
          </w:p>
        </w:tc>
        <w:tc>
          <w:tcPr>
            <w:tcW w:w="1133" w:type="pct"/>
            <w:vAlign w:val="center"/>
          </w:tcPr>
          <w:p w14:paraId="77E238C6">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≥585</w:t>
            </w:r>
          </w:p>
        </w:tc>
        <w:tc>
          <w:tcPr>
            <w:tcW w:w="1050" w:type="pct"/>
            <w:vAlign w:val="center"/>
          </w:tcPr>
          <w:p w14:paraId="04916B88">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≥4</w:t>
            </w:r>
          </w:p>
        </w:tc>
      </w:tr>
      <w:tr w14:paraId="5D107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pct"/>
            <w:vMerge w:val="continue"/>
            <w:vAlign w:val="center"/>
          </w:tcPr>
          <w:p w14:paraId="0FFD206A">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823" w:type="pct"/>
            <w:vAlign w:val="center"/>
          </w:tcPr>
          <w:p w14:paraId="1B8ABE20">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TM03</w:t>
            </w:r>
          </w:p>
        </w:tc>
        <w:tc>
          <w:tcPr>
            <w:tcW w:w="1228" w:type="pct"/>
            <w:vAlign w:val="center"/>
          </w:tcPr>
          <w:p w14:paraId="4067E283">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720</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825</w:t>
            </w:r>
          </w:p>
        </w:tc>
        <w:tc>
          <w:tcPr>
            <w:tcW w:w="1133" w:type="pct"/>
            <w:vAlign w:val="center"/>
          </w:tcPr>
          <w:p w14:paraId="19E8BAB0">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≥655</w:t>
            </w:r>
          </w:p>
        </w:tc>
        <w:tc>
          <w:tcPr>
            <w:tcW w:w="1050" w:type="pct"/>
            <w:vAlign w:val="center"/>
          </w:tcPr>
          <w:p w14:paraId="41766FD7">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≥2</w:t>
            </w:r>
          </w:p>
        </w:tc>
      </w:tr>
      <w:tr w14:paraId="268AD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pct"/>
            <w:vMerge w:val="continue"/>
            <w:vAlign w:val="center"/>
          </w:tcPr>
          <w:p w14:paraId="4837BB32">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823" w:type="pct"/>
            <w:vAlign w:val="center"/>
          </w:tcPr>
          <w:p w14:paraId="67E4971C">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TM04</w:t>
            </w:r>
          </w:p>
        </w:tc>
        <w:tc>
          <w:tcPr>
            <w:tcW w:w="1228" w:type="pct"/>
            <w:vAlign w:val="center"/>
          </w:tcPr>
          <w:p w14:paraId="542E9897">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760</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860</w:t>
            </w:r>
          </w:p>
        </w:tc>
        <w:tc>
          <w:tcPr>
            <w:tcW w:w="1133" w:type="pct"/>
            <w:vAlign w:val="center"/>
          </w:tcPr>
          <w:p w14:paraId="2C7E0562">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≥685</w:t>
            </w:r>
          </w:p>
        </w:tc>
        <w:tc>
          <w:tcPr>
            <w:tcW w:w="1050" w:type="pct"/>
            <w:vAlign w:val="center"/>
          </w:tcPr>
          <w:p w14:paraId="4DAF117B">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w:t>
            </w:r>
          </w:p>
        </w:tc>
      </w:tr>
    </w:tbl>
    <w:p w14:paraId="46C0C2B2">
      <w:pPr>
        <w:pStyle w:val="9"/>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表</w:t>
      </w:r>
      <w:r>
        <w:rPr>
          <w:rFonts w:hint="eastAsia" w:ascii="Times New Roman" w:hAnsi="Times New Roman" w:cs="Times New Roman"/>
          <w:b w:val="0"/>
          <w:bCs/>
          <w:color w:val="000000" w:themeColor="text1"/>
          <w:highlight w:val="none"/>
          <w:lang w:val="en-US" w:eastAsia="zh-CN"/>
          <w14:textFill>
            <w14:solidFill>
              <w14:schemeClr w14:val="tx1"/>
            </w14:solidFill>
          </w14:textFill>
        </w:rPr>
        <w:t>20</w:t>
      </w:r>
      <w:r>
        <w:rPr>
          <w:rFonts w:hint="default" w:ascii="Times New Roman" w:hAnsi="Times New Roman" w:eastAsia="宋体" w:cs="Times New Roman"/>
          <w:b w:val="0"/>
          <w:bCs/>
          <w:color w:val="000000" w:themeColor="text1"/>
          <w:highlight w:val="none"/>
          <w14:textFill>
            <w14:solidFill>
              <w14:schemeClr w14:val="tx1"/>
            </w14:solidFill>
          </w14:textFill>
        </w:rPr>
        <w:t xml:space="preserve"> </w:t>
      </w:r>
      <w:r>
        <w:rPr>
          <w:rFonts w:hint="default" w:ascii="Times New Roman" w:hAnsi="Times New Roman" w:eastAsia="宋体" w:cs="Times New Roman"/>
          <w:b w:val="0"/>
          <w:bCs/>
          <w:color w:val="000000" w:themeColor="text1"/>
          <w:highlight w:val="none"/>
          <w:lang w:val="en-US"/>
          <w14:textFill>
            <w14:solidFill>
              <w14:schemeClr w14:val="tx1"/>
            </w14:solidFill>
          </w14:textFill>
        </w:rPr>
        <w:t>A</w:t>
      </w:r>
      <w:r>
        <w:rPr>
          <w:rFonts w:hint="default" w:ascii="Times New Roman" w:hAnsi="Times New Roman" w:eastAsia="宋体" w:cs="Times New Roman"/>
          <w:b w:val="0"/>
          <w:bCs/>
          <w:color w:val="000000" w:themeColor="text1"/>
          <w:highlight w:val="none"/>
          <w14:textFill>
            <w14:solidFill>
              <w14:schemeClr w14:val="tx1"/>
            </w14:solidFill>
          </w14:textFill>
        </w:rPr>
        <w:t>STMB103-2019力学性能</w:t>
      </w: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1475"/>
        <w:gridCol w:w="2265"/>
        <w:gridCol w:w="2159"/>
        <w:gridCol w:w="1966"/>
      </w:tblGrid>
      <w:tr w14:paraId="7776F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764" w:type="pct"/>
            <w:vAlign w:val="center"/>
          </w:tcPr>
          <w:p w14:paraId="5B7EAC3C">
            <w:pPr>
              <w:snapToGrid w:val="0"/>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牌号</w:t>
            </w:r>
          </w:p>
        </w:tc>
        <w:tc>
          <w:tcPr>
            <w:tcW w:w="794" w:type="pct"/>
            <w:vAlign w:val="center"/>
          </w:tcPr>
          <w:p w14:paraId="37EF9445">
            <w:pPr>
              <w:snapToGrid w:val="0"/>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状态</w:t>
            </w:r>
          </w:p>
        </w:tc>
        <w:tc>
          <w:tcPr>
            <w:tcW w:w="1219" w:type="pct"/>
            <w:vAlign w:val="center"/>
          </w:tcPr>
          <w:p w14:paraId="30A84471">
            <w:pPr>
              <w:snapToGrid w:val="0"/>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抗拉强度R</w:t>
            </w:r>
            <w:r>
              <w:rPr>
                <w:rFonts w:hint="default" w:ascii="Times New Roman" w:hAnsi="Times New Roman" w:eastAsia="宋体" w:cs="Times New Roman"/>
                <w:b w:val="0"/>
                <w:bCs/>
                <w:color w:val="000000" w:themeColor="text1"/>
                <w:sz w:val="21"/>
                <w:szCs w:val="21"/>
                <w:highlight w:val="none"/>
                <w:vertAlign w:val="subscript"/>
                <w14:textFill>
                  <w14:solidFill>
                    <w14:schemeClr w14:val="tx1"/>
                  </w14:solidFill>
                </w14:textFill>
              </w:rPr>
              <w:t>m</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/MPa</w:t>
            </w:r>
          </w:p>
        </w:tc>
        <w:tc>
          <w:tcPr>
            <w:tcW w:w="1162" w:type="pct"/>
            <w:vAlign w:val="center"/>
          </w:tcPr>
          <w:p w14:paraId="00506EF3">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HRB</w:t>
            </w:r>
          </w:p>
        </w:tc>
        <w:tc>
          <w:tcPr>
            <w:tcW w:w="1058" w:type="pct"/>
            <w:vAlign w:val="center"/>
          </w:tcPr>
          <w:p w14:paraId="77E0B5E3">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HR30T</w:t>
            </w:r>
          </w:p>
        </w:tc>
      </w:tr>
      <w:tr w14:paraId="0BF2A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764" w:type="pct"/>
            <w:vMerge w:val="restart"/>
            <w:vAlign w:val="center"/>
          </w:tcPr>
          <w:p w14:paraId="33C7EC0B">
            <w:pPr>
              <w:snapToGrid w:val="0"/>
              <w:ind w:firstLine="130" w:firstLineChars="62"/>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C52400</w:t>
            </w:r>
          </w:p>
        </w:tc>
        <w:tc>
          <w:tcPr>
            <w:tcW w:w="794" w:type="pct"/>
            <w:vAlign w:val="center"/>
          </w:tcPr>
          <w:p w14:paraId="10F00A9D">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H02</w:t>
            </w:r>
          </w:p>
        </w:tc>
        <w:tc>
          <w:tcPr>
            <w:tcW w:w="1219" w:type="pct"/>
            <w:vAlign w:val="center"/>
          </w:tcPr>
          <w:p w14:paraId="054AEBE9">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525</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625</w:t>
            </w:r>
          </w:p>
        </w:tc>
        <w:tc>
          <w:tcPr>
            <w:tcW w:w="1162" w:type="pct"/>
            <w:vAlign w:val="center"/>
          </w:tcPr>
          <w:p w14:paraId="24D30A65">
            <w:pPr>
              <w:snapToGrid w:val="0"/>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78</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96</w:t>
            </w:r>
          </w:p>
        </w:tc>
        <w:tc>
          <w:tcPr>
            <w:tcW w:w="1058" w:type="pct"/>
            <w:vAlign w:val="center"/>
          </w:tcPr>
          <w:p w14:paraId="17D69D4F">
            <w:pPr>
              <w:snapToGrid w:val="0"/>
              <w:jc w:val="cente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67～80</w:t>
            </w:r>
          </w:p>
        </w:tc>
      </w:tr>
      <w:tr w14:paraId="6D0C7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764" w:type="pct"/>
            <w:vMerge w:val="continue"/>
            <w:vAlign w:val="center"/>
          </w:tcPr>
          <w:p w14:paraId="786C89E5">
            <w:pPr>
              <w:snapToGrid w:val="0"/>
              <w:ind w:firstLine="130" w:firstLineChars="62"/>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794" w:type="pct"/>
            <w:vAlign w:val="center"/>
          </w:tcPr>
          <w:p w14:paraId="74513796">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H04</w:t>
            </w:r>
          </w:p>
        </w:tc>
        <w:tc>
          <w:tcPr>
            <w:tcW w:w="1219" w:type="pct"/>
            <w:vAlign w:val="center"/>
          </w:tcPr>
          <w:p w14:paraId="09619004">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650</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750</w:t>
            </w:r>
          </w:p>
        </w:tc>
        <w:tc>
          <w:tcPr>
            <w:tcW w:w="1162" w:type="pct"/>
            <w:vAlign w:val="center"/>
          </w:tcPr>
          <w:p w14:paraId="68CD41D2">
            <w:pPr>
              <w:snapToGrid w:val="0"/>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9</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4～</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101</w:t>
            </w:r>
          </w:p>
        </w:tc>
        <w:tc>
          <w:tcPr>
            <w:tcW w:w="1058" w:type="pct"/>
            <w:vAlign w:val="center"/>
          </w:tcPr>
          <w:p w14:paraId="5BBB7580">
            <w:pPr>
              <w:snapToGrid w:val="0"/>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78</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82</w:t>
            </w:r>
          </w:p>
        </w:tc>
      </w:tr>
      <w:tr w14:paraId="57E32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764" w:type="pct"/>
            <w:vMerge w:val="continue"/>
            <w:vAlign w:val="center"/>
          </w:tcPr>
          <w:p w14:paraId="527BE071">
            <w:pPr>
              <w:snapToGrid w:val="0"/>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794" w:type="pct"/>
            <w:vAlign w:val="center"/>
          </w:tcPr>
          <w:p w14:paraId="661C57A2">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H06</w:t>
            </w:r>
          </w:p>
        </w:tc>
        <w:tc>
          <w:tcPr>
            <w:tcW w:w="1219" w:type="pct"/>
            <w:vAlign w:val="center"/>
          </w:tcPr>
          <w:p w14:paraId="346CFBBB">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740</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840</w:t>
            </w:r>
          </w:p>
        </w:tc>
        <w:tc>
          <w:tcPr>
            <w:tcW w:w="1162" w:type="pct"/>
            <w:vAlign w:val="center"/>
          </w:tcPr>
          <w:p w14:paraId="1F357730">
            <w:pPr>
              <w:snapToGrid w:val="0"/>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98</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103</w:t>
            </w:r>
          </w:p>
        </w:tc>
        <w:tc>
          <w:tcPr>
            <w:tcW w:w="1058" w:type="pct"/>
            <w:vAlign w:val="center"/>
          </w:tcPr>
          <w:p w14:paraId="288B3D90">
            <w:pPr>
              <w:snapToGrid w:val="0"/>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80</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84</w:t>
            </w:r>
          </w:p>
        </w:tc>
      </w:tr>
      <w:tr w14:paraId="5AC71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764" w:type="pct"/>
            <w:vMerge w:val="continue"/>
            <w:vAlign w:val="center"/>
          </w:tcPr>
          <w:p w14:paraId="17B02EEC">
            <w:pPr>
              <w:snapToGrid w:val="0"/>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794" w:type="pct"/>
            <w:vAlign w:val="center"/>
          </w:tcPr>
          <w:p w14:paraId="75D72894">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H08</w:t>
            </w:r>
          </w:p>
        </w:tc>
        <w:tc>
          <w:tcPr>
            <w:tcW w:w="1219" w:type="pct"/>
            <w:vAlign w:val="center"/>
          </w:tcPr>
          <w:p w14:paraId="56468AFB">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795</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890</w:t>
            </w:r>
          </w:p>
        </w:tc>
        <w:tc>
          <w:tcPr>
            <w:tcW w:w="1162" w:type="pct"/>
            <w:vAlign w:val="center"/>
          </w:tcPr>
          <w:p w14:paraId="1E2325B7">
            <w:pPr>
              <w:snapToGrid w:val="0"/>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99</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104</w:t>
            </w:r>
          </w:p>
        </w:tc>
        <w:tc>
          <w:tcPr>
            <w:tcW w:w="1058" w:type="pct"/>
            <w:vAlign w:val="center"/>
          </w:tcPr>
          <w:p w14:paraId="25D73AEC">
            <w:pPr>
              <w:snapToGrid w:val="0"/>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81</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85</w:t>
            </w:r>
          </w:p>
        </w:tc>
      </w:tr>
      <w:tr w14:paraId="01F97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764" w:type="pct"/>
            <w:vMerge w:val="continue"/>
            <w:vAlign w:val="center"/>
          </w:tcPr>
          <w:p w14:paraId="790E4528">
            <w:pPr>
              <w:snapToGrid w:val="0"/>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794" w:type="pct"/>
            <w:vAlign w:val="center"/>
          </w:tcPr>
          <w:p w14:paraId="29D624D1">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H10</w:t>
            </w:r>
          </w:p>
        </w:tc>
        <w:tc>
          <w:tcPr>
            <w:tcW w:w="1219" w:type="pct"/>
            <w:vAlign w:val="center"/>
          </w:tcPr>
          <w:p w14:paraId="266C8671">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825</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915</w:t>
            </w:r>
          </w:p>
        </w:tc>
        <w:tc>
          <w:tcPr>
            <w:tcW w:w="1162" w:type="pct"/>
            <w:vAlign w:val="center"/>
          </w:tcPr>
          <w:p w14:paraId="2A18365A">
            <w:pPr>
              <w:snapToGrid w:val="0"/>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100</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106</w:t>
            </w:r>
          </w:p>
        </w:tc>
        <w:tc>
          <w:tcPr>
            <w:tcW w:w="1058" w:type="pct"/>
            <w:vAlign w:val="center"/>
          </w:tcPr>
          <w:p w14:paraId="4D3B6B72">
            <w:pPr>
              <w:snapToGrid w:val="0"/>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82</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86</w:t>
            </w:r>
          </w:p>
        </w:tc>
      </w:tr>
    </w:tbl>
    <w:p w14:paraId="10B6036F">
      <w:pPr>
        <w:pStyle w:val="9"/>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表</w:t>
      </w:r>
      <w:r>
        <w:rPr>
          <w:rFonts w:hint="eastAsia" w:ascii="Times New Roman" w:hAnsi="Times New Roman" w:cs="Times New Roman"/>
          <w:b w:val="0"/>
          <w:bCs/>
          <w:color w:val="000000" w:themeColor="text1"/>
          <w:highlight w:val="none"/>
          <w:lang w:val="en-US" w:eastAsia="zh-CN"/>
          <w14:textFill>
            <w14:solidFill>
              <w14:schemeClr w14:val="tx1"/>
            </w14:solidFill>
          </w14:textFill>
        </w:rPr>
        <w:t>21</w:t>
      </w:r>
      <w:r>
        <w:rPr>
          <w:rFonts w:hint="default" w:ascii="Times New Roman" w:hAnsi="Times New Roman" w:eastAsia="宋体" w:cs="Times New Roman"/>
          <w:b w:val="0"/>
          <w:bCs/>
          <w:color w:val="000000" w:themeColor="text1"/>
          <w:highlight w:val="none"/>
          <w14:textFill>
            <w14:solidFill>
              <w14:schemeClr w14:val="tx1"/>
            </w14:solidFill>
          </w14:textFill>
        </w:rPr>
        <w:t xml:space="preserve"> </w:t>
      </w:r>
      <w:r>
        <w:rPr>
          <w:rFonts w:hint="default" w:ascii="Times New Roman" w:hAnsi="Times New Roman" w:eastAsia="宋体" w:cs="Times New Roman"/>
          <w:b w:val="0"/>
          <w:bCs/>
          <w:color w:val="000000" w:themeColor="text1"/>
          <w:highlight w:val="none"/>
          <w:lang w:val="en-US"/>
          <w14:textFill>
            <w14:solidFill>
              <w14:schemeClr w14:val="tx1"/>
            </w14:solidFill>
          </w14:textFill>
        </w:rPr>
        <w:t>A</w:t>
      </w:r>
      <w:r>
        <w:rPr>
          <w:rFonts w:hint="default" w:ascii="Times New Roman" w:hAnsi="Times New Roman" w:eastAsia="宋体" w:cs="Times New Roman"/>
          <w:b w:val="0"/>
          <w:bCs/>
          <w:color w:val="000000" w:themeColor="text1"/>
          <w:highlight w:val="none"/>
          <w14:textFill>
            <w14:solidFill>
              <w14:schemeClr w14:val="tx1"/>
            </w14:solidFill>
          </w14:textFill>
        </w:rPr>
        <w:t>STMB194-2015力学性能</w:t>
      </w:r>
    </w:p>
    <w:tbl>
      <w:tblPr>
        <w:tblStyle w:val="20"/>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06"/>
        <w:gridCol w:w="780"/>
        <w:gridCol w:w="1306"/>
        <w:gridCol w:w="1680"/>
        <w:gridCol w:w="1074"/>
        <w:gridCol w:w="1076"/>
        <w:gridCol w:w="1184"/>
        <w:gridCol w:w="1078"/>
      </w:tblGrid>
      <w:tr w14:paraId="6ECAB9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jc w:val="center"/>
        </w:trPr>
        <w:tc>
          <w:tcPr>
            <w:tcW w:w="595" w:type="pct"/>
            <w:vMerge w:val="restart"/>
            <w:vAlign w:val="center"/>
          </w:tcPr>
          <w:p w14:paraId="7B1FECDF">
            <w:pPr>
              <w:tabs>
                <w:tab w:val="left" w:pos="6120"/>
              </w:tabs>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牌号</w:t>
            </w:r>
          </w:p>
        </w:tc>
        <w:tc>
          <w:tcPr>
            <w:tcW w:w="420" w:type="pct"/>
            <w:vMerge w:val="restart"/>
            <w:vAlign w:val="center"/>
          </w:tcPr>
          <w:p w14:paraId="06A27ED6">
            <w:pPr>
              <w:tabs>
                <w:tab w:val="left" w:pos="6120"/>
              </w:tabs>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状态</w:t>
            </w:r>
          </w:p>
        </w:tc>
        <w:tc>
          <w:tcPr>
            <w:tcW w:w="703" w:type="pct"/>
            <w:vMerge w:val="restart"/>
            <w:vAlign w:val="center"/>
          </w:tcPr>
          <w:p w14:paraId="70AD9286">
            <w:pPr>
              <w:tabs>
                <w:tab w:val="left" w:pos="6120"/>
              </w:tabs>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抗拉强度R</w:t>
            </w:r>
            <w:r>
              <w:rPr>
                <w:rFonts w:hint="default" w:ascii="Times New Roman" w:hAnsi="Times New Roman" w:eastAsia="宋体" w:cs="Times New Roman"/>
                <w:b w:val="0"/>
                <w:bCs/>
                <w:color w:val="000000" w:themeColor="text1"/>
                <w:sz w:val="21"/>
                <w:szCs w:val="21"/>
                <w:highlight w:val="none"/>
                <w:vertAlign w:val="subscript"/>
                <w14:textFill>
                  <w14:solidFill>
                    <w14:schemeClr w14:val="tx1"/>
                  </w14:solidFill>
                </w14:textFill>
              </w:rPr>
              <w:t>m</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/MPa</w:t>
            </w:r>
          </w:p>
        </w:tc>
        <w:tc>
          <w:tcPr>
            <w:tcW w:w="904" w:type="pct"/>
            <w:vMerge w:val="restart"/>
            <w:vAlign w:val="center"/>
          </w:tcPr>
          <w:p w14:paraId="27502262">
            <w:pPr>
              <w:tabs>
                <w:tab w:val="left" w:pos="6120"/>
              </w:tabs>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规定非比例延伸强度R</w:t>
            </w:r>
            <w:r>
              <w:rPr>
                <w:rFonts w:hint="default" w:ascii="Times New Roman" w:hAnsi="Times New Roman" w:eastAsia="宋体" w:cs="Times New Roman"/>
                <w:b w:val="0"/>
                <w:bCs/>
                <w:color w:val="000000" w:themeColor="text1"/>
                <w:sz w:val="21"/>
                <w:szCs w:val="21"/>
                <w:highlight w:val="none"/>
                <w:vertAlign w:val="subscript"/>
                <w14:textFill>
                  <w14:solidFill>
                    <w14:schemeClr w14:val="tx1"/>
                  </w14:solidFill>
                </w14:textFill>
              </w:rPr>
              <w:t>p0.2</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N/mm</w:t>
            </w:r>
            <w:r>
              <w:rPr>
                <w:rFonts w:hint="default" w:ascii="Times New Roman" w:hAnsi="Times New Roman" w:eastAsia="宋体" w:cs="Times New Roman"/>
                <w:b w:val="0"/>
                <w:bCs/>
                <w:color w:val="000000" w:themeColor="text1"/>
                <w:sz w:val="21"/>
                <w:szCs w:val="21"/>
                <w:highlight w:val="none"/>
                <w:vertAlign w:val="superscript"/>
                <w14:textFill>
                  <w14:solidFill>
                    <w14:schemeClr w14:val="tx1"/>
                  </w14:solidFill>
                </w14:textFill>
              </w:rPr>
              <w:t>2</w:t>
            </w:r>
          </w:p>
        </w:tc>
        <w:tc>
          <w:tcPr>
            <w:tcW w:w="578" w:type="pct"/>
            <w:vMerge w:val="restart"/>
            <w:vAlign w:val="center"/>
          </w:tcPr>
          <w:p w14:paraId="2176F11F">
            <w:pPr>
              <w:tabs>
                <w:tab w:val="left" w:pos="6120"/>
              </w:tabs>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伸长率</w:t>
            </w:r>
          </w:p>
          <w:p w14:paraId="0CFD65EB">
            <w:pPr>
              <w:tabs>
                <w:tab w:val="left" w:pos="6120"/>
              </w:tabs>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A</w:t>
            </w:r>
            <w:r>
              <w:rPr>
                <w:rFonts w:hint="default" w:ascii="Times New Roman" w:hAnsi="Times New Roman" w:eastAsia="宋体" w:cs="Times New Roman"/>
                <w:b w:val="0"/>
                <w:bCs/>
                <w:color w:val="000000" w:themeColor="text1"/>
                <w:sz w:val="21"/>
                <w:szCs w:val="21"/>
                <w:highlight w:val="none"/>
                <w:vertAlign w:val="subscript"/>
                <w14:textFill>
                  <w14:solidFill>
                    <w14:schemeClr w14:val="tx1"/>
                  </w14:solidFill>
                </w14:textFill>
              </w:rPr>
              <w:t>50</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mm/%</w:t>
            </w:r>
          </w:p>
        </w:tc>
        <w:tc>
          <w:tcPr>
            <w:tcW w:w="1796" w:type="pct"/>
            <w:gridSpan w:val="3"/>
            <w:vAlign w:val="center"/>
          </w:tcPr>
          <w:p w14:paraId="12B87D43">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洛氏硬度值</w:t>
            </w:r>
          </w:p>
        </w:tc>
      </w:tr>
      <w:tr w14:paraId="1C358E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jc w:val="center"/>
        </w:trPr>
        <w:tc>
          <w:tcPr>
            <w:tcW w:w="595" w:type="pct"/>
            <w:vMerge w:val="continue"/>
            <w:vAlign w:val="center"/>
          </w:tcPr>
          <w:p w14:paraId="6C756F48">
            <w:pPr>
              <w:tabs>
                <w:tab w:val="left" w:pos="6120"/>
              </w:tabs>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420" w:type="pct"/>
            <w:vMerge w:val="continue"/>
            <w:vAlign w:val="center"/>
          </w:tcPr>
          <w:p w14:paraId="787C41C0">
            <w:pPr>
              <w:tabs>
                <w:tab w:val="left" w:pos="6120"/>
              </w:tabs>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703" w:type="pct"/>
            <w:vMerge w:val="continue"/>
            <w:vAlign w:val="center"/>
          </w:tcPr>
          <w:p w14:paraId="1DACFC85">
            <w:pPr>
              <w:tabs>
                <w:tab w:val="left" w:pos="6120"/>
              </w:tabs>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904" w:type="pct"/>
            <w:vMerge w:val="continue"/>
            <w:vAlign w:val="center"/>
          </w:tcPr>
          <w:p w14:paraId="09F333F4">
            <w:pPr>
              <w:tabs>
                <w:tab w:val="left" w:pos="6120"/>
              </w:tabs>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578" w:type="pct"/>
            <w:vMerge w:val="continue"/>
            <w:vAlign w:val="center"/>
          </w:tcPr>
          <w:p w14:paraId="00FA3C04">
            <w:pPr>
              <w:tabs>
                <w:tab w:val="left" w:pos="6120"/>
              </w:tabs>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579" w:type="pct"/>
            <w:vAlign w:val="center"/>
          </w:tcPr>
          <w:p w14:paraId="6A637B68">
            <w:pPr>
              <w:tabs>
                <w:tab w:val="left" w:pos="6120"/>
              </w:tabs>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C标尺</w:t>
            </w:r>
          </w:p>
        </w:tc>
        <w:tc>
          <w:tcPr>
            <w:tcW w:w="637" w:type="pct"/>
            <w:vAlign w:val="center"/>
          </w:tcPr>
          <w:p w14:paraId="753DF05C">
            <w:pPr>
              <w:tabs>
                <w:tab w:val="left" w:pos="6120"/>
              </w:tabs>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30N标尺</w:t>
            </w:r>
          </w:p>
        </w:tc>
        <w:tc>
          <w:tcPr>
            <w:tcW w:w="580" w:type="pct"/>
            <w:vAlign w:val="center"/>
          </w:tcPr>
          <w:p w14:paraId="7A4A5D23">
            <w:pPr>
              <w:tabs>
                <w:tab w:val="left" w:pos="6120"/>
              </w:tabs>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15N标尺</w:t>
            </w:r>
          </w:p>
        </w:tc>
      </w:tr>
      <w:tr w14:paraId="236BD8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95" w:type="pct"/>
            <w:vMerge w:val="restart"/>
            <w:vAlign w:val="center"/>
          </w:tcPr>
          <w:p w14:paraId="01276C74">
            <w:pPr>
              <w:tabs>
                <w:tab w:val="left" w:pos="6120"/>
              </w:tabs>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C17000</w:t>
            </w:r>
          </w:p>
        </w:tc>
        <w:tc>
          <w:tcPr>
            <w:tcW w:w="420" w:type="pct"/>
            <w:tcBorders>
              <w:top w:val="single" w:color="auto" w:sz="4" w:space="0"/>
              <w:left w:val="single" w:color="auto" w:sz="4" w:space="0"/>
              <w:bottom w:val="single" w:color="auto" w:sz="4" w:space="0"/>
              <w:right w:val="single" w:color="auto" w:sz="4" w:space="0"/>
            </w:tcBorders>
            <w:vAlign w:val="center"/>
          </w:tcPr>
          <w:p w14:paraId="0C297541">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TM01</w:t>
            </w:r>
          </w:p>
        </w:tc>
        <w:tc>
          <w:tcPr>
            <w:tcW w:w="703" w:type="pct"/>
            <w:tcBorders>
              <w:top w:val="single" w:color="auto" w:sz="4" w:space="0"/>
              <w:left w:val="single" w:color="auto" w:sz="4" w:space="0"/>
              <w:bottom w:val="single" w:color="auto" w:sz="4" w:space="0"/>
              <w:right w:val="single" w:color="auto" w:sz="4" w:space="0"/>
            </w:tcBorders>
            <w:vAlign w:val="center"/>
          </w:tcPr>
          <w:p w14:paraId="349856E1">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760</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8</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25</w:t>
            </w:r>
          </w:p>
        </w:tc>
        <w:tc>
          <w:tcPr>
            <w:tcW w:w="904" w:type="pct"/>
            <w:tcBorders>
              <w:top w:val="single" w:color="auto" w:sz="4" w:space="0"/>
              <w:left w:val="single" w:color="auto" w:sz="4" w:space="0"/>
              <w:bottom w:val="single" w:color="auto" w:sz="4" w:space="0"/>
              <w:right w:val="single" w:color="auto" w:sz="4" w:space="0"/>
            </w:tcBorders>
            <w:vAlign w:val="center"/>
          </w:tcPr>
          <w:p w14:paraId="037FF0FF">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550</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760</w:t>
            </w:r>
          </w:p>
        </w:tc>
        <w:tc>
          <w:tcPr>
            <w:tcW w:w="578" w:type="pct"/>
            <w:vAlign w:val="center"/>
          </w:tcPr>
          <w:p w14:paraId="207A4DE6">
            <w:pPr>
              <w:tabs>
                <w:tab w:val="left" w:pos="6120"/>
              </w:tabs>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≥15</w:t>
            </w:r>
          </w:p>
        </w:tc>
        <w:tc>
          <w:tcPr>
            <w:tcW w:w="579" w:type="pct"/>
            <w:vAlign w:val="center"/>
          </w:tcPr>
          <w:p w14:paraId="4F0DEE4E">
            <w:pPr>
              <w:tabs>
                <w:tab w:val="left" w:pos="6120"/>
              </w:tabs>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≥20</w:t>
            </w:r>
          </w:p>
        </w:tc>
        <w:tc>
          <w:tcPr>
            <w:tcW w:w="637" w:type="pct"/>
            <w:vAlign w:val="center"/>
          </w:tcPr>
          <w:p w14:paraId="4C868CEC">
            <w:pPr>
              <w:tabs>
                <w:tab w:val="left" w:pos="6120"/>
              </w:tabs>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≥42</w:t>
            </w:r>
          </w:p>
        </w:tc>
        <w:tc>
          <w:tcPr>
            <w:tcW w:w="580" w:type="pct"/>
            <w:vAlign w:val="center"/>
          </w:tcPr>
          <w:p w14:paraId="131A899A">
            <w:pPr>
              <w:tabs>
                <w:tab w:val="left" w:pos="6120"/>
              </w:tabs>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≥70</w:t>
            </w:r>
          </w:p>
        </w:tc>
      </w:tr>
      <w:tr w14:paraId="662F2C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95" w:type="pct"/>
            <w:vMerge w:val="continue"/>
            <w:vAlign w:val="center"/>
          </w:tcPr>
          <w:p w14:paraId="1EE47110">
            <w:pPr>
              <w:tabs>
                <w:tab w:val="left" w:pos="6120"/>
              </w:tabs>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420" w:type="pct"/>
            <w:tcBorders>
              <w:top w:val="single" w:color="auto" w:sz="4" w:space="0"/>
              <w:left w:val="single" w:color="auto" w:sz="4" w:space="0"/>
              <w:bottom w:val="single" w:color="auto" w:sz="4" w:space="0"/>
              <w:right w:val="single" w:color="auto" w:sz="4" w:space="0"/>
            </w:tcBorders>
            <w:vAlign w:val="center"/>
          </w:tcPr>
          <w:p w14:paraId="43C5EEDA">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TM02</w:t>
            </w:r>
          </w:p>
        </w:tc>
        <w:tc>
          <w:tcPr>
            <w:tcW w:w="703" w:type="pct"/>
            <w:tcBorders>
              <w:top w:val="single" w:color="auto" w:sz="4" w:space="0"/>
              <w:left w:val="single" w:color="auto" w:sz="4" w:space="0"/>
              <w:bottom w:val="single" w:color="auto" w:sz="4" w:space="0"/>
              <w:right w:val="single" w:color="auto" w:sz="4" w:space="0"/>
            </w:tcBorders>
            <w:vAlign w:val="center"/>
          </w:tcPr>
          <w:p w14:paraId="1AED8A6E">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8</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25～</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930</w:t>
            </w:r>
          </w:p>
        </w:tc>
        <w:tc>
          <w:tcPr>
            <w:tcW w:w="904" w:type="pct"/>
            <w:tcBorders>
              <w:top w:val="single" w:color="auto" w:sz="4" w:space="0"/>
              <w:left w:val="single" w:color="auto" w:sz="4" w:space="0"/>
              <w:bottom w:val="single" w:color="auto" w:sz="4" w:space="0"/>
              <w:right w:val="single" w:color="auto" w:sz="4" w:space="0"/>
            </w:tcBorders>
            <w:vAlign w:val="center"/>
          </w:tcPr>
          <w:p w14:paraId="5F2593BE">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6</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55～</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860</w:t>
            </w:r>
          </w:p>
        </w:tc>
        <w:tc>
          <w:tcPr>
            <w:tcW w:w="578" w:type="pct"/>
            <w:vAlign w:val="center"/>
          </w:tcPr>
          <w:p w14:paraId="1AE80730">
            <w:pPr>
              <w:tabs>
                <w:tab w:val="left" w:pos="6120"/>
              </w:tabs>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≥12</w:t>
            </w:r>
          </w:p>
        </w:tc>
        <w:tc>
          <w:tcPr>
            <w:tcW w:w="579" w:type="pct"/>
            <w:vAlign w:val="center"/>
          </w:tcPr>
          <w:p w14:paraId="6573E141">
            <w:pPr>
              <w:tabs>
                <w:tab w:val="left" w:pos="6120"/>
              </w:tabs>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≥24</w:t>
            </w:r>
          </w:p>
        </w:tc>
        <w:tc>
          <w:tcPr>
            <w:tcW w:w="637" w:type="pct"/>
            <w:vAlign w:val="center"/>
          </w:tcPr>
          <w:p w14:paraId="05070650">
            <w:pPr>
              <w:tabs>
                <w:tab w:val="left" w:pos="6120"/>
              </w:tabs>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≥45</w:t>
            </w:r>
          </w:p>
        </w:tc>
        <w:tc>
          <w:tcPr>
            <w:tcW w:w="580" w:type="pct"/>
            <w:vAlign w:val="center"/>
          </w:tcPr>
          <w:p w14:paraId="642839BA">
            <w:pPr>
              <w:tabs>
                <w:tab w:val="left" w:pos="6120"/>
              </w:tabs>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≥72</w:t>
            </w:r>
          </w:p>
        </w:tc>
      </w:tr>
      <w:tr w14:paraId="75D50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95" w:type="pct"/>
            <w:vMerge w:val="continue"/>
            <w:vAlign w:val="center"/>
          </w:tcPr>
          <w:p w14:paraId="21017DB5">
            <w:pPr>
              <w:tabs>
                <w:tab w:val="left" w:pos="6120"/>
              </w:tabs>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420" w:type="pct"/>
            <w:tcBorders>
              <w:top w:val="single" w:color="auto" w:sz="4" w:space="0"/>
              <w:left w:val="single" w:color="auto" w:sz="4" w:space="0"/>
              <w:bottom w:val="single" w:color="auto" w:sz="4" w:space="0"/>
              <w:right w:val="single" w:color="auto" w:sz="4" w:space="0"/>
            </w:tcBorders>
            <w:vAlign w:val="center"/>
          </w:tcPr>
          <w:p w14:paraId="1224721C">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TM04</w:t>
            </w:r>
          </w:p>
        </w:tc>
        <w:tc>
          <w:tcPr>
            <w:tcW w:w="703" w:type="pct"/>
            <w:tcBorders>
              <w:top w:val="single" w:color="auto" w:sz="4" w:space="0"/>
              <w:left w:val="single" w:color="auto" w:sz="4" w:space="0"/>
              <w:bottom w:val="single" w:color="auto" w:sz="4" w:space="0"/>
              <w:right w:val="single" w:color="auto" w:sz="4" w:space="0"/>
            </w:tcBorders>
            <w:vAlign w:val="center"/>
          </w:tcPr>
          <w:p w14:paraId="324882A5">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930</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10</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35</w:t>
            </w:r>
          </w:p>
        </w:tc>
        <w:tc>
          <w:tcPr>
            <w:tcW w:w="904" w:type="pct"/>
            <w:tcBorders>
              <w:top w:val="single" w:color="auto" w:sz="4" w:space="0"/>
              <w:left w:val="single" w:color="auto" w:sz="4" w:space="0"/>
              <w:bottom w:val="single" w:color="auto" w:sz="4" w:space="0"/>
              <w:right w:val="single" w:color="auto" w:sz="4" w:space="0"/>
            </w:tcBorders>
            <w:vAlign w:val="center"/>
          </w:tcPr>
          <w:p w14:paraId="02C431F0">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760</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930</w:t>
            </w:r>
          </w:p>
        </w:tc>
        <w:tc>
          <w:tcPr>
            <w:tcW w:w="578" w:type="pct"/>
            <w:vAlign w:val="center"/>
          </w:tcPr>
          <w:p w14:paraId="5BF06FFB">
            <w:pPr>
              <w:tabs>
                <w:tab w:val="left" w:pos="6120"/>
              </w:tabs>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≥9</w:t>
            </w:r>
          </w:p>
        </w:tc>
        <w:tc>
          <w:tcPr>
            <w:tcW w:w="579" w:type="pct"/>
            <w:vAlign w:val="center"/>
          </w:tcPr>
          <w:p w14:paraId="5966D166">
            <w:pPr>
              <w:tabs>
                <w:tab w:val="left" w:pos="6120"/>
              </w:tabs>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≥28</w:t>
            </w:r>
          </w:p>
        </w:tc>
        <w:tc>
          <w:tcPr>
            <w:tcW w:w="637" w:type="pct"/>
            <w:vAlign w:val="center"/>
          </w:tcPr>
          <w:p w14:paraId="6CBB2FAF">
            <w:pPr>
              <w:tabs>
                <w:tab w:val="left" w:pos="6120"/>
              </w:tabs>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≥48</w:t>
            </w:r>
          </w:p>
        </w:tc>
        <w:tc>
          <w:tcPr>
            <w:tcW w:w="580" w:type="pct"/>
            <w:vAlign w:val="center"/>
          </w:tcPr>
          <w:p w14:paraId="3C0880B1">
            <w:pPr>
              <w:tabs>
                <w:tab w:val="left" w:pos="6120"/>
              </w:tabs>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≥75</w:t>
            </w:r>
          </w:p>
        </w:tc>
      </w:tr>
      <w:tr w14:paraId="1AC8BF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95" w:type="pct"/>
            <w:vMerge w:val="continue"/>
            <w:vAlign w:val="center"/>
          </w:tcPr>
          <w:p w14:paraId="1DF2E8AC">
            <w:pPr>
              <w:tabs>
                <w:tab w:val="left" w:pos="6120"/>
              </w:tabs>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420" w:type="pct"/>
            <w:tcBorders>
              <w:top w:val="single" w:color="auto" w:sz="4" w:space="0"/>
              <w:left w:val="single" w:color="auto" w:sz="4" w:space="0"/>
              <w:bottom w:val="single" w:color="auto" w:sz="4" w:space="0"/>
              <w:right w:val="single" w:color="auto" w:sz="4" w:space="0"/>
            </w:tcBorders>
            <w:vAlign w:val="center"/>
          </w:tcPr>
          <w:p w14:paraId="464AC87D">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TM05</w:t>
            </w:r>
          </w:p>
        </w:tc>
        <w:tc>
          <w:tcPr>
            <w:tcW w:w="703" w:type="pct"/>
            <w:tcBorders>
              <w:top w:val="single" w:color="auto" w:sz="4" w:space="0"/>
              <w:left w:val="single" w:color="auto" w:sz="4" w:space="0"/>
              <w:bottom w:val="single" w:color="auto" w:sz="4" w:space="0"/>
              <w:right w:val="single" w:color="auto" w:sz="4" w:space="0"/>
            </w:tcBorders>
            <w:vAlign w:val="center"/>
          </w:tcPr>
          <w:p w14:paraId="4EB69291">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103</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5～</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1100</w:t>
            </w:r>
          </w:p>
        </w:tc>
        <w:tc>
          <w:tcPr>
            <w:tcW w:w="904" w:type="pct"/>
            <w:tcBorders>
              <w:top w:val="single" w:color="auto" w:sz="4" w:space="0"/>
              <w:left w:val="single" w:color="auto" w:sz="4" w:space="0"/>
              <w:bottom w:val="single" w:color="auto" w:sz="4" w:space="0"/>
              <w:right w:val="single" w:color="auto" w:sz="4" w:space="0"/>
            </w:tcBorders>
            <w:vAlign w:val="center"/>
          </w:tcPr>
          <w:p w14:paraId="193D050A">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860</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9</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65</w:t>
            </w:r>
          </w:p>
        </w:tc>
        <w:tc>
          <w:tcPr>
            <w:tcW w:w="578" w:type="pct"/>
            <w:vAlign w:val="center"/>
          </w:tcPr>
          <w:p w14:paraId="1B2A8AF2">
            <w:pPr>
              <w:tabs>
                <w:tab w:val="left" w:pos="6120"/>
              </w:tabs>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≥9</w:t>
            </w:r>
          </w:p>
        </w:tc>
        <w:tc>
          <w:tcPr>
            <w:tcW w:w="579" w:type="pct"/>
            <w:vAlign w:val="center"/>
          </w:tcPr>
          <w:p w14:paraId="429B3672">
            <w:pPr>
              <w:tabs>
                <w:tab w:val="left" w:pos="6120"/>
              </w:tabs>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≥31</w:t>
            </w:r>
          </w:p>
        </w:tc>
        <w:tc>
          <w:tcPr>
            <w:tcW w:w="637" w:type="pct"/>
            <w:vAlign w:val="center"/>
          </w:tcPr>
          <w:p w14:paraId="04A14B47">
            <w:pPr>
              <w:tabs>
                <w:tab w:val="left" w:pos="6120"/>
              </w:tabs>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≥52</w:t>
            </w:r>
          </w:p>
        </w:tc>
        <w:tc>
          <w:tcPr>
            <w:tcW w:w="580" w:type="pct"/>
            <w:vAlign w:val="center"/>
          </w:tcPr>
          <w:p w14:paraId="2D17E723">
            <w:pPr>
              <w:tabs>
                <w:tab w:val="left" w:pos="6120"/>
              </w:tabs>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≥75.5</w:t>
            </w:r>
          </w:p>
        </w:tc>
      </w:tr>
      <w:tr w14:paraId="57AD73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95" w:type="pct"/>
            <w:vMerge w:val="continue"/>
            <w:vAlign w:val="center"/>
          </w:tcPr>
          <w:p w14:paraId="77E7C260">
            <w:pPr>
              <w:tabs>
                <w:tab w:val="left" w:pos="6120"/>
              </w:tabs>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420" w:type="pct"/>
            <w:tcBorders>
              <w:top w:val="single" w:color="auto" w:sz="4" w:space="0"/>
              <w:left w:val="single" w:color="auto" w:sz="4" w:space="0"/>
              <w:bottom w:val="single" w:color="auto" w:sz="4" w:space="0"/>
              <w:right w:val="single" w:color="auto" w:sz="4" w:space="0"/>
            </w:tcBorders>
            <w:vAlign w:val="center"/>
          </w:tcPr>
          <w:p w14:paraId="321EB69F">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TM06</w:t>
            </w:r>
          </w:p>
        </w:tc>
        <w:tc>
          <w:tcPr>
            <w:tcW w:w="703" w:type="pct"/>
            <w:tcBorders>
              <w:top w:val="single" w:color="auto" w:sz="4" w:space="0"/>
              <w:left w:val="single" w:color="auto" w:sz="4" w:space="0"/>
              <w:bottom w:val="single" w:color="auto" w:sz="4" w:space="0"/>
              <w:right w:val="single" w:color="auto" w:sz="4" w:space="0"/>
            </w:tcBorders>
            <w:vAlign w:val="center"/>
          </w:tcPr>
          <w:p w14:paraId="528CD027">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1070</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12</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05</w:t>
            </w:r>
          </w:p>
        </w:tc>
        <w:tc>
          <w:tcPr>
            <w:tcW w:w="904" w:type="pct"/>
            <w:tcBorders>
              <w:top w:val="single" w:color="auto" w:sz="4" w:space="0"/>
              <w:left w:val="single" w:color="auto" w:sz="4" w:space="0"/>
              <w:bottom w:val="single" w:color="auto" w:sz="4" w:space="0"/>
              <w:right w:val="single" w:color="auto" w:sz="4" w:space="0"/>
            </w:tcBorders>
            <w:vAlign w:val="center"/>
          </w:tcPr>
          <w:p w14:paraId="61697AF5">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930</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1140</w:t>
            </w:r>
          </w:p>
        </w:tc>
        <w:tc>
          <w:tcPr>
            <w:tcW w:w="578" w:type="pct"/>
            <w:vAlign w:val="center"/>
          </w:tcPr>
          <w:p w14:paraId="02537271">
            <w:pPr>
              <w:tabs>
                <w:tab w:val="left" w:pos="6120"/>
              </w:tabs>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≥3</w:t>
            </w:r>
          </w:p>
        </w:tc>
        <w:tc>
          <w:tcPr>
            <w:tcW w:w="579" w:type="pct"/>
            <w:vAlign w:val="center"/>
          </w:tcPr>
          <w:p w14:paraId="66A8C720">
            <w:pPr>
              <w:tabs>
                <w:tab w:val="left" w:pos="6120"/>
              </w:tabs>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≥32</w:t>
            </w:r>
          </w:p>
        </w:tc>
        <w:tc>
          <w:tcPr>
            <w:tcW w:w="637" w:type="pct"/>
            <w:vAlign w:val="center"/>
          </w:tcPr>
          <w:p w14:paraId="301FE987">
            <w:pPr>
              <w:tabs>
                <w:tab w:val="left" w:pos="6120"/>
              </w:tabs>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≥52</w:t>
            </w:r>
          </w:p>
        </w:tc>
        <w:tc>
          <w:tcPr>
            <w:tcW w:w="580" w:type="pct"/>
            <w:vAlign w:val="center"/>
          </w:tcPr>
          <w:p w14:paraId="2DB7C83E">
            <w:pPr>
              <w:tabs>
                <w:tab w:val="left" w:pos="6120"/>
              </w:tabs>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≥76</w:t>
            </w:r>
          </w:p>
        </w:tc>
      </w:tr>
      <w:tr w14:paraId="4976D3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95" w:type="pct"/>
            <w:vMerge w:val="restart"/>
            <w:vAlign w:val="center"/>
          </w:tcPr>
          <w:p w14:paraId="2E5280A7">
            <w:pPr>
              <w:tabs>
                <w:tab w:val="left" w:pos="6120"/>
              </w:tabs>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C17200</w:t>
            </w:r>
          </w:p>
        </w:tc>
        <w:tc>
          <w:tcPr>
            <w:tcW w:w="420" w:type="pct"/>
            <w:tcBorders>
              <w:top w:val="single" w:color="auto" w:sz="4" w:space="0"/>
              <w:left w:val="single" w:color="auto" w:sz="4" w:space="0"/>
              <w:bottom w:val="single" w:color="auto" w:sz="4" w:space="0"/>
              <w:right w:val="single" w:color="auto" w:sz="4" w:space="0"/>
            </w:tcBorders>
            <w:vAlign w:val="center"/>
          </w:tcPr>
          <w:p w14:paraId="4CE7039C">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TM01</w:t>
            </w:r>
          </w:p>
        </w:tc>
        <w:tc>
          <w:tcPr>
            <w:tcW w:w="703" w:type="pct"/>
            <w:tcBorders>
              <w:top w:val="single" w:color="auto" w:sz="4" w:space="0"/>
              <w:left w:val="single" w:color="auto" w:sz="4" w:space="0"/>
              <w:bottom w:val="single" w:color="auto" w:sz="4" w:space="0"/>
              <w:right w:val="single" w:color="auto" w:sz="4" w:space="0"/>
            </w:tcBorders>
            <w:vAlign w:val="center"/>
          </w:tcPr>
          <w:p w14:paraId="5B09BAFA">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760</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8</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25</w:t>
            </w:r>
          </w:p>
        </w:tc>
        <w:tc>
          <w:tcPr>
            <w:tcW w:w="904" w:type="pct"/>
            <w:tcBorders>
              <w:top w:val="single" w:color="auto" w:sz="4" w:space="0"/>
              <w:left w:val="single" w:color="auto" w:sz="4" w:space="0"/>
              <w:bottom w:val="single" w:color="auto" w:sz="4" w:space="0"/>
              <w:right w:val="single" w:color="auto" w:sz="4" w:space="0"/>
            </w:tcBorders>
            <w:vAlign w:val="center"/>
          </w:tcPr>
          <w:p w14:paraId="1344E43E">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550</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760</w:t>
            </w:r>
          </w:p>
        </w:tc>
        <w:tc>
          <w:tcPr>
            <w:tcW w:w="578" w:type="pct"/>
            <w:vAlign w:val="center"/>
          </w:tcPr>
          <w:p w14:paraId="1F96EE75">
            <w:pPr>
              <w:tabs>
                <w:tab w:val="left" w:pos="6120"/>
              </w:tabs>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≥15</w:t>
            </w:r>
          </w:p>
        </w:tc>
        <w:tc>
          <w:tcPr>
            <w:tcW w:w="579" w:type="pct"/>
            <w:vAlign w:val="center"/>
          </w:tcPr>
          <w:p w14:paraId="624E4DB3">
            <w:pPr>
              <w:tabs>
                <w:tab w:val="left" w:pos="6120"/>
              </w:tabs>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≥20</w:t>
            </w:r>
          </w:p>
        </w:tc>
        <w:tc>
          <w:tcPr>
            <w:tcW w:w="637" w:type="pct"/>
            <w:vAlign w:val="center"/>
          </w:tcPr>
          <w:p w14:paraId="656BFFD2">
            <w:pPr>
              <w:tabs>
                <w:tab w:val="left" w:pos="6120"/>
              </w:tabs>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4</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2</w:t>
            </w:r>
          </w:p>
        </w:tc>
        <w:tc>
          <w:tcPr>
            <w:tcW w:w="580" w:type="pct"/>
            <w:vAlign w:val="center"/>
          </w:tcPr>
          <w:p w14:paraId="1BB0C4EA">
            <w:pPr>
              <w:tabs>
                <w:tab w:val="left" w:pos="6120"/>
              </w:tabs>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≥70</w:t>
            </w:r>
          </w:p>
        </w:tc>
      </w:tr>
      <w:tr w14:paraId="65C13F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95" w:type="pct"/>
            <w:vMerge w:val="continue"/>
            <w:vAlign w:val="center"/>
          </w:tcPr>
          <w:p w14:paraId="05F864B3">
            <w:pPr>
              <w:tabs>
                <w:tab w:val="left" w:pos="6120"/>
              </w:tabs>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420" w:type="pct"/>
            <w:tcBorders>
              <w:top w:val="single" w:color="auto" w:sz="4" w:space="0"/>
              <w:left w:val="single" w:color="auto" w:sz="4" w:space="0"/>
              <w:bottom w:val="single" w:color="auto" w:sz="4" w:space="0"/>
              <w:right w:val="single" w:color="auto" w:sz="4" w:space="0"/>
            </w:tcBorders>
            <w:vAlign w:val="center"/>
          </w:tcPr>
          <w:p w14:paraId="335FE202">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TM02</w:t>
            </w:r>
          </w:p>
        </w:tc>
        <w:tc>
          <w:tcPr>
            <w:tcW w:w="703" w:type="pct"/>
            <w:tcBorders>
              <w:top w:val="single" w:color="auto" w:sz="4" w:space="0"/>
              <w:left w:val="single" w:color="auto" w:sz="4" w:space="0"/>
              <w:bottom w:val="single" w:color="auto" w:sz="4" w:space="0"/>
              <w:right w:val="single" w:color="auto" w:sz="4" w:space="0"/>
            </w:tcBorders>
            <w:vAlign w:val="center"/>
          </w:tcPr>
          <w:p w14:paraId="1F846E38">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8</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25～</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930</w:t>
            </w:r>
          </w:p>
        </w:tc>
        <w:tc>
          <w:tcPr>
            <w:tcW w:w="904" w:type="pct"/>
            <w:tcBorders>
              <w:top w:val="single" w:color="auto" w:sz="4" w:space="0"/>
              <w:left w:val="single" w:color="auto" w:sz="4" w:space="0"/>
              <w:bottom w:val="single" w:color="auto" w:sz="4" w:space="0"/>
              <w:right w:val="single" w:color="auto" w:sz="4" w:space="0"/>
            </w:tcBorders>
            <w:vAlign w:val="center"/>
          </w:tcPr>
          <w:p w14:paraId="5CB5095E">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6</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55～</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860</w:t>
            </w:r>
          </w:p>
        </w:tc>
        <w:tc>
          <w:tcPr>
            <w:tcW w:w="578" w:type="pct"/>
            <w:vAlign w:val="center"/>
          </w:tcPr>
          <w:p w14:paraId="7DD2AB4A">
            <w:pPr>
              <w:tabs>
                <w:tab w:val="left" w:pos="6120"/>
              </w:tabs>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≥12</w:t>
            </w:r>
          </w:p>
        </w:tc>
        <w:tc>
          <w:tcPr>
            <w:tcW w:w="579" w:type="pct"/>
            <w:vAlign w:val="center"/>
          </w:tcPr>
          <w:p w14:paraId="4D498E66">
            <w:pPr>
              <w:tabs>
                <w:tab w:val="left" w:pos="6120"/>
              </w:tabs>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≥23</w:t>
            </w:r>
          </w:p>
        </w:tc>
        <w:tc>
          <w:tcPr>
            <w:tcW w:w="637" w:type="pct"/>
            <w:vAlign w:val="center"/>
          </w:tcPr>
          <w:p w14:paraId="1361FA87">
            <w:pPr>
              <w:tabs>
                <w:tab w:val="left" w:pos="6120"/>
              </w:tabs>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≥44</w:t>
            </w:r>
          </w:p>
        </w:tc>
        <w:tc>
          <w:tcPr>
            <w:tcW w:w="580" w:type="pct"/>
            <w:vAlign w:val="center"/>
          </w:tcPr>
          <w:p w14:paraId="7ABFC21B">
            <w:pPr>
              <w:tabs>
                <w:tab w:val="left" w:pos="6120"/>
              </w:tabs>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≥72</w:t>
            </w:r>
          </w:p>
        </w:tc>
      </w:tr>
      <w:tr w14:paraId="01E235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95" w:type="pct"/>
            <w:vMerge w:val="continue"/>
            <w:vAlign w:val="center"/>
          </w:tcPr>
          <w:p w14:paraId="43CF6AEE">
            <w:pPr>
              <w:tabs>
                <w:tab w:val="left" w:pos="6120"/>
              </w:tabs>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420" w:type="pct"/>
            <w:tcBorders>
              <w:top w:val="single" w:color="auto" w:sz="4" w:space="0"/>
              <w:left w:val="single" w:color="auto" w:sz="4" w:space="0"/>
              <w:bottom w:val="single" w:color="auto" w:sz="4" w:space="0"/>
              <w:right w:val="single" w:color="auto" w:sz="4" w:space="0"/>
            </w:tcBorders>
            <w:vAlign w:val="center"/>
          </w:tcPr>
          <w:p w14:paraId="3BFB95D9">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TM04</w:t>
            </w:r>
          </w:p>
        </w:tc>
        <w:tc>
          <w:tcPr>
            <w:tcW w:w="703" w:type="pct"/>
            <w:tcBorders>
              <w:top w:val="single" w:color="auto" w:sz="4" w:space="0"/>
              <w:left w:val="single" w:color="auto" w:sz="4" w:space="0"/>
              <w:bottom w:val="single" w:color="auto" w:sz="4" w:space="0"/>
              <w:right w:val="single" w:color="auto" w:sz="4" w:space="0"/>
            </w:tcBorders>
            <w:vAlign w:val="center"/>
          </w:tcPr>
          <w:p w14:paraId="79A620B0">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930</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10</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35</w:t>
            </w:r>
          </w:p>
        </w:tc>
        <w:tc>
          <w:tcPr>
            <w:tcW w:w="904" w:type="pct"/>
            <w:tcBorders>
              <w:top w:val="single" w:color="auto" w:sz="4" w:space="0"/>
              <w:left w:val="single" w:color="auto" w:sz="4" w:space="0"/>
              <w:bottom w:val="single" w:color="auto" w:sz="4" w:space="0"/>
              <w:right w:val="single" w:color="auto" w:sz="4" w:space="0"/>
            </w:tcBorders>
            <w:vAlign w:val="center"/>
          </w:tcPr>
          <w:p w14:paraId="63D2DE31">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760</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930</w:t>
            </w:r>
          </w:p>
        </w:tc>
        <w:tc>
          <w:tcPr>
            <w:tcW w:w="578" w:type="pct"/>
            <w:vAlign w:val="center"/>
          </w:tcPr>
          <w:p w14:paraId="3F74A9E3">
            <w:pPr>
              <w:tabs>
                <w:tab w:val="left" w:pos="6120"/>
              </w:tabs>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≥9</w:t>
            </w:r>
          </w:p>
        </w:tc>
        <w:tc>
          <w:tcPr>
            <w:tcW w:w="579" w:type="pct"/>
            <w:vAlign w:val="center"/>
          </w:tcPr>
          <w:p w14:paraId="1305CF59">
            <w:pPr>
              <w:tabs>
                <w:tab w:val="left" w:pos="6120"/>
              </w:tabs>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2</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8</w:t>
            </w:r>
          </w:p>
        </w:tc>
        <w:tc>
          <w:tcPr>
            <w:tcW w:w="637" w:type="pct"/>
            <w:vAlign w:val="center"/>
          </w:tcPr>
          <w:p w14:paraId="730BE661">
            <w:pPr>
              <w:tabs>
                <w:tab w:val="left" w:pos="6120"/>
              </w:tabs>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≥48</w:t>
            </w:r>
          </w:p>
        </w:tc>
        <w:tc>
          <w:tcPr>
            <w:tcW w:w="580" w:type="pct"/>
            <w:vAlign w:val="center"/>
          </w:tcPr>
          <w:p w14:paraId="001B6716">
            <w:pPr>
              <w:tabs>
                <w:tab w:val="left" w:pos="6120"/>
              </w:tabs>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≥75</w:t>
            </w:r>
          </w:p>
        </w:tc>
      </w:tr>
      <w:tr w14:paraId="176CDE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95" w:type="pct"/>
            <w:vMerge w:val="continue"/>
            <w:vAlign w:val="center"/>
          </w:tcPr>
          <w:p w14:paraId="6A58102A">
            <w:pPr>
              <w:tabs>
                <w:tab w:val="left" w:pos="6120"/>
              </w:tabs>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420" w:type="pct"/>
            <w:tcBorders>
              <w:top w:val="single" w:color="auto" w:sz="4" w:space="0"/>
              <w:left w:val="single" w:color="auto" w:sz="4" w:space="0"/>
              <w:bottom w:val="single" w:color="auto" w:sz="4" w:space="0"/>
              <w:right w:val="single" w:color="auto" w:sz="4" w:space="0"/>
            </w:tcBorders>
            <w:vAlign w:val="center"/>
          </w:tcPr>
          <w:p w14:paraId="00184B5F">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TM05</w:t>
            </w:r>
          </w:p>
        </w:tc>
        <w:tc>
          <w:tcPr>
            <w:tcW w:w="703" w:type="pct"/>
            <w:tcBorders>
              <w:top w:val="single" w:color="auto" w:sz="4" w:space="0"/>
              <w:left w:val="single" w:color="auto" w:sz="4" w:space="0"/>
              <w:bottom w:val="single" w:color="auto" w:sz="4" w:space="0"/>
              <w:right w:val="single" w:color="auto" w:sz="4" w:space="0"/>
            </w:tcBorders>
            <w:vAlign w:val="center"/>
          </w:tcPr>
          <w:p w14:paraId="750F8791">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103</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5～</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110</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5</w:t>
            </w:r>
          </w:p>
        </w:tc>
        <w:tc>
          <w:tcPr>
            <w:tcW w:w="904" w:type="pct"/>
            <w:tcBorders>
              <w:top w:val="single" w:color="auto" w:sz="4" w:space="0"/>
              <w:left w:val="single" w:color="auto" w:sz="4" w:space="0"/>
              <w:bottom w:val="single" w:color="auto" w:sz="4" w:space="0"/>
              <w:right w:val="single" w:color="auto" w:sz="4" w:space="0"/>
            </w:tcBorders>
            <w:vAlign w:val="center"/>
          </w:tcPr>
          <w:p w14:paraId="661E5FCF">
            <w:pPr>
              <w:jc w:val="cente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860</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9</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65</w:t>
            </w:r>
          </w:p>
        </w:tc>
        <w:tc>
          <w:tcPr>
            <w:tcW w:w="578" w:type="pct"/>
            <w:vAlign w:val="center"/>
          </w:tcPr>
          <w:p w14:paraId="5D79666B">
            <w:pPr>
              <w:tabs>
                <w:tab w:val="left" w:pos="6120"/>
              </w:tabs>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≥9</w:t>
            </w:r>
          </w:p>
        </w:tc>
        <w:tc>
          <w:tcPr>
            <w:tcW w:w="579" w:type="pct"/>
            <w:vAlign w:val="center"/>
          </w:tcPr>
          <w:p w14:paraId="78BD1CC6">
            <w:pPr>
              <w:tabs>
                <w:tab w:val="left" w:pos="6120"/>
              </w:tabs>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≥31</w:t>
            </w:r>
          </w:p>
        </w:tc>
        <w:tc>
          <w:tcPr>
            <w:tcW w:w="637" w:type="pct"/>
            <w:vAlign w:val="center"/>
          </w:tcPr>
          <w:p w14:paraId="33F190BB">
            <w:pPr>
              <w:tabs>
                <w:tab w:val="left" w:pos="6120"/>
              </w:tabs>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≥5</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3</w:t>
            </w:r>
          </w:p>
        </w:tc>
        <w:tc>
          <w:tcPr>
            <w:tcW w:w="580" w:type="pct"/>
            <w:vAlign w:val="center"/>
          </w:tcPr>
          <w:p w14:paraId="7B0F2736">
            <w:pPr>
              <w:tabs>
                <w:tab w:val="left" w:pos="6120"/>
              </w:tabs>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≥75.5</w:t>
            </w:r>
          </w:p>
        </w:tc>
      </w:tr>
      <w:tr w14:paraId="0F925D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95" w:type="pct"/>
            <w:vMerge w:val="continue"/>
            <w:vAlign w:val="center"/>
          </w:tcPr>
          <w:p w14:paraId="0D3BC78C">
            <w:pPr>
              <w:tabs>
                <w:tab w:val="left" w:pos="6120"/>
              </w:tabs>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420" w:type="pct"/>
            <w:tcBorders>
              <w:top w:val="single" w:color="auto" w:sz="4" w:space="0"/>
              <w:left w:val="single" w:color="auto" w:sz="4" w:space="0"/>
              <w:bottom w:val="single" w:color="auto" w:sz="4" w:space="0"/>
              <w:right w:val="single" w:color="auto" w:sz="4" w:space="0"/>
            </w:tcBorders>
            <w:vAlign w:val="center"/>
          </w:tcPr>
          <w:p w14:paraId="2FA1B33D">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TM06</w:t>
            </w:r>
          </w:p>
        </w:tc>
        <w:tc>
          <w:tcPr>
            <w:tcW w:w="703" w:type="pct"/>
            <w:tcBorders>
              <w:top w:val="single" w:color="auto" w:sz="4" w:space="0"/>
              <w:left w:val="single" w:color="auto" w:sz="4" w:space="0"/>
              <w:bottom w:val="single" w:color="auto" w:sz="4" w:space="0"/>
              <w:right w:val="single" w:color="auto" w:sz="4" w:space="0"/>
            </w:tcBorders>
            <w:vAlign w:val="center"/>
          </w:tcPr>
          <w:p w14:paraId="2DB0C1C3">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1070</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1210</w:t>
            </w:r>
          </w:p>
        </w:tc>
        <w:tc>
          <w:tcPr>
            <w:tcW w:w="904" w:type="pct"/>
            <w:tcBorders>
              <w:top w:val="single" w:color="auto" w:sz="4" w:space="0"/>
              <w:left w:val="single" w:color="auto" w:sz="4" w:space="0"/>
              <w:bottom w:val="single" w:color="auto" w:sz="4" w:space="0"/>
              <w:right w:val="single" w:color="auto" w:sz="4" w:space="0"/>
            </w:tcBorders>
            <w:vAlign w:val="center"/>
          </w:tcPr>
          <w:p w14:paraId="68DC9514">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930</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1170</w:t>
            </w:r>
          </w:p>
        </w:tc>
        <w:tc>
          <w:tcPr>
            <w:tcW w:w="578" w:type="pct"/>
            <w:vAlign w:val="center"/>
          </w:tcPr>
          <w:p w14:paraId="2F2EEC47">
            <w:pPr>
              <w:tabs>
                <w:tab w:val="left" w:pos="6120"/>
              </w:tabs>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≥4</w:t>
            </w:r>
          </w:p>
        </w:tc>
        <w:tc>
          <w:tcPr>
            <w:tcW w:w="579" w:type="pct"/>
            <w:vAlign w:val="center"/>
          </w:tcPr>
          <w:p w14:paraId="4C30143B">
            <w:pPr>
              <w:tabs>
                <w:tab w:val="left" w:pos="6120"/>
              </w:tabs>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≥32</w:t>
            </w:r>
          </w:p>
        </w:tc>
        <w:tc>
          <w:tcPr>
            <w:tcW w:w="637" w:type="pct"/>
            <w:vAlign w:val="center"/>
          </w:tcPr>
          <w:p w14:paraId="508017EC">
            <w:pPr>
              <w:tabs>
                <w:tab w:val="left" w:pos="6120"/>
              </w:tabs>
              <w:jc w:val="cente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≥5</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2</w:t>
            </w:r>
          </w:p>
        </w:tc>
        <w:tc>
          <w:tcPr>
            <w:tcW w:w="580" w:type="pct"/>
            <w:vAlign w:val="center"/>
          </w:tcPr>
          <w:p w14:paraId="40DD6C18">
            <w:pPr>
              <w:tabs>
                <w:tab w:val="left" w:pos="6120"/>
              </w:tabs>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≥76</w:t>
            </w:r>
          </w:p>
        </w:tc>
      </w:tr>
      <w:tr w14:paraId="3D584D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95" w:type="pct"/>
            <w:vMerge w:val="continue"/>
            <w:vAlign w:val="center"/>
          </w:tcPr>
          <w:p w14:paraId="75ABA02B">
            <w:pPr>
              <w:tabs>
                <w:tab w:val="left" w:pos="6120"/>
              </w:tabs>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420" w:type="pct"/>
            <w:tcBorders>
              <w:top w:val="single" w:color="auto" w:sz="4" w:space="0"/>
              <w:left w:val="single" w:color="auto" w:sz="4" w:space="0"/>
              <w:bottom w:val="single" w:color="auto" w:sz="4" w:space="0"/>
              <w:right w:val="single" w:color="auto" w:sz="4" w:space="0"/>
            </w:tcBorders>
            <w:vAlign w:val="center"/>
          </w:tcPr>
          <w:p w14:paraId="3E394B75">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TM08</w:t>
            </w:r>
          </w:p>
        </w:tc>
        <w:tc>
          <w:tcPr>
            <w:tcW w:w="703" w:type="pct"/>
            <w:tcBorders>
              <w:top w:val="single" w:color="auto" w:sz="4" w:space="0"/>
              <w:left w:val="single" w:color="auto" w:sz="4" w:space="0"/>
              <w:bottom w:val="single" w:color="auto" w:sz="4" w:space="0"/>
              <w:right w:val="single" w:color="auto" w:sz="4" w:space="0"/>
            </w:tcBorders>
            <w:vAlign w:val="center"/>
          </w:tcPr>
          <w:p w14:paraId="24F925D0">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1210</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1310</w:t>
            </w:r>
          </w:p>
        </w:tc>
        <w:tc>
          <w:tcPr>
            <w:tcW w:w="904" w:type="pct"/>
            <w:tcBorders>
              <w:top w:val="single" w:color="auto" w:sz="4" w:space="0"/>
              <w:left w:val="single" w:color="auto" w:sz="4" w:space="0"/>
              <w:bottom w:val="single" w:color="auto" w:sz="4" w:space="0"/>
              <w:right w:val="single" w:color="auto" w:sz="4" w:space="0"/>
            </w:tcBorders>
            <w:vAlign w:val="center"/>
          </w:tcPr>
          <w:p w14:paraId="75985A9B">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103</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5～</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1240</w:t>
            </w:r>
          </w:p>
        </w:tc>
        <w:tc>
          <w:tcPr>
            <w:tcW w:w="578" w:type="pct"/>
            <w:vAlign w:val="center"/>
          </w:tcPr>
          <w:p w14:paraId="50FB61EB">
            <w:pPr>
              <w:tabs>
                <w:tab w:val="left" w:pos="6120"/>
              </w:tabs>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≥3</w:t>
            </w:r>
          </w:p>
        </w:tc>
        <w:tc>
          <w:tcPr>
            <w:tcW w:w="579" w:type="pct"/>
            <w:vAlign w:val="center"/>
          </w:tcPr>
          <w:p w14:paraId="20331162">
            <w:pPr>
              <w:tabs>
                <w:tab w:val="left" w:pos="6120"/>
              </w:tabs>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≥33</w:t>
            </w:r>
          </w:p>
        </w:tc>
        <w:tc>
          <w:tcPr>
            <w:tcW w:w="637" w:type="pct"/>
            <w:vAlign w:val="center"/>
          </w:tcPr>
          <w:p w14:paraId="601FBA7A">
            <w:pPr>
              <w:tabs>
                <w:tab w:val="left" w:pos="6120"/>
              </w:tabs>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≥53</w:t>
            </w:r>
          </w:p>
        </w:tc>
        <w:tc>
          <w:tcPr>
            <w:tcW w:w="580" w:type="pct"/>
            <w:vAlign w:val="center"/>
          </w:tcPr>
          <w:p w14:paraId="248B60F8">
            <w:pPr>
              <w:tabs>
                <w:tab w:val="left" w:pos="6120"/>
              </w:tabs>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7</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6.5</w:t>
            </w:r>
          </w:p>
        </w:tc>
      </w:tr>
    </w:tbl>
    <w:p w14:paraId="7FC3EB8F">
      <w:pPr>
        <w:pStyle w:val="9"/>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表</w:t>
      </w:r>
      <w:r>
        <w:rPr>
          <w:rFonts w:hint="eastAsia" w:ascii="Times New Roman" w:hAnsi="Times New Roman" w:cs="Times New Roman"/>
          <w:b w:val="0"/>
          <w:bCs/>
          <w:color w:val="000000" w:themeColor="text1"/>
          <w:highlight w:val="none"/>
          <w:lang w:val="en-US" w:eastAsia="zh-CN"/>
          <w14:textFill>
            <w14:solidFill>
              <w14:schemeClr w14:val="tx1"/>
            </w14:solidFill>
          </w14:textFill>
        </w:rPr>
        <w:t>22</w:t>
      </w:r>
      <w:r>
        <w:rPr>
          <w:rFonts w:hint="default" w:ascii="Times New Roman" w:hAnsi="Times New Roman" w:eastAsia="宋体" w:cs="Times New Roman"/>
          <w:b w:val="0"/>
          <w:bCs/>
          <w:color w:val="000000" w:themeColor="text1"/>
          <w:highlight w:val="none"/>
          <w14:textFill>
            <w14:solidFill>
              <w14:schemeClr w14:val="tx1"/>
            </w14:solidFill>
          </w14:textFill>
        </w:rPr>
        <w:t xml:space="preserve"> </w:t>
      </w:r>
      <w:r>
        <w:rPr>
          <w:rFonts w:hint="default" w:ascii="Times New Roman" w:hAnsi="Times New Roman" w:eastAsia="宋体" w:cs="Times New Roman"/>
          <w:b w:val="0"/>
          <w:bCs/>
          <w:color w:val="000000" w:themeColor="text1"/>
          <w:highlight w:val="none"/>
          <w:lang w:val="en-US"/>
          <w14:textFill>
            <w14:solidFill>
              <w14:schemeClr w14:val="tx1"/>
            </w14:solidFill>
          </w14:textFill>
        </w:rPr>
        <w:t>A</w:t>
      </w:r>
      <w:r>
        <w:rPr>
          <w:rFonts w:hint="default" w:ascii="Times New Roman" w:hAnsi="Times New Roman" w:eastAsia="宋体" w:cs="Times New Roman"/>
          <w:b w:val="0"/>
          <w:bCs/>
          <w:color w:val="000000" w:themeColor="text1"/>
          <w:highlight w:val="none"/>
          <w14:textFill>
            <w14:solidFill>
              <w14:schemeClr w14:val="tx1"/>
            </w14:solidFill>
          </w14:textFill>
        </w:rPr>
        <w:t>STMB422-2010力学性能</w:t>
      </w:r>
    </w:p>
    <w:tbl>
      <w:tblPr>
        <w:tblStyle w:val="20"/>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05"/>
        <w:gridCol w:w="2322"/>
        <w:gridCol w:w="3389"/>
        <w:gridCol w:w="2268"/>
      </w:tblGrid>
      <w:tr w14:paraId="34368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3" w:type="pct"/>
            <w:vAlign w:val="center"/>
          </w:tcPr>
          <w:p w14:paraId="73183AAE">
            <w:pPr>
              <w:tabs>
                <w:tab w:val="left" w:pos="6120"/>
              </w:tabs>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牌号</w:t>
            </w:r>
          </w:p>
        </w:tc>
        <w:tc>
          <w:tcPr>
            <w:tcW w:w="1250" w:type="pct"/>
            <w:vAlign w:val="center"/>
          </w:tcPr>
          <w:p w14:paraId="5B07775C">
            <w:pPr>
              <w:tabs>
                <w:tab w:val="left" w:pos="6120"/>
              </w:tabs>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状态</w:t>
            </w:r>
          </w:p>
        </w:tc>
        <w:tc>
          <w:tcPr>
            <w:tcW w:w="1825" w:type="pct"/>
            <w:vAlign w:val="center"/>
          </w:tcPr>
          <w:p w14:paraId="639E76AF">
            <w:pPr>
              <w:tabs>
                <w:tab w:val="left" w:pos="6120"/>
              </w:tabs>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抗拉强度R</w:t>
            </w:r>
            <w:r>
              <w:rPr>
                <w:rFonts w:hint="default" w:ascii="Times New Roman" w:hAnsi="Times New Roman" w:eastAsia="宋体" w:cs="Times New Roman"/>
                <w:b w:val="0"/>
                <w:bCs/>
                <w:color w:val="000000" w:themeColor="text1"/>
                <w:sz w:val="21"/>
                <w:szCs w:val="21"/>
                <w:highlight w:val="none"/>
                <w:vertAlign w:val="subscript"/>
                <w14:textFill>
                  <w14:solidFill>
                    <w14:schemeClr w14:val="tx1"/>
                  </w14:solidFill>
                </w14:textFill>
              </w:rPr>
              <w:t>m</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/MPa</w:t>
            </w:r>
          </w:p>
        </w:tc>
        <w:tc>
          <w:tcPr>
            <w:tcW w:w="1221" w:type="pct"/>
            <w:vAlign w:val="center"/>
          </w:tcPr>
          <w:p w14:paraId="3FF99F33">
            <w:pPr>
              <w:tabs>
                <w:tab w:val="left" w:pos="6120"/>
              </w:tabs>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伸长率A</w:t>
            </w:r>
            <w:r>
              <w:rPr>
                <w:rFonts w:hint="default" w:ascii="Times New Roman" w:hAnsi="Times New Roman" w:eastAsia="宋体" w:cs="Times New Roman"/>
                <w:b w:val="0"/>
                <w:bCs/>
                <w:color w:val="000000" w:themeColor="text1"/>
                <w:sz w:val="21"/>
                <w:szCs w:val="21"/>
                <w:highlight w:val="none"/>
                <w:vertAlign w:val="subscript"/>
                <w14:textFill>
                  <w14:solidFill>
                    <w14:schemeClr w14:val="tx1"/>
                  </w14:solidFill>
                </w14:textFill>
              </w:rPr>
              <w:t>50</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mm/%</w:t>
            </w:r>
          </w:p>
        </w:tc>
      </w:tr>
      <w:tr w14:paraId="097DF9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3" w:type="pct"/>
            <w:vMerge w:val="restart"/>
            <w:vAlign w:val="center"/>
          </w:tcPr>
          <w:p w14:paraId="38D32414">
            <w:pPr>
              <w:tabs>
                <w:tab w:val="left" w:pos="6120"/>
              </w:tabs>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C19020</w:t>
            </w:r>
          </w:p>
        </w:tc>
        <w:tc>
          <w:tcPr>
            <w:tcW w:w="1250" w:type="pct"/>
            <w:vAlign w:val="center"/>
          </w:tcPr>
          <w:p w14:paraId="4E905F5B">
            <w:pPr>
              <w:tabs>
                <w:tab w:val="left" w:pos="6120"/>
              </w:tabs>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HR02</w:t>
            </w:r>
          </w:p>
        </w:tc>
        <w:tc>
          <w:tcPr>
            <w:tcW w:w="1825" w:type="pct"/>
            <w:tcBorders>
              <w:top w:val="single" w:color="auto" w:sz="4" w:space="0"/>
              <w:left w:val="single" w:color="auto" w:sz="4" w:space="0"/>
              <w:bottom w:val="single" w:color="auto" w:sz="4" w:space="0"/>
              <w:right w:val="single" w:color="auto" w:sz="4" w:space="0"/>
            </w:tcBorders>
            <w:vAlign w:val="center"/>
          </w:tcPr>
          <w:p w14:paraId="4239509E">
            <w:pPr>
              <w:jc w:val="cente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400～485</w:t>
            </w:r>
          </w:p>
        </w:tc>
        <w:tc>
          <w:tcPr>
            <w:tcW w:w="1221" w:type="pct"/>
            <w:tcBorders>
              <w:top w:val="single" w:color="auto" w:sz="4" w:space="0"/>
              <w:left w:val="single" w:color="auto" w:sz="4" w:space="0"/>
              <w:bottom w:val="single" w:color="auto" w:sz="4" w:space="0"/>
              <w:right w:val="single" w:color="auto" w:sz="4" w:space="0"/>
            </w:tcBorders>
            <w:vAlign w:val="center"/>
          </w:tcPr>
          <w:p w14:paraId="28467CF2">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≥5</w:t>
            </w:r>
          </w:p>
        </w:tc>
      </w:tr>
      <w:tr w14:paraId="7D94C0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3" w:type="pct"/>
            <w:vMerge w:val="continue"/>
            <w:vAlign w:val="center"/>
          </w:tcPr>
          <w:p w14:paraId="17AD8829">
            <w:pPr>
              <w:tabs>
                <w:tab w:val="left" w:pos="6120"/>
              </w:tabs>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1250" w:type="pct"/>
            <w:vAlign w:val="center"/>
          </w:tcPr>
          <w:p w14:paraId="703D561E">
            <w:pPr>
              <w:tabs>
                <w:tab w:val="left" w:pos="6120"/>
              </w:tabs>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HR04</w:t>
            </w:r>
          </w:p>
        </w:tc>
        <w:tc>
          <w:tcPr>
            <w:tcW w:w="1825" w:type="pct"/>
            <w:tcBorders>
              <w:top w:val="single" w:color="auto" w:sz="4" w:space="0"/>
              <w:left w:val="single" w:color="auto" w:sz="4" w:space="0"/>
              <w:bottom w:val="single" w:color="auto" w:sz="4" w:space="0"/>
              <w:right w:val="single" w:color="auto" w:sz="4" w:space="0"/>
            </w:tcBorders>
            <w:vAlign w:val="center"/>
          </w:tcPr>
          <w:p w14:paraId="50FE078A">
            <w:pPr>
              <w:jc w:val="cente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450～510</w:t>
            </w:r>
          </w:p>
        </w:tc>
        <w:tc>
          <w:tcPr>
            <w:tcW w:w="1221" w:type="pct"/>
            <w:tcBorders>
              <w:top w:val="single" w:color="auto" w:sz="4" w:space="0"/>
              <w:left w:val="single" w:color="auto" w:sz="4" w:space="0"/>
              <w:bottom w:val="single" w:color="auto" w:sz="4" w:space="0"/>
              <w:right w:val="single" w:color="auto" w:sz="4" w:space="0"/>
            </w:tcBorders>
            <w:vAlign w:val="center"/>
          </w:tcPr>
          <w:p w14:paraId="73576BAF">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≥3</w:t>
            </w:r>
          </w:p>
        </w:tc>
      </w:tr>
      <w:tr w14:paraId="345086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3" w:type="pct"/>
            <w:vMerge w:val="continue"/>
            <w:vAlign w:val="center"/>
          </w:tcPr>
          <w:p w14:paraId="0A38BC34">
            <w:pPr>
              <w:tabs>
                <w:tab w:val="left" w:pos="6120"/>
              </w:tabs>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1250" w:type="pct"/>
            <w:vAlign w:val="center"/>
          </w:tcPr>
          <w:p w14:paraId="172FA99D">
            <w:pPr>
              <w:tabs>
                <w:tab w:val="left" w:pos="6120"/>
              </w:tabs>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HR06</w:t>
            </w:r>
          </w:p>
        </w:tc>
        <w:tc>
          <w:tcPr>
            <w:tcW w:w="1825" w:type="pct"/>
            <w:tcBorders>
              <w:top w:val="single" w:color="auto" w:sz="4" w:space="0"/>
              <w:left w:val="single" w:color="auto" w:sz="4" w:space="0"/>
              <w:bottom w:val="single" w:color="auto" w:sz="4" w:space="0"/>
              <w:right w:val="single" w:color="auto" w:sz="4" w:space="0"/>
            </w:tcBorders>
            <w:vAlign w:val="center"/>
          </w:tcPr>
          <w:p w14:paraId="2F50F994">
            <w:pPr>
              <w:jc w:val="cente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490～550</w:t>
            </w:r>
          </w:p>
        </w:tc>
        <w:tc>
          <w:tcPr>
            <w:tcW w:w="1221" w:type="pct"/>
            <w:tcBorders>
              <w:top w:val="single" w:color="auto" w:sz="4" w:space="0"/>
              <w:left w:val="single" w:color="auto" w:sz="4" w:space="0"/>
              <w:bottom w:val="single" w:color="auto" w:sz="4" w:space="0"/>
              <w:right w:val="single" w:color="auto" w:sz="4" w:space="0"/>
            </w:tcBorders>
            <w:vAlign w:val="center"/>
          </w:tcPr>
          <w:p w14:paraId="0CF8A735">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≥3</w:t>
            </w:r>
          </w:p>
        </w:tc>
      </w:tr>
      <w:tr w14:paraId="7CBCB1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3" w:type="pct"/>
            <w:vMerge w:val="continue"/>
            <w:vAlign w:val="center"/>
          </w:tcPr>
          <w:p w14:paraId="1BA9B6FF">
            <w:pPr>
              <w:tabs>
                <w:tab w:val="left" w:pos="6120"/>
              </w:tabs>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1250" w:type="pct"/>
            <w:vAlign w:val="center"/>
          </w:tcPr>
          <w:p w14:paraId="61FD1624">
            <w:pPr>
              <w:tabs>
                <w:tab w:val="left" w:pos="6120"/>
              </w:tabs>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HR08</w:t>
            </w:r>
          </w:p>
        </w:tc>
        <w:tc>
          <w:tcPr>
            <w:tcW w:w="1825" w:type="pct"/>
            <w:tcBorders>
              <w:top w:val="single" w:color="auto" w:sz="4" w:space="0"/>
              <w:left w:val="single" w:color="auto" w:sz="4" w:space="0"/>
              <w:bottom w:val="single" w:color="auto" w:sz="4" w:space="0"/>
              <w:right w:val="single" w:color="auto" w:sz="4" w:space="0"/>
            </w:tcBorders>
            <w:vAlign w:val="center"/>
          </w:tcPr>
          <w:p w14:paraId="073B514B">
            <w:pPr>
              <w:jc w:val="cente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≥5</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30</w:t>
            </w:r>
          </w:p>
        </w:tc>
        <w:tc>
          <w:tcPr>
            <w:tcW w:w="1221" w:type="pct"/>
            <w:tcBorders>
              <w:top w:val="single" w:color="auto" w:sz="4" w:space="0"/>
              <w:left w:val="single" w:color="auto" w:sz="4" w:space="0"/>
              <w:bottom w:val="single" w:color="auto" w:sz="4" w:space="0"/>
              <w:right w:val="single" w:color="auto" w:sz="4" w:space="0"/>
            </w:tcBorders>
            <w:vAlign w:val="center"/>
          </w:tcPr>
          <w:p w14:paraId="0DAF2DEA">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≥2</w:t>
            </w:r>
          </w:p>
        </w:tc>
      </w:tr>
    </w:tbl>
    <w:p w14:paraId="1BC715D2">
      <w:pPr>
        <w:keepNext w:val="0"/>
        <w:keepLines w:val="0"/>
        <w:pageBreakBefore w:val="0"/>
        <w:widowControl w:val="0"/>
        <w:kinsoku/>
        <w:wordWrap/>
        <w:overflowPunct/>
        <w:topLinePunct w:val="0"/>
        <w:autoSpaceDE/>
        <w:autoSpaceDN/>
        <w:bidi w:val="0"/>
        <w:adjustRightInd/>
        <w:snapToGrid/>
        <w:spacing w:before="157" w:beforeLines="50"/>
        <w:ind w:firstLine="420" w:firstLineChars="200"/>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本标准的</w:t>
      </w:r>
      <w:r>
        <w:rPr>
          <w:rFonts w:hint="default" w:ascii="Times New Roman" w:hAnsi="Times New Roman" w:eastAsia="宋体" w:cs="Times New Roman"/>
          <w:b w:val="0"/>
          <w:bCs/>
          <w:color w:val="000000" w:themeColor="text1"/>
          <w:highlight w:val="none"/>
          <w:lang w:eastAsia="zh-CN"/>
          <w14:textFill>
            <w14:solidFill>
              <w14:schemeClr w14:val="tx1"/>
            </w14:solidFill>
          </w14:textFill>
        </w:rPr>
        <w:t>所有力学性能均</w:t>
      </w:r>
      <w:r>
        <w:rPr>
          <w:rFonts w:hint="default" w:ascii="Times New Roman" w:hAnsi="Times New Roman" w:eastAsia="宋体" w:cs="Times New Roman"/>
          <w:b w:val="0"/>
          <w:bCs/>
          <w:color w:val="000000" w:themeColor="text1"/>
          <w:highlight w:val="none"/>
          <w:lang w:val="en-US" w:eastAsia="zh-CN"/>
          <w14:textFill>
            <w14:solidFill>
              <w14:schemeClr w14:val="tx1"/>
            </w14:solidFill>
          </w14:textFill>
        </w:rPr>
        <w:t>持平或者</w:t>
      </w:r>
      <w:r>
        <w:rPr>
          <w:rFonts w:hint="default" w:ascii="Times New Roman" w:hAnsi="Times New Roman" w:eastAsia="宋体" w:cs="Times New Roman"/>
          <w:b w:val="0"/>
          <w:bCs/>
          <w:color w:val="000000" w:themeColor="text1"/>
          <w:highlight w:val="none"/>
          <w14:textFill>
            <w14:solidFill>
              <w14:schemeClr w14:val="tx1"/>
            </w14:solidFill>
          </w14:textFill>
        </w:rPr>
        <w:t>超过</w:t>
      </w:r>
      <w:r>
        <w:rPr>
          <w:rFonts w:hint="default" w:ascii="Times New Roman" w:hAnsi="Times New Roman" w:eastAsia="宋体" w:cs="Times New Roman"/>
          <w:b w:val="0"/>
          <w:bCs/>
          <w:color w:val="000000" w:themeColor="text1"/>
          <w:highlight w:val="none"/>
          <w:lang w:val="en-US" w:eastAsia="zh-CN"/>
          <w14:textFill>
            <w14:solidFill>
              <w14:schemeClr w14:val="tx1"/>
            </w14:solidFill>
          </w14:textFill>
        </w:rPr>
        <w:t>GB/T 2059-2017、GB/T 2600-2017、EN1758-1998、</w:t>
      </w:r>
      <w:r>
        <w:rPr>
          <w:rFonts w:hint="default" w:ascii="Times New Roman" w:hAnsi="Times New Roman" w:eastAsia="宋体" w:cs="Times New Roman"/>
          <w:b w:val="0"/>
          <w:bCs/>
          <w:color w:val="000000" w:themeColor="text1"/>
          <w:highlight w:val="none"/>
          <w14:textFill>
            <w14:solidFill>
              <w14:schemeClr w14:val="tx1"/>
            </w14:solidFill>
          </w14:textFill>
        </w:rPr>
        <w:t>ASTMB888-2019</w:t>
      </w:r>
      <w:r>
        <w:rPr>
          <w:rFonts w:hint="default" w:ascii="Times New Roman" w:hAnsi="Times New Roman" w:eastAsia="宋体" w:cs="Times New Roman"/>
          <w:b w:val="0"/>
          <w:bCs/>
          <w:color w:val="000000" w:themeColor="text1"/>
          <w:highlight w:val="none"/>
          <w:lang w:eastAsia="zh-CN"/>
          <w14:textFill>
            <w14:solidFill>
              <w14:schemeClr w14:val="tx1"/>
            </w14:solidFill>
          </w14:textFill>
        </w:rPr>
        <w:t>、</w:t>
      </w:r>
      <w:r>
        <w:rPr>
          <w:rFonts w:hint="default" w:ascii="Times New Roman" w:hAnsi="Times New Roman" w:eastAsia="宋体" w:cs="Times New Roman"/>
          <w:b w:val="0"/>
          <w:bCs/>
          <w:color w:val="000000" w:themeColor="text1"/>
          <w:highlight w:val="none"/>
          <w14:textFill>
            <w14:solidFill>
              <w14:schemeClr w14:val="tx1"/>
            </w14:solidFill>
          </w14:textFill>
        </w:rPr>
        <w:t>ASTMB103-2019</w:t>
      </w:r>
      <w:r>
        <w:rPr>
          <w:rFonts w:hint="default" w:ascii="Times New Roman" w:hAnsi="Times New Roman" w:eastAsia="宋体" w:cs="Times New Roman"/>
          <w:b w:val="0"/>
          <w:bCs/>
          <w:color w:val="000000" w:themeColor="text1"/>
          <w:highlight w:val="none"/>
          <w:lang w:eastAsia="zh-CN"/>
          <w14:textFill>
            <w14:solidFill>
              <w14:schemeClr w14:val="tx1"/>
            </w14:solidFill>
          </w14:textFill>
        </w:rPr>
        <w:t>、</w:t>
      </w:r>
      <w:r>
        <w:rPr>
          <w:rFonts w:hint="default" w:ascii="Times New Roman" w:hAnsi="Times New Roman" w:eastAsia="宋体" w:cs="Times New Roman"/>
          <w:b w:val="0"/>
          <w:bCs/>
          <w:color w:val="000000" w:themeColor="text1"/>
          <w:highlight w:val="none"/>
          <w14:textFill>
            <w14:solidFill>
              <w14:schemeClr w14:val="tx1"/>
            </w14:solidFill>
          </w14:textFill>
        </w:rPr>
        <w:t>ASTMB</w:t>
      </w:r>
      <w:r>
        <w:rPr>
          <w:rFonts w:hint="default" w:ascii="Times New Roman" w:hAnsi="Times New Roman" w:eastAsia="宋体" w:cs="Times New Roman"/>
          <w:b w:val="0"/>
          <w:bCs/>
          <w:color w:val="000000" w:themeColor="text1"/>
          <w:highlight w:val="none"/>
          <w:lang w:val="en-US" w:eastAsia="zh-CN"/>
          <w14:textFill>
            <w14:solidFill>
              <w14:schemeClr w14:val="tx1"/>
            </w14:solidFill>
          </w14:textFill>
        </w:rPr>
        <w:t>194</w:t>
      </w:r>
      <w:r>
        <w:rPr>
          <w:rFonts w:hint="default" w:ascii="Times New Roman" w:hAnsi="Times New Roman" w:eastAsia="宋体" w:cs="Times New Roman"/>
          <w:b w:val="0"/>
          <w:bCs/>
          <w:color w:val="000000" w:themeColor="text1"/>
          <w:highlight w:val="none"/>
          <w14:textFill>
            <w14:solidFill>
              <w14:schemeClr w14:val="tx1"/>
            </w14:solidFill>
          </w14:textFill>
        </w:rPr>
        <w:t>-20</w:t>
      </w:r>
      <w:r>
        <w:rPr>
          <w:rFonts w:hint="default" w:ascii="Times New Roman" w:hAnsi="Times New Roman" w:eastAsia="宋体" w:cs="Times New Roman"/>
          <w:b w:val="0"/>
          <w:bCs/>
          <w:color w:val="000000" w:themeColor="text1"/>
          <w:highlight w:val="none"/>
          <w:lang w:val="en-US" w:eastAsia="zh-CN"/>
          <w14:textFill>
            <w14:solidFill>
              <w14:schemeClr w14:val="tx1"/>
            </w14:solidFill>
          </w14:textFill>
        </w:rPr>
        <w:t>15</w:t>
      </w:r>
      <w:r>
        <w:rPr>
          <w:rFonts w:hint="default" w:ascii="Times New Roman" w:hAnsi="Times New Roman" w:eastAsia="宋体" w:cs="Times New Roman"/>
          <w:b w:val="0"/>
          <w:bCs/>
          <w:color w:val="000000" w:themeColor="text1"/>
          <w:highlight w:val="none"/>
          <w:lang w:eastAsia="zh-CN"/>
          <w14:textFill>
            <w14:solidFill>
              <w14:schemeClr w14:val="tx1"/>
            </w14:solidFill>
          </w14:textFill>
        </w:rPr>
        <w:t>及</w:t>
      </w:r>
      <w:r>
        <w:rPr>
          <w:rFonts w:hint="default" w:ascii="Times New Roman" w:hAnsi="Times New Roman" w:eastAsia="宋体" w:cs="Times New Roman"/>
          <w:b w:val="0"/>
          <w:bCs/>
          <w:color w:val="000000" w:themeColor="text1"/>
          <w:highlight w:val="none"/>
          <w14:textFill>
            <w14:solidFill>
              <w14:schemeClr w14:val="tx1"/>
            </w14:solidFill>
          </w14:textFill>
        </w:rPr>
        <w:t>ASTMB</w:t>
      </w:r>
      <w:r>
        <w:rPr>
          <w:rFonts w:hint="default" w:ascii="Times New Roman" w:hAnsi="Times New Roman" w:eastAsia="宋体" w:cs="Times New Roman"/>
          <w:b w:val="0"/>
          <w:bCs/>
          <w:color w:val="000000" w:themeColor="text1"/>
          <w:highlight w:val="none"/>
          <w:lang w:val="en-US" w:eastAsia="zh-CN"/>
          <w14:textFill>
            <w14:solidFill>
              <w14:schemeClr w14:val="tx1"/>
            </w14:solidFill>
          </w14:textFill>
        </w:rPr>
        <w:t>422</w:t>
      </w:r>
      <w:r>
        <w:rPr>
          <w:rFonts w:hint="default" w:ascii="Times New Roman" w:hAnsi="Times New Roman" w:eastAsia="宋体" w:cs="Times New Roman"/>
          <w:b w:val="0"/>
          <w:bCs/>
          <w:color w:val="000000" w:themeColor="text1"/>
          <w:highlight w:val="none"/>
          <w14:textFill>
            <w14:solidFill>
              <w14:schemeClr w14:val="tx1"/>
            </w14:solidFill>
          </w14:textFill>
        </w:rPr>
        <w:t>-201</w:t>
      </w:r>
      <w:r>
        <w:rPr>
          <w:rFonts w:hint="default" w:ascii="Times New Roman" w:hAnsi="Times New Roman" w:eastAsia="宋体" w:cs="Times New Roman"/>
          <w:b w:val="0"/>
          <w:bCs/>
          <w:color w:val="000000" w:themeColor="text1"/>
          <w:highlight w:val="none"/>
          <w:lang w:val="en-US" w:eastAsia="zh-CN"/>
          <w14:textFill>
            <w14:solidFill>
              <w14:schemeClr w14:val="tx1"/>
            </w14:solidFill>
          </w14:textFill>
        </w:rPr>
        <w:t>0</w:t>
      </w:r>
      <w:r>
        <w:rPr>
          <w:rFonts w:hint="default" w:ascii="Times New Roman" w:hAnsi="Times New Roman" w:eastAsia="宋体" w:cs="Times New Roman"/>
          <w:b w:val="0"/>
          <w:bCs/>
          <w:color w:val="000000" w:themeColor="text1"/>
          <w:highlight w:val="none"/>
          <w14:textFill>
            <w14:solidFill>
              <w14:schemeClr w14:val="tx1"/>
            </w14:solidFill>
          </w14:textFill>
        </w:rPr>
        <w:t>标准水平。</w:t>
      </w:r>
    </w:p>
    <w:p w14:paraId="1FF2EA1D">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both"/>
        <w:textAlignment w:val="auto"/>
        <w:rPr>
          <w:rFonts w:ascii="Times New Roman" w:hAnsi="Times New Roman" w:eastAsia="宋体" w:cs="Times New Roman"/>
          <w:snapToGrid/>
          <w:color w:val="000000"/>
          <w:kern w:val="0"/>
          <w:szCs w:val="20"/>
          <w:lang w:eastAsia="zh-CN"/>
        </w:rPr>
      </w:pPr>
      <w:r>
        <w:rPr>
          <w:rFonts w:hint="default" w:ascii="Times New Roman" w:hAnsi="Times New Roman" w:eastAsia="宋体" w:cs="Times New Roman"/>
          <w:b w:val="0"/>
          <w:bCs/>
          <w:color w:val="000000" w:themeColor="text1"/>
          <w:highlight w:val="none"/>
          <w:lang w:val="en-US"/>
          <w14:textFill>
            <w14:solidFill>
              <w14:schemeClr w14:val="tx1"/>
            </w14:solidFill>
          </w14:textFill>
        </w:rPr>
        <w:t>6.</w:t>
      </w:r>
      <w:r>
        <w:rPr>
          <w:rFonts w:hint="eastAsia" w:ascii="Times New Roman" w:hAnsi="Times New Roman" w:cs="Times New Roman"/>
          <w:b w:val="0"/>
          <w:bCs/>
          <w:color w:val="000000" w:themeColor="text1"/>
          <w:highlight w:val="none"/>
          <w:lang w:val="en-US" w:eastAsia="zh-CN"/>
          <w14:textFill>
            <w14:solidFill>
              <w14:schemeClr w14:val="tx1"/>
            </w14:solidFill>
          </w14:textFill>
        </w:rPr>
        <w:t>4</w:t>
      </w:r>
      <w:r>
        <w:rPr>
          <w:rFonts w:hint="default" w:ascii="Times New Roman" w:hAnsi="Times New Roman" w:eastAsia="宋体" w:cs="Times New Roman"/>
          <w:b w:val="0"/>
          <w:bCs/>
          <w:color w:val="000000" w:themeColor="text1"/>
          <w:highlight w:val="none"/>
          <w14:textFill>
            <w14:solidFill>
              <w14:schemeClr w14:val="tx1"/>
            </w14:solidFill>
          </w14:textFill>
        </w:rPr>
        <w:t>、</w:t>
      </w:r>
      <w:r>
        <w:rPr>
          <w:rFonts w:hint="eastAsia" w:ascii="Times New Roman" w:hAnsi="Times New Roman" w:cs="Times New Roman"/>
          <w:b w:val="0"/>
          <w:bCs/>
          <w:color w:val="000000" w:themeColor="text1"/>
          <w:highlight w:val="none"/>
          <w:lang w:val="en-US" w:eastAsia="zh-CN"/>
          <w14:textFill>
            <w14:solidFill>
              <w14:schemeClr w14:val="tx1"/>
            </w14:solidFill>
          </w14:textFill>
        </w:rPr>
        <w:t>本标准晶粒度要求如下表</w:t>
      </w:r>
      <w:r>
        <w:rPr>
          <w:rFonts w:ascii="Times New Roman" w:hAnsi="Times New Roman" w:eastAsia="宋体" w:cs="Times New Roman"/>
          <w:snapToGrid/>
          <w:color w:val="000000"/>
          <w:kern w:val="0"/>
          <w:szCs w:val="20"/>
          <w:lang w:eastAsia="zh-CN"/>
        </w:rPr>
        <w:t>。</w:t>
      </w:r>
    </w:p>
    <w:p w14:paraId="3FCBE6BC">
      <w:pPr>
        <w:keepNext w:val="0"/>
        <w:keepLines w:val="0"/>
        <w:pageBreakBefore w:val="0"/>
        <w:widowControl w:val="0"/>
        <w:kinsoku/>
        <w:wordWrap/>
        <w:overflowPunct/>
        <w:topLinePunct w:val="0"/>
        <w:autoSpaceDE/>
        <w:autoSpaceDN/>
        <w:bidi w:val="0"/>
        <w:adjustRightInd/>
        <w:snapToGrid/>
        <w:spacing w:before="156" w:beforeLines="50" w:line="312" w:lineRule="auto"/>
        <w:jc w:val="center"/>
        <w:textAlignment w:val="auto"/>
        <w:rPr>
          <w:sz w:val="28"/>
          <w:szCs w:val="28"/>
        </w:rPr>
      </w:pPr>
      <w:r>
        <w:rPr>
          <w:rFonts w:ascii="Times New Roman" w:hAnsi="Times New Roman" w:eastAsia="黑体" w:cs="Times New Roman"/>
          <w:snapToGrid/>
          <w:color w:val="000000"/>
          <w:kern w:val="0"/>
          <w:szCs w:val="21"/>
          <w:lang w:eastAsia="zh-CN"/>
        </w:rPr>
        <w:t>表</w:t>
      </w:r>
      <w:r>
        <w:rPr>
          <w:rFonts w:hint="eastAsia" w:ascii="Times New Roman" w:hAnsi="Times New Roman" w:eastAsia="黑体" w:cs="Times New Roman"/>
          <w:snapToGrid/>
          <w:color w:val="000000"/>
          <w:kern w:val="0"/>
          <w:szCs w:val="21"/>
          <w:lang w:val="en-US" w:eastAsia="zh-CN"/>
        </w:rPr>
        <w:t>23</w:t>
      </w:r>
      <w:r>
        <w:rPr>
          <w:rFonts w:ascii="Times New Roman" w:hAnsi="Times New Roman" w:eastAsia="黑体" w:cs="Times New Roman"/>
          <w:snapToGrid/>
          <w:color w:val="000000"/>
          <w:kern w:val="0"/>
          <w:szCs w:val="21"/>
          <w:lang w:eastAsia="zh-CN"/>
        </w:rPr>
        <w:t xml:space="preserve"> 060状态板材的晶粒度</w:t>
      </w:r>
    </w:p>
    <w:tbl>
      <w:tblPr>
        <w:tblStyle w:val="40"/>
        <w:tblW w:w="5044" w:type="pct"/>
        <w:jc w:val="center"/>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Layout w:type="autofit"/>
        <w:tblCellMar>
          <w:top w:w="0" w:type="dxa"/>
          <w:left w:w="0" w:type="dxa"/>
          <w:bottom w:w="0" w:type="dxa"/>
          <w:right w:w="0" w:type="dxa"/>
        </w:tblCellMar>
      </w:tblPr>
      <w:tblGrid>
        <w:gridCol w:w="1626"/>
        <w:gridCol w:w="1609"/>
        <w:gridCol w:w="1976"/>
        <w:gridCol w:w="1958"/>
        <w:gridCol w:w="2013"/>
      </w:tblGrid>
      <w:tr w14:paraId="23C050EB">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tblHeader/>
          <w:jc w:val="center"/>
        </w:trPr>
        <w:tc>
          <w:tcPr>
            <w:tcW w:w="886" w:type="pct"/>
            <w:vMerge w:val="restart"/>
            <w:tcBorders>
              <w:bottom w:val="nil"/>
            </w:tcBorders>
            <w:vAlign w:val="center"/>
          </w:tcPr>
          <w:p w14:paraId="1C124655">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15"/>
                <w:sz w:val="18"/>
                <w:szCs w:val="18"/>
              </w:rPr>
              <w:t>牌号</w:t>
            </w:r>
          </w:p>
        </w:tc>
        <w:tc>
          <w:tcPr>
            <w:tcW w:w="876" w:type="pct"/>
            <w:vMerge w:val="restart"/>
            <w:tcBorders>
              <w:bottom w:val="nil"/>
            </w:tcBorders>
            <w:vAlign w:val="center"/>
          </w:tcPr>
          <w:p w14:paraId="4C8965CB">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11"/>
                <w:sz w:val="18"/>
                <w:szCs w:val="18"/>
              </w:rPr>
              <w:t>状态代号</w:t>
            </w:r>
          </w:p>
        </w:tc>
        <w:tc>
          <w:tcPr>
            <w:tcW w:w="3237" w:type="pct"/>
            <w:gridSpan w:val="3"/>
            <w:vAlign w:val="center"/>
          </w:tcPr>
          <w:p w14:paraId="6A4B1193">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12"/>
                <w:sz w:val="18"/>
                <w:szCs w:val="18"/>
              </w:rPr>
              <w:t>晶粒度</w:t>
            </w:r>
          </w:p>
        </w:tc>
      </w:tr>
      <w:tr w14:paraId="67166B0E">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tblHeader/>
          <w:jc w:val="center"/>
        </w:trPr>
        <w:tc>
          <w:tcPr>
            <w:tcW w:w="886" w:type="pct"/>
            <w:vMerge w:val="continue"/>
            <w:tcBorders>
              <w:top w:val="nil"/>
              <w:bottom w:val="single" w:color="auto" w:sz="12" w:space="0"/>
            </w:tcBorders>
            <w:vAlign w:val="center"/>
          </w:tcPr>
          <w:p w14:paraId="283C342F">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p>
        </w:tc>
        <w:tc>
          <w:tcPr>
            <w:tcW w:w="876" w:type="pct"/>
            <w:vMerge w:val="continue"/>
            <w:tcBorders>
              <w:top w:val="nil"/>
              <w:bottom w:val="single" w:color="auto" w:sz="12" w:space="0"/>
            </w:tcBorders>
            <w:vAlign w:val="center"/>
          </w:tcPr>
          <w:p w14:paraId="6FA503FF">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p>
        </w:tc>
        <w:tc>
          <w:tcPr>
            <w:tcW w:w="1076" w:type="pct"/>
            <w:tcBorders>
              <w:bottom w:val="single" w:color="auto" w:sz="12" w:space="0"/>
            </w:tcBorders>
            <w:vAlign w:val="center"/>
          </w:tcPr>
          <w:p w14:paraId="4DF0F641">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8"/>
                <w:position w:val="24"/>
                <w:sz w:val="18"/>
                <w:szCs w:val="18"/>
              </w:rPr>
            </w:pPr>
            <w:r>
              <w:rPr>
                <w:rFonts w:hint="default" w:ascii="Times New Roman" w:hAnsi="Times New Roman" w:eastAsia="宋体" w:cs="Times New Roman"/>
                <w:spacing w:val="8"/>
                <w:position w:val="24"/>
                <w:sz w:val="18"/>
                <w:szCs w:val="18"/>
              </w:rPr>
              <w:t>晶粒名义平均直径</w:t>
            </w:r>
          </w:p>
          <w:p w14:paraId="23246B17">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2"/>
                <w:position w:val="3"/>
                <w:sz w:val="18"/>
                <w:szCs w:val="18"/>
              </w:rPr>
              <w:t>mm</w:t>
            </w:r>
          </w:p>
        </w:tc>
        <w:tc>
          <w:tcPr>
            <w:tcW w:w="1066" w:type="pct"/>
            <w:tcBorders>
              <w:bottom w:val="single" w:color="auto" w:sz="12" w:space="0"/>
            </w:tcBorders>
            <w:vAlign w:val="center"/>
          </w:tcPr>
          <w:p w14:paraId="76F1A143">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position w:val="25"/>
                <w:sz w:val="18"/>
                <w:szCs w:val="18"/>
              </w:rPr>
            </w:pPr>
            <w:r>
              <w:rPr>
                <w:rFonts w:hint="default" w:ascii="Times New Roman" w:hAnsi="Times New Roman" w:eastAsia="宋体" w:cs="Times New Roman"/>
                <w:spacing w:val="7"/>
                <w:position w:val="25"/>
                <w:sz w:val="18"/>
                <w:szCs w:val="18"/>
              </w:rPr>
              <w:t>晶粒平均直径最小值</w:t>
            </w:r>
          </w:p>
          <w:p w14:paraId="799DAA54">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2"/>
                <w:position w:val="3"/>
                <w:sz w:val="18"/>
                <w:szCs w:val="18"/>
              </w:rPr>
              <w:t>mm</w:t>
            </w:r>
          </w:p>
        </w:tc>
        <w:tc>
          <w:tcPr>
            <w:tcW w:w="1093" w:type="pct"/>
            <w:tcBorders>
              <w:bottom w:val="single" w:color="auto" w:sz="12" w:space="0"/>
            </w:tcBorders>
            <w:vAlign w:val="center"/>
          </w:tcPr>
          <w:p w14:paraId="1B12A525">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position w:val="24"/>
                <w:sz w:val="18"/>
                <w:szCs w:val="18"/>
              </w:rPr>
            </w:pPr>
            <w:r>
              <w:rPr>
                <w:rFonts w:hint="default" w:ascii="Times New Roman" w:hAnsi="Times New Roman" w:eastAsia="宋体" w:cs="Times New Roman"/>
                <w:spacing w:val="7"/>
                <w:position w:val="24"/>
                <w:sz w:val="18"/>
                <w:szCs w:val="18"/>
              </w:rPr>
              <w:t>晶粒平均直径最大值</w:t>
            </w:r>
          </w:p>
          <w:p w14:paraId="2B072188">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2"/>
                <w:position w:val="3"/>
                <w:sz w:val="18"/>
                <w:szCs w:val="18"/>
              </w:rPr>
              <w:t>mm</w:t>
            </w:r>
          </w:p>
        </w:tc>
      </w:tr>
      <w:tr w14:paraId="6056E192">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886" w:type="pct"/>
            <w:vMerge w:val="restart"/>
            <w:tcBorders>
              <w:top w:val="single" w:color="auto" w:sz="12" w:space="0"/>
              <w:bottom w:val="nil"/>
            </w:tcBorders>
            <w:vAlign w:val="center"/>
          </w:tcPr>
          <w:p w14:paraId="611F9BB9">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H62</w:t>
            </w:r>
          </w:p>
        </w:tc>
        <w:tc>
          <w:tcPr>
            <w:tcW w:w="876" w:type="pct"/>
            <w:tcBorders>
              <w:top w:val="single" w:color="auto" w:sz="12" w:space="0"/>
            </w:tcBorders>
            <w:vAlign w:val="center"/>
          </w:tcPr>
          <w:p w14:paraId="1D29B3C6">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z w:val="18"/>
                <w:szCs w:val="18"/>
                <w:lang w:val="en-US" w:eastAsia="zh-CN"/>
              </w:rPr>
              <w:t>O</w:t>
            </w:r>
            <w:r>
              <w:rPr>
                <w:rFonts w:hint="default" w:ascii="Times New Roman" w:hAnsi="Times New Roman" w:eastAsia="宋体" w:cs="Times New Roman"/>
                <w:sz w:val="18"/>
                <w:szCs w:val="18"/>
              </w:rPr>
              <w:t>S035</w:t>
            </w:r>
          </w:p>
        </w:tc>
        <w:tc>
          <w:tcPr>
            <w:tcW w:w="1076" w:type="pct"/>
            <w:tcBorders>
              <w:top w:val="single" w:color="auto" w:sz="12" w:space="0"/>
            </w:tcBorders>
            <w:vAlign w:val="center"/>
          </w:tcPr>
          <w:p w14:paraId="22582DBA">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0.035</w:t>
            </w:r>
          </w:p>
        </w:tc>
        <w:tc>
          <w:tcPr>
            <w:tcW w:w="1066" w:type="pct"/>
            <w:tcBorders>
              <w:top w:val="single" w:color="auto" w:sz="12" w:space="0"/>
            </w:tcBorders>
            <w:vAlign w:val="center"/>
          </w:tcPr>
          <w:p w14:paraId="7C3EE947">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0.025</w:t>
            </w:r>
          </w:p>
        </w:tc>
        <w:tc>
          <w:tcPr>
            <w:tcW w:w="1093" w:type="pct"/>
            <w:tcBorders>
              <w:top w:val="single" w:color="auto" w:sz="12" w:space="0"/>
            </w:tcBorders>
            <w:vAlign w:val="center"/>
          </w:tcPr>
          <w:p w14:paraId="2651D2A2">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0.050</w:t>
            </w:r>
          </w:p>
        </w:tc>
      </w:tr>
      <w:tr w14:paraId="7ACF56E7">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886" w:type="pct"/>
            <w:vMerge w:val="continue"/>
            <w:tcBorders>
              <w:top w:val="nil"/>
            </w:tcBorders>
            <w:vAlign w:val="center"/>
          </w:tcPr>
          <w:p w14:paraId="051C3FAF">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p>
        </w:tc>
        <w:tc>
          <w:tcPr>
            <w:tcW w:w="876" w:type="pct"/>
            <w:vAlign w:val="center"/>
          </w:tcPr>
          <w:p w14:paraId="335BF526">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z w:val="18"/>
                <w:szCs w:val="18"/>
              </w:rPr>
              <w:t>OS</w:t>
            </w:r>
            <w:r>
              <w:rPr>
                <w:rFonts w:hint="default" w:ascii="Times New Roman" w:hAnsi="Times New Roman" w:eastAsia="宋体" w:cs="Times New Roman"/>
                <w:spacing w:val="2"/>
                <w:sz w:val="18"/>
                <w:szCs w:val="18"/>
              </w:rPr>
              <w:t>025</w:t>
            </w:r>
          </w:p>
        </w:tc>
        <w:tc>
          <w:tcPr>
            <w:tcW w:w="1076" w:type="pct"/>
            <w:vAlign w:val="center"/>
          </w:tcPr>
          <w:p w14:paraId="6DC33CC0">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0.025</w:t>
            </w:r>
          </w:p>
        </w:tc>
        <w:tc>
          <w:tcPr>
            <w:tcW w:w="1066" w:type="pct"/>
            <w:vAlign w:val="center"/>
          </w:tcPr>
          <w:p w14:paraId="7F902109">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0.015</w:t>
            </w:r>
          </w:p>
        </w:tc>
        <w:tc>
          <w:tcPr>
            <w:tcW w:w="1093" w:type="pct"/>
            <w:vAlign w:val="center"/>
          </w:tcPr>
          <w:p w14:paraId="6EA60451">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0.035</w:t>
            </w:r>
          </w:p>
        </w:tc>
      </w:tr>
      <w:tr w14:paraId="095F95BD">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886" w:type="pct"/>
            <w:vMerge w:val="restart"/>
            <w:tcBorders>
              <w:bottom w:val="nil"/>
            </w:tcBorders>
            <w:vAlign w:val="center"/>
          </w:tcPr>
          <w:p w14:paraId="2815E0A0">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H68</w:t>
            </w:r>
          </w:p>
        </w:tc>
        <w:tc>
          <w:tcPr>
            <w:tcW w:w="876" w:type="pct"/>
            <w:vAlign w:val="center"/>
          </w:tcPr>
          <w:p w14:paraId="0CDE1A4B">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z w:val="18"/>
                <w:szCs w:val="18"/>
              </w:rPr>
              <w:t>OS</w:t>
            </w:r>
            <w:r>
              <w:rPr>
                <w:rFonts w:hint="default" w:ascii="Times New Roman" w:hAnsi="Times New Roman" w:eastAsia="宋体" w:cs="Times New Roman"/>
                <w:spacing w:val="2"/>
                <w:sz w:val="18"/>
                <w:szCs w:val="18"/>
              </w:rPr>
              <w:t>035</w:t>
            </w:r>
          </w:p>
        </w:tc>
        <w:tc>
          <w:tcPr>
            <w:tcW w:w="1076" w:type="pct"/>
            <w:vAlign w:val="center"/>
          </w:tcPr>
          <w:p w14:paraId="58B09E38">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0.035</w:t>
            </w:r>
          </w:p>
        </w:tc>
        <w:tc>
          <w:tcPr>
            <w:tcW w:w="1066" w:type="pct"/>
            <w:vAlign w:val="center"/>
          </w:tcPr>
          <w:p w14:paraId="4EB9A995">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0.025</w:t>
            </w:r>
          </w:p>
        </w:tc>
        <w:tc>
          <w:tcPr>
            <w:tcW w:w="1093" w:type="pct"/>
            <w:vAlign w:val="center"/>
          </w:tcPr>
          <w:p w14:paraId="09110595">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0.050</w:t>
            </w:r>
          </w:p>
        </w:tc>
      </w:tr>
      <w:tr w14:paraId="43B4AB1F">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886" w:type="pct"/>
            <w:vMerge w:val="continue"/>
            <w:tcBorders>
              <w:top w:val="nil"/>
            </w:tcBorders>
            <w:vAlign w:val="center"/>
          </w:tcPr>
          <w:p w14:paraId="08B4B2E8">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p>
        </w:tc>
        <w:tc>
          <w:tcPr>
            <w:tcW w:w="876" w:type="pct"/>
            <w:vAlign w:val="center"/>
          </w:tcPr>
          <w:p w14:paraId="6199E556">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z w:val="18"/>
                <w:szCs w:val="18"/>
              </w:rPr>
              <w:t>OS</w:t>
            </w:r>
            <w:r>
              <w:rPr>
                <w:rFonts w:hint="default" w:ascii="Times New Roman" w:hAnsi="Times New Roman" w:eastAsia="宋体" w:cs="Times New Roman"/>
                <w:spacing w:val="2"/>
                <w:sz w:val="18"/>
                <w:szCs w:val="18"/>
              </w:rPr>
              <w:t>025</w:t>
            </w:r>
          </w:p>
        </w:tc>
        <w:tc>
          <w:tcPr>
            <w:tcW w:w="1076" w:type="pct"/>
            <w:vAlign w:val="center"/>
          </w:tcPr>
          <w:p w14:paraId="3469EAB7">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0.025</w:t>
            </w:r>
          </w:p>
        </w:tc>
        <w:tc>
          <w:tcPr>
            <w:tcW w:w="1066" w:type="pct"/>
            <w:vAlign w:val="center"/>
          </w:tcPr>
          <w:p w14:paraId="08863142">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0.015</w:t>
            </w:r>
          </w:p>
        </w:tc>
        <w:tc>
          <w:tcPr>
            <w:tcW w:w="1093" w:type="pct"/>
            <w:vAlign w:val="center"/>
          </w:tcPr>
          <w:p w14:paraId="7638D5F9">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0.035</w:t>
            </w:r>
          </w:p>
        </w:tc>
      </w:tr>
      <w:tr w14:paraId="41AD94A2">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886" w:type="pct"/>
            <w:vMerge w:val="restart"/>
            <w:tcBorders>
              <w:bottom w:val="nil"/>
            </w:tcBorders>
            <w:vAlign w:val="center"/>
          </w:tcPr>
          <w:p w14:paraId="02466C1D">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z w:val="18"/>
                <w:szCs w:val="18"/>
              </w:rPr>
              <w:t>QSn</w:t>
            </w:r>
            <w:r>
              <w:rPr>
                <w:rFonts w:hint="default" w:ascii="Times New Roman" w:hAnsi="Times New Roman" w:eastAsia="宋体" w:cs="Times New Roman"/>
                <w:spacing w:val="3"/>
                <w:sz w:val="18"/>
                <w:szCs w:val="18"/>
              </w:rPr>
              <w:t>6.5-0.1</w:t>
            </w:r>
          </w:p>
        </w:tc>
        <w:tc>
          <w:tcPr>
            <w:tcW w:w="876" w:type="pct"/>
            <w:vAlign w:val="center"/>
          </w:tcPr>
          <w:p w14:paraId="4F19A4D5">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z w:val="18"/>
                <w:szCs w:val="18"/>
              </w:rPr>
              <w:t>OS</w:t>
            </w:r>
            <w:r>
              <w:rPr>
                <w:rFonts w:hint="default" w:ascii="Times New Roman" w:hAnsi="Times New Roman" w:eastAsia="宋体" w:cs="Times New Roman"/>
                <w:spacing w:val="2"/>
                <w:sz w:val="18"/>
                <w:szCs w:val="18"/>
              </w:rPr>
              <w:t>025</w:t>
            </w:r>
          </w:p>
        </w:tc>
        <w:tc>
          <w:tcPr>
            <w:tcW w:w="1076" w:type="pct"/>
            <w:vAlign w:val="center"/>
          </w:tcPr>
          <w:p w14:paraId="129E1881">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0.025</w:t>
            </w:r>
          </w:p>
        </w:tc>
        <w:tc>
          <w:tcPr>
            <w:tcW w:w="1066" w:type="pct"/>
            <w:vAlign w:val="center"/>
          </w:tcPr>
          <w:p w14:paraId="6B166F18">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0.015</w:t>
            </w:r>
          </w:p>
        </w:tc>
        <w:tc>
          <w:tcPr>
            <w:tcW w:w="1093" w:type="pct"/>
            <w:vAlign w:val="center"/>
          </w:tcPr>
          <w:p w14:paraId="2F2E740E">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0.035</w:t>
            </w:r>
          </w:p>
        </w:tc>
      </w:tr>
      <w:tr w14:paraId="4D801FA7">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886" w:type="pct"/>
            <w:vMerge w:val="continue"/>
            <w:tcBorders>
              <w:top w:val="nil"/>
            </w:tcBorders>
            <w:vAlign w:val="center"/>
          </w:tcPr>
          <w:p w14:paraId="0108F0D5">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p>
        </w:tc>
        <w:tc>
          <w:tcPr>
            <w:tcW w:w="876" w:type="pct"/>
            <w:vAlign w:val="center"/>
          </w:tcPr>
          <w:p w14:paraId="10D1DCE8">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z w:val="18"/>
                <w:szCs w:val="18"/>
              </w:rPr>
              <w:t>OS</w:t>
            </w:r>
            <w:r>
              <w:rPr>
                <w:rFonts w:hint="default" w:ascii="Times New Roman" w:hAnsi="Times New Roman" w:eastAsia="宋体" w:cs="Times New Roman"/>
                <w:spacing w:val="2"/>
                <w:sz w:val="18"/>
                <w:szCs w:val="18"/>
              </w:rPr>
              <w:t>015</w:t>
            </w:r>
          </w:p>
        </w:tc>
        <w:tc>
          <w:tcPr>
            <w:tcW w:w="1076" w:type="pct"/>
            <w:vAlign w:val="center"/>
          </w:tcPr>
          <w:p w14:paraId="32372150">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0.015</w:t>
            </w:r>
          </w:p>
        </w:tc>
        <w:tc>
          <w:tcPr>
            <w:tcW w:w="1066" w:type="pct"/>
            <w:vAlign w:val="center"/>
          </w:tcPr>
          <w:p w14:paraId="1B570E9F">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2"/>
                <w:sz w:val="18"/>
                <w:szCs w:val="18"/>
              </w:rPr>
              <w:t>A</w:t>
            </w:r>
            <w:r>
              <w:rPr>
                <w:rFonts w:hint="default" w:ascii="Times New Roman" w:hAnsi="Times New Roman" w:eastAsia="宋体" w:cs="Times New Roman"/>
                <w:spacing w:val="2"/>
                <w:sz w:val="18"/>
                <w:szCs w:val="18"/>
                <w:vertAlign w:val="superscript"/>
              </w:rPr>
              <w:t>*</w:t>
            </w:r>
          </w:p>
        </w:tc>
        <w:tc>
          <w:tcPr>
            <w:tcW w:w="1093" w:type="pct"/>
            <w:vAlign w:val="center"/>
          </w:tcPr>
          <w:p w14:paraId="6AEA99B6">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0.025</w:t>
            </w:r>
          </w:p>
        </w:tc>
      </w:tr>
      <w:tr w14:paraId="700C953A">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886" w:type="pct"/>
            <w:vMerge w:val="restart"/>
            <w:tcBorders>
              <w:bottom w:val="nil"/>
            </w:tcBorders>
            <w:vAlign w:val="center"/>
          </w:tcPr>
          <w:p w14:paraId="79232BCB">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z w:val="18"/>
                <w:szCs w:val="18"/>
              </w:rPr>
              <w:t>QSn</w:t>
            </w:r>
            <w:r>
              <w:rPr>
                <w:rFonts w:hint="default" w:ascii="Times New Roman" w:hAnsi="Times New Roman" w:eastAsia="宋体" w:cs="Times New Roman"/>
                <w:spacing w:val="3"/>
                <w:sz w:val="18"/>
                <w:szCs w:val="18"/>
              </w:rPr>
              <w:t>8-0.3</w:t>
            </w:r>
          </w:p>
        </w:tc>
        <w:tc>
          <w:tcPr>
            <w:tcW w:w="876" w:type="pct"/>
            <w:vAlign w:val="center"/>
          </w:tcPr>
          <w:p w14:paraId="1002429E">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z w:val="18"/>
                <w:szCs w:val="18"/>
              </w:rPr>
              <w:t>OS</w:t>
            </w:r>
            <w:r>
              <w:rPr>
                <w:rFonts w:hint="default" w:ascii="Times New Roman" w:hAnsi="Times New Roman" w:eastAsia="宋体" w:cs="Times New Roman"/>
                <w:spacing w:val="2"/>
                <w:sz w:val="18"/>
                <w:szCs w:val="18"/>
              </w:rPr>
              <w:t>025</w:t>
            </w:r>
          </w:p>
        </w:tc>
        <w:tc>
          <w:tcPr>
            <w:tcW w:w="1076" w:type="pct"/>
            <w:vAlign w:val="center"/>
          </w:tcPr>
          <w:p w14:paraId="3F2593E7">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0.025</w:t>
            </w:r>
          </w:p>
        </w:tc>
        <w:tc>
          <w:tcPr>
            <w:tcW w:w="1066" w:type="pct"/>
            <w:vAlign w:val="center"/>
          </w:tcPr>
          <w:p w14:paraId="62A25489">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0.015</w:t>
            </w:r>
          </w:p>
        </w:tc>
        <w:tc>
          <w:tcPr>
            <w:tcW w:w="1093" w:type="pct"/>
            <w:vAlign w:val="center"/>
          </w:tcPr>
          <w:p w14:paraId="2A20798F">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0.035</w:t>
            </w:r>
          </w:p>
        </w:tc>
      </w:tr>
      <w:tr w14:paraId="51DB1D74">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886" w:type="pct"/>
            <w:vMerge w:val="continue"/>
            <w:tcBorders>
              <w:top w:val="nil"/>
            </w:tcBorders>
            <w:vAlign w:val="center"/>
          </w:tcPr>
          <w:p w14:paraId="700E0D06">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p>
        </w:tc>
        <w:tc>
          <w:tcPr>
            <w:tcW w:w="876" w:type="pct"/>
            <w:vAlign w:val="center"/>
          </w:tcPr>
          <w:p w14:paraId="2E3902D4">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z w:val="18"/>
                <w:szCs w:val="18"/>
              </w:rPr>
              <w:t>OS</w:t>
            </w:r>
            <w:r>
              <w:rPr>
                <w:rFonts w:hint="default" w:ascii="Times New Roman" w:hAnsi="Times New Roman" w:eastAsia="宋体" w:cs="Times New Roman"/>
                <w:spacing w:val="2"/>
                <w:sz w:val="18"/>
                <w:szCs w:val="18"/>
              </w:rPr>
              <w:t>015</w:t>
            </w:r>
          </w:p>
        </w:tc>
        <w:tc>
          <w:tcPr>
            <w:tcW w:w="1076" w:type="pct"/>
            <w:vAlign w:val="center"/>
          </w:tcPr>
          <w:p w14:paraId="28725EF1">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0.015</w:t>
            </w:r>
          </w:p>
        </w:tc>
        <w:tc>
          <w:tcPr>
            <w:tcW w:w="1066" w:type="pct"/>
            <w:vAlign w:val="center"/>
          </w:tcPr>
          <w:p w14:paraId="6110F3EE">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2"/>
                <w:sz w:val="18"/>
                <w:szCs w:val="18"/>
              </w:rPr>
              <w:t>A</w:t>
            </w:r>
            <w:r>
              <w:rPr>
                <w:rFonts w:hint="default" w:ascii="Times New Roman" w:hAnsi="Times New Roman" w:eastAsia="宋体" w:cs="Times New Roman"/>
                <w:spacing w:val="2"/>
                <w:sz w:val="18"/>
                <w:szCs w:val="18"/>
                <w:vertAlign w:val="superscript"/>
              </w:rPr>
              <w:t>*</w:t>
            </w:r>
          </w:p>
        </w:tc>
        <w:tc>
          <w:tcPr>
            <w:tcW w:w="1093" w:type="pct"/>
            <w:vAlign w:val="center"/>
          </w:tcPr>
          <w:p w14:paraId="7237BD6F">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0.025</w:t>
            </w:r>
          </w:p>
        </w:tc>
      </w:tr>
      <w:tr w14:paraId="40A29BF9">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886" w:type="pct"/>
            <w:vMerge w:val="restart"/>
            <w:tcBorders>
              <w:bottom w:val="single" w:color="auto" w:sz="4" w:space="0"/>
            </w:tcBorders>
            <w:vAlign w:val="center"/>
          </w:tcPr>
          <w:p w14:paraId="0A1954EA">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z w:val="18"/>
                <w:szCs w:val="18"/>
              </w:rPr>
              <w:t>QSn</w:t>
            </w:r>
            <w:r>
              <w:rPr>
                <w:rFonts w:hint="default" w:ascii="Times New Roman" w:hAnsi="Times New Roman" w:eastAsia="宋体" w:cs="Times New Roman"/>
                <w:spacing w:val="3"/>
                <w:sz w:val="18"/>
                <w:szCs w:val="18"/>
              </w:rPr>
              <w:t>10-0.3</w:t>
            </w:r>
          </w:p>
        </w:tc>
        <w:tc>
          <w:tcPr>
            <w:tcW w:w="876" w:type="pct"/>
            <w:tcBorders>
              <w:bottom w:val="single" w:color="auto" w:sz="4" w:space="0"/>
            </w:tcBorders>
            <w:vAlign w:val="center"/>
          </w:tcPr>
          <w:p w14:paraId="208A3E06">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z w:val="18"/>
                <w:szCs w:val="18"/>
              </w:rPr>
              <w:t>OS</w:t>
            </w:r>
            <w:r>
              <w:rPr>
                <w:rFonts w:hint="default" w:ascii="Times New Roman" w:hAnsi="Times New Roman" w:eastAsia="宋体" w:cs="Times New Roman"/>
                <w:spacing w:val="2"/>
                <w:sz w:val="18"/>
                <w:szCs w:val="18"/>
              </w:rPr>
              <w:t>025</w:t>
            </w:r>
          </w:p>
        </w:tc>
        <w:tc>
          <w:tcPr>
            <w:tcW w:w="1076" w:type="pct"/>
            <w:tcBorders>
              <w:bottom w:val="single" w:color="auto" w:sz="4" w:space="0"/>
            </w:tcBorders>
            <w:vAlign w:val="center"/>
          </w:tcPr>
          <w:p w14:paraId="38C333F4">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0.025</w:t>
            </w:r>
          </w:p>
        </w:tc>
        <w:tc>
          <w:tcPr>
            <w:tcW w:w="1066" w:type="pct"/>
            <w:tcBorders>
              <w:bottom w:val="single" w:color="auto" w:sz="4" w:space="0"/>
            </w:tcBorders>
            <w:vAlign w:val="center"/>
          </w:tcPr>
          <w:p w14:paraId="448B65A3">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0.015</w:t>
            </w:r>
          </w:p>
        </w:tc>
        <w:tc>
          <w:tcPr>
            <w:tcW w:w="1093" w:type="pct"/>
            <w:tcBorders>
              <w:bottom w:val="single" w:color="auto" w:sz="4" w:space="0"/>
            </w:tcBorders>
            <w:vAlign w:val="center"/>
          </w:tcPr>
          <w:p w14:paraId="5778B662">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0.035</w:t>
            </w:r>
          </w:p>
        </w:tc>
      </w:tr>
      <w:tr w14:paraId="6D91C6EB">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886" w:type="pct"/>
            <w:vMerge w:val="continue"/>
            <w:tcBorders>
              <w:top w:val="single" w:color="auto" w:sz="4" w:space="0"/>
              <w:bottom w:val="single" w:color="auto" w:sz="4" w:space="0"/>
            </w:tcBorders>
            <w:vAlign w:val="center"/>
          </w:tcPr>
          <w:p w14:paraId="2FB8234F">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p>
        </w:tc>
        <w:tc>
          <w:tcPr>
            <w:tcW w:w="876" w:type="pct"/>
            <w:tcBorders>
              <w:top w:val="single" w:color="auto" w:sz="4" w:space="0"/>
            </w:tcBorders>
            <w:vAlign w:val="center"/>
          </w:tcPr>
          <w:p w14:paraId="4D053736">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z w:val="18"/>
                <w:szCs w:val="18"/>
              </w:rPr>
              <w:t>OS</w:t>
            </w:r>
            <w:r>
              <w:rPr>
                <w:rFonts w:hint="default" w:ascii="Times New Roman" w:hAnsi="Times New Roman" w:eastAsia="宋体" w:cs="Times New Roman"/>
                <w:spacing w:val="2"/>
                <w:sz w:val="18"/>
                <w:szCs w:val="18"/>
              </w:rPr>
              <w:t>015</w:t>
            </w:r>
          </w:p>
        </w:tc>
        <w:tc>
          <w:tcPr>
            <w:tcW w:w="1076" w:type="pct"/>
            <w:tcBorders>
              <w:top w:val="single" w:color="auto" w:sz="4" w:space="0"/>
            </w:tcBorders>
            <w:vAlign w:val="center"/>
          </w:tcPr>
          <w:p w14:paraId="0E3FA8A4">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0.015</w:t>
            </w:r>
          </w:p>
        </w:tc>
        <w:tc>
          <w:tcPr>
            <w:tcW w:w="1066" w:type="pct"/>
            <w:tcBorders>
              <w:top w:val="single" w:color="auto" w:sz="4" w:space="0"/>
            </w:tcBorders>
            <w:vAlign w:val="center"/>
          </w:tcPr>
          <w:p w14:paraId="53E9F8A5">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2"/>
                <w:sz w:val="18"/>
                <w:szCs w:val="18"/>
              </w:rPr>
              <w:t>A</w:t>
            </w:r>
            <w:r>
              <w:rPr>
                <w:rFonts w:hint="default" w:ascii="Times New Roman" w:hAnsi="Times New Roman" w:eastAsia="宋体" w:cs="Times New Roman"/>
                <w:spacing w:val="2"/>
                <w:sz w:val="18"/>
                <w:szCs w:val="18"/>
                <w:vertAlign w:val="superscript"/>
              </w:rPr>
              <w:t>*</w:t>
            </w:r>
          </w:p>
        </w:tc>
        <w:tc>
          <w:tcPr>
            <w:tcW w:w="1093" w:type="pct"/>
            <w:tcBorders>
              <w:top w:val="single" w:color="auto" w:sz="4" w:space="0"/>
            </w:tcBorders>
            <w:vAlign w:val="center"/>
          </w:tcPr>
          <w:p w14:paraId="0EFB6C02">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0.025</w:t>
            </w:r>
          </w:p>
        </w:tc>
      </w:tr>
      <w:tr w14:paraId="05BCC21B">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886" w:type="pct"/>
            <w:vMerge w:val="restart"/>
            <w:tcBorders>
              <w:top w:val="single" w:color="auto" w:sz="4" w:space="0"/>
              <w:bottom w:val="single" w:color="auto" w:sz="4" w:space="0"/>
            </w:tcBorders>
            <w:shd w:val="clear" w:color="auto" w:fill="auto"/>
            <w:vAlign w:val="center"/>
          </w:tcPr>
          <w:p w14:paraId="379FB15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napToGrid w:val="0"/>
                <w:color w:val="000000"/>
                <w:kern w:val="0"/>
                <w:sz w:val="18"/>
                <w:szCs w:val="18"/>
                <w:highlight w:val="yellow"/>
                <w:lang w:val="en-US" w:eastAsia="en-US" w:bidi="ar-SA"/>
              </w:rPr>
            </w:pPr>
            <w:r>
              <w:rPr>
                <w:rFonts w:hint="default" w:ascii="Times New Roman" w:hAnsi="Times New Roman" w:eastAsia="宋体" w:cs="Times New Roman"/>
                <w:b w:val="0"/>
                <w:bCs/>
                <w:color w:val="000000" w:themeColor="text1"/>
                <w:sz w:val="18"/>
                <w:szCs w:val="18"/>
                <w:highlight w:val="yellow"/>
                <w14:textFill>
                  <w14:solidFill>
                    <w14:schemeClr w14:val="tx1"/>
                  </w14:solidFill>
                </w14:textFill>
              </w:rPr>
              <w:t>Cu9Ni6Sn</w:t>
            </w:r>
          </w:p>
        </w:tc>
        <w:tc>
          <w:tcPr>
            <w:tcW w:w="876" w:type="pct"/>
            <w:shd w:val="clear" w:color="auto" w:fill="auto"/>
            <w:vAlign w:val="center"/>
          </w:tcPr>
          <w:p w14:paraId="3AE6A640">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napToGrid w:val="0"/>
                <w:color w:val="000000"/>
                <w:kern w:val="2"/>
                <w:sz w:val="18"/>
                <w:szCs w:val="18"/>
                <w:highlight w:val="yellow"/>
                <w:lang w:val="en-US" w:eastAsia="en-US" w:bidi="ar-SA"/>
              </w:rPr>
            </w:pPr>
            <w:r>
              <w:rPr>
                <w:rFonts w:hint="default" w:ascii="Times New Roman" w:hAnsi="Times New Roman" w:eastAsia="宋体" w:cs="Times New Roman"/>
                <w:sz w:val="18"/>
                <w:szCs w:val="18"/>
                <w:highlight w:val="yellow"/>
              </w:rPr>
              <w:t>OS</w:t>
            </w:r>
            <w:r>
              <w:rPr>
                <w:rFonts w:hint="default" w:ascii="Times New Roman" w:hAnsi="Times New Roman" w:eastAsia="宋体" w:cs="Times New Roman"/>
                <w:spacing w:val="2"/>
                <w:sz w:val="18"/>
                <w:szCs w:val="18"/>
                <w:highlight w:val="yellow"/>
              </w:rPr>
              <w:t>025</w:t>
            </w:r>
          </w:p>
        </w:tc>
        <w:tc>
          <w:tcPr>
            <w:tcW w:w="1076" w:type="pct"/>
            <w:shd w:val="clear" w:color="auto" w:fill="auto"/>
            <w:vAlign w:val="center"/>
          </w:tcPr>
          <w:p w14:paraId="39BDB87B">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napToGrid w:val="0"/>
                <w:color w:val="000000"/>
                <w:kern w:val="2"/>
                <w:sz w:val="18"/>
                <w:szCs w:val="18"/>
                <w:highlight w:val="yellow"/>
                <w:lang w:val="en-US" w:eastAsia="en-US" w:bidi="ar-SA"/>
              </w:rPr>
            </w:pPr>
            <w:r>
              <w:rPr>
                <w:rFonts w:hint="default" w:ascii="Times New Roman" w:hAnsi="Times New Roman" w:eastAsia="宋体" w:cs="Times New Roman"/>
                <w:sz w:val="18"/>
                <w:szCs w:val="18"/>
                <w:highlight w:val="yellow"/>
              </w:rPr>
              <w:t>0.025</w:t>
            </w:r>
          </w:p>
        </w:tc>
        <w:tc>
          <w:tcPr>
            <w:tcW w:w="1066" w:type="pct"/>
            <w:shd w:val="clear" w:color="auto" w:fill="auto"/>
            <w:vAlign w:val="center"/>
          </w:tcPr>
          <w:p w14:paraId="17CB3EBC">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napToGrid w:val="0"/>
                <w:color w:val="000000"/>
                <w:kern w:val="2"/>
                <w:sz w:val="18"/>
                <w:szCs w:val="18"/>
                <w:highlight w:val="yellow"/>
                <w:lang w:val="en-US" w:eastAsia="en-US" w:bidi="ar-SA"/>
              </w:rPr>
            </w:pPr>
            <w:r>
              <w:rPr>
                <w:rFonts w:hint="default" w:ascii="Times New Roman" w:hAnsi="Times New Roman" w:eastAsia="宋体" w:cs="Times New Roman"/>
                <w:sz w:val="18"/>
                <w:szCs w:val="18"/>
                <w:highlight w:val="yellow"/>
              </w:rPr>
              <w:t>0.015</w:t>
            </w:r>
          </w:p>
        </w:tc>
        <w:tc>
          <w:tcPr>
            <w:tcW w:w="1093" w:type="pct"/>
            <w:shd w:val="clear" w:color="auto" w:fill="auto"/>
            <w:vAlign w:val="center"/>
          </w:tcPr>
          <w:p w14:paraId="0156E7D8">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napToGrid w:val="0"/>
                <w:color w:val="000000"/>
                <w:kern w:val="2"/>
                <w:sz w:val="18"/>
                <w:szCs w:val="18"/>
                <w:highlight w:val="yellow"/>
                <w:lang w:val="en-US" w:eastAsia="en-US" w:bidi="ar-SA"/>
              </w:rPr>
            </w:pPr>
            <w:r>
              <w:rPr>
                <w:rFonts w:hint="default" w:ascii="Times New Roman" w:hAnsi="Times New Roman" w:eastAsia="宋体" w:cs="Times New Roman"/>
                <w:sz w:val="18"/>
                <w:szCs w:val="18"/>
                <w:highlight w:val="yellow"/>
              </w:rPr>
              <w:t>0.035</w:t>
            </w:r>
          </w:p>
        </w:tc>
      </w:tr>
      <w:tr w14:paraId="73148212">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886" w:type="pct"/>
            <w:vMerge w:val="continue"/>
            <w:tcBorders>
              <w:top w:val="single" w:color="auto" w:sz="4" w:space="0"/>
              <w:bottom w:val="single" w:color="auto" w:sz="4" w:space="0"/>
            </w:tcBorders>
            <w:vAlign w:val="center"/>
          </w:tcPr>
          <w:p w14:paraId="24D083A5">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highlight w:val="yellow"/>
              </w:rPr>
            </w:pPr>
          </w:p>
        </w:tc>
        <w:tc>
          <w:tcPr>
            <w:tcW w:w="876" w:type="pct"/>
            <w:shd w:val="clear" w:color="auto" w:fill="auto"/>
            <w:vAlign w:val="center"/>
          </w:tcPr>
          <w:p w14:paraId="219C4FA1">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napToGrid w:val="0"/>
                <w:color w:val="000000"/>
                <w:kern w:val="2"/>
                <w:sz w:val="18"/>
                <w:szCs w:val="18"/>
                <w:highlight w:val="yellow"/>
                <w:lang w:val="en-US" w:eastAsia="en-US" w:bidi="ar-SA"/>
              </w:rPr>
            </w:pPr>
            <w:r>
              <w:rPr>
                <w:rFonts w:hint="default" w:ascii="Times New Roman" w:hAnsi="Times New Roman" w:eastAsia="宋体" w:cs="Times New Roman"/>
                <w:sz w:val="18"/>
                <w:szCs w:val="18"/>
                <w:highlight w:val="yellow"/>
              </w:rPr>
              <w:t>OS</w:t>
            </w:r>
            <w:r>
              <w:rPr>
                <w:rFonts w:hint="default" w:ascii="Times New Roman" w:hAnsi="Times New Roman" w:eastAsia="宋体" w:cs="Times New Roman"/>
                <w:spacing w:val="2"/>
                <w:sz w:val="18"/>
                <w:szCs w:val="18"/>
                <w:highlight w:val="yellow"/>
              </w:rPr>
              <w:t>015</w:t>
            </w:r>
          </w:p>
        </w:tc>
        <w:tc>
          <w:tcPr>
            <w:tcW w:w="1076" w:type="pct"/>
            <w:shd w:val="clear" w:color="auto" w:fill="auto"/>
            <w:vAlign w:val="center"/>
          </w:tcPr>
          <w:p w14:paraId="25385F51">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napToGrid w:val="0"/>
                <w:color w:val="000000"/>
                <w:kern w:val="2"/>
                <w:sz w:val="18"/>
                <w:szCs w:val="18"/>
                <w:highlight w:val="yellow"/>
                <w:lang w:val="en-US" w:eastAsia="en-US" w:bidi="ar-SA"/>
              </w:rPr>
            </w:pPr>
            <w:r>
              <w:rPr>
                <w:rFonts w:hint="default" w:ascii="Times New Roman" w:hAnsi="Times New Roman" w:eastAsia="宋体" w:cs="Times New Roman"/>
                <w:sz w:val="18"/>
                <w:szCs w:val="18"/>
                <w:highlight w:val="yellow"/>
              </w:rPr>
              <w:t>0.015</w:t>
            </w:r>
          </w:p>
        </w:tc>
        <w:tc>
          <w:tcPr>
            <w:tcW w:w="1066" w:type="pct"/>
            <w:shd w:val="clear" w:color="auto" w:fill="auto"/>
            <w:vAlign w:val="center"/>
          </w:tcPr>
          <w:p w14:paraId="4C26A93A">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napToGrid w:val="0"/>
                <w:color w:val="000000"/>
                <w:kern w:val="2"/>
                <w:sz w:val="18"/>
                <w:szCs w:val="18"/>
                <w:highlight w:val="yellow"/>
                <w:lang w:val="en-US" w:eastAsia="zh-CN" w:bidi="ar-SA"/>
              </w:rPr>
            </w:pPr>
            <w:r>
              <w:rPr>
                <w:rFonts w:hint="eastAsia" w:ascii="Times New Roman" w:hAnsi="Times New Roman" w:cs="Times New Roman"/>
                <w:spacing w:val="2"/>
                <w:sz w:val="18"/>
                <w:szCs w:val="18"/>
                <w:highlight w:val="yellow"/>
                <w:lang w:val="en-US" w:eastAsia="zh-CN"/>
              </w:rPr>
              <w:t>0.010</w:t>
            </w:r>
          </w:p>
        </w:tc>
        <w:tc>
          <w:tcPr>
            <w:tcW w:w="1093" w:type="pct"/>
            <w:shd w:val="clear" w:color="auto" w:fill="auto"/>
            <w:vAlign w:val="center"/>
          </w:tcPr>
          <w:p w14:paraId="0CCFC73D">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napToGrid w:val="0"/>
                <w:color w:val="000000"/>
                <w:kern w:val="2"/>
                <w:sz w:val="18"/>
                <w:szCs w:val="18"/>
                <w:highlight w:val="yellow"/>
                <w:lang w:val="en-US" w:eastAsia="en-US" w:bidi="ar-SA"/>
              </w:rPr>
            </w:pPr>
            <w:r>
              <w:rPr>
                <w:rFonts w:hint="default" w:ascii="Times New Roman" w:hAnsi="Times New Roman" w:eastAsia="宋体" w:cs="Times New Roman"/>
                <w:sz w:val="18"/>
                <w:szCs w:val="18"/>
                <w:highlight w:val="yellow"/>
              </w:rPr>
              <w:t>0.025</w:t>
            </w:r>
          </w:p>
        </w:tc>
      </w:tr>
      <w:tr w14:paraId="76E7D852">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886" w:type="pct"/>
            <w:vMerge w:val="restart"/>
            <w:tcBorders>
              <w:top w:val="single" w:color="auto" w:sz="4" w:space="0"/>
              <w:bottom w:val="single" w:color="auto" w:sz="4" w:space="0"/>
            </w:tcBorders>
            <w:shd w:val="clear" w:color="auto" w:fill="auto"/>
            <w:vAlign w:val="center"/>
          </w:tcPr>
          <w:p w14:paraId="1C8ADF55">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napToGrid w:val="0"/>
                <w:color w:val="000000"/>
                <w:kern w:val="0"/>
                <w:sz w:val="18"/>
                <w:szCs w:val="18"/>
                <w:highlight w:val="yellow"/>
                <w:lang w:val="en-US" w:eastAsia="en-US" w:bidi="ar-SA"/>
              </w:rPr>
            </w:pPr>
            <w:r>
              <w:rPr>
                <w:rFonts w:hint="default" w:ascii="Times New Roman" w:hAnsi="Times New Roman" w:eastAsia="宋体" w:cs="Times New Roman"/>
                <w:sz w:val="18"/>
                <w:szCs w:val="18"/>
                <w:highlight w:val="yellow"/>
                <w:lang w:val="en-US" w:eastAsia="zh-CN"/>
              </w:rPr>
              <w:t>Cu9Ni</w:t>
            </w:r>
            <w:r>
              <w:rPr>
                <w:rFonts w:hint="eastAsia" w:ascii="Times New Roman" w:hAnsi="Times New Roman" w:eastAsia="宋体" w:cs="Times New Roman"/>
                <w:sz w:val="18"/>
                <w:szCs w:val="18"/>
                <w:highlight w:val="yellow"/>
                <w:lang w:val="en-US" w:eastAsia="zh-CN"/>
              </w:rPr>
              <w:t>2</w:t>
            </w:r>
            <w:r>
              <w:rPr>
                <w:rFonts w:hint="default" w:ascii="Times New Roman" w:hAnsi="Times New Roman" w:eastAsia="宋体" w:cs="Times New Roman"/>
                <w:sz w:val="18"/>
                <w:szCs w:val="18"/>
                <w:highlight w:val="yellow"/>
                <w:lang w:val="en-US" w:eastAsia="zh-CN"/>
              </w:rPr>
              <w:t>Sn</w:t>
            </w:r>
          </w:p>
        </w:tc>
        <w:tc>
          <w:tcPr>
            <w:tcW w:w="876" w:type="pct"/>
            <w:shd w:val="clear" w:color="auto" w:fill="auto"/>
            <w:vAlign w:val="center"/>
          </w:tcPr>
          <w:p w14:paraId="7E8BD54D">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napToGrid w:val="0"/>
                <w:color w:val="000000"/>
                <w:kern w:val="2"/>
                <w:sz w:val="18"/>
                <w:szCs w:val="18"/>
                <w:highlight w:val="yellow"/>
                <w:lang w:val="en-US" w:eastAsia="en-US" w:bidi="ar-SA"/>
              </w:rPr>
            </w:pPr>
            <w:r>
              <w:rPr>
                <w:rFonts w:hint="default" w:ascii="Times New Roman" w:hAnsi="Times New Roman" w:eastAsia="宋体" w:cs="Times New Roman"/>
                <w:sz w:val="18"/>
                <w:szCs w:val="18"/>
                <w:highlight w:val="yellow"/>
              </w:rPr>
              <w:t>OS</w:t>
            </w:r>
            <w:r>
              <w:rPr>
                <w:rFonts w:hint="default" w:ascii="Times New Roman" w:hAnsi="Times New Roman" w:eastAsia="宋体" w:cs="Times New Roman"/>
                <w:spacing w:val="2"/>
                <w:sz w:val="18"/>
                <w:szCs w:val="18"/>
                <w:highlight w:val="yellow"/>
              </w:rPr>
              <w:t>025</w:t>
            </w:r>
          </w:p>
        </w:tc>
        <w:tc>
          <w:tcPr>
            <w:tcW w:w="1076" w:type="pct"/>
            <w:shd w:val="clear" w:color="auto" w:fill="auto"/>
            <w:vAlign w:val="center"/>
          </w:tcPr>
          <w:p w14:paraId="0758A799">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napToGrid w:val="0"/>
                <w:color w:val="000000"/>
                <w:kern w:val="2"/>
                <w:sz w:val="18"/>
                <w:szCs w:val="18"/>
                <w:highlight w:val="yellow"/>
                <w:lang w:val="en-US" w:eastAsia="en-US" w:bidi="ar-SA"/>
              </w:rPr>
            </w:pPr>
            <w:r>
              <w:rPr>
                <w:rFonts w:hint="default" w:ascii="Times New Roman" w:hAnsi="Times New Roman" w:eastAsia="宋体" w:cs="Times New Roman"/>
                <w:sz w:val="18"/>
                <w:szCs w:val="18"/>
                <w:highlight w:val="yellow"/>
              </w:rPr>
              <w:t>0.025</w:t>
            </w:r>
          </w:p>
        </w:tc>
        <w:tc>
          <w:tcPr>
            <w:tcW w:w="1066" w:type="pct"/>
            <w:shd w:val="clear" w:color="auto" w:fill="auto"/>
            <w:vAlign w:val="center"/>
          </w:tcPr>
          <w:p w14:paraId="420886DB">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napToGrid w:val="0"/>
                <w:color w:val="000000"/>
                <w:kern w:val="2"/>
                <w:sz w:val="18"/>
                <w:szCs w:val="18"/>
                <w:highlight w:val="yellow"/>
                <w:lang w:val="en-US" w:eastAsia="en-US" w:bidi="ar-SA"/>
              </w:rPr>
            </w:pPr>
            <w:r>
              <w:rPr>
                <w:rFonts w:hint="default" w:ascii="Times New Roman" w:hAnsi="Times New Roman" w:eastAsia="宋体" w:cs="Times New Roman"/>
                <w:sz w:val="18"/>
                <w:szCs w:val="18"/>
                <w:highlight w:val="yellow"/>
              </w:rPr>
              <w:t>0.015</w:t>
            </w:r>
          </w:p>
        </w:tc>
        <w:tc>
          <w:tcPr>
            <w:tcW w:w="1093" w:type="pct"/>
            <w:shd w:val="clear" w:color="auto" w:fill="auto"/>
            <w:vAlign w:val="center"/>
          </w:tcPr>
          <w:p w14:paraId="0989F4F8">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napToGrid w:val="0"/>
                <w:color w:val="000000"/>
                <w:kern w:val="2"/>
                <w:sz w:val="18"/>
                <w:szCs w:val="18"/>
                <w:highlight w:val="yellow"/>
                <w:lang w:val="en-US" w:eastAsia="en-US" w:bidi="ar-SA"/>
              </w:rPr>
            </w:pPr>
            <w:r>
              <w:rPr>
                <w:rFonts w:hint="default" w:ascii="Times New Roman" w:hAnsi="Times New Roman" w:eastAsia="宋体" w:cs="Times New Roman"/>
                <w:sz w:val="18"/>
                <w:szCs w:val="18"/>
                <w:highlight w:val="yellow"/>
              </w:rPr>
              <w:t>0.035</w:t>
            </w:r>
          </w:p>
        </w:tc>
      </w:tr>
      <w:tr w14:paraId="7C874782">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886" w:type="pct"/>
            <w:vMerge w:val="continue"/>
            <w:tcBorders>
              <w:top w:val="single" w:color="auto" w:sz="4" w:space="0"/>
              <w:bottom w:val="single" w:color="auto" w:sz="4" w:space="0"/>
            </w:tcBorders>
            <w:vAlign w:val="center"/>
          </w:tcPr>
          <w:p w14:paraId="70736CA1">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highlight w:val="yellow"/>
              </w:rPr>
            </w:pPr>
          </w:p>
        </w:tc>
        <w:tc>
          <w:tcPr>
            <w:tcW w:w="876" w:type="pct"/>
            <w:shd w:val="clear" w:color="auto" w:fill="auto"/>
            <w:vAlign w:val="center"/>
          </w:tcPr>
          <w:p w14:paraId="6CEDB293">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napToGrid w:val="0"/>
                <w:color w:val="000000"/>
                <w:kern w:val="2"/>
                <w:sz w:val="18"/>
                <w:szCs w:val="18"/>
                <w:highlight w:val="yellow"/>
                <w:lang w:val="en-US" w:eastAsia="en-US" w:bidi="ar-SA"/>
              </w:rPr>
            </w:pPr>
            <w:r>
              <w:rPr>
                <w:rFonts w:hint="default" w:ascii="Times New Roman" w:hAnsi="Times New Roman" w:eastAsia="宋体" w:cs="Times New Roman"/>
                <w:sz w:val="18"/>
                <w:szCs w:val="18"/>
                <w:highlight w:val="yellow"/>
              </w:rPr>
              <w:t>OS</w:t>
            </w:r>
            <w:r>
              <w:rPr>
                <w:rFonts w:hint="default" w:ascii="Times New Roman" w:hAnsi="Times New Roman" w:eastAsia="宋体" w:cs="Times New Roman"/>
                <w:spacing w:val="2"/>
                <w:sz w:val="18"/>
                <w:szCs w:val="18"/>
                <w:highlight w:val="yellow"/>
              </w:rPr>
              <w:t>015</w:t>
            </w:r>
          </w:p>
        </w:tc>
        <w:tc>
          <w:tcPr>
            <w:tcW w:w="1076" w:type="pct"/>
            <w:shd w:val="clear" w:color="auto" w:fill="auto"/>
            <w:vAlign w:val="center"/>
          </w:tcPr>
          <w:p w14:paraId="34A51552">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napToGrid w:val="0"/>
                <w:color w:val="000000"/>
                <w:kern w:val="2"/>
                <w:sz w:val="18"/>
                <w:szCs w:val="18"/>
                <w:highlight w:val="yellow"/>
                <w:lang w:val="en-US" w:eastAsia="en-US" w:bidi="ar-SA"/>
              </w:rPr>
            </w:pPr>
            <w:r>
              <w:rPr>
                <w:rFonts w:hint="default" w:ascii="Times New Roman" w:hAnsi="Times New Roman" w:eastAsia="宋体" w:cs="Times New Roman"/>
                <w:sz w:val="18"/>
                <w:szCs w:val="18"/>
                <w:highlight w:val="yellow"/>
              </w:rPr>
              <w:t>0.015</w:t>
            </w:r>
          </w:p>
        </w:tc>
        <w:tc>
          <w:tcPr>
            <w:tcW w:w="1066" w:type="pct"/>
            <w:shd w:val="clear" w:color="auto" w:fill="auto"/>
            <w:vAlign w:val="center"/>
          </w:tcPr>
          <w:p w14:paraId="1ED9ADAE">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napToGrid w:val="0"/>
                <w:color w:val="000000"/>
                <w:kern w:val="2"/>
                <w:sz w:val="18"/>
                <w:szCs w:val="18"/>
                <w:highlight w:val="yellow"/>
                <w:lang w:val="en-US" w:eastAsia="en-US" w:bidi="ar-SA"/>
              </w:rPr>
            </w:pPr>
            <w:r>
              <w:rPr>
                <w:rFonts w:hint="eastAsia" w:ascii="Times New Roman" w:hAnsi="Times New Roman" w:cs="Times New Roman"/>
                <w:spacing w:val="2"/>
                <w:sz w:val="18"/>
                <w:szCs w:val="18"/>
                <w:highlight w:val="yellow"/>
                <w:lang w:val="en-US" w:eastAsia="zh-CN"/>
              </w:rPr>
              <w:t>0.010</w:t>
            </w:r>
          </w:p>
        </w:tc>
        <w:tc>
          <w:tcPr>
            <w:tcW w:w="1093" w:type="pct"/>
            <w:shd w:val="clear" w:color="auto" w:fill="auto"/>
            <w:vAlign w:val="center"/>
          </w:tcPr>
          <w:p w14:paraId="275FBA6A">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napToGrid w:val="0"/>
                <w:color w:val="000000"/>
                <w:kern w:val="2"/>
                <w:sz w:val="18"/>
                <w:szCs w:val="18"/>
                <w:highlight w:val="yellow"/>
                <w:lang w:val="en-US" w:eastAsia="en-US" w:bidi="ar-SA"/>
              </w:rPr>
            </w:pPr>
            <w:r>
              <w:rPr>
                <w:rFonts w:hint="default" w:ascii="Times New Roman" w:hAnsi="Times New Roman" w:eastAsia="宋体" w:cs="Times New Roman"/>
                <w:sz w:val="18"/>
                <w:szCs w:val="18"/>
                <w:highlight w:val="yellow"/>
              </w:rPr>
              <w:t>0.025</w:t>
            </w:r>
          </w:p>
        </w:tc>
      </w:tr>
      <w:tr w14:paraId="67099F10">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5000" w:type="pct"/>
            <w:gridSpan w:val="5"/>
            <w:vAlign w:val="center"/>
          </w:tcPr>
          <w:p w14:paraId="10E5433A">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firstLine="368" w:firstLineChars="200"/>
              <w:jc w:val="left"/>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2"/>
                <w:sz w:val="18"/>
                <w:szCs w:val="18"/>
                <w:vertAlign w:val="superscript"/>
              </w:rPr>
              <w:t>*</w:t>
            </w:r>
            <w:r>
              <w:rPr>
                <w:rFonts w:hint="default" w:ascii="Times New Roman" w:hAnsi="Times New Roman" w:eastAsia="宋体" w:cs="Times New Roman"/>
                <w:spacing w:val="6"/>
                <w:sz w:val="18"/>
                <w:szCs w:val="18"/>
              </w:rPr>
              <w:t>指完全再结晶后的最小晶粒。</w:t>
            </w:r>
          </w:p>
        </w:tc>
      </w:tr>
    </w:tbl>
    <w:p w14:paraId="22674FC6">
      <w:pPr>
        <w:keepNext w:val="0"/>
        <w:keepLines w:val="0"/>
        <w:pageBreakBefore w:val="0"/>
        <w:widowControl w:val="0"/>
        <w:kinsoku/>
        <w:wordWrap/>
        <w:overflowPunct/>
        <w:topLinePunct w:val="0"/>
        <w:autoSpaceDE/>
        <w:autoSpaceDN/>
        <w:bidi w:val="0"/>
        <w:adjustRightInd/>
        <w:snapToGrid/>
        <w:spacing w:before="157" w:beforeLines="50"/>
        <w:ind w:firstLine="420" w:firstLineChars="200"/>
        <w:textAlignment w:val="auto"/>
        <w:rPr>
          <w:rFonts w:hint="default" w:ascii="Times New Roman" w:hAnsi="Times New Roman" w:eastAsia="宋体" w:cs="Times New Roman"/>
          <w:b w:val="0"/>
          <w:bCs/>
          <w:color w:val="000000" w:themeColor="text1"/>
          <w:highlight w:val="none"/>
          <w:lang w:val="en-US"/>
          <w14:textFill>
            <w14:solidFill>
              <w14:schemeClr w14:val="tx1"/>
            </w14:solidFill>
          </w14:textFill>
        </w:rPr>
      </w:pPr>
    </w:p>
    <w:p w14:paraId="358D9E26">
      <w:pPr>
        <w:pStyle w:val="6"/>
        <w:keepNext/>
        <w:keepLines/>
        <w:pageBreakBefore w:val="0"/>
        <w:widowControl w:val="0"/>
        <w:numPr>
          <w:ilvl w:val="0"/>
          <w:numId w:val="2"/>
        </w:numPr>
        <w:kinsoku/>
        <w:wordWrap/>
        <w:overflowPunct/>
        <w:topLinePunct w:val="0"/>
        <w:autoSpaceDE/>
        <w:autoSpaceDN/>
        <w:bidi w:val="0"/>
        <w:adjustRightInd/>
        <w:snapToGrid/>
        <w:spacing w:before="157" w:beforeLines="50" w:after="0" w:line="372" w:lineRule="auto"/>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与现行法律、法规、强制性国家标准及相关标准协调配套情况</w:t>
      </w:r>
    </w:p>
    <w:p w14:paraId="0D49D836">
      <w:pPr>
        <w:pStyle w:val="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本标准符合现行法律、法规的要求，并与其他同类国家标准、国家J用标准、行业标准无冲突、重叠和不协调之处。</w:t>
      </w:r>
    </w:p>
    <w:p w14:paraId="560C160C">
      <w:pPr>
        <w:pStyle w:val="6"/>
        <w:keepNext/>
        <w:keepLines/>
        <w:pageBreakBefore w:val="0"/>
        <w:widowControl w:val="0"/>
        <w:kinsoku/>
        <w:wordWrap/>
        <w:overflowPunct/>
        <w:topLinePunct w:val="0"/>
        <w:autoSpaceDE/>
        <w:autoSpaceDN/>
        <w:bidi w:val="0"/>
        <w:adjustRightInd/>
        <w:snapToGrid/>
        <w:spacing w:before="157" w:beforeLines="50" w:after="0" w:line="372" w:lineRule="auto"/>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bookmarkStart w:id="2" w:name="_Toc32100"/>
      <w:r>
        <w:rPr>
          <w:rFonts w:hint="default" w:ascii="Times New Roman" w:hAnsi="Times New Roman" w:eastAsia="宋体" w:cs="Times New Roman"/>
          <w:b w:val="0"/>
          <w:bCs/>
          <w:color w:val="000000" w:themeColor="text1"/>
          <w:highlight w:val="none"/>
          <w14:textFill>
            <w14:solidFill>
              <w14:schemeClr w14:val="tx1"/>
            </w14:solidFill>
          </w14:textFill>
        </w:rPr>
        <w:t>八、重大分歧意见的处理经过和依据</w:t>
      </w:r>
      <w:bookmarkEnd w:id="2"/>
    </w:p>
    <w:p w14:paraId="7E3F88DC">
      <w:pPr>
        <w:pStyle w:val="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暂无。</w:t>
      </w:r>
    </w:p>
    <w:p w14:paraId="69722C75">
      <w:pPr>
        <w:pStyle w:val="6"/>
        <w:keepNext/>
        <w:keepLines/>
        <w:pageBreakBefore w:val="0"/>
        <w:widowControl w:val="0"/>
        <w:kinsoku/>
        <w:wordWrap/>
        <w:overflowPunct/>
        <w:topLinePunct w:val="0"/>
        <w:autoSpaceDE/>
        <w:autoSpaceDN/>
        <w:bidi w:val="0"/>
        <w:adjustRightInd/>
        <w:snapToGrid/>
        <w:spacing w:before="157" w:beforeLines="50" w:after="0" w:line="372" w:lineRule="auto"/>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bookmarkStart w:id="3" w:name="_Toc15989"/>
      <w:r>
        <w:rPr>
          <w:rFonts w:hint="default" w:ascii="Times New Roman" w:hAnsi="Times New Roman" w:eastAsia="宋体" w:cs="Times New Roman"/>
          <w:b w:val="0"/>
          <w:bCs/>
          <w:color w:val="000000" w:themeColor="text1"/>
          <w:highlight w:val="none"/>
          <w14:textFill>
            <w14:solidFill>
              <w14:schemeClr w14:val="tx1"/>
            </w14:solidFill>
          </w14:textFill>
        </w:rPr>
        <w:t>九、作为强制性或推荐性国家标准的建议</w:t>
      </w:r>
      <w:bookmarkEnd w:id="3"/>
    </w:p>
    <w:p w14:paraId="4411247D">
      <w:pPr>
        <w:pStyle w:val="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本标准建议作为推荐性国家标准发布。</w:t>
      </w:r>
    </w:p>
    <w:p w14:paraId="555ECD06">
      <w:pPr>
        <w:pStyle w:val="6"/>
        <w:keepNext/>
        <w:keepLines/>
        <w:pageBreakBefore w:val="0"/>
        <w:widowControl w:val="0"/>
        <w:kinsoku/>
        <w:wordWrap/>
        <w:overflowPunct/>
        <w:topLinePunct w:val="0"/>
        <w:autoSpaceDE/>
        <w:autoSpaceDN/>
        <w:bidi w:val="0"/>
        <w:adjustRightInd/>
        <w:snapToGrid/>
        <w:spacing w:before="157" w:beforeLines="50" w:after="0" w:line="372" w:lineRule="auto"/>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bookmarkStart w:id="4" w:name="_Toc15588"/>
      <w:r>
        <w:rPr>
          <w:rFonts w:hint="default" w:ascii="Times New Roman" w:hAnsi="Times New Roman" w:eastAsia="宋体" w:cs="Times New Roman"/>
          <w:b w:val="0"/>
          <w:bCs/>
          <w:color w:val="000000" w:themeColor="text1"/>
          <w:highlight w:val="none"/>
          <w14:textFill>
            <w14:solidFill>
              <w14:schemeClr w14:val="tx1"/>
            </w14:solidFill>
          </w14:textFill>
        </w:rPr>
        <w:t>十、贯彻标准的要求和措施建议</w:t>
      </w:r>
      <w:bookmarkEnd w:id="4"/>
    </w:p>
    <w:p w14:paraId="28D86E93">
      <w:pPr>
        <w:pStyle w:val="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bookmarkStart w:id="5" w:name="_Toc7802"/>
      <w:r>
        <w:rPr>
          <w:rFonts w:hint="default" w:ascii="Times New Roman" w:hAnsi="Times New Roman" w:eastAsia="宋体" w:cs="Times New Roman"/>
          <w:b w:val="0"/>
          <w:bCs/>
          <w:color w:val="000000" w:themeColor="text1"/>
          <w:highlight w:val="none"/>
          <w14:textFill>
            <w14:solidFill>
              <w14:schemeClr w14:val="tx1"/>
            </w14:solidFill>
          </w14:textFill>
        </w:rPr>
        <w:t>本标准根据市场对</w:t>
      </w:r>
      <w:r>
        <w:rPr>
          <w:rFonts w:hint="eastAsia" w:cs="Times New Roman"/>
          <w:b w:val="0"/>
          <w:bCs/>
          <w:color w:val="000000" w:themeColor="text1"/>
          <w:highlight w:val="none"/>
          <w:lang w:val="en-US" w:eastAsia="zh-CN"/>
          <w14:textFill>
            <w14:solidFill>
              <w14:schemeClr w14:val="tx1"/>
            </w14:solidFill>
          </w14:textFill>
        </w:rPr>
        <w:t>无油轴承</w:t>
      </w:r>
      <w:r>
        <w:rPr>
          <w:rFonts w:hint="default" w:ascii="Times New Roman" w:hAnsi="Times New Roman" w:eastAsia="宋体" w:cs="Times New Roman"/>
          <w:b w:val="0"/>
          <w:bCs/>
          <w:color w:val="000000" w:themeColor="text1"/>
          <w:highlight w:val="none"/>
          <w14:textFill>
            <w14:solidFill>
              <w14:schemeClr w14:val="tx1"/>
            </w14:solidFill>
          </w14:textFill>
        </w:rPr>
        <w:t>用铜及铜合金带箔材的需求和客户的特殊要求进行了修订，标准全面覆盖了一般</w:t>
      </w:r>
      <w:r>
        <w:rPr>
          <w:rFonts w:hint="eastAsia" w:cs="Times New Roman"/>
          <w:b w:val="0"/>
          <w:bCs/>
          <w:color w:val="000000" w:themeColor="text1"/>
          <w:highlight w:val="none"/>
          <w:lang w:val="en-US" w:eastAsia="zh-CN"/>
          <w14:textFill>
            <w14:solidFill>
              <w14:schemeClr w14:val="tx1"/>
            </w14:solidFill>
          </w14:textFill>
        </w:rPr>
        <w:t>无油轴承</w:t>
      </w:r>
      <w:r>
        <w:rPr>
          <w:rFonts w:hint="default" w:ascii="Times New Roman" w:hAnsi="Times New Roman" w:eastAsia="宋体" w:cs="Times New Roman"/>
          <w:b w:val="0"/>
          <w:bCs/>
          <w:color w:val="000000" w:themeColor="text1"/>
          <w:highlight w:val="none"/>
          <w14:textFill>
            <w14:solidFill>
              <w14:schemeClr w14:val="tx1"/>
            </w14:solidFill>
          </w14:textFill>
        </w:rPr>
        <w:t>用铜及铜合金带箔材的技术要求，建议相关单位组织专项标准宣贯会并进行系统学习。本标准发布后，各企业应积极宣传和贯彻，并采用新标准订货，以保证产品质量，满足国内外市场及用户的需求。</w:t>
      </w:r>
    </w:p>
    <w:p w14:paraId="5F3735B0">
      <w:pPr>
        <w:pStyle w:val="6"/>
        <w:keepNext/>
        <w:keepLines/>
        <w:pageBreakBefore w:val="0"/>
        <w:widowControl w:val="0"/>
        <w:kinsoku/>
        <w:wordWrap/>
        <w:overflowPunct/>
        <w:topLinePunct w:val="0"/>
        <w:autoSpaceDE/>
        <w:autoSpaceDN/>
        <w:bidi w:val="0"/>
        <w:adjustRightInd/>
        <w:snapToGrid/>
        <w:spacing w:before="157" w:beforeLines="50" w:after="0" w:line="372" w:lineRule="auto"/>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十一、废止现行有关标准的建议</w:t>
      </w:r>
      <w:bookmarkEnd w:id="5"/>
    </w:p>
    <w:p w14:paraId="0E826A0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无。</w:t>
      </w:r>
    </w:p>
    <w:p w14:paraId="1E7D3833">
      <w:pPr>
        <w:pStyle w:val="6"/>
        <w:keepNext/>
        <w:keepLines/>
        <w:pageBreakBefore w:val="0"/>
        <w:widowControl w:val="0"/>
        <w:kinsoku/>
        <w:wordWrap/>
        <w:overflowPunct/>
        <w:topLinePunct w:val="0"/>
        <w:autoSpaceDE/>
        <w:autoSpaceDN/>
        <w:bidi w:val="0"/>
        <w:adjustRightInd/>
        <w:snapToGrid/>
        <w:spacing w:before="157" w:beforeLines="50" w:after="0" w:line="372" w:lineRule="auto"/>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bookmarkStart w:id="6" w:name="_Toc22451"/>
      <w:r>
        <w:rPr>
          <w:rFonts w:hint="default" w:ascii="Times New Roman" w:hAnsi="Times New Roman" w:eastAsia="宋体" w:cs="Times New Roman"/>
          <w:b w:val="0"/>
          <w:bCs/>
          <w:color w:val="000000" w:themeColor="text1"/>
          <w:highlight w:val="none"/>
          <w14:textFill>
            <w14:solidFill>
              <w14:schemeClr w14:val="tx1"/>
            </w14:solidFill>
          </w14:textFill>
        </w:rPr>
        <w:t>十二、其他主要内容的解释和其他需要说明的事项。</w:t>
      </w:r>
      <w:bookmarkEnd w:id="6"/>
    </w:p>
    <w:p w14:paraId="356BF45A">
      <w:pPr>
        <w:pStyle w:val="9"/>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b w:val="0"/>
          <w:bCs/>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无。</w:t>
      </w:r>
    </w:p>
    <w:p w14:paraId="7F0FD3E2">
      <w:pPr>
        <w:pStyle w:val="2"/>
        <w:keepNext w:val="0"/>
        <w:keepLines w:val="0"/>
        <w:pageBreakBefore w:val="0"/>
        <w:widowControl w:val="0"/>
        <w:kinsoku/>
        <w:wordWrap/>
        <w:overflowPunct/>
        <w:topLinePunct w:val="0"/>
        <w:autoSpaceDE/>
        <w:autoSpaceDN/>
        <w:bidi w:val="0"/>
        <w:adjustRightInd/>
        <w:snapToGrid/>
        <w:spacing w:before="157" w:beforeLines="50" w:after="0" w:line="360" w:lineRule="auto"/>
        <w:ind w:firstLine="420" w:firstLineChars="200"/>
        <w:jc w:val="right"/>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《无油轴承用铜合金板》编制组</w:t>
      </w:r>
    </w:p>
    <w:p w14:paraId="40052590">
      <w:pPr>
        <w:pStyle w:val="2"/>
        <w:keepNext w:val="0"/>
        <w:keepLines w:val="0"/>
        <w:pageBreakBefore w:val="0"/>
        <w:widowControl w:val="0"/>
        <w:kinsoku/>
        <w:wordWrap/>
        <w:overflowPunct/>
        <w:topLinePunct w:val="0"/>
        <w:autoSpaceDE/>
        <w:autoSpaceDN/>
        <w:bidi w:val="0"/>
        <w:adjustRightInd/>
        <w:snapToGrid/>
        <w:spacing w:before="157" w:beforeLines="50" w:after="0" w:line="360" w:lineRule="auto"/>
        <w:ind w:firstLine="420" w:firstLineChars="200"/>
        <w:jc w:val="right"/>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202</w:t>
      </w:r>
      <w:r>
        <w:rPr>
          <w:rFonts w:hint="eastAsia" w:cs="Times New Roman"/>
          <w:b w:val="0"/>
          <w:bCs/>
          <w:color w:val="000000" w:themeColor="text1"/>
          <w:highlight w:val="none"/>
          <w:lang w:val="en-US" w:eastAsia="zh-CN"/>
          <w14:textFill>
            <w14:solidFill>
              <w14:schemeClr w14:val="tx1"/>
            </w14:solidFill>
          </w14:textFill>
        </w:rPr>
        <w:t>6</w:t>
      </w:r>
      <w:r>
        <w:rPr>
          <w:rFonts w:hint="default" w:ascii="Times New Roman" w:hAnsi="Times New Roman" w:eastAsia="宋体" w:cs="Times New Roman"/>
          <w:b w:val="0"/>
          <w:bCs/>
          <w:color w:val="000000" w:themeColor="text1"/>
          <w:highlight w:val="none"/>
          <w14:textFill>
            <w14:solidFill>
              <w14:schemeClr w14:val="tx1"/>
            </w14:solidFill>
          </w14:textFill>
        </w:rPr>
        <w:t>年</w:t>
      </w:r>
      <w:r>
        <w:rPr>
          <w:rFonts w:hint="eastAsia" w:cs="Times New Roman"/>
          <w:b w:val="0"/>
          <w:bCs/>
          <w:color w:val="000000" w:themeColor="text1"/>
          <w:highlight w:val="none"/>
          <w:lang w:val="en-US" w:eastAsia="zh-CN"/>
          <w14:textFill>
            <w14:solidFill>
              <w14:schemeClr w14:val="tx1"/>
            </w14:solidFill>
          </w14:textFill>
        </w:rPr>
        <w:t>1</w:t>
      </w:r>
      <w:r>
        <w:rPr>
          <w:rFonts w:hint="default" w:ascii="Times New Roman" w:hAnsi="Times New Roman" w:eastAsia="宋体" w:cs="Times New Roman"/>
          <w:b w:val="0"/>
          <w:bCs/>
          <w:color w:val="000000" w:themeColor="text1"/>
          <w:highlight w:val="none"/>
          <w14:textFill>
            <w14:solidFill>
              <w14:schemeClr w14:val="tx1"/>
            </w14:solidFill>
          </w14:textFill>
        </w:rPr>
        <w:t>月</w:t>
      </w:r>
    </w:p>
    <w:sectPr>
      <w:footerReference r:id="rId3" w:type="default"/>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F9495">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EAC772">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37EAC772">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9F0784"/>
    <w:multiLevelType w:val="singleLevel"/>
    <w:tmpl w:val="DA9F0784"/>
    <w:lvl w:ilvl="0" w:tentative="0">
      <w:start w:val="5"/>
      <w:numFmt w:val="chineseCounting"/>
      <w:suff w:val="nothing"/>
      <w:lvlText w:val="%1、"/>
      <w:lvlJc w:val="left"/>
      <w:rPr>
        <w:rFonts w:hint="eastAsia"/>
      </w:rPr>
    </w:lvl>
  </w:abstractNum>
  <w:abstractNum w:abstractNumId="1">
    <w:nsid w:val="1F8F5EAC"/>
    <w:multiLevelType w:val="singleLevel"/>
    <w:tmpl w:val="1F8F5EAC"/>
    <w:lvl w:ilvl="0" w:tentative="0">
      <w:start w:val="1"/>
      <w:numFmt w:val="decimal"/>
      <w:suff w:val="nothing"/>
      <w:lvlText w:val="（%1）"/>
      <w:lvlJc w:val="left"/>
    </w:lvl>
  </w:abstractNum>
  <w:abstractNum w:abstractNumId="2">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3255" w:firstLine="0"/>
      </w:pPr>
      <w:rPr>
        <w:rFonts w:hint="eastAsia" w:ascii="黑体" w:hAnsi="Times New Roman" w:eastAsia="黑体"/>
        <w:b/>
        <w:i w:val="0"/>
        <w:sz w:val="21"/>
      </w:rPr>
    </w:lvl>
    <w:lvl w:ilvl="2" w:tentative="0">
      <w:start w:val="1"/>
      <w:numFmt w:val="decimal"/>
      <w:pStyle w:val="42"/>
      <w:suff w:val="nothing"/>
      <w:lvlText w:val="%1%2.%3　"/>
      <w:lvlJc w:val="left"/>
      <w:pPr>
        <w:ind w:left="0" w:firstLine="0"/>
      </w:pPr>
      <w:rPr>
        <w:rFonts w:hint="eastAsia" w:ascii="黑体" w:hAnsi="Times New Roman" w:eastAsia="黑体"/>
        <w:b w:val="0"/>
        <w:i w:val="0"/>
        <w:sz w:val="21"/>
      </w:rPr>
    </w:lvl>
    <w:lvl w:ilvl="3" w:tentative="0">
      <w:start w:val="1"/>
      <w:numFmt w:val="decimal"/>
      <w:pStyle w:val="41"/>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71AA375C"/>
    <w:multiLevelType w:val="singleLevel"/>
    <w:tmpl w:val="71AA375C"/>
    <w:lvl w:ilvl="0" w:tentative="0">
      <w:start w:val="4"/>
      <w:numFmt w:val="decimal"/>
      <w:suff w:val="nothing"/>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0OGQ2MDYzMjUzZDE4OTE2YmJkOGE0MDBhNDQwYTgifQ=="/>
  </w:docVars>
  <w:rsids>
    <w:rsidRoot w:val="0049152D"/>
    <w:rsid w:val="00000899"/>
    <w:rsid w:val="00002C81"/>
    <w:rsid w:val="0000328C"/>
    <w:rsid w:val="0000483E"/>
    <w:rsid w:val="0000533A"/>
    <w:rsid w:val="00006069"/>
    <w:rsid w:val="00007345"/>
    <w:rsid w:val="0000734E"/>
    <w:rsid w:val="000119A5"/>
    <w:rsid w:val="00011F52"/>
    <w:rsid w:val="0001287D"/>
    <w:rsid w:val="00013051"/>
    <w:rsid w:val="00013700"/>
    <w:rsid w:val="00014230"/>
    <w:rsid w:val="000142A3"/>
    <w:rsid w:val="0001434A"/>
    <w:rsid w:val="000146E1"/>
    <w:rsid w:val="00015683"/>
    <w:rsid w:val="00015B66"/>
    <w:rsid w:val="00016452"/>
    <w:rsid w:val="00016C1B"/>
    <w:rsid w:val="000174E9"/>
    <w:rsid w:val="00017703"/>
    <w:rsid w:val="00020B8D"/>
    <w:rsid w:val="00020E6C"/>
    <w:rsid w:val="0002350F"/>
    <w:rsid w:val="00025C36"/>
    <w:rsid w:val="00026B44"/>
    <w:rsid w:val="00026C0C"/>
    <w:rsid w:val="000312D7"/>
    <w:rsid w:val="00032958"/>
    <w:rsid w:val="00033C9E"/>
    <w:rsid w:val="00035A30"/>
    <w:rsid w:val="000362EA"/>
    <w:rsid w:val="0003648A"/>
    <w:rsid w:val="000370C9"/>
    <w:rsid w:val="000376FC"/>
    <w:rsid w:val="00041459"/>
    <w:rsid w:val="000425E5"/>
    <w:rsid w:val="00043943"/>
    <w:rsid w:val="00047256"/>
    <w:rsid w:val="00047897"/>
    <w:rsid w:val="00047C97"/>
    <w:rsid w:val="000538E0"/>
    <w:rsid w:val="00053978"/>
    <w:rsid w:val="000543AE"/>
    <w:rsid w:val="00056B2E"/>
    <w:rsid w:val="00057549"/>
    <w:rsid w:val="00060E9C"/>
    <w:rsid w:val="00061A95"/>
    <w:rsid w:val="00061BAC"/>
    <w:rsid w:val="00062BA9"/>
    <w:rsid w:val="000630E4"/>
    <w:rsid w:val="0006311A"/>
    <w:rsid w:val="000632D5"/>
    <w:rsid w:val="000634E4"/>
    <w:rsid w:val="00063E72"/>
    <w:rsid w:val="000647B0"/>
    <w:rsid w:val="000647D1"/>
    <w:rsid w:val="000648D5"/>
    <w:rsid w:val="00064F0E"/>
    <w:rsid w:val="0006509C"/>
    <w:rsid w:val="000661DC"/>
    <w:rsid w:val="0006634E"/>
    <w:rsid w:val="0006732E"/>
    <w:rsid w:val="00067F99"/>
    <w:rsid w:val="0007025D"/>
    <w:rsid w:val="0007113B"/>
    <w:rsid w:val="00072938"/>
    <w:rsid w:val="00072B7E"/>
    <w:rsid w:val="00073823"/>
    <w:rsid w:val="000738A3"/>
    <w:rsid w:val="00073EA4"/>
    <w:rsid w:val="00074BD0"/>
    <w:rsid w:val="00075228"/>
    <w:rsid w:val="00076905"/>
    <w:rsid w:val="00083504"/>
    <w:rsid w:val="00083671"/>
    <w:rsid w:val="0008539E"/>
    <w:rsid w:val="0008748A"/>
    <w:rsid w:val="00087579"/>
    <w:rsid w:val="00090932"/>
    <w:rsid w:val="00092B07"/>
    <w:rsid w:val="0009564E"/>
    <w:rsid w:val="000956AA"/>
    <w:rsid w:val="00095716"/>
    <w:rsid w:val="00095B00"/>
    <w:rsid w:val="000968E7"/>
    <w:rsid w:val="000A25DA"/>
    <w:rsid w:val="000A2674"/>
    <w:rsid w:val="000A46E3"/>
    <w:rsid w:val="000A68B0"/>
    <w:rsid w:val="000A68DC"/>
    <w:rsid w:val="000B0288"/>
    <w:rsid w:val="000B12AD"/>
    <w:rsid w:val="000B20BA"/>
    <w:rsid w:val="000C2E3D"/>
    <w:rsid w:val="000C4435"/>
    <w:rsid w:val="000C7BE6"/>
    <w:rsid w:val="000D004B"/>
    <w:rsid w:val="000D146E"/>
    <w:rsid w:val="000D255F"/>
    <w:rsid w:val="000D2968"/>
    <w:rsid w:val="000D3C54"/>
    <w:rsid w:val="000D419A"/>
    <w:rsid w:val="000D6C50"/>
    <w:rsid w:val="000E0E5D"/>
    <w:rsid w:val="000E12A2"/>
    <w:rsid w:val="000E2F2B"/>
    <w:rsid w:val="000E3BE4"/>
    <w:rsid w:val="000E5601"/>
    <w:rsid w:val="000E5B35"/>
    <w:rsid w:val="000E7291"/>
    <w:rsid w:val="000E7398"/>
    <w:rsid w:val="000E7492"/>
    <w:rsid w:val="000E75F6"/>
    <w:rsid w:val="000F0726"/>
    <w:rsid w:val="000F21CD"/>
    <w:rsid w:val="000F2931"/>
    <w:rsid w:val="000F60BA"/>
    <w:rsid w:val="000F7EE8"/>
    <w:rsid w:val="0010164F"/>
    <w:rsid w:val="00103B79"/>
    <w:rsid w:val="00103F5A"/>
    <w:rsid w:val="001043C6"/>
    <w:rsid w:val="0011080B"/>
    <w:rsid w:val="00112E27"/>
    <w:rsid w:val="001133B5"/>
    <w:rsid w:val="0011342C"/>
    <w:rsid w:val="00115E89"/>
    <w:rsid w:val="001169BC"/>
    <w:rsid w:val="001172DB"/>
    <w:rsid w:val="0011791C"/>
    <w:rsid w:val="0011799D"/>
    <w:rsid w:val="00117A27"/>
    <w:rsid w:val="00120FE8"/>
    <w:rsid w:val="001215B6"/>
    <w:rsid w:val="00122E35"/>
    <w:rsid w:val="00123CA5"/>
    <w:rsid w:val="00125817"/>
    <w:rsid w:val="00125CAC"/>
    <w:rsid w:val="00126111"/>
    <w:rsid w:val="001268D7"/>
    <w:rsid w:val="00130CC9"/>
    <w:rsid w:val="0013566C"/>
    <w:rsid w:val="001360C1"/>
    <w:rsid w:val="001421CF"/>
    <w:rsid w:val="00142C75"/>
    <w:rsid w:val="00143A39"/>
    <w:rsid w:val="00144F28"/>
    <w:rsid w:val="00145147"/>
    <w:rsid w:val="00145188"/>
    <w:rsid w:val="001455A0"/>
    <w:rsid w:val="00147858"/>
    <w:rsid w:val="001502D3"/>
    <w:rsid w:val="0015114D"/>
    <w:rsid w:val="001517E4"/>
    <w:rsid w:val="00151DFA"/>
    <w:rsid w:val="00152A50"/>
    <w:rsid w:val="00152CEE"/>
    <w:rsid w:val="00152F27"/>
    <w:rsid w:val="001531DA"/>
    <w:rsid w:val="00161411"/>
    <w:rsid w:val="0016143F"/>
    <w:rsid w:val="00161FB3"/>
    <w:rsid w:val="00162FCD"/>
    <w:rsid w:val="00164041"/>
    <w:rsid w:val="00164320"/>
    <w:rsid w:val="0016453D"/>
    <w:rsid w:val="00165B11"/>
    <w:rsid w:val="00167FF7"/>
    <w:rsid w:val="001710BE"/>
    <w:rsid w:val="001728AD"/>
    <w:rsid w:val="00173330"/>
    <w:rsid w:val="00175F20"/>
    <w:rsid w:val="0017788A"/>
    <w:rsid w:val="00180F34"/>
    <w:rsid w:val="00181FDF"/>
    <w:rsid w:val="00183DBE"/>
    <w:rsid w:val="00183F8C"/>
    <w:rsid w:val="00184A11"/>
    <w:rsid w:val="00185294"/>
    <w:rsid w:val="00186327"/>
    <w:rsid w:val="001866BE"/>
    <w:rsid w:val="001868B2"/>
    <w:rsid w:val="0019074F"/>
    <w:rsid w:val="001909E7"/>
    <w:rsid w:val="0019306C"/>
    <w:rsid w:val="001936E4"/>
    <w:rsid w:val="001945B5"/>
    <w:rsid w:val="00194AB3"/>
    <w:rsid w:val="00195204"/>
    <w:rsid w:val="0019675D"/>
    <w:rsid w:val="00196900"/>
    <w:rsid w:val="00196D91"/>
    <w:rsid w:val="0019747E"/>
    <w:rsid w:val="001976D2"/>
    <w:rsid w:val="00197920"/>
    <w:rsid w:val="001A03E1"/>
    <w:rsid w:val="001A0EA6"/>
    <w:rsid w:val="001A2F17"/>
    <w:rsid w:val="001A577D"/>
    <w:rsid w:val="001B1F37"/>
    <w:rsid w:val="001B276C"/>
    <w:rsid w:val="001B2EA2"/>
    <w:rsid w:val="001B548E"/>
    <w:rsid w:val="001B6C1B"/>
    <w:rsid w:val="001B7E54"/>
    <w:rsid w:val="001C010F"/>
    <w:rsid w:val="001C1800"/>
    <w:rsid w:val="001C1A61"/>
    <w:rsid w:val="001C1C7F"/>
    <w:rsid w:val="001C1FB6"/>
    <w:rsid w:val="001C3BD9"/>
    <w:rsid w:val="001C3C44"/>
    <w:rsid w:val="001C5F5B"/>
    <w:rsid w:val="001C63FA"/>
    <w:rsid w:val="001C6400"/>
    <w:rsid w:val="001C64E2"/>
    <w:rsid w:val="001D1CBF"/>
    <w:rsid w:val="001D29BF"/>
    <w:rsid w:val="001D2E17"/>
    <w:rsid w:val="001D3A88"/>
    <w:rsid w:val="001D4C7B"/>
    <w:rsid w:val="001D50AF"/>
    <w:rsid w:val="001E0750"/>
    <w:rsid w:val="001E1C8D"/>
    <w:rsid w:val="001E2613"/>
    <w:rsid w:val="001E35D2"/>
    <w:rsid w:val="001E5CB5"/>
    <w:rsid w:val="001E7143"/>
    <w:rsid w:val="001E77A0"/>
    <w:rsid w:val="001F0609"/>
    <w:rsid w:val="001F1028"/>
    <w:rsid w:val="001F18F7"/>
    <w:rsid w:val="001F21E5"/>
    <w:rsid w:val="001F3BE7"/>
    <w:rsid w:val="001F4570"/>
    <w:rsid w:val="001F64BD"/>
    <w:rsid w:val="001F7AA9"/>
    <w:rsid w:val="001F7D16"/>
    <w:rsid w:val="001F7D87"/>
    <w:rsid w:val="002007E1"/>
    <w:rsid w:val="00201957"/>
    <w:rsid w:val="002028F6"/>
    <w:rsid w:val="00202F21"/>
    <w:rsid w:val="00203916"/>
    <w:rsid w:val="00204E1B"/>
    <w:rsid w:val="00205696"/>
    <w:rsid w:val="00210806"/>
    <w:rsid w:val="00210D97"/>
    <w:rsid w:val="00211DAA"/>
    <w:rsid w:val="00212C2F"/>
    <w:rsid w:val="00213C05"/>
    <w:rsid w:val="00213CB8"/>
    <w:rsid w:val="00213D17"/>
    <w:rsid w:val="002149D3"/>
    <w:rsid w:val="00215CF2"/>
    <w:rsid w:val="00217EB2"/>
    <w:rsid w:val="00221A02"/>
    <w:rsid w:val="00221D88"/>
    <w:rsid w:val="0022398D"/>
    <w:rsid w:val="002252C9"/>
    <w:rsid w:val="00230C35"/>
    <w:rsid w:val="00231422"/>
    <w:rsid w:val="00232045"/>
    <w:rsid w:val="002320C8"/>
    <w:rsid w:val="00233226"/>
    <w:rsid w:val="00233A1C"/>
    <w:rsid w:val="0023455B"/>
    <w:rsid w:val="00234F74"/>
    <w:rsid w:val="00234FE4"/>
    <w:rsid w:val="00235328"/>
    <w:rsid w:val="002356F0"/>
    <w:rsid w:val="00240E23"/>
    <w:rsid w:val="00246A1A"/>
    <w:rsid w:val="00251FCE"/>
    <w:rsid w:val="002531B1"/>
    <w:rsid w:val="0025380C"/>
    <w:rsid w:val="00254BF3"/>
    <w:rsid w:val="002601E8"/>
    <w:rsid w:val="00260A33"/>
    <w:rsid w:val="00260CFE"/>
    <w:rsid w:val="0026166B"/>
    <w:rsid w:val="0026175A"/>
    <w:rsid w:val="00262CCF"/>
    <w:rsid w:val="00262E37"/>
    <w:rsid w:val="0026368F"/>
    <w:rsid w:val="00263946"/>
    <w:rsid w:val="00264E80"/>
    <w:rsid w:val="002653CB"/>
    <w:rsid w:val="002662BE"/>
    <w:rsid w:val="00267B20"/>
    <w:rsid w:val="00271A24"/>
    <w:rsid w:val="002727E2"/>
    <w:rsid w:val="002727F2"/>
    <w:rsid w:val="00276418"/>
    <w:rsid w:val="002766E1"/>
    <w:rsid w:val="00277D55"/>
    <w:rsid w:val="00277DE9"/>
    <w:rsid w:val="00280742"/>
    <w:rsid w:val="00281A43"/>
    <w:rsid w:val="002870F4"/>
    <w:rsid w:val="002931B8"/>
    <w:rsid w:val="00293432"/>
    <w:rsid w:val="00293797"/>
    <w:rsid w:val="002A119B"/>
    <w:rsid w:val="002A1596"/>
    <w:rsid w:val="002A39FC"/>
    <w:rsid w:val="002A477A"/>
    <w:rsid w:val="002A52DB"/>
    <w:rsid w:val="002A5373"/>
    <w:rsid w:val="002A610F"/>
    <w:rsid w:val="002A61D8"/>
    <w:rsid w:val="002A7451"/>
    <w:rsid w:val="002B0BEE"/>
    <w:rsid w:val="002B12B9"/>
    <w:rsid w:val="002B1C35"/>
    <w:rsid w:val="002B2BCB"/>
    <w:rsid w:val="002B33F4"/>
    <w:rsid w:val="002B351D"/>
    <w:rsid w:val="002B45E4"/>
    <w:rsid w:val="002B4A70"/>
    <w:rsid w:val="002B6C88"/>
    <w:rsid w:val="002C11C3"/>
    <w:rsid w:val="002C33FD"/>
    <w:rsid w:val="002C3F54"/>
    <w:rsid w:val="002C6308"/>
    <w:rsid w:val="002C7E20"/>
    <w:rsid w:val="002D16DB"/>
    <w:rsid w:val="002D29B7"/>
    <w:rsid w:val="002D6F42"/>
    <w:rsid w:val="002D75D7"/>
    <w:rsid w:val="002E22A3"/>
    <w:rsid w:val="002E34A8"/>
    <w:rsid w:val="002E3C9C"/>
    <w:rsid w:val="002E7402"/>
    <w:rsid w:val="002E743E"/>
    <w:rsid w:val="002F0868"/>
    <w:rsid w:val="002F0A63"/>
    <w:rsid w:val="002F18EC"/>
    <w:rsid w:val="002F3E1F"/>
    <w:rsid w:val="002F3FA9"/>
    <w:rsid w:val="002F4638"/>
    <w:rsid w:val="002F47B1"/>
    <w:rsid w:val="002F56D7"/>
    <w:rsid w:val="002F6351"/>
    <w:rsid w:val="002F6E9F"/>
    <w:rsid w:val="002F7378"/>
    <w:rsid w:val="00300AFD"/>
    <w:rsid w:val="00301047"/>
    <w:rsid w:val="00304AE0"/>
    <w:rsid w:val="003058A9"/>
    <w:rsid w:val="00305CA3"/>
    <w:rsid w:val="00306204"/>
    <w:rsid w:val="00310C92"/>
    <w:rsid w:val="00311726"/>
    <w:rsid w:val="00311A03"/>
    <w:rsid w:val="00311EF2"/>
    <w:rsid w:val="00311F46"/>
    <w:rsid w:val="00320486"/>
    <w:rsid w:val="00321BF3"/>
    <w:rsid w:val="003222DE"/>
    <w:rsid w:val="00323A14"/>
    <w:rsid w:val="00326E25"/>
    <w:rsid w:val="00327C26"/>
    <w:rsid w:val="0033114F"/>
    <w:rsid w:val="00332590"/>
    <w:rsid w:val="0033375D"/>
    <w:rsid w:val="003341F6"/>
    <w:rsid w:val="00334FCD"/>
    <w:rsid w:val="00334FD6"/>
    <w:rsid w:val="0033778F"/>
    <w:rsid w:val="00337C4B"/>
    <w:rsid w:val="00340915"/>
    <w:rsid w:val="00340C08"/>
    <w:rsid w:val="00340C89"/>
    <w:rsid w:val="0034101B"/>
    <w:rsid w:val="00341EAD"/>
    <w:rsid w:val="0034335F"/>
    <w:rsid w:val="0034452B"/>
    <w:rsid w:val="00344AA8"/>
    <w:rsid w:val="00345E08"/>
    <w:rsid w:val="00350386"/>
    <w:rsid w:val="003520BC"/>
    <w:rsid w:val="003530CC"/>
    <w:rsid w:val="00353342"/>
    <w:rsid w:val="00353EE8"/>
    <w:rsid w:val="0035503B"/>
    <w:rsid w:val="00357AB2"/>
    <w:rsid w:val="0036126F"/>
    <w:rsid w:val="0036236D"/>
    <w:rsid w:val="0036516E"/>
    <w:rsid w:val="0036648C"/>
    <w:rsid w:val="0036699F"/>
    <w:rsid w:val="00366FD6"/>
    <w:rsid w:val="00370D90"/>
    <w:rsid w:val="00371730"/>
    <w:rsid w:val="0037462A"/>
    <w:rsid w:val="00376214"/>
    <w:rsid w:val="003764C4"/>
    <w:rsid w:val="00376D7D"/>
    <w:rsid w:val="0038013C"/>
    <w:rsid w:val="0038064F"/>
    <w:rsid w:val="003807E6"/>
    <w:rsid w:val="00382075"/>
    <w:rsid w:val="003829D3"/>
    <w:rsid w:val="003854A7"/>
    <w:rsid w:val="003859E4"/>
    <w:rsid w:val="00387C73"/>
    <w:rsid w:val="00390678"/>
    <w:rsid w:val="003907CF"/>
    <w:rsid w:val="00393F84"/>
    <w:rsid w:val="00395D8B"/>
    <w:rsid w:val="003966FD"/>
    <w:rsid w:val="003A004A"/>
    <w:rsid w:val="003A0A71"/>
    <w:rsid w:val="003A0D28"/>
    <w:rsid w:val="003A0E43"/>
    <w:rsid w:val="003A0F8D"/>
    <w:rsid w:val="003A226A"/>
    <w:rsid w:val="003A3735"/>
    <w:rsid w:val="003A3C95"/>
    <w:rsid w:val="003A6A64"/>
    <w:rsid w:val="003B0813"/>
    <w:rsid w:val="003B159B"/>
    <w:rsid w:val="003B1D01"/>
    <w:rsid w:val="003B2710"/>
    <w:rsid w:val="003B30B6"/>
    <w:rsid w:val="003B5DA9"/>
    <w:rsid w:val="003B6FED"/>
    <w:rsid w:val="003C0561"/>
    <w:rsid w:val="003C0C3F"/>
    <w:rsid w:val="003C1DF8"/>
    <w:rsid w:val="003C259D"/>
    <w:rsid w:val="003C4551"/>
    <w:rsid w:val="003C45CD"/>
    <w:rsid w:val="003C5329"/>
    <w:rsid w:val="003D00B3"/>
    <w:rsid w:val="003D078B"/>
    <w:rsid w:val="003D23D7"/>
    <w:rsid w:val="003D2D50"/>
    <w:rsid w:val="003D2E34"/>
    <w:rsid w:val="003D3021"/>
    <w:rsid w:val="003D3613"/>
    <w:rsid w:val="003D6715"/>
    <w:rsid w:val="003D697A"/>
    <w:rsid w:val="003D70CD"/>
    <w:rsid w:val="003D763B"/>
    <w:rsid w:val="003D77DA"/>
    <w:rsid w:val="003E0B81"/>
    <w:rsid w:val="003E1850"/>
    <w:rsid w:val="003E28B7"/>
    <w:rsid w:val="003E29D5"/>
    <w:rsid w:val="003E57D1"/>
    <w:rsid w:val="003E6ADF"/>
    <w:rsid w:val="003E6EF7"/>
    <w:rsid w:val="003F49C6"/>
    <w:rsid w:val="003F555E"/>
    <w:rsid w:val="003F614E"/>
    <w:rsid w:val="003F7502"/>
    <w:rsid w:val="003F7BA1"/>
    <w:rsid w:val="00406567"/>
    <w:rsid w:val="0040765C"/>
    <w:rsid w:val="004076E2"/>
    <w:rsid w:val="0040773D"/>
    <w:rsid w:val="00407C11"/>
    <w:rsid w:val="00410088"/>
    <w:rsid w:val="004116FB"/>
    <w:rsid w:val="00412931"/>
    <w:rsid w:val="00414A71"/>
    <w:rsid w:val="004153B6"/>
    <w:rsid w:val="00416FB1"/>
    <w:rsid w:val="00417CE4"/>
    <w:rsid w:val="00421514"/>
    <w:rsid w:val="00421809"/>
    <w:rsid w:val="00422048"/>
    <w:rsid w:val="00424370"/>
    <w:rsid w:val="00425776"/>
    <w:rsid w:val="00425D82"/>
    <w:rsid w:val="004261BD"/>
    <w:rsid w:val="00427873"/>
    <w:rsid w:val="00430126"/>
    <w:rsid w:val="004301D5"/>
    <w:rsid w:val="004304B8"/>
    <w:rsid w:val="00432144"/>
    <w:rsid w:val="00435E7B"/>
    <w:rsid w:val="0043627F"/>
    <w:rsid w:val="0043704E"/>
    <w:rsid w:val="00440278"/>
    <w:rsid w:val="004405DE"/>
    <w:rsid w:val="0044264F"/>
    <w:rsid w:val="00442AA5"/>
    <w:rsid w:val="0044332E"/>
    <w:rsid w:val="00444E84"/>
    <w:rsid w:val="0044667C"/>
    <w:rsid w:val="00446C4C"/>
    <w:rsid w:val="004514C8"/>
    <w:rsid w:val="00451F87"/>
    <w:rsid w:val="00452906"/>
    <w:rsid w:val="004529DD"/>
    <w:rsid w:val="00452DAC"/>
    <w:rsid w:val="00453850"/>
    <w:rsid w:val="00454DB4"/>
    <w:rsid w:val="00454EB1"/>
    <w:rsid w:val="004553E4"/>
    <w:rsid w:val="004565BC"/>
    <w:rsid w:val="004576A5"/>
    <w:rsid w:val="00460FA1"/>
    <w:rsid w:val="00462143"/>
    <w:rsid w:val="0046322F"/>
    <w:rsid w:val="004666E1"/>
    <w:rsid w:val="0046734F"/>
    <w:rsid w:val="004720CB"/>
    <w:rsid w:val="004728DF"/>
    <w:rsid w:val="00473AA0"/>
    <w:rsid w:val="0047455F"/>
    <w:rsid w:val="00474C54"/>
    <w:rsid w:val="004765D1"/>
    <w:rsid w:val="004767A9"/>
    <w:rsid w:val="00476BD5"/>
    <w:rsid w:val="00480137"/>
    <w:rsid w:val="00480F80"/>
    <w:rsid w:val="00480FD3"/>
    <w:rsid w:val="00481581"/>
    <w:rsid w:val="0048184E"/>
    <w:rsid w:val="00482782"/>
    <w:rsid w:val="004840FC"/>
    <w:rsid w:val="00486195"/>
    <w:rsid w:val="004863ED"/>
    <w:rsid w:val="00486436"/>
    <w:rsid w:val="004869D0"/>
    <w:rsid w:val="00487974"/>
    <w:rsid w:val="004900F7"/>
    <w:rsid w:val="0049152D"/>
    <w:rsid w:val="00494307"/>
    <w:rsid w:val="004943AB"/>
    <w:rsid w:val="004947A6"/>
    <w:rsid w:val="00495C7F"/>
    <w:rsid w:val="00496CFF"/>
    <w:rsid w:val="00497207"/>
    <w:rsid w:val="004A1953"/>
    <w:rsid w:val="004A28E4"/>
    <w:rsid w:val="004A2B95"/>
    <w:rsid w:val="004B0F1A"/>
    <w:rsid w:val="004B12D0"/>
    <w:rsid w:val="004B1470"/>
    <w:rsid w:val="004C37E3"/>
    <w:rsid w:val="004C5DDC"/>
    <w:rsid w:val="004C639B"/>
    <w:rsid w:val="004C7324"/>
    <w:rsid w:val="004D0ACA"/>
    <w:rsid w:val="004D29DA"/>
    <w:rsid w:val="004D3777"/>
    <w:rsid w:val="004E166F"/>
    <w:rsid w:val="004E1E35"/>
    <w:rsid w:val="004E2D56"/>
    <w:rsid w:val="004E353D"/>
    <w:rsid w:val="004E4B54"/>
    <w:rsid w:val="004E5227"/>
    <w:rsid w:val="004E555F"/>
    <w:rsid w:val="004E6E7F"/>
    <w:rsid w:val="004F40C5"/>
    <w:rsid w:val="004F4C96"/>
    <w:rsid w:val="004F69A5"/>
    <w:rsid w:val="004F76C2"/>
    <w:rsid w:val="00500130"/>
    <w:rsid w:val="00503E65"/>
    <w:rsid w:val="00504978"/>
    <w:rsid w:val="0050730B"/>
    <w:rsid w:val="00511BD6"/>
    <w:rsid w:val="0051428E"/>
    <w:rsid w:val="0051437A"/>
    <w:rsid w:val="005147F3"/>
    <w:rsid w:val="00515D70"/>
    <w:rsid w:val="00517579"/>
    <w:rsid w:val="005176CE"/>
    <w:rsid w:val="005200E9"/>
    <w:rsid w:val="00522BD3"/>
    <w:rsid w:val="00523E5C"/>
    <w:rsid w:val="00524C16"/>
    <w:rsid w:val="005254B4"/>
    <w:rsid w:val="00525782"/>
    <w:rsid w:val="005267EB"/>
    <w:rsid w:val="00526A34"/>
    <w:rsid w:val="00526AAF"/>
    <w:rsid w:val="005276A6"/>
    <w:rsid w:val="00531DC8"/>
    <w:rsid w:val="00532265"/>
    <w:rsid w:val="00533A74"/>
    <w:rsid w:val="0053413C"/>
    <w:rsid w:val="00534433"/>
    <w:rsid w:val="00535449"/>
    <w:rsid w:val="00535487"/>
    <w:rsid w:val="00536839"/>
    <w:rsid w:val="00540BF2"/>
    <w:rsid w:val="0054112B"/>
    <w:rsid w:val="0054246B"/>
    <w:rsid w:val="005425CC"/>
    <w:rsid w:val="0054373A"/>
    <w:rsid w:val="005446B5"/>
    <w:rsid w:val="0054479D"/>
    <w:rsid w:val="00544E4C"/>
    <w:rsid w:val="005452B7"/>
    <w:rsid w:val="005464CA"/>
    <w:rsid w:val="00550C8A"/>
    <w:rsid w:val="00550D1E"/>
    <w:rsid w:val="00552199"/>
    <w:rsid w:val="0055331E"/>
    <w:rsid w:val="005562D8"/>
    <w:rsid w:val="00557088"/>
    <w:rsid w:val="00561B33"/>
    <w:rsid w:val="005624F7"/>
    <w:rsid w:val="00563071"/>
    <w:rsid w:val="005652D7"/>
    <w:rsid w:val="00573390"/>
    <w:rsid w:val="005757B3"/>
    <w:rsid w:val="0057757C"/>
    <w:rsid w:val="0058145D"/>
    <w:rsid w:val="00582510"/>
    <w:rsid w:val="00582834"/>
    <w:rsid w:val="005829BF"/>
    <w:rsid w:val="00582FD9"/>
    <w:rsid w:val="00583048"/>
    <w:rsid w:val="00583845"/>
    <w:rsid w:val="00583960"/>
    <w:rsid w:val="005849A6"/>
    <w:rsid w:val="005859AF"/>
    <w:rsid w:val="0058656F"/>
    <w:rsid w:val="00590E7B"/>
    <w:rsid w:val="00591422"/>
    <w:rsid w:val="005940E3"/>
    <w:rsid w:val="005946AF"/>
    <w:rsid w:val="005947B8"/>
    <w:rsid w:val="0059508E"/>
    <w:rsid w:val="00595137"/>
    <w:rsid w:val="00595729"/>
    <w:rsid w:val="00596591"/>
    <w:rsid w:val="005A0829"/>
    <w:rsid w:val="005A0EB2"/>
    <w:rsid w:val="005A1119"/>
    <w:rsid w:val="005A264C"/>
    <w:rsid w:val="005A3477"/>
    <w:rsid w:val="005A366C"/>
    <w:rsid w:val="005A3B0F"/>
    <w:rsid w:val="005A3B3F"/>
    <w:rsid w:val="005B1210"/>
    <w:rsid w:val="005B15F5"/>
    <w:rsid w:val="005B2378"/>
    <w:rsid w:val="005B58D2"/>
    <w:rsid w:val="005B6AD4"/>
    <w:rsid w:val="005B6B92"/>
    <w:rsid w:val="005B7284"/>
    <w:rsid w:val="005C0088"/>
    <w:rsid w:val="005C0357"/>
    <w:rsid w:val="005C0611"/>
    <w:rsid w:val="005C0980"/>
    <w:rsid w:val="005C0D65"/>
    <w:rsid w:val="005C0EE2"/>
    <w:rsid w:val="005C14A3"/>
    <w:rsid w:val="005C153A"/>
    <w:rsid w:val="005C1E43"/>
    <w:rsid w:val="005C40D0"/>
    <w:rsid w:val="005C566E"/>
    <w:rsid w:val="005D069C"/>
    <w:rsid w:val="005D179F"/>
    <w:rsid w:val="005D1EDE"/>
    <w:rsid w:val="005D489F"/>
    <w:rsid w:val="005D6DF8"/>
    <w:rsid w:val="005E200B"/>
    <w:rsid w:val="005E2355"/>
    <w:rsid w:val="005E3A3E"/>
    <w:rsid w:val="005E4F2E"/>
    <w:rsid w:val="005E6CA1"/>
    <w:rsid w:val="005E702C"/>
    <w:rsid w:val="005E73C2"/>
    <w:rsid w:val="005E7C44"/>
    <w:rsid w:val="005F197A"/>
    <w:rsid w:val="005F2927"/>
    <w:rsid w:val="005F2DF7"/>
    <w:rsid w:val="005F3007"/>
    <w:rsid w:val="005F304B"/>
    <w:rsid w:val="005F5F6F"/>
    <w:rsid w:val="005F698A"/>
    <w:rsid w:val="00600538"/>
    <w:rsid w:val="006025B8"/>
    <w:rsid w:val="00605CDD"/>
    <w:rsid w:val="00605EA7"/>
    <w:rsid w:val="0060674D"/>
    <w:rsid w:val="00606A00"/>
    <w:rsid w:val="00607A0D"/>
    <w:rsid w:val="006107CF"/>
    <w:rsid w:val="006110A4"/>
    <w:rsid w:val="0061333F"/>
    <w:rsid w:val="0061335C"/>
    <w:rsid w:val="00613FB1"/>
    <w:rsid w:val="006147B6"/>
    <w:rsid w:val="006155CA"/>
    <w:rsid w:val="0061668E"/>
    <w:rsid w:val="00616F62"/>
    <w:rsid w:val="006170F3"/>
    <w:rsid w:val="0061742C"/>
    <w:rsid w:val="006179B6"/>
    <w:rsid w:val="00621FD6"/>
    <w:rsid w:val="00624E56"/>
    <w:rsid w:val="00625A71"/>
    <w:rsid w:val="00627441"/>
    <w:rsid w:val="006316F9"/>
    <w:rsid w:val="006325B0"/>
    <w:rsid w:val="0063264C"/>
    <w:rsid w:val="006328AF"/>
    <w:rsid w:val="006331CE"/>
    <w:rsid w:val="00633980"/>
    <w:rsid w:val="00633EE8"/>
    <w:rsid w:val="006350C0"/>
    <w:rsid w:val="00636185"/>
    <w:rsid w:val="0063664A"/>
    <w:rsid w:val="0063792B"/>
    <w:rsid w:val="006425BC"/>
    <w:rsid w:val="00644904"/>
    <w:rsid w:val="00644F62"/>
    <w:rsid w:val="006451CB"/>
    <w:rsid w:val="00645383"/>
    <w:rsid w:val="00645C9F"/>
    <w:rsid w:val="00646E4E"/>
    <w:rsid w:val="0064758B"/>
    <w:rsid w:val="0064769A"/>
    <w:rsid w:val="00650546"/>
    <w:rsid w:val="006518DC"/>
    <w:rsid w:val="006519D0"/>
    <w:rsid w:val="00652836"/>
    <w:rsid w:val="0065321E"/>
    <w:rsid w:val="006533FD"/>
    <w:rsid w:val="00653D6B"/>
    <w:rsid w:val="006550B2"/>
    <w:rsid w:val="0065605D"/>
    <w:rsid w:val="006570C7"/>
    <w:rsid w:val="006577D8"/>
    <w:rsid w:val="00657B29"/>
    <w:rsid w:val="00657B50"/>
    <w:rsid w:val="006602A7"/>
    <w:rsid w:val="00660496"/>
    <w:rsid w:val="00660F14"/>
    <w:rsid w:val="0066162E"/>
    <w:rsid w:val="006617FA"/>
    <w:rsid w:val="00661B7A"/>
    <w:rsid w:val="00663325"/>
    <w:rsid w:val="006636FE"/>
    <w:rsid w:val="00664255"/>
    <w:rsid w:val="00664476"/>
    <w:rsid w:val="00664A10"/>
    <w:rsid w:val="0066541E"/>
    <w:rsid w:val="006654CA"/>
    <w:rsid w:val="00665C20"/>
    <w:rsid w:val="00673DCE"/>
    <w:rsid w:val="006749E5"/>
    <w:rsid w:val="00675C9D"/>
    <w:rsid w:val="00675DA5"/>
    <w:rsid w:val="00676165"/>
    <w:rsid w:val="006764A9"/>
    <w:rsid w:val="00676CB1"/>
    <w:rsid w:val="00686291"/>
    <w:rsid w:val="00686FA4"/>
    <w:rsid w:val="00691E65"/>
    <w:rsid w:val="00691EA1"/>
    <w:rsid w:val="00693886"/>
    <w:rsid w:val="00694BE9"/>
    <w:rsid w:val="00696114"/>
    <w:rsid w:val="0069667F"/>
    <w:rsid w:val="00696D4A"/>
    <w:rsid w:val="006974AF"/>
    <w:rsid w:val="00697728"/>
    <w:rsid w:val="006A03C8"/>
    <w:rsid w:val="006A07EB"/>
    <w:rsid w:val="006A1279"/>
    <w:rsid w:val="006A1CD6"/>
    <w:rsid w:val="006A362D"/>
    <w:rsid w:val="006A5E39"/>
    <w:rsid w:val="006A615E"/>
    <w:rsid w:val="006A641C"/>
    <w:rsid w:val="006B048C"/>
    <w:rsid w:val="006B210C"/>
    <w:rsid w:val="006B2C4A"/>
    <w:rsid w:val="006B2D1C"/>
    <w:rsid w:val="006B35DA"/>
    <w:rsid w:val="006B53F6"/>
    <w:rsid w:val="006B655F"/>
    <w:rsid w:val="006C11BE"/>
    <w:rsid w:val="006C1F06"/>
    <w:rsid w:val="006C2DB2"/>
    <w:rsid w:val="006C43B5"/>
    <w:rsid w:val="006C5E78"/>
    <w:rsid w:val="006C615F"/>
    <w:rsid w:val="006C6E2E"/>
    <w:rsid w:val="006C773D"/>
    <w:rsid w:val="006D28A5"/>
    <w:rsid w:val="006D2F81"/>
    <w:rsid w:val="006D3518"/>
    <w:rsid w:val="006D3F0C"/>
    <w:rsid w:val="006D4494"/>
    <w:rsid w:val="006D4AFF"/>
    <w:rsid w:val="006D53EB"/>
    <w:rsid w:val="006D67E7"/>
    <w:rsid w:val="006D6A30"/>
    <w:rsid w:val="006D76DB"/>
    <w:rsid w:val="006E1599"/>
    <w:rsid w:val="006E3F66"/>
    <w:rsid w:val="006E4DC1"/>
    <w:rsid w:val="006E58C8"/>
    <w:rsid w:val="006E669A"/>
    <w:rsid w:val="006E7C7B"/>
    <w:rsid w:val="006F1F44"/>
    <w:rsid w:val="006F2ADA"/>
    <w:rsid w:val="006F2AE7"/>
    <w:rsid w:val="006F2D52"/>
    <w:rsid w:val="006F3591"/>
    <w:rsid w:val="006F7B7C"/>
    <w:rsid w:val="0070002A"/>
    <w:rsid w:val="00700DAE"/>
    <w:rsid w:val="007015A1"/>
    <w:rsid w:val="0070297A"/>
    <w:rsid w:val="00704090"/>
    <w:rsid w:val="00706102"/>
    <w:rsid w:val="00711461"/>
    <w:rsid w:val="00711798"/>
    <w:rsid w:val="0071373D"/>
    <w:rsid w:val="00713758"/>
    <w:rsid w:val="00715907"/>
    <w:rsid w:val="00720307"/>
    <w:rsid w:val="00722D85"/>
    <w:rsid w:val="007236C0"/>
    <w:rsid w:val="00724361"/>
    <w:rsid w:val="00724564"/>
    <w:rsid w:val="007255E3"/>
    <w:rsid w:val="007265F0"/>
    <w:rsid w:val="007269E3"/>
    <w:rsid w:val="00732460"/>
    <w:rsid w:val="00733D7B"/>
    <w:rsid w:val="00735881"/>
    <w:rsid w:val="00735F13"/>
    <w:rsid w:val="007364A0"/>
    <w:rsid w:val="00736867"/>
    <w:rsid w:val="007408D5"/>
    <w:rsid w:val="0074154C"/>
    <w:rsid w:val="00741FDE"/>
    <w:rsid w:val="00742757"/>
    <w:rsid w:val="007430B3"/>
    <w:rsid w:val="007453E5"/>
    <w:rsid w:val="00746363"/>
    <w:rsid w:val="007464AF"/>
    <w:rsid w:val="00746C27"/>
    <w:rsid w:val="00750371"/>
    <w:rsid w:val="00750941"/>
    <w:rsid w:val="00750BF7"/>
    <w:rsid w:val="0075108D"/>
    <w:rsid w:val="007557DC"/>
    <w:rsid w:val="00760148"/>
    <w:rsid w:val="007611F3"/>
    <w:rsid w:val="00762451"/>
    <w:rsid w:val="007656EE"/>
    <w:rsid w:val="00766B87"/>
    <w:rsid w:val="00767F5A"/>
    <w:rsid w:val="00771493"/>
    <w:rsid w:val="00771A62"/>
    <w:rsid w:val="0077338A"/>
    <w:rsid w:val="00773A59"/>
    <w:rsid w:val="00774701"/>
    <w:rsid w:val="007771DC"/>
    <w:rsid w:val="00777F89"/>
    <w:rsid w:val="00782574"/>
    <w:rsid w:val="007831CE"/>
    <w:rsid w:val="0078347B"/>
    <w:rsid w:val="00784F06"/>
    <w:rsid w:val="00790B45"/>
    <w:rsid w:val="0079220D"/>
    <w:rsid w:val="00792719"/>
    <w:rsid w:val="00792749"/>
    <w:rsid w:val="007928CE"/>
    <w:rsid w:val="00792ADA"/>
    <w:rsid w:val="00793ECE"/>
    <w:rsid w:val="00796E22"/>
    <w:rsid w:val="0079778C"/>
    <w:rsid w:val="00797E1A"/>
    <w:rsid w:val="007A35C4"/>
    <w:rsid w:val="007A3CC4"/>
    <w:rsid w:val="007A4418"/>
    <w:rsid w:val="007A45F1"/>
    <w:rsid w:val="007A56FF"/>
    <w:rsid w:val="007A5B54"/>
    <w:rsid w:val="007A766F"/>
    <w:rsid w:val="007B1B31"/>
    <w:rsid w:val="007B2921"/>
    <w:rsid w:val="007B392C"/>
    <w:rsid w:val="007B4388"/>
    <w:rsid w:val="007B45BA"/>
    <w:rsid w:val="007B49CE"/>
    <w:rsid w:val="007B4E9A"/>
    <w:rsid w:val="007B5474"/>
    <w:rsid w:val="007B5E52"/>
    <w:rsid w:val="007B69A9"/>
    <w:rsid w:val="007B79BB"/>
    <w:rsid w:val="007C0298"/>
    <w:rsid w:val="007C08B0"/>
    <w:rsid w:val="007C1163"/>
    <w:rsid w:val="007C1847"/>
    <w:rsid w:val="007C2376"/>
    <w:rsid w:val="007C23F5"/>
    <w:rsid w:val="007C45B1"/>
    <w:rsid w:val="007C482F"/>
    <w:rsid w:val="007C6371"/>
    <w:rsid w:val="007C672B"/>
    <w:rsid w:val="007D2756"/>
    <w:rsid w:val="007D280C"/>
    <w:rsid w:val="007D3C02"/>
    <w:rsid w:val="007D4395"/>
    <w:rsid w:val="007D4964"/>
    <w:rsid w:val="007D49A6"/>
    <w:rsid w:val="007D4B36"/>
    <w:rsid w:val="007D70B2"/>
    <w:rsid w:val="007D7313"/>
    <w:rsid w:val="007E0FC8"/>
    <w:rsid w:val="007E12FA"/>
    <w:rsid w:val="007E1C58"/>
    <w:rsid w:val="007E1D94"/>
    <w:rsid w:val="007E29EB"/>
    <w:rsid w:val="007E2B9F"/>
    <w:rsid w:val="007E4197"/>
    <w:rsid w:val="007E59FE"/>
    <w:rsid w:val="007E5C58"/>
    <w:rsid w:val="007E6320"/>
    <w:rsid w:val="007E640E"/>
    <w:rsid w:val="007E72D7"/>
    <w:rsid w:val="007F11F4"/>
    <w:rsid w:val="007F2366"/>
    <w:rsid w:val="007F2A06"/>
    <w:rsid w:val="007F4F74"/>
    <w:rsid w:val="007F5A11"/>
    <w:rsid w:val="007F62FA"/>
    <w:rsid w:val="007F6887"/>
    <w:rsid w:val="00801520"/>
    <w:rsid w:val="008020B9"/>
    <w:rsid w:val="0080321B"/>
    <w:rsid w:val="008057DB"/>
    <w:rsid w:val="00806FE8"/>
    <w:rsid w:val="00807805"/>
    <w:rsid w:val="00810C47"/>
    <w:rsid w:val="00810DC1"/>
    <w:rsid w:val="008122E0"/>
    <w:rsid w:val="0081279E"/>
    <w:rsid w:val="008139A3"/>
    <w:rsid w:val="008139C1"/>
    <w:rsid w:val="00813A79"/>
    <w:rsid w:val="0081473C"/>
    <w:rsid w:val="0081684A"/>
    <w:rsid w:val="00816BB8"/>
    <w:rsid w:val="00817F38"/>
    <w:rsid w:val="00820E4E"/>
    <w:rsid w:val="0082207A"/>
    <w:rsid w:val="00823429"/>
    <w:rsid w:val="008309E3"/>
    <w:rsid w:val="008314BA"/>
    <w:rsid w:val="00832337"/>
    <w:rsid w:val="00832B7B"/>
    <w:rsid w:val="00832FFA"/>
    <w:rsid w:val="008347F7"/>
    <w:rsid w:val="008353FC"/>
    <w:rsid w:val="00837C2E"/>
    <w:rsid w:val="00837FDA"/>
    <w:rsid w:val="00841543"/>
    <w:rsid w:val="00841833"/>
    <w:rsid w:val="008418E3"/>
    <w:rsid w:val="00842E49"/>
    <w:rsid w:val="00843D2B"/>
    <w:rsid w:val="00843FE0"/>
    <w:rsid w:val="00844357"/>
    <w:rsid w:val="008443F9"/>
    <w:rsid w:val="00844C65"/>
    <w:rsid w:val="00845862"/>
    <w:rsid w:val="00846311"/>
    <w:rsid w:val="008470F0"/>
    <w:rsid w:val="008473F7"/>
    <w:rsid w:val="00847750"/>
    <w:rsid w:val="008478D1"/>
    <w:rsid w:val="00847DE1"/>
    <w:rsid w:val="00850C3C"/>
    <w:rsid w:val="00851A9C"/>
    <w:rsid w:val="0085300C"/>
    <w:rsid w:val="008608E6"/>
    <w:rsid w:val="00860B78"/>
    <w:rsid w:val="00860BCC"/>
    <w:rsid w:val="00861880"/>
    <w:rsid w:val="0086195A"/>
    <w:rsid w:val="00861B47"/>
    <w:rsid w:val="0086229E"/>
    <w:rsid w:val="00862CED"/>
    <w:rsid w:val="0086480A"/>
    <w:rsid w:val="00864CD8"/>
    <w:rsid w:val="00867F87"/>
    <w:rsid w:val="00870279"/>
    <w:rsid w:val="00870603"/>
    <w:rsid w:val="0087096F"/>
    <w:rsid w:val="00871460"/>
    <w:rsid w:val="008755BA"/>
    <w:rsid w:val="00881208"/>
    <w:rsid w:val="00884FC6"/>
    <w:rsid w:val="00885D48"/>
    <w:rsid w:val="0089080C"/>
    <w:rsid w:val="00890C8E"/>
    <w:rsid w:val="00895D8D"/>
    <w:rsid w:val="008A172E"/>
    <w:rsid w:val="008A1F51"/>
    <w:rsid w:val="008A2695"/>
    <w:rsid w:val="008A33D5"/>
    <w:rsid w:val="008A45E8"/>
    <w:rsid w:val="008A5D75"/>
    <w:rsid w:val="008A7719"/>
    <w:rsid w:val="008A7A9A"/>
    <w:rsid w:val="008B0AFD"/>
    <w:rsid w:val="008B3B41"/>
    <w:rsid w:val="008B44DA"/>
    <w:rsid w:val="008B4D42"/>
    <w:rsid w:val="008B5CA8"/>
    <w:rsid w:val="008B6FB0"/>
    <w:rsid w:val="008C1AB9"/>
    <w:rsid w:val="008C32CD"/>
    <w:rsid w:val="008C4891"/>
    <w:rsid w:val="008C64BD"/>
    <w:rsid w:val="008C7A4C"/>
    <w:rsid w:val="008C7F9B"/>
    <w:rsid w:val="008D1583"/>
    <w:rsid w:val="008D38F1"/>
    <w:rsid w:val="008D509B"/>
    <w:rsid w:val="008D53A8"/>
    <w:rsid w:val="008D716B"/>
    <w:rsid w:val="008E047F"/>
    <w:rsid w:val="008E0678"/>
    <w:rsid w:val="008E110C"/>
    <w:rsid w:val="008E11F8"/>
    <w:rsid w:val="008E4D3C"/>
    <w:rsid w:val="008E4E14"/>
    <w:rsid w:val="008E7F39"/>
    <w:rsid w:val="008F0A69"/>
    <w:rsid w:val="008F102D"/>
    <w:rsid w:val="008F14A2"/>
    <w:rsid w:val="008F4D5D"/>
    <w:rsid w:val="008F7204"/>
    <w:rsid w:val="009047FC"/>
    <w:rsid w:val="0090530E"/>
    <w:rsid w:val="009058EC"/>
    <w:rsid w:val="00905CA5"/>
    <w:rsid w:val="009064C3"/>
    <w:rsid w:val="00906858"/>
    <w:rsid w:val="00906E4E"/>
    <w:rsid w:val="00907177"/>
    <w:rsid w:val="009071AD"/>
    <w:rsid w:val="00907A06"/>
    <w:rsid w:val="00907A43"/>
    <w:rsid w:val="009131C0"/>
    <w:rsid w:val="0091413D"/>
    <w:rsid w:val="009155A6"/>
    <w:rsid w:val="00916FAC"/>
    <w:rsid w:val="009175F1"/>
    <w:rsid w:val="00920DC1"/>
    <w:rsid w:val="00920F09"/>
    <w:rsid w:val="00922FA5"/>
    <w:rsid w:val="00923B5B"/>
    <w:rsid w:val="00923DD8"/>
    <w:rsid w:val="00924FEC"/>
    <w:rsid w:val="009250A2"/>
    <w:rsid w:val="00926375"/>
    <w:rsid w:val="00930551"/>
    <w:rsid w:val="00931EF1"/>
    <w:rsid w:val="00932C17"/>
    <w:rsid w:val="0093307B"/>
    <w:rsid w:val="009331B2"/>
    <w:rsid w:val="009351F3"/>
    <w:rsid w:val="00937229"/>
    <w:rsid w:val="00941C1D"/>
    <w:rsid w:val="00941EF0"/>
    <w:rsid w:val="009423AA"/>
    <w:rsid w:val="009423AC"/>
    <w:rsid w:val="00943218"/>
    <w:rsid w:val="009453A2"/>
    <w:rsid w:val="00946AB1"/>
    <w:rsid w:val="009504B8"/>
    <w:rsid w:val="009517F6"/>
    <w:rsid w:val="00953281"/>
    <w:rsid w:val="00953B8E"/>
    <w:rsid w:val="00956565"/>
    <w:rsid w:val="00957FDC"/>
    <w:rsid w:val="009601AB"/>
    <w:rsid w:val="00960D92"/>
    <w:rsid w:val="00961947"/>
    <w:rsid w:val="00962C7C"/>
    <w:rsid w:val="00962F2C"/>
    <w:rsid w:val="0096331D"/>
    <w:rsid w:val="00963579"/>
    <w:rsid w:val="00963C26"/>
    <w:rsid w:val="00963D08"/>
    <w:rsid w:val="00963E4F"/>
    <w:rsid w:val="00965CA7"/>
    <w:rsid w:val="00966160"/>
    <w:rsid w:val="009672AC"/>
    <w:rsid w:val="00967EDD"/>
    <w:rsid w:val="00971910"/>
    <w:rsid w:val="00972B8E"/>
    <w:rsid w:val="00973A55"/>
    <w:rsid w:val="00974C45"/>
    <w:rsid w:val="00975A1E"/>
    <w:rsid w:val="00975C75"/>
    <w:rsid w:val="00980B13"/>
    <w:rsid w:val="00980F6D"/>
    <w:rsid w:val="00982E2D"/>
    <w:rsid w:val="00982F94"/>
    <w:rsid w:val="00983EDA"/>
    <w:rsid w:val="00985422"/>
    <w:rsid w:val="009867CF"/>
    <w:rsid w:val="00986DCF"/>
    <w:rsid w:val="00991021"/>
    <w:rsid w:val="00992A6C"/>
    <w:rsid w:val="00992B39"/>
    <w:rsid w:val="0099664C"/>
    <w:rsid w:val="00996DF4"/>
    <w:rsid w:val="009A02E4"/>
    <w:rsid w:val="009A0A3D"/>
    <w:rsid w:val="009A11AA"/>
    <w:rsid w:val="009A1442"/>
    <w:rsid w:val="009A1C7C"/>
    <w:rsid w:val="009A2D3A"/>
    <w:rsid w:val="009A3F87"/>
    <w:rsid w:val="009A4F82"/>
    <w:rsid w:val="009A5325"/>
    <w:rsid w:val="009A659A"/>
    <w:rsid w:val="009A67B4"/>
    <w:rsid w:val="009A7570"/>
    <w:rsid w:val="009B475F"/>
    <w:rsid w:val="009B4A1E"/>
    <w:rsid w:val="009C0E14"/>
    <w:rsid w:val="009C1DA6"/>
    <w:rsid w:val="009C32A2"/>
    <w:rsid w:val="009C3472"/>
    <w:rsid w:val="009C6B17"/>
    <w:rsid w:val="009D2013"/>
    <w:rsid w:val="009D203D"/>
    <w:rsid w:val="009D558F"/>
    <w:rsid w:val="009E0477"/>
    <w:rsid w:val="009E0E03"/>
    <w:rsid w:val="009E12AC"/>
    <w:rsid w:val="009E1533"/>
    <w:rsid w:val="009E196E"/>
    <w:rsid w:val="009E1CB5"/>
    <w:rsid w:val="009E32E0"/>
    <w:rsid w:val="009E40D0"/>
    <w:rsid w:val="009E4365"/>
    <w:rsid w:val="009E4C53"/>
    <w:rsid w:val="009E52D8"/>
    <w:rsid w:val="009E5AB1"/>
    <w:rsid w:val="009E5CBB"/>
    <w:rsid w:val="009F096D"/>
    <w:rsid w:val="009F394D"/>
    <w:rsid w:val="009F3CC4"/>
    <w:rsid w:val="009F43BE"/>
    <w:rsid w:val="009F44E0"/>
    <w:rsid w:val="009F571B"/>
    <w:rsid w:val="009F5B90"/>
    <w:rsid w:val="009F6357"/>
    <w:rsid w:val="009F6C02"/>
    <w:rsid w:val="009F74B2"/>
    <w:rsid w:val="009F7D94"/>
    <w:rsid w:val="00A0147C"/>
    <w:rsid w:val="00A01902"/>
    <w:rsid w:val="00A02DC2"/>
    <w:rsid w:val="00A03480"/>
    <w:rsid w:val="00A04AF7"/>
    <w:rsid w:val="00A070B7"/>
    <w:rsid w:val="00A11CA2"/>
    <w:rsid w:val="00A12756"/>
    <w:rsid w:val="00A13D77"/>
    <w:rsid w:val="00A1573B"/>
    <w:rsid w:val="00A15EFB"/>
    <w:rsid w:val="00A230A8"/>
    <w:rsid w:val="00A246A8"/>
    <w:rsid w:val="00A25435"/>
    <w:rsid w:val="00A2660D"/>
    <w:rsid w:val="00A2730C"/>
    <w:rsid w:val="00A27CF3"/>
    <w:rsid w:val="00A30BC4"/>
    <w:rsid w:val="00A30C4E"/>
    <w:rsid w:val="00A32843"/>
    <w:rsid w:val="00A33131"/>
    <w:rsid w:val="00A40C00"/>
    <w:rsid w:val="00A4126E"/>
    <w:rsid w:val="00A42D32"/>
    <w:rsid w:val="00A43BE4"/>
    <w:rsid w:val="00A46A63"/>
    <w:rsid w:val="00A47F91"/>
    <w:rsid w:val="00A520A0"/>
    <w:rsid w:val="00A54547"/>
    <w:rsid w:val="00A547CF"/>
    <w:rsid w:val="00A54B05"/>
    <w:rsid w:val="00A55E9E"/>
    <w:rsid w:val="00A56B65"/>
    <w:rsid w:val="00A57154"/>
    <w:rsid w:val="00A574FC"/>
    <w:rsid w:val="00A60A2E"/>
    <w:rsid w:val="00A60D3C"/>
    <w:rsid w:val="00A60F66"/>
    <w:rsid w:val="00A628C6"/>
    <w:rsid w:val="00A62AB4"/>
    <w:rsid w:val="00A63BA4"/>
    <w:rsid w:val="00A653EC"/>
    <w:rsid w:val="00A6711F"/>
    <w:rsid w:val="00A67BD6"/>
    <w:rsid w:val="00A70051"/>
    <w:rsid w:val="00A72527"/>
    <w:rsid w:val="00A727F9"/>
    <w:rsid w:val="00A72AD6"/>
    <w:rsid w:val="00A72EDD"/>
    <w:rsid w:val="00A75BF2"/>
    <w:rsid w:val="00A824D5"/>
    <w:rsid w:val="00A8270A"/>
    <w:rsid w:val="00A86745"/>
    <w:rsid w:val="00A928A8"/>
    <w:rsid w:val="00A93F20"/>
    <w:rsid w:val="00A94AAE"/>
    <w:rsid w:val="00A94C7E"/>
    <w:rsid w:val="00A96743"/>
    <w:rsid w:val="00A9692C"/>
    <w:rsid w:val="00A97F66"/>
    <w:rsid w:val="00AA324F"/>
    <w:rsid w:val="00AA539D"/>
    <w:rsid w:val="00AA56B6"/>
    <w:rsid w:val="00AA763A"/>
    <w:rsid w:val="00AA7A54"/>
    <w:rsid w:val="00AB046D"/>
    <w:rsid w:val="00AB074C"/>
    <w:rsid w:val="00AB1416"/>
    <w:rsid w:val="00AB29C1"/>
    <w:rsid w:val="00AB50CF"/>
    <w:rsid w:val="00AC0055"/>
    <w:rsid w:val="00AC007F"/>
    <w:rsid w:val="00AC0677"/>
    <w:rsid w:val="00AC1E53"/>
    <w:rsid w:val="00AC2558"/>
    <w:rsid w:val="00AC2F81"/>
    <w:rsid w:val="00AC3B25"/>
    <w:rsid w:val="00AC4DB2"/>
    <w:rsid w:val="00AC5119"/>
    <w:rsid w:val="00AC59E2"/>
    <w:rsid w:val="00AC6BA8"/>
    <w:rsid w:val="00AC711A"/>
    <w:rsid w:val="00AD046A"/>
    <w:rsid w:val="00AD109E"/>
    <w:rsid w:val="00AD258F"/>
    <w:rsid w:val="00AD3BBA"/>
    <w:rsid w:val="00AD3C09"/>
    <w:rsid w:val="00AD3C7F"/>
    <w:rsid w:val="00AD48C6"/>
    <w:rsid w:val="00AD4B16"/>
    <w:rsid w:val="00AD528D"/>
    <w:rsid w:val="00AD6C53"/>
    <w:rsid w:val="00AE433E"/>
    <w:rsid w:val="00AF1E7D"/>
    <w:rsid w:val="00AF26BD"/>
    <w:rsid w:val="00AF51F2"/>
    <w:rsid w:val="00B000EC"/>
    <w:rsid w:val="00B017D4"/>
    <w:rsid w:val="00B01EA1"/>
    <w:rsid w:val="00B03376"/>
    <w:rsid w:val="00B043A6"/>
    <w:rsid w:val="00B0560D"/>
    <w:rsid w:val="00B05895"/>
    <w:rsid w:val="00B05FC1"/>
    <w:rsid w:val="00B101C3"/>
    <w:rsid w:val="00B1049D"/>
    <w:rsid w:val="00B112A3"/>
    <w:rsid w:val="00B11A4B"/>
    <w:rsid w:val="00B120FE"/>
    <w:rsid w:val="00B12BC6"/>
    <w:rsid w:val="00B17AF0"/>
    <w:rsid w:val="00B239A7"/>
    <w:rsid w:val="00B245DB"/>
    <w:rsid w:val="00B26620"/>
    <w:rsid w:val="00B27045"/>
    <w:rsid w:val="00B27C98"/>
    <w:rsid w:val="00B300F4"/>
    <w:rsid w:val="00B30765"/>
    <w:rsid w:val="00B31DD6"/>
    <w:rsid w:val="00B32630"/>
    <w:rsid w:val="00B34CAA"/>
    <w:rsid w:val="00B412DC"/>
    <w:rsid w:val="00B41CD9"/>
    <w:rsid w:val="00B41DD3"/>
    <w:rsid w:val="00B426B4"/>
    <w:rsid w:val="00B46CCD"/>
    <w:rsid w:val="00B47C25"/>
    <w:rsid w:val="00B5039F"/>
    <w:rsid w:val="00B51FC9"/>
    <w:rsid w:val="00B5314F"/>
    <w:rsid w:val="00B54DDA"/>
    <w:rsid w:val="00B54F3A"/>
    <w:rsid w:val="00B567B2"/>
    <w:rsid w:val="00B56A7D"/>
    <w:rsid w:val="00B571FF"/>
    <w:rsid w:val="00B60946"/>
    <w:rsid w:val="00B6558E"/>
    <w:rsid w:val="00B67193"/>
    <w:rsid w:val="00B67D35"/>
    <w:rsid w:val="00B67E9F"/>
    <w:rsid w:val="00B70F4B"/>
    <w:rsid w:val="00B718C4"/>
    <w:rsid w:val="00B71B75"/>
    <w:rsid w:val="00B74F18"/>
    <w:rsid w:val="00B77617"/>
    <w:rsid w:val="00B77CBF"/>
    <w:rsid w:val="00B80F2E"/>
    <w:rsid w:val="00B829AB"/>
    <w:rsid w:val="00B82F45"/>
    <w:rsid w:val="00B83405"/>
    <w:rsid w:val="00B83F20"/>
    <w:rsid w:val="00B84E6B"/>
    <w:rsid w:val="00B86A84"/>
    <w:rsid w:val="00B9018E"/>
    <w:rsid w:val="00B903A5"/>
    <w:rsid w:val="00B905C3"/>
    <w:rsid w:val="00B92054"/>
    <w:rsid w:val="00B920B7"/>
    <w:rsid w:val="00B9478E"/>
    <w:rsid w:val="00B9488C"/>
    <w:rsid w:val="00B95859"/>
    <w:rsid w:val="00B96A70"/>
    <w:rsid w:val="00B97FB6"/>
    <w:rsid w:val="00BA05ED"/>
    <w:rsid w:val="00BA062A"/>
    <w:rsid w:val="00BA46D7"/>
    <w:rsid w:val="00BA48AB"/>
    <w:rsid w:val="00BA5670"/>
    <w:rsid w:val="00BA66CE"/>
    <w:rsid w:val="00BA7712"/>
    <w:rsid w:val="00BA7B09"/>
    <w:rsid w:val="00BB2044"/>
    <w:rsid w:val="00BB432B"/>
    <w:rsid w:val="00BB4DA6"/>
    <w:rsid w:val="00BC02C5"/>
    <w:rsid w:val="00BC2CDB"/>
    <w:rsid w:val="00BC371D"/>
    <w:rsid w:val="00BC4A6E"/>
    <w:rsid w:val="00BC548D"/>
    <w:rsid w:val="00BC6356"/>
    <w:rsid w:val="00BC6621"/>
    <w:rsid w:val="00BC6D78"/>
    <w:rsid w:val="00BC78F6"/>
    <w:rsid w:val="00BD0BA6"/>
    <w:rsid w:val="00BD1290"/>
    <w:rsid w:val="00BD1A8F"/>
    <w:rsid w:val="00BD24D4"/>
    <w:rsid w:val="00BD4E7A"/>
    <w:rsid w:val="00BD5E18"/>
    <w:rsid w:val="00BD6E7A"/>
    <w:rsid w:val="00BE01B3"/>
    <w:rsid w:val="00BE09B6"/>
    <w:rsid w:val="00BE3B1F"/>
    <w:rsid w:val="00BE4F7B"/>
    <w:rsid w:val="00BE5598"/>
    <w:rsid w:val="00BE5A42"/>
    <w:rsid w:val="00BE6C70"/>
    <w:rsid w:val="00BE6DA3"/>
    <w:rsid w:val="00BE7612"/>
    <w:rsid w:val="00BF109A"/>
    <w:rsid w:val="00BF3586"/>
    <w:rsid w:val="00C03BA0"/>
    <w:rsid w:val="00C078B4"/>
    <w:rsid w:val="00C07D37"/>
    <w:rsid w:val="00C1073D"/>
    <w:rsid w:val="00C123A9"/>
    <w:rsid w:val="00C12D01"/>
    <w:rsid w:val="00C131D6"/>
    <w:rsid w:val="00C13379"/>
    <w:rsid w:val="00C13F24"/>
    <w:rsid w:val="00C15DA6"/>
    <w:rsid w:val="00C165DE"/>
    <w:rsid w:val="00C214C2"/>
    <w:rsid w:val="00C25ED7"/>
    <w:rsid w:val="00C26002"/>
    <w:rsid w:val="00C26983"/>
    <w:rsid w:val="00C274C9"/>
    <w:rsid w:val="00C30622"/>
    <w:rsid w:val="00C31586"/>
    <w:rsid w:val="00C31ADD"/>
    <w:rsid w:val="00C3339F"/>
    <w:rsid w:val="00C34EA3"/>
    <w:rsid w:val="00C3551D"/>
    <w:rsid w:val="00C35FC9"/>
    <w:rsid w:val="00C3704C"/>
    <w:rsid w:val="00C377C5"/>
    <w:rsid w:val="00C43BE1"/>
    <w:rsid w:val="00C44DBD"/>
    <w:rsid w:val="00C461DC"/>
    <w:rsid w:val="00C46671"/>
    <w:rsid w:val="00C46E46"/>
    <w:rsid w:val="00C50BA4"/>
    <w:rsid w:val="00C52F3F"/>
    <w:rsid w:val="00C55615"/>
    <w:rsid w:val="00C57FA6"/>
    <w:rsid w:val="00C60DFE"/>
    <w:rsid w:val="00C611F1"/>
    <w:rsid w:val="00C616EE"/>
    <w:rsid w:val="00C63123"/>
    <w:rsid w:val="00C640E1"/>
    <w:rsid w:val="00C6449E"/>
    <w:rsid w:val="00C64727"/>
    <w:rsid w:val="00C655DD"/>
    <w:rsid w:val="00C668FA"/>
    <w:rsid w:val="00C72066"/>
    <w:rsid w:val="00C72576"/>
    <w:rsid w:val="00C74A04"/>
    <w:rsid w:val="00C81BE8"/>
    <w:rsid w:val="00C825D1"/>
    <w:rsid w:val="00C82BDE"/>
    <w:rsid w:val="00C84386"/>
    <w:rsid w:val="00C84DA9"/>
    <w:rsid w:val="00C8690B"/>
    <w:rsid w:val="00C872CC"/>
    <w:rsid w:val="00C875A8"/>
    <w:rsid w:val="00C8771D"/>
    <w:rsid w:val="00C87997"/>
    <w:rsid w:val="00C9040C"/>
    <w:rsid w:val="00C904F3"/>
    <w:rsid w:val="00C91D12"/>
    <w:rsid w:val="00C9646E"/>
    <w:rsid w:val="00CA164D"/>
    <w:rsid w:val="00CA3BD2"/>
    <w:rsid w:val="00CA429B"/>
    <w:rsid w:val="00CA6B0F"/>
    <w:rsid w:val="00CA73F6"/>
    <w:rsid w:val="00CA7768"/>
    <w:rsid w:val="00CA792E"/>
    <w:rsid w:val="00CA7EF2"/>
    <w:rsid w:val="00CB162D"/>
    <w:rsid w:val="00CB1736"/>
    <w:rsid w:val="00CB5EF9"/>
    <w:rsid w:val="00CB77E9"/>
    <w:rsid w:val="00CC0327"/>
    <w:rsid w:val="00CC1E9D"/>
    <w:rsid w:val="00CC3C57"/>
    <w:rsid w:val="00CC4EE1"/>
    <w:rsid w:val="00CC6124"/>
    <w:rsid w:val="00CC671A"/>
    <w:rsid w:val="00CC72F2"/>
    <w:rsid w:val="00CC76BC"/>
    <w:rsid w:val="00CD01B1"/>
    <w:rsid w:val="00CD07D4"/>
    <w:rsid w:val="00CD12BB"/>
    <w:rsid w:val="00CD6611"/>
    <w:rsid w:val="00CD6966"/>
    <w:rsid w:val="00CE11ED"/>
    <w:rsid w:val="00CE1291"/>
    <w:rsid w:val="00CE2583"/>
    <w:rsid w:val="00CE289E"/>
    <w:rsid w:val="00CE3A9F"/>
    <w:rsid w:val="00CE3C02"/>
    <w:rsid w:val="00CE587F"/>
    <w:rsid w:val="00CE5A82"/>
    <w:rsid w:val="00CE6ED1"/>
    <w:rsid w:val="00CE72FB"/>
    <w:rsid w:val="00CE7DF7"/>
    <w:rsid w:val="00CF16E4"/>
    <w:rsid w:val="00CF2185"/>
    <w:rsid w:val="00CF31CB"/>
    <w:rsid w:val="00CF44DA"/>
    <w:rsid w:val="00D003B0"/>
    <w:rsid w:val="00D029DE"/>
    <w:rsid w:val="00D03BD1"/>
    <w:rsid w:val="00D06D79"/>
    <w:rsid w:val="00D10277"/>
    <w:rsid w:val="00D107FE"/>
    <w:rsid w:val="00D10961"/>
    <w:rsid w:val="00D14AB0"/>
    <w:rsid w:val="00D1521D"/>
    <w:rsid w:val="00D169BB"/>
    <w:rsid w:val="00D212C5"/>
    <w:rsid w:val="00D2148D"/>
    <w:rsid w:val="00D22C7B"/>
    <w:rsid w:val="00D23904"/>
    <w:rsid w:val="00D23B55"/>
    <w:rsid w:val="00D24065"/>
    <w:rsid w:val="00D24DCE"/>
    <w:rsid w:val="00D256AC"/>
    <w:rsid w:val="00D26994"/>
    <w:rsid w:val="00D320AC"/>
    <w:rsid w:val="00D3304B"/>
    <w:rsid w:val="00D34CAC"/>
    <w:rsid w:val="00D359BF"/>
    <w:rsid w:val="00D36DB4"/>
    <w:rsid w:val="00D371D3"/>
    <w:rsid w:val="00D37299"/>
    <w:rsid w:val="00D4083C"/>
    <w:rsid w:val="00D416A9"/>
    <w:rsid w:val="00D41E13"/>
    <w:rsid w:val="00D42141"/>
    <w:rsid w:val="00D42448"/>
    <w:rsid w:val="00D42D11"/>
    <w:rsid w:val="00D430A0"/>
    <w:rsid w:val="00D44EEB"/>
    <w:rsid w:val="00D45141"/>
    <w:rsid w:val="00D4564B"/>
    <w:rsid w:val="00D47251"/>
    <w:rsid w:val="00D50B05"/>
    <w:rsid w:val="00D513C2"/>
    <w:rsid w:val="00D51EB8"/>
    <w:rsid w:val="00D53469"/>
    <w:rsid w:val="00D53C4A"/>
    <w:rsid w:val="00D55B61"/>
    <w:rsid w:val="00D56420"/>
    <w:rsid w:val="00D57079"/>
    <w:rsid w:val="00D578D6"/>
    <w:rsid w:val="00D60251"/>
    <w:rsid w:val="00D61BA1"/>
    <w:rsid w:val="00D61EC4"/>
    <w:rsid w:val="00D63B93"/>
    <w:rsid w:val="00D644F7"/>
    <w:rsid w:val="00D64D43"/>
    <w:rsid w:val="00D6533E"/>
    <w:rsid w:val="00D66304"/>
    <w:rsid w:val="00D66B6B"/>
    <w:rsid w:val="00D6743B"/>
    <w:rsid w:val="00D675A8"/>
    <w:rsid w:val="00D67794"/>
    <w:rsid w:val="00D7004B"/>
    <w:rsid w:val="00D7190C"/>
    <w:rsid w:val="00D7207F"/>
    <w:rsid w:val="00D72152"/>
    <w:rsid w:val="00D72F0A"/>
    <w:rsid w:val="00D75AFF"/>
    <w:rsid w:val="00D75EC4"/>
    <w:rsid w:val="00D7634D"/>
    <w:rsid w:val="00D830F3"/>
    <w:rsid w:val="00D84245"/>
    <w:rsid w:val="00D84264"/>
    <w:rsid w:val="00D85B2B"/>
    <w:rsid w:val="00D86727"/>
    <w:rsid w:val="00D941C7"/>
    <w:rsid w:val="00D94661"/>
    <w:rsid w:val="00D94930"/>
    <w:rsid w:val="00D95A89"/>
    <w:rsid w:val="00D95D4E"/>
    <w:rsid w:val="00D966A4"/>
    <w:rsid w:val="00D966F4"/>
    <w:rsid w:val="00D97FC7"/>
    <w:rsid w:val="00DA1558"/>
    <w:rsid w:val="00DA1891"/>
    <w:rsid w:val="00DA31A6"/>
    <w:rsid w:val="00DA3763"/>
    <w:rsid w:val="00DA6543"/>
    <w:rsid w:val="00DB0A43"/>
    <w:rsid w:val="00DB6BA8"/>
    <w:rsid w:val="00DB7F50"/>
    <w:rsid w:val="00DC0165"/>
    <w:rsid w:val="00DC0AFF"/>
    <w:rsid w:val="00DC0D5D"/>
    <w:rsid w:val="00DC0F59"/>
    <w:rsid w:val="00DC1118"/>
    <w:rsid w:val="00DC1B4D"/>
    <w:rsid w:val="00DC278C"/>
    <w:rsid w:val="00DC315C"/>
    <w:rsid w:val="00DC35F5"/>
    <w:rsid w:val="00DC3D99"/>
    <w:rsid w:val="00DC3E2F"/>
    <w:rsid w:val="00DC5106"/>
    <w:rsid w:val="00DC63B9"/>
    <w:rsid w:val="00DC7379"/>
    <w:rsid w:val="00DD08E9"/>
    <w:rsid w:val="00DD334E"/>
    <w:rsid w:val="00DD4B17"/>
    <w:rsid w:val="00DD53B0"/>
    <w:rsid w:val="00DD5B2C"/>
    <w:rsid w:val="00DD5CAA"/>
    <w:rsid w:val="00DE06BD"/>
    <w:rsid w:val="00DE1107"/>
    <w:rsid w:val="00DE2848"/>
    <w:rsid w:val="00DE3511"/>
    <w:rsid w:val="00DE3CCF"/>
    <w:rsid w:val="00DE403C"/>
    <w:rsid w:val="00DE459E"/>
    <w:rsid w:val="00DE5FE8"/>
    <w:rsid w:val="00DE66E7"/>
    <w:rsid w:val="00DE7104"/>
    <w:rsid w:val="00DF2795"/>
    <w:rsid w:val="00DF4176"/>
    <w:rsid w:val="00DF4C0F"/>
    <w:rsid w:val="00DF5045"/>
    <w:rsid w:val="00DF5BB3"/>
    <w:rsid w:val="00DF62F9"/>
    <w:rsid w:val="00DF7057"/>
    <w:rsid w:val="00DF7937"/>
    <w:rsid w:val="00E0023D"/>
    <w:rsid w:val="00E0111A"/>
    <w:rsid w:val="00E01169"/>
    <w:rsid w:val="00E02E01"/>
    <w:rsid w:val="00E04563"/>
    <w:rsid w:val="00E07309"/>
    <w:rsid w:val="00E07C98"/>
    <w:rsid w:val="00E1281A"/>
    <w:rsid w:val="00E14896"/>
    <w:rsid w:val="00E1628E"/>
    <w:rsid w:val="00E208B5"/>
    <w:rsid w:val="00E20BEE"/>
    <w:rsid w:val="00E21947"/>
    <w:rsid w:val="00E21C42"/>
    <w:rsid w:val="00E225FB"/>
    <w:rsid w:val="00E22E25"/>
    <w:rsid w:val="00E22F70"/>
    <w:rsid w:val="00E2655E"/>
    <w:rsid w:val="00E274C5"/>
    <w:rsid w:val="00E32CEB"/>
    <w:rsid w:val="00E337BC"/>
    <w:rsid w:val="00E34B24"/>
    <w:rsid w:val="00E35CAB"/>
    <w:rsid w:val="00E35CAD"/>
    <w:rsid w:val="00E37145"/>
    <w:rsid w:val="00E40019"/>
    <w:rsid w:val="00E40492"/>
    <w:rsid w:val="00E4058F"/>
    <w:rsid w:val="00E40F2A"/>
    <w:rsid w:val="00E42948"/>
    <w:rsid w:val="00E42DC1"/>
    <w:rsid w:val="00E44814"/>
    <w:rsid w:val="00E44FFF"/>
    <w:rsid w:val="00E4610E"/>
    <w:rsid w:val="00E4738F"/>
    <w:rsid w:val="00E50B5E"/>
    <w:rsid w:val="00E51633"/>
    <w:rsid w:val="00E5245D"/>
    <w:rsid w:val="00E549AA"/>
    <w:rsid w:val="00E54B99"/>
    <w:rsid w:val="00E55819"/>
    <w:rsid w:val="00E560F1"/>
    <w:rsid w:val="00E6161B"/>
    <w:rsid w:val="00E61FCC"/>
    <w:rsid w:val="00E62057"/>
    <w:rsid w:val="00E6290C"/>
    <w:rsid w:val="00E62ED4"/>
    <w:rsid w:val="00E6334B"/>
    <w:rsid w:val="00E651D0"/>
    <w:rsid w:val="00E653C7"/>
    <w:rsid w:val="00E67634"/>
    <w:rsid w:val="00E701CD"/>
    <w:rsid w:val="00E731A1"/>
    <w:rsid w:val="00E81BCB"/>
    <w:rsid w:val="00E82AD6"/>
    <w:rsid w:val="00E82E2C"/>
    <w:rsid w:val="00E8477B"/>
    <w:rsid w:val="00E84C73"/>
    <w:rsid w:val="00E91F16"/>
    <w:rsid w:val="00EA0835"/>
    <w:rsid w:val="00EA12F8"/>
    <w:rsid w:val="00EA219D"/>
    <w:rsid w:val="00EA2B7E"/>
    <w:rsid w:val="00EA6CBC"/>
    <w:rsid w:val="00EB0229"/>
    <w:rsid w:val="00EB0BA2"/>
    <w:rsid w:val="00EB113C"/>
    <w:rsid w:val="00EB178D"/>
    <w:rsid w:val="00EB2177"/>
    <w:rsid w:val="00EB225D"/>
    <w:rsid w:val="00EB3C97"/>
    <w:rsid w:val="00EB497E"/>
    <w:rsid w:val="00EB658B"/>
    <w:rsid w:val="00EB69C2"/>
    <w:rsid w:val="00EB74C1"/>
    <w:rsid w:val="00EC18F1"/>
    <w:rsid w:val="00EC2B47"/>
    <w:rsid w:val="00EC2C8C"/>
    <w:rsid w:val="00EC3079"/>
    <w:rsid w:val="00EC4416"/>
    <w:rsid w:val="00EC44CD"/>
    <w:rsid w:val="00EC454B"/>
    <w:rsid w:val="00EC4D79"/>
    <w:rsid w:val="00EC511E"/>
    <w:rsid w:val="00EC5F37"/>
    <w:rsid w:val="00ED1496"/>
    <w:rsid w:val="00ED187D"/>
    <w:rsid w:val="00ED27CB"/>
    <w:rsid w:val="00ED3B99"/>
    <w:rsid w:val="00ED5530"/>
    <w:rsid w:val="00ED67F0"/>
    <w:rsid w:val="00ED7DAF"/>
    <w:rsid w:val="00ED7F88"/>
    <w:rsid w:val="00EE28AF"/>
    <w:rsid w:val="00EE3498"/>
    <w:rsid w:val="00EE3BB1"/>
    <w:rsid w:val="00EE50B9"/>
    <w:rsid w:val="00EE5257"/>
    <w:rsid w:val="00EE7488"/>
    <w:rsid w:val="00EE7EA8"/>
    <w:rsid w:val="00EF04A1"/>
    <w:rsid w:val="00EF1488"/>
    <w:rsid w:val="00EF1E76"/>
    <w:rsid w:val="00EF3FF1"/>
    <w:rsid w:val="00EF4571"/>
    <w:rsid w:val="00EF4FFC"/>
    <w:rsid w:val="00EF564A"/>
    <w:rsid w:val="00EF778C"/>
    <w:rsid w:val="00F02D20"/>
    <w:rsid w:val="00F03EAC"/>
    <w:rsid w:val="00F0584C"/>
    <w:rsid w:val="00F05FB0"/>
    <w:rsid w:val="00F10080"/>
    <w:rsid w:val="00F113B0"/>
    <w:rsid w:val="00F1264C"/>
    <w:rsid w:val="00F14778"/>
    <w:rsid w:val="00F1534B"/>
    <w:rsid w:val="00F16179"/>
    <w:rsid w:val="00F17F04"/>
    <w:rsid w:val="00F20246"/>
    <w:rsid w:val="00F22756"/>
    <w:rsid w:val="00F233D8"/>
    <w:rsid w:val="00F25618"/>
    <w:rsid w:val="00F2761F"/>
    <w:rsid w:val="00F312FC"/>
    <w:rsid w:val="00F31D7C"/>
    <w:rsid w:val="00F31EB6"/>
    <w:rsid w:val="00F34DC7"/>
    <w:rsid w:val="00F358A8"/>
    <w:rsid w:val="00F363B9"/>
    <w:rsid w:val="00F40BFC"/>
    <w:rsid w:val="00F41101"/>
    <w:rsid w:val="00F42C31"/>
    <w:rsid w:val="00F432B1"/>
    <w:rsid w:val="00F4350A"/>
    <w:rsid w:val="00F44A8B"/>
    <w:rsid w:val="00F45328"/>
    <w:rsid w:val="00F508A3"/>
    <w:rsid w:val="00F51096"/>
    <w:rsid w:val="00F517C3"/>
    <w:rsid w:val="00F51CD7"/>
    <w:rsid w:val="00F52075"/>
    <w:rsid w:val="00F52EEF"/>
    <w:rsid w:val="00F5330E"/>
    <w:rsid w:val="00F551D5"/>
    <w:rsid w:val="00F57548"/>
    <w:rsid w:val="00F605E4"/>
    <w:rsid w:val="00F606ED"/>
    <w:rsid w:val="00F60856"/>
    <w:rsid w:val="00F63CFD"/>
    <w:rsid w:val="00F63D21"/>
    <w:rsid w:val="00F64434"/>
    <w:rsid w:val="00F64482"/>
    <w:rsid w:val="00F64498"/>
    <w:rsid w:val="00F64579"/>
    <w:rsid w:val="00F65568"/>
    <w:rsid w:val="00F65623"/>
    <w:rsid w:val="00F65B8F"/>
    <w:rsid w:val="00F66B71"/>
    <w:rsid w:val="00F66BA5"/>
    <w:rsid w:val="00F67A22"/>
    <w:rsid w:val="00F67D08"/>
    <w:rsid w:val="00F67EFB"/>
    <w:rsid w:val="00F7083B"/>
    <w:rsid w:val="00F70CBA"/>
    <w:rsid w:val="00F7168B"/>
    <w:rsid w:val="00F742F1"/>
    <w:rsid w:val="00F74832"/>
    <w:rsid w:val="00F759F4"/>
    <w:rsid w:val="00F7660E"/>
    <w:rsid w:val="00F77803"/>
    <w:rsid w:val="00F77947"/>
    <w:rsid w:val="00F805C2"/>
    <w:rsid w:val="00F810C0"/>
    <w:rsid w:val="00F81430"/>
    <w:rsid w:val="00F818E2"/>
    <w:rsid w:val="00F86DAF"/>
    <w:rsid w:val="00F90F78"/>
    <w:rsid w:val="00F92C1F"/>
    <w:rsid w:val="00F93877"/>
    <w:rsid w:val="00F93EB8"/>
    <w:rsid w:val="00F93EF3"/>
    <w:rsid w:val="00F945CD"/>
    <w:rsid w:val="00F96986"/>
    <w:rsid w:val="00FA27DF"/>
    <w:rsid w:val="00FA33A5"/>
    <w:rsid w:val="00FA4826"/>
    <w:rsid w:val="00FA4EE7"/>
    <w:rsid w:val="00FA74C7"/>
    <w:rsid w:val="00FA7CC4"/>
    <w:rsid w:val="00FB3C03"/>
    <w:rsid w:val="00FB65AE"/>
    <w:rsid w:val="00FC060E"/>
    <w:rsid w:val="00FC10AE"/>
    <w:rsid w:val="00FC159E"/>
    <w:rsid w:val="00FC1EFA"/>
    <w:rsid w:val="00FC2CB8"/>
    <w:rsid w:val="00FC3698"/>
    <w:rsid w:val="00FC3E35"/>
    <w:rsid w:val="00FC429E"/>
    <w:rsid w:val="00FC42D5"/>
    <w:rsid w:val="00FC661B"/>
    <w:rsid w:val="00FC7C0C"/>
    <w:rsid w:val="00FC7FD0"/>
    <w:rsid w:val="00FD0408"/>
    <w:rsid w:val="00FD1841"/>
    <w:rsid w:val="00FD24FF"/>
    <w:rsid w:val="00FD39DE"/>
    <w:rsid w:val="00FD49D7"/>
    <w:rsid w:val="00FD6082"/>
    <w:rsid w:val="00FD69C9"/>
    <w:rsid w:val="00FD7D68"/>
    <w:rsid w:val="00FE0469"/>
    <w:rsid w:val="00FE0A11"/>
    <w:rsid w:val="00FE0D9F"/>
    <w:rsid w:val="00FE1194"/>
    <w:rsid w:val="00FE1381"/>
    <w:rsid w:val="00FE20C4"/>
    <w:rsid w:val="00FE2AF3"/>
    <w:rsid w:val="00FE3D79"/>
    <w:rsid w:val="00FE4718"/>
    <w:rsid w:val="00FE79C3"/>
    <w:rsid w:val="00FE7A1F"/>
    <w:rsid w:val="00FF1726"/>
    <w:rsid w:val="00FF34B2"/>
    <w:rsid w:val="00FF42EE"/>
    <w:rsid w:val="00FF5BB4"/>
    <w:rsid w:val="016E044A"/>
    <w:rsid w:val="01F56131"/>
    <w:rsid w:val="025F37F9"/>
    <w:rsid w:val="03D71CDF"/>
    <w:rsid w:val="04391EB4"/>
    <w:rsid w:val="04923F20"/>
    <w:rsid w:val="09345FEA"/>
    <w:rsid w:val="0A3665F0"/>
    <w:rsid w:val="0AB15C77"/>
    <w:rsid w:val="0B0701DD"/>
    <w:rsid w:val="0B99503E"/>
    <w:rsid w:val="0BA60904"/>
    <w:rsid w:val="0BBD7CB1"/>
    <w:rsid w:val="0BF057F8"/>
    <w:rsid w:val="0C482343"/>
    <w:rsid w:val="0C8D626F"/>
    <w:rsid w:val="0C932DF6"/>
    <w:rsid w:val="0CD21743"/>
    <w:rsid w:val="0ED763F3"/>
    <w:rsid w:val="0F820115"/>
    <w:rsid w:val="1032549C"/>
    <w:rsid w:val="132E76D9"/>
    <w:rsid w:val="16D05547"/>
    <w:rsid w:val="173F551D"/>
    <w:rsid w:val="174D3CAA"/>
    <w:rsid w:val="177A1A62"/>
    <w:rsid w:val="184D2854"/>
    <w:rsid w:val="18704CB4"/>
    <w:rsid w:val="18DD4D34"/>
    <w:rsid w:val="192E28F8"/>
    <w:rsid w:val="19C04ADA"/>
    <w:rsid w:val="1B5F21DC"/>
    <w:rsid w:val="1C0E77A3"/>
    <w:rsid w:val="1D6D019C"/>
    <w:rsid w:val="1DD23E9F"/>
    <w:rsid w:val="1F284CCB"/>
    <w:rsid w:val="20105228"/>
    <w:rsid w:val="203B5FCA"/>
    <w:rsid w:val="210E5779"/>
    <w:rsid w:val="21CF4122"/>
    <w:rsid w:val="21F4266B"/>
    <w:rsid w:val="22C80A1D"/>
    <w:rsid w:val="24292089"/>
    <w:rsid w:val="28103FB0"/>
    <w:rsid w:val="28E92B74"/>
    <w:rsid w:val="2A4356E3"/>
    <w:rsid w:val="2AF42FD1"/>
    <w:rsid w:val="2B7F559E"/>
    <w:rsid w:val="2CC705CF"/>
    <w:rsid w:val="2CF17ED9"/>
    <w:rsid w:val="2D491F9E"/>
    <w:rsid w:val="2D8449E3"/>
    <w:rsid w:val="2DD6396D"/>
    <w:rsid w:val="2F20599A"/>
    <w:rsid w:val="2F9A34E9"/>
    <w:rsid w:val="2FE50BA9"/>
    <w:rsid w:val="300F2E4A"/>
    <w:rsid w:val="317F0BCA"/>
    <w:rsid w:val="31D0149D"/>
    <w:rsid w:val="32832A04"/>
    <w:rsid w:val="33816734"/>
    <w:rsid w:val="35464287"/>
    <w:rsid w:val="35D3383E"/>
    <w:rsid w:val="36A021E7"/>
    <w:rsid w:val="37180DD9"/>
    <w:rsid w:val="391C28EE"/>
    <w:rsid w:val="3A6C3919"/>
    <w:rsid w:val="3AC85D0D"/>
    <w:rsid w:val="3AFC3173"/>
    <w:rsid w:val="3B7A0F58"/>
    <w:rsid w:val="3C672EE2"/>
    <w:rsid w:val="3D140123"/>
    <w:rsid w:val="3F655525"/>
    <w:rsid w:val="42475C18"/>
    <w:rsid w:val="430C3285"/>
    <w:rsid w:val="435014E3"/>
    <w:rsid w:val="44AD3392"/>
    <w:rsid w:val="45062183"/>
    <w:rsid w:val="453B6B56"/>
    <w:rsid w:val="45EA1FB9"/>
    <w:rsid w:val="465E7FC0"/>
    <w:rsid w:val="46D51565"/>
    <w:rsid w:val="48960B41"/>
    <w:rsid w:val="493733B5"/>
    <w:rsid w:val="49B52173"/>
    <w:rsid w:val="4A4640A6"/>
    <w:rsid w:val="4A8D5DB4"/>
    <w:rsid w:val="4AD24B63"/>
    <w:rsid w:val="4BAF1D8B"/>
    <w:rsid w:val="4C4C62F7"/>
    <w:rsid w:val="4F9B33E6"/>
    <w:rsid w:val="4FA36763"/>
    <w:rsid w:val="50775674"/>
    <w:rsid w:val="50CE10DD"/>
    <w:rsid w:val="50DB09B6"/>
    <w:rsid w:val="51D265D1"/>
    <w:rsid w:val="52393B01"/>
    <w:rsid w:val="52CC4BD8"/>
    <w:rsid w:val="52D67FAF"/>
    <w:rsid w:val="53B24AD4"/>
    <w:rsid w:val="53DB0813"/>
    <w:rsid w:val="55D227C6"/>
    <w:rsid w:val="55E71DCF"/>
    <w:rsid w:val="56CB2945"/>
    <w:rsid w:val="575F1F14"/>
    <w:rsid w:val="58242BB1"/>
    <w:rsid w:val="58C82890"/>
    <w:rsid w:val="5BCE6905"/>
    <w:rsid w:val="5D043360"/>
    <w:rsid w:val="5E247A19"/>
    <w:rsid w:val="5EB2213D"/>
    <w:rsid w:val="5F71451A"/>
    <w:rsid w:val="5FB54BE3"/>
    <w:rsid w:val="605A36FE"/>
    <w:rsid w:val="606D1789"/>
    <w:rsid w:val="60AB141E"/>
    <w:rsid w:val="62BD06A3"/>
    <w:rsid w:val="637128A7"/>
    <w:rsid w:val="64E854AA"/>
    <w:rsid w:val="656E190F"/>
    <w:rsid w:val="6735620B"/>
    <w:rsid w:val="689077DC"/>
    <w:rsid w:val="694E2A1F"/>
    <w:rsid w:val="69A200AE"/>
    <w:rsid w:val="6B3E697D"/>
    <w:rsid w:val="6C0C5F81"/>
    <w:rsid w:val="6C816297"/>
    <w:rsid w:val="6E3C6504"/>
    <w:rsid w:val="6E755838"/>
    <w:rsid w:val="6EAD6DDC"/>
    <w:rsid w:val="6F3335BA"/>
    <w:rsid w:val="6F807C59"/>
    <w:rsid w:val="71A44EC2"/>
    <w:rsid w:val="72174A42"/>
    <w:rsid w:val="72F4061F"/>
    <w:rsid w:val="735447E7"/>
    <w:rsid w:val="76A76695"/>
    <w:rsid w:val="76E521D9"/>
    <w:rsid w:val="773C62FA"/>
    <w:rsid w:val="782B0391"/>
    <w:rsid w:val="785F2A25"/>
    <w:rsid w:val="79B05255"/>
    <w:rsid w:val="7A036D91"/>
    <w:rsid w:val="7A241826"/>
    <w:rsid w:val="7BB90627"/>
    <w:rsid w:val="7E014D4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0" w:semiHidden="0" w:name="header"/>
    <w:lsdException w:qFormat="1" w:uiPriority="0"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0" w:semiHidden="0" w:name="Body Text First Indent"/>
    <w:lsdException w:qFormat="1"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9"/>
    <w:pPr>
      <w:keepNext/>
      <w:keepLines/>
      <w:spacing w:before="340" w:beforeLines="0" w:beforeAutospacing="0" w:after="330" w:afterLines="0" w:afterAutospacing="0" w:line="576" w:lineRule="auto"/>
      <w:outlineLvl w:val="0"/>
    </w:pPr>
    <w:rPr>
      <w:rFonts w:asciiTheme="minorAscii" w:hAnsiTheme="minorAscii"/>
      <w:b/>
      <w:kern w:val="44"/>
      <w:sz w:val="32"/>
    </w:rPr>
  </w:style>
  <w:style w:type="paragraph" w:styleId="5">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宋体"/>
      <w:b/>
      <w:sz w:val="30"/>
    </w:rPr>
  </w:style>
  <w:style w:type="paragraph" w:styleId="6">
    <w:name w:val="heading 3"/>
    <w:basedOn w:val="1"/>
    <w:next w:val="1"/>
    <w:link w:val="36"/>
    <w:unhideWhenUsed/>
    <w:qFormat/>
    <w:uiPriority w:val="9"/>
    <w:pPr>
      <w:keepNext/>
      <w:keepLines/>
      <w:snapToGrid w:val="0"/>
      <w:spacing w:beforeLines="0" w:beforeAutospacing="0" w:afterLines="0" w:afterAutospacing="0" w:line="360" w:lineRule="auto"/>
      <w:outlineLvl w:val="2"/>
    </w:pPr>
    <w:rPr>
      <w:rFonts w:eastAsia="宋体" w:asciiTheme="minorAscii" w:hAnsiTheme="minorAscii"/>
      <w:sz w:val="24"/>
    </w:rPr>
  </w:style>
  <w:style w:type="paragraph" w:styleId="7">
    <w:name w:val="heading 4"/>
    <w:basedOn w:val="1"/>
    <w:next w:val="1"/>
    <w:unhideWhenUsed/>
    <w:qFormat/>
    <w:uiPriority w:val="9"/>
    <w:pPr>
      <w:keepNext/>
      <w:keepLines/>
      <w:spacing w:beforeLines="0" w:beforeAutospacing="0" w:afterLines="0" w:afterAutospacing="0" w:line="360" w:lineRule="auto"/>
      <w:outlineLvl w:val="3"/>
    </w:pPr>
    <w:rPr>
      <w:rFonts w:ascii="Arial" w:hAnsi="Arial" w:eastAsia="宋体"/>
      <w:sz w:val="24"/>
    </w:rPr>
  </w:style>
  <w:style w:type="paragraph" w:styleId="8">
    <w:name w:val="heading 5"/>
    <w:basedOn w:val="1"/>
    <w:next w:val="1"/>
    <w:unhideWhenUsed/>
    <w:qFormat/>
    <w:uiPriority w:val="9"/>
    <w:pPr>
      <w:keepNext/>
      <w:keepLines/>
      <w:spacing w:beforeLines="0" w:beforeAutospacing="0" w:afterLines="0" w:afterAutospacing="0" w:line="360" w:lineRule="auto"/>
      <w:outlineLvl w:val="4"/>
    </w:pPr>
    <w:rPr>
      <w:rFonts w:ascii="Arial" w:hAnsi="Arial" w:eastAsia="宋体"/>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37"/>
    <w:unhideWhenUsed/>
    <w:qFormat/>
    <w:uiPriority w:val="99"/>
    <w:pPr>
      <w:spacing w:after="120" w:line="360" w:lineRule="auto"/>
    </w:pPr>
    <w:rPr>
      <w:rFonts w:ascii="Times New Roman" w:hAnsi="Times New Roman" w:eastAsia="宋体"/>
      <w:sz w:val="21"/>
    </w:rPr>
  </w:style>
  <w:style w:type="paragraph" w:styleId="3">
    <w:name w:val="Title"/>
    <w:basedOn w:val="1"/>
    <w:next w:val="1"/>
    <w:qFormat/>
    <w:uiPriority w:val="0"/>
    <w:pPr>
      <w:spacing w:before="240" w:after="60"/>
      <w:jc w:val="center"/>
      <w:outlineLvl w:val="0"/>
    </w:pPr>
    <w:rPr>
      <w:rFonts w:ascii="Arial" w:hAnsi="Arial" w:cs="Arial"/>
      <w:b/>
      <w:bCs/>
      <w:sz w:val="32"/>
      <w:szCs w:val="32"/>
    </w:rPr>
  </w:style>
  <w:style w:type="paragraph" w:styleId="9">
    <w:name w:val="caption"/>
    <w:basedOn w:val="1"/>
    <w:next w:val="1"/>
    <w:unhideWhenUsed/>
    <w:qFormat/>
    <w:uiPriority w:val="35"/>
    <w:rPr>
      <w:rFonts w:ascii="Arial" w:hAnsi="Arial" w:eastAsia="宋体"/>
      <w:sz w:val="21"/>
    </w:rPr>
  </w:style>
  <w:style w:type="paragraph" w:styleId="10">
    <w:name w:val="Document Map"/>
    <w:basedOn w:val="1"/>
    <w:link w:val="35"/>
    <w:semiHidden/>
    <w:unhideWhenUsed/>
    <w:qFormat/>
    <w:uiPriority w:val="99"/>
    <w:rPr>
      <w:rFonts w:ascii="宋体" w:eastAsia="宋体"/>
      <w:sz w:val="18"/>
      <w:szCs w:val="18"/>
    </w:rPr>
  </w:style>
  <w:style w:type="paragraph" w:styleId="11">
    <w:name w:val="annotation text"/>
    <w:basedOn w:val="1"/>
    <w:link w:val="28"/>
    <w:qFormat/>
    <w:uiPriority w:val="99"/>
    <w:pPr>
      <w:spacing w:line="360" w:lineRule="auto"/>
      <w:jc w:val="left"/>
    </w:pPr>
    <w:rPr>
      <w:rFonts w:ascii="宋体" w:hAnsi="宋体" w:eastAsia="宋体" w:cs="Times New Roman"/>
      <w:szCs w:val="24"/>
    </w:rPr>
  </w:style>
  <w:style w:type="paragraph" w:styleId="12">
    <w:name w:val="Body Text Indent"/>
    <w:basedOn w:val="1"/>
    <w:link w:val="27"/>
    <w:qFormat/>
    <w:uiPriority w:val="0"/>
    <w:pPr>
      <w:spacing w:line="360" w:lineRule="auto"/>
      <w:ind w:firstLine="420"/>
    </w:pPr>
    <w:rPr>
      <w:rFonts w:ascii="Times New Roman" w:hAnsi="Times New Roman" w:eastAsia="宋体" w:cs="Times New Roman"/>
      <w:szCs w:val="24"/>
    </w:rPr>
  </w:style>
  <w:style w:type="paragraph" w:styleId="13">
    <w:name w:val="Body Text Indent 2"/>
    <w:basedOn w:val="1"/>
    <w:qFormat/>
    <w:uiPriority w:val="0"/>
    <w:pPr>
      <w:spacing w:after="120" w:line="480" w:lineRule="auto"/>
      <w:ind w:left="420"/>
    </w:pPr>
  </w:style>
  <w:style w:type="paragraph" w:styleId="14">
    <w:name w:val="Balloon Text"/>
    <w:basedOn w:val="1"/>
    <w:link w:val="23"/>
    <w:unhideWhenUsed/>
    <w:qFormat/>
    <w:uiPriority w:val="0"/>
    <w:rPr>
      <w:sz w:val="18"/>
      <w:szCs w:val="18"/>
    </w:rPr>
  </w:style>
  <w:style w:type="paragraph" w:styleId="15">
    <w:name w:val="footer"/>
    <w:basedOn w:val="1"/>
    <w:link w:val="25"/>
    <w:unhideWhenUsed/>
    <w:qFormat/>
    <w:uiPriority w:val="0"/>
    <w:pPr>
      <w:tabs>
        <w:tab w:val="center" w:pos="4153"/>
        <w:tab w:val="right" w:pos="8306"/>
      </w:tabs>
      <w:snapToGrid w:val="0"/>
      <w:jc w:val="left"/>
    </w:pPr>
    <w:rPr>
      <w:sz w:val="18"/>
      <w:szCs w:val="18"/>
    </w:rPr>
  </w:style>
  <w:style w:type="paragraph" w:styleId="16">
    <w:name w:val="header"/>
    <w:basedOn w:val="1"/>
    <w:link w:val="24"/>
    <w:unhideWhenUsed/>
    <w:qFormat/>
    <w:uiPriority w:val="0"/>
    <w:pPr>
      <w:pBdr>
        <w:bottom w:val="single" w:color="auto" w:sz="6" w:space="1"/>
      </w:pBdr>
      <w:tabs>
        <w:tab w:val="center" w:pos="4153"/>
        <w:tab w:val="right" w:pos="8306"/>
      </w:tabs>
      <w:snapToGrid w:val="0"/>
      <w:jc w:val="center"/>
    </w:pPr>
    <w:rPr>
      <w:sz w:val="18"/>
      <w:szCs w:val="18"/>
    </w:rPr>
  </w:style>
  <w:style w:type="paragraph" w:styleId="17">
    <w:name w:val="Normal (Web)"/>
    <w:basedOn w:val="1"/>
    <w:qFormat/>
    <w:uiPriority w:val="0"/>
    <w:pPr>
      <w:widowControl/>
      <w:spacing w:beforeAutospacing="0" w:afterAutospacing="0" w:line="360" w:lineRule="auto"/>
      <w:jc w:val="left"/>
    </w:pPr>
    <w:rPr>
      <w:rFonts w:ascii="Times New Roman" w:hAnsi="Times New Roman" w:eastAsia="宋体" w:cs="宋体"/>
      <w:kern w:val="0"/>
      <w:szCs w:val="24"/>
    </w:rPr>
  </w:style>
  <w:style w:type="paragraph" w:styleId="18">
    <w:name w:val="Body Text First Indent"/>
    <w:basedOn w:val="2"/>
    <w:unhideWhenUsed/>
    <w:qFormat/>
    <w:uiPriority w:val="0"/>
    <w:pPr>
      <w:ind w:firstLine="420" w:firstLineChars="100"/>
    </w:pPr>
  </w:style>
  <w:style w:type="paragraph" w:styleId="19">
    <w:name w:val="Body Text First Indent 2"/>
    <w:basedOn w:val="12"/>
    <w:semiHidden/>
    <w:unhideWhenUsed/>
    <w:qFormat/>
    <w:uiPriority w:val="99"/>
    <w:pPr>
      <w:ind w:firstLine="420" w:firstLineChars="200"/>
    </w:pPr>
  </w:style>
  <w:style w:type="table" w:styleId="21">
    <w:name w:val="Table Grid"/>
    <w:basedOn w:val="2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23">
    <w:name w:val="批注框文本 Char"/>
    <w:basedOn w:val="22"/>
    <w:link w:val="14"/>
    <w:qFormat/>
    <w:uiPriority w:val="0"/>
    <w:rPr>
      <w:sz w:val="18"/>
      <w:szCs w:val="18"/>
    </w:rPr>
  </w:style>
  <w:style w:type="character" w:customStyle="1" w:styleId="24">
    <w:name w:val="页眉 Char"/>
    <w:basedOn w:val="22"/>
    <w:link w:val="16"/>
    <w:qFormat/>
    <w:uiPriority w:val="0"/>
    <w:rPr>
      <w:sz w:val="18"/>
      <w:szCs w:val="18"/>
    </w:rPr>
  </w:style>
  <w:style w:type="character" w:customStyle="1" w:styleId="25">
    <w:name w:val="页脚 Char"/>
    <w:basedOn w:val="22"/>
    <w:link w:val="15"/>
    <w:qFormat/>
    <w:uiPriority w:val="0"/>
    <w:rPr>
      <w:sz w:val="18"/>
      <w:szCs w:val="18"/>
    </w:rPr>
  </w:style>
  <w:style w:type="paragraph" w:customStyle="1" w:styleId="26">
    <w:name w:val="章标题"/>
    <w:next w:val="1"/>
    <w:qFormat/>
    <w:uiPriority w:val="0"/>
    <w:pPr>
      <w:spacing w:beforeLines="50" w:afterLines="50"/>
      <w:jc w:val="both"/>
      <w:outlineLvl w:val="1"/>
    </w:pPr>
    <w:rPr>
      <w:rFonts w:ascii="黑体" w:hAnsi="Times New Roman" w:eastAsia="黑体" w:cs="Times New Roman"/>
      <w:sz w:val="21"/>
      <w:lang w:val="en-US" w:eastAsia="zh-CN" w:bidi="ar-SA"/>
    </w:rPr>
  </w:style>
  <w:style w:type="character" w:customStyle="1" w:styleId="27">
    <w:name w:val="正文文本缩进 Char"/>
    <w:basedOn w:val="22"/>
    <w:link w:val="12"/>
    <w:qFormat/>
    <w:uiPriority w:val="0"/>
    <w:rPr>
      <w:rFonts w:ascii="Times New Roman" w:hAnsi="Times New Roman" w:eastAsia="宋体" w:cs="Times New Roman"/>
      <w:sz w:val="21"/>
      <w:szCs w:val="24"/>
    </w:rPr>
  </w:style>
  <w:style w:type="character" w:customStyle="1" w:styleId="28">
    <w:name w:val="批注文字 Char"/>
    <w:basedOn w:val="22"/>
    <w:link w:val="11"/>
    <w:qFormat/>
    <w:uiPriority w:val="0"/>
    <w:rPr>
      <w:rFonts w:ascii="宋体" w:hAnsi="宋体" w:eastAsia="宋体" w:cs="Times New Roman"/>
      <w:szCs w:val="24"/>
    </w:rPr>
  </w:style>
  <w:style w:type="paragraph" w:styleId="29">
    <w:name w:val="List Paragraph"/>
    <w:basedOn w:val="1"/>
    <w:qFormat/>
    <w:uiPriority w:val="34"/>
    <w:pPr>
      <w:ind w:firstLine="420" w:firstLineChars="200"/>
    </w:pPr>
  </w:style>
  <w:style w:type="paragraph" w:customStyle="1" w:styleId="30">
    <w:name w:val="段"/>
    <w:link w:val="3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character" w:customStyle="1" w:styleId="31">
    <w:name w:val="段 Char"/>
    <w:link w:val="30"/>
    <w:qFormat/>
    <w:uiPriority w:val="0"/>
    <w:rPr>
      <w:rFonts w:ascii="宋体" w:hAnsi="Times New Roman" w:eastAsia="宋体" w:cs="Times New Roman"/>
      <w:kern w:val="0"/>
    </w:rPr>
  </w:style>
  <w:style w:type="character" w:customStyle="1" w:styleId="32">
    <w:name w:val="批注文字 字符1"/>
    <w:semiHidden/>
    <w:qFormat/>
    <w:uiPriority w:val="99"/>
    <w:rPr>
      <w:kern w:val="2"/>
      <w:sz w:val="21"/>
      <w:szCs w:val="24"/>
    </w:rPr>
  </w:style>
  <w:style w:type="character" w:customStyle="1" w:styleId="33">
    <w:name w:val="font01"/>
    <w:basedOn w:val="22"/>
    <w:qFormat/>
    <w:uiPriority w:val="0"/>
    <w:rPr>
      <w:rFonts w:hint="eastAsia" w:ascii="宋体" w:hAnsi="宋体" w:eastAsia="宋体" w:cs="宋体"/>
      <w:color w:val="000000"/>
      <w:sz w:val="18"/>
      <w:szCs w:val="18"/>
      <w:u w:val="none"/>
    </w:rPr>
  </w:style>
  <w:style w:type="character" w:customStyle="1" w:styleId="34">
    <w:name w:val="font71"/>
    <w:basedOn w:val="22"/>
    <w:qFormat/>
    <w:uiPriority w:val="0"/>
    <w:rPr>
      <w:rFonts w:hint="eastAsia" w:ascii="宋体" w:hAnsi="宋体" w:eastAsia="宋体" w:cs="宋体"/>
      <w:b/>
      <w:bCs/>
      <w:color w:val="FF0000"/>
      <w:sz w:val="18"/>
      <w:szCs w:val="18"/>
      <w:u w:val="none"/>
    </w:rPr>
  </w:style>
  <w:style w:type="character" w:customStyle="1" w:styleId="35">
    <w:name w:val="文档结构图 Char"/>
    <w:basedOn w:val="22"/>
    <w:link w:val="10"/>
    <w:semiHidden/>
    <w:qFormat/>
    <w:uiPriority w:val="99"/>
    <w:rPr>
      <w:rFonts w:ascii="宋体" w:hAnsiTheme="minorHAnsi" w:cstheme="minorBidi"/>
      <w:kern w:val="2"/>
      <w:sz w:val="18"/>
      <w:szCs w:val="18"/>
    </w:rPr>
  </w:style>
  <w:style w:type="character" w:customStyle="1" w:styleId="36">
    <w:name w:val="标题 3 Char"/>
    <w:link w:val="6"/>
    <w:qFormat/>
    <w:uiPriority w:val="0"/>
    <w:rPr>
      <w:rFonts w:eastAsia="宋体" w:asciiTheme="minorAscii" w:hAnsiTheme="minorAscii"/>
      <w:sz w:val="24"/>
    </w:rPr>
  </w:style>
  <w:style w:type="character" w:customStyle="1" w:styleId="37">
    <w:name w:val="正文文本 Char"/>
    <w:link w:val="2"/>
    <w:qFormat/>
    <w:uiPriority w:val="99"/>
    <w:rPr>
      <w:rFonts w:ascii="Times New Roman" w:hAnsi="Times New Roman" w:eastAsia="宋体"/>
      <w:sz w:val="21"/>
    </w:rPr>
  </w:style>
  <w:style w:type="character" w:customStyle="1" w:styleId="38">
    <w:name w:val="font31"/>
    <w:qFormat/>
    <w:uiPriority w:val="0"/>
    <w:rPr>
      <w:rFonts w:hint="default" w:ascii="Times New Roman" w:hAnsi="Times New Roman" w:cs="Times New Roman"/>
      <w:color w:val="000000"/>
      <w:sz w:val="18"/>
      <w:szCs w:val="18"/>
      <w:u w:val="none"/>
      <w:vertAlign w:val="superscript"/>
    </w:rPr>
  </w:style>
  <w:style w:type="paragraph" w:customStyle="1" w:styleId="39">
    <w:name w:val="Table Text"/>
    <w:basedOn w:val="1"/>
    <w:autoRedefine/>
    <w:semiHidden/>
    <w:qFormat/>
    <w:uiPriority w:val="0"/>
    <w:rPr>
      <w:rFonts w:ascii="宋体" w:hAnsi="宋体" w:eastAsia="宋体" w:cs="宋体"/>
      <w:sz w:val="24"/>
      <w:szCs w:val="24"/>
      <w:lang w:val="en-US" w:eastAsia="en-US" w:bidi="ar-SA"/>
    </w:rPr>
  </w:style>
  <w:style w:type="table" w:customStyle="1" w:styleId="40">
    <w:name w:val="Table Normal"/>
    <w:autoRedefine/>
    <w:semiHidden/>
    <w:unhideWhenUsed/>
    <w:qFormat/>
    <w:uiPriority w:val="0"/>
    <w:tblPr>
      <w:tblCellMar>
        <w:top w:w="0" w:type="dxa"/>
        <w:left w:w="0" w:type="dxa"/>
        <w:bottom w:w="0" w:type="dxa"/>
        <w:right w:w="0" w:type="dxa"/>
      </w:tblCellMar>
    </w:tblPr>
  </w:style>
  <w:style w:type="paragraph" w:customStyle="1" w:styleId="41">
    <w:name w:val="二级条标题"/>
    <w:basedOn w:val="42"/>
    <w:next w:val="30"/>
    <w:autoRedefine/>
    <w:qFormat/>
    <w:uiPriority w:val="0"/>
    <w:pPr>
      <w:numPr>
        <w:ilvl w:val="3"/>
        <w:numId w:val="1"/>
      </w:numPr>
      <w:outlineLvl w:val="3"/>
    </w:pPr>
  </w:style>
  <w:style w:type="paragraph" w:customStyle="1" w:styleId="42">
    <w:name w:val="一级条标题"/>
    <w:next w:val="30"/>
    <w:autoRedefine/>
    <w:qFormat/>
    <w:uiPriority w:val="0"/>
    <w:pPr>
      <w:numPr>
        <w:ilvl w:val="2"/>
        <w:numId w:val="1"/>
      </w:numPr>
      <w:outlineLvl w:val="2"/>
    </w:pPr>
    <w:rPr>
      <w:rFonts w:ascii="Times New Roman" w:hAnsi="Times New Roman" w:eastAsia="黑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18.png"/><Relationship Id="rId21" Type="http://schemas.openxmlformats.org/officeDocument/2006/relationships/image" Target="media/image17.png"/><Relationship Id="rId20" Type="http://schemas.openxmlformats.org/officeDocument/2006/relationships/image" Target="media/image16.png"/><Relationship Id="rId2" Type="http://schemas.openxmlformats.org/officeDocument/2006/relationships/settings" Target="settings.xml"/><Relationship Id="rId19" Type="http://schemas.openxmlformats.org/officeDocument/2006/relationships/image" Target="media/image15.png"/><Relationship Id="rId18" Type="http://schemas.openxmlformats.org/officeDocument/2006/relationships/image" Target="media/image14.png"/><Relationship Id="rId17" Type="http://schemas.openxmlformats.org/officeDocument/2006/relationships/image" Target="media/image13.png"/><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20</Pages>
  <Words>5662</Words>
  <Characters>6040</Characters>
  <Lines>273</Lines>
  <Paragraphs>77</Paragraphs>
  <TotalTime>3</TotalTime>
  <ScaleCrop>false</ScaleCrop>
  <LinksUpToDate>false</LinksUpToDate>
  <CharactersWithSpaces>6052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2022-08-03T02:17:00Z</dcterms:created>
  <dc:creator>Sky123.Org</dc:creator>
  <cp:lastModifiedBy>罗毅</cp:lastModifiedBy>
  <cp:lastPrinted>2023-04-23T05:47:00Z</cp:lastPrinted>
  <dcterms:modified xsi:type="dcterms:W3CDTF">2026-01-14T08:45:55Z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715B60F9876C49CD88AB107E973EA8A4_13</vt:lpwstr>
  </property>
  <property fmtid="{D5CDD505-2E9C-101B-9397-08002B2CF9AE}" pid="4" name="KSOTemplateDocerSaveRecord">
    <vt:lpwstr>eyJoZGlkIjoiMWUxN2QyMzU0YmM5OWIyZjg3MjVmZWYzNjViYWYwOWUiLCJ1c2VySWQiOiI1NTYxNDE5OTEifQ==</vt:lpwstr>
  </property>
</Properties>
</file>