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6513A">
      <w:pPr>
        <w:pStyle w:val="99"/>
        <w:jc w:val="center"/>
        <w:rPr>
          <w:rFonts w:ascii="黑体" w:hAnsi="黑体" w:eastAsia="黑体"/>
          <w:b w:val="0"/>
          <w:bCs w:val="0"/>
          <w:sz w:val="24"/>
          <w:szCs w:val="24"/>
        </w:rPr>
      </w:pPr>
      <w:bookmarkStart w:id="0" w:name="_Toc464728891"/>
      <w:bookmarkStart w:id="1" w:name="SectionMark4"/>
    </w:p>
    <w:p w14:paraId="261607E6">
      <w:pPr>
        <w:pStyle w:val="99"/>
        <w:jc w:val="center"/>
        <w:rPr>
          <w:rFonts w:ascii="黑体" w:hAnsi="黑体" w:eastAsia="黑体"/>
          <w:b w:val="0"/>
          <w:bCs w:val="0"/>
          <w:sz w:val="24"/>
          <w:szCs w:val="24"/>
        </w:rPr>
      </w:pPr>
    </w:p>
    <w:p w14:paraId="5CCD06B1">
      <w:pPr>
        <w:pStyle w:val="99"/>
        <w:jc w:val="center"/>
        <w:rPr>
          <w:rFonts w:ascii="黑体" w:hAnsi="黑体" w:eastAsia="黑体"/>
          <w:b w:val="0"/>
          <w:bCs w:val="0"/>
          <w:sz w:val="24"/>
          <w:szCs w:val="24"/>
        </w:rPr>
      </w:pPr>
    </w:p>
    <w:p w14:paraId="23A4CA42">
      <w:pPr>
        <w:pStyle w:val="99"/>
        <w:jc w:val="center"/>
        <w:rPr>
          <w:rFonts w:ascii="黑体" w:hAnsi="黑体" w:eastAsia="黑体"/>
          <w:b w:val="0"/>
          <w:bCs w:val="0"/>
          <w:sz w:val="24"/>
          <w:szCs w:val="24"/>
        </w:rPr>
      </w:pPr>
    </w:p>
    <w:p w14:paraId="1CEAA560">
      <w:pPr>
        <w:pStyle w:val="99"/>
        <w:jc w:val="center"/>
        <w:rPr>
          <w:rFonts w:ascii="黑体" w:hAnsi="黑体" w:eastAsia="黑体"/>
          <w:b w:val="0"/>
          <w:bCs w:val="0"/>
          <w:sz w:val="24"/>
          <w:szCs w:val="24"/>
        </w:rPr>
      </w:pPr>
    </w:p>
    <w:p w14:paraId="1E5655C1">
      <w:pPr>
        <w:pStyle w:val="99"/>
        <w:jc w:val="center"/>
        <w:rPr>
          <w:rFonts w:ascii="黑体" w:hAnsi="黑体" w:eastAsia="黑体"/>
          <w:b w:val="0"/>
          <w:bCs w:val="0"/>
          <w:sz w:val="24"/>
          <w:szCs w:val="24"/>
        </w:rPr>
      </w:pPr>
    </w:p>
    <w:p w14:paraId="365DF92E">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3BF3227D">
                            <w:pPr>
                              <w:pStyle w:val="76"/>
                              <w:rPr>
                                <w:rFonts w:hAnsi="黑体" w:cs="黑体"/>
                                <w:sz w:val="44"/>
                                <w:szCs w:val="44"/>
                              </w:rPr>
                            </w:pPr>
                            <w:bookmarkStart w:id="80"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0"/>
                          <w:p w14:paraId="011E22CF">
                            <w:pPr>
                              <w:pStyle w:val="76"/>
                              <w:rPr>
                                <w:rFonts w:hAnsi="黑体" w:cs="黑体"/>
                                <w:szCs w:val="52"/>
                              </w:rPr>
                            </w:pPr>
                            <w:r>
                              <w:rPr>
                                <w:rFonts w:hint="eastAsia" w:hAnsi="黑体" w:cs="黑体"/>
                                <w:szCs w:val="52"/>
                              </w:rPr>
                              <w:t>有色金属材料分析用火花放电原子发射光谱仪校准规范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3BF3227D">
                      <w:pPr>
                        <w:pStyle w:val="76"/>
                        <w:rPr>
                          <w:rFonts w:hAnsi="黑体" w:cs="黑体"/>
                          <w:sz w:val="44"/>
                          <w:szCs w:val="44"/>
                        </w:rPr>
                      </w:pPr>
                      <w:bookmarkStart w:id="80"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80"/>
                    <w:p w14:paraId="011E22CF">
                      <w:pPr>
                        <w:pStyle w:val="76"/>
                        <w:rPr>
                          <w:rFonts w:hAnsi="黑体" w:cs="黑体"/>
                          <w:szCs w:val="52"/>
                        </w:rPr>
                      </w:pPr>
                      <w:r>
                        <w:rPr>
                          <w:rFonts w:hint="eastAsia" w:hAnsi="黑体" w:cs="黑体"/>
                          <w:szCs w:val="52"/>
                        </w:rPr>
                        <w:t>有色金属材料分析用火花放电原子发射光谱仪校准规范</w:t>
                      </w:r>
                    </w:p>
                    <w:p w14:paraId="72F6B995">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657F1709">
      <w:pPr>
        <w:pStyle w:val="99"/>
        <w:jc w:val="center"/>
        <w:rPr>
          <w:rFonts w:ascii="黑体" w:hAnsi="黑体" w:eastAsia="黑体"/>
          <w:b w:val="0"/>
          <w:bCs w:val="0"/>
          <w:sz w:val="24"/>
          <w:szCs w:val="24"/>
        </w:rPr>
      </w:pPr>
    </w:p>
    <w:p w14:paraId="5B12077C">
      <w:pPr>
        <w:pStyle w:val="99"/>
        <w:jc w:val="center"/>
        <w:rPr>
          <w:rFonts w:ascii="黑体" w:hAnsi="黑体" w:eastAsia="黑体"/>
          <w:b w:val="0"/>
          <w:bCs w:val="0"/>
          <w:sz w:val="24"/>
          <w:szCs w:val="24"/>
        </w:rPr>
      </w:pPr>
    </w:p>
    <w:p w14:paraId="4B6D4267">
      <w:pPr>
        <w:pStyle w:val="99"/>
        <w:jc w:val="center"/>
        <w:rPr>
          <w:rFonts w:ascii="黑体" w:hAnsi="黑体" w:eastAsia="黑体"/>
          <w:b w:val="0"/>
          <w:bCs w:val="0"/>
          <w:sz w:val="24"/>
          <w:szCs w:val="24"/>
        </w:rPr>
      </w:pPr>
    </w:p>
    <w:p w14:paraId="5CEE8E5D">
      <w:pPr>
        <w:pStyle w:val="99"/>
        <w:jc w:val="center"/>
        <w:rPr>
          <w:rFonts w:ascii="黑体" w:hAnsi="黑体" w:eastAsia="黑体"/>
          <w:b w:val="0"/>
          <w:bCs w:val="0"/>
          <w:sz w:val="24"/>
          <w:szCs w:val="24"/>
        </w:rPr>
      </w:pPr>
    </w:p>
    <w:p w14:paraId="520DE93F">
      <w:pPr>
        <w:pStyle w:val="99"/>
        <w:jc w:val="center"/>
        <w:rPr>
          <w:rFonts w:ascii="黑体" w:hAnsi="黑体" w:eastAsia="黑体"/>
          <w:b w:val="0"/>
          <w:bCs w:val="0"/>
          <w:sz w:val="24"/>
          <w:szCs w:val="24"/>
        </w:rPr>
      </w:pPr>
    </w:p>
    <w:p w14:paraId="4DC0BF17">
      <w:pPr>
        <w:pStyle w:val="99"/>
        <w:jc w:val="center"/>
        <w:rPr>
          <w:rFonts w:ascii="黑体" w:hAnsi="黑体" w:eastAsia="黑体"/>
          <w:b w:val="0"/>
          <w:bCs w:val="0"/>
          <w:sz w:val="24"/>
          <w:szCs w:val="24"/>
        </w:rPr>
      </w:pPr>
    </w:p>
    <w:p w14:paraId="4A8606C4">
      <w:pPr>
        <w:pStyle w:val="99"/>
        <w:jc w:val="center"/>
        <w:rPr>
          <w:rFonts w:ascii="黑体" w:hAnsi="黑体" w:eastAsia="黑体"/>
          <w:b w:val="0"/>
          <w:bCs w:val="0"/>
          <w:sz w:val="24"/>
          <w:szCs w:val="24"/>
        </w:rPr>
      </w:pPr>
    </w:p>
    <w:p w14:paraId="426E253B">
      <w:pPr>
        <w:pStyle w:val="99"/>
        <w:jc w:val="center"/>
        <w:rPr>
          <w:rFonts w:ascii="黑体" w:hAnsi="黑体" w:eastAsia="黑体"/>
          <w:b w:val="0"/>
          <w:bCs w:val="0"/>
          <w:sz w:val="24"/>
          <w:szCs w:val="24"/>
        </w:rPr>
      </w:pPr>
    </w:p>
    <w:p w14:paraId="7AF395CF">
      <w:pPr>
        <w:pStyle w:val="99"/>
        <w:jc w:val="center"/>
        <w:rPr>
          <w:rFonts w:ascii="黑体" w:hAnsi="黑体" w:eastAsia="黑体"/>
          <w:b w:val="0"/>
          <w:bCs w:val="0"/>
          <w:sz w:val="24"/>
          <w:szCs w:val="24"/>
        </w:rPr>
      </w:pPr>
    </w:p>
    <w:p w14:paraId="7E7C99B0">
      <w:pPr>
        <w:pStyle w:val="99"/>
        <w:jc w:val="center"/>
        <w:rPr>
          <w:rFonts w:ascii="黑体" w:hAnsi="黑体" w:eastAsia="黑体"/>
          <w:b w:val="0"/>
          <w:bCs w:val="0"/>
          <w:sz w:val="24"/>
          <w:szCs w:val="24"/>
        </w:rPr>
      </w:pPr>
    </w:p>
    <w:p w14:paraId="44A9AD4F">
      <w:pPr>
        <w:pStyle w:val="99"/>
        <w:jc w:val="center"/>
        <w:rPr>
          <w:rFonts w:ascii="黑体" w:hAnsi="黑体" w:eastAsia="黑体"/>
          <w:b w:val="0"/>
          <w:bCs w:val="0"/>
          <w:sz w:val="24"/>
          <w:szCs w:val="24"/>
        </w:rPr>
      </w:pPr>
    </w:p>
    <w:p w14:paraId="02AC33B4">
      <w:pPr>
        <w:pStyle w:val="99"/>
        <w:jc w:val="center"/>
        <w:rPr>
          <w:rFonts w:ascii="黑体" w:hAnsi="黑体" w:eastAsia="黑体"/>
          <w:b w:val="0"/>
          <w:bCs w:val="0"/>
          <w:sz w:val="24"/>
          <w:szCs w:val="24"/>
        </w:rPr>
      </w:pPr>
    </w:p>
    <w:p w14:paraId="6C0AC297">
      <w:pPr>
        <w:pStyle w:val="99"/>
        <w:jc w:val="center"/>
        <w:rPr>
          <w:rFonts w:ascii="黑体" w:hAnsi="黑体" w:eastAsia="黑体"/>
          <w:b w:val="0"/>
          <w:bCs w:val="0"/>
          <w:sz w:val="24"/>
          <w:szCs w:val="24"/>
        </w:rPr>
      </w:pPr>
    </w:p>
    <w:p w14:paraId="6ED72D46">
      <w:pPr>
        <w:pStyle w:val="99"/>
        <w:jc w:val="center"/>
        <w:rPr>
          <w:rFonts w:ascii="黑体" w:hAnsi="黑体" w:eastAsia="黑体"/>
          <w:b w:val="0"/>
          <w:bCs w:val="0"/>
          <w:sz w:val="24"/>
          <w:szCs w:val="24"/>
        </w:rPr>
      </w:pPr>
    </w:p>
    <w:p w14:paraId="4D140896">
      <w:pPr>
        <w:pStyle w:val="99"/>
        <w:jc w:val="center"/>
        <w:rPr>
          <w:rFonts w:ascii="黑体" w:hAnsi="黑体" w:eastAsia="黑体"/>
          <w:b w:val="0"/>
          <w:bCs w:val="0"/>
          <w:sz w:val="24"/>
          <w:szCs w:val="24"/>
        </w:rPr>
      </w:pPr>
    </w:p>
    <w:p w14:paraId="276BDB7B">
      <w:pPr>
        <w:pStyle w:val="99"/>
        <w:jc w:val="center"/>
        <w:rPr>
          <w:rFonts w:ascii="黑体" w:hAnsi="黑体" w:eastAsia="黑体"/>
          <w:b w:val="0"/>
          <w:bCs w:val="0"/>
          <w:sz w:val="24"/>
          <w:szCs w:val="24"/>
        </w:rPr>
      </w:pPr>
    </w:p>
    <w:p w14:paraId="55981809">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D583F56">
                            <w:pPr>
                              <w:pStyle w:val="68"/>
                              <w:spacing w:before="600"/>
                              <w:rPr>
                                <w:rFonts w:ascii="黑体" w:hAnsi="黑体" w:eastAsia="黑体"/>
                                <w:sz w:val="36"/>
                                <w:szCs w:val="36"/>
                              </w:rPr>
                            </w:pPr>
                            <w:r>
                              <w:rPr>
                                <w:rFonts w:hint="eastAsia" w:ascii="黑体" w:hAnsi="黑体" w:eastAsia="黑体"/>
                                <w:sz w:val="36"/>
                                <w:szCs w:val="36"/>
                                <w:lang w:val="en-US" w:eastAsia="zh-CN"/>
                              </w:rPr>
                              <w:t>送审</w:t>
                            </w:r>
                            <w:r>
                              <w:rPr>
                                <w:rFonts w:hint="eastAsia" w:ascii="黑体" w:hAnsi="黑体" w:eastAsia="黑体"/>
                                <w:sz w:val="36"/>
                                <w:szCs w:val="36"/>
                              </w:rPr>
                              <w:t>稿</w:t>
                            </w:r>
                          </w:p>
                          <w:p w14:paraId="15A726FB">
                            <w:pPr>
                              <w:pStyle w:val="68"/>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5</w:t>
                            </w:r>
                            <w:r>
                              <w:rPr>
                                <w:rFonts w:hint="eastAsia" w:ascii="黑体" w:hAnsi="黑体" w:eastAsia="黑体"/>
                                <w:sz w:val="36"/>
                                <w:szCs w:val="36"/>
                              </w:rPr>
                              <w:t>-</w:t>
                            </w:r>
                            <w:r>
                              <w:rPr>
                                <w:rFonts w:hint="eastAsia" w:ascii="黑体" w:hAnsi="黑体" w:eastAsia="黑体"/>
                                <w:sz w:val="36"/>
                                <w:szCs w:val="36"/>
                                <w:lang w:val="en-US" w:eastAsia="zh-CN"/>
                              </w:rPr>
                              <w:t>12</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D583F56">
                      <w:pPr>
                        <w:pStyle w:val="68"/>
                        <w:spacing w:before="600"/>
                        <w:rPr>
                          <w:rFonts w:ascii="黑体" w:hAnsi="黑体" w:eastAsia="黑体"/>
                          <w:sz w:val="36"/>
                          <w:szCs w:val="36"/>
                        </w:rPr>
                      </w:pPr>
                      <w:r>
                        <w:rPr>
                          <w:rFonts w:hint="eastAsia" w:ascii="黑体" w:hAnsi="黑体" w:eastAsia="黑体"/>
                          <w:sz w:val="36"/>
                          <w:szCs w:val="36"/>
                          <w:lang w:val="en-US" w:eastAsia="zh-CN"/>
                        </w:rPr>
                        <w:t>送审</w:t>
                      </w:r>
                      <w:r>
                        <w:rPr>
                          <w:rFonts w:hint="eastAsia" w:ascii="黑体" w:hAnsi="黑体" w:eastAsia="黑体"/>
                          <w:sz w:val="36"/>
                          <w:szCs w:val="36"/>
                        </w:rPr>
                        <w:t>稿</w:t>
                      </w:r>
                    </w:p>
                    <w:p w14:paraId="15A726FB">
                      <w:pPr>
                        <w:pStyle w:val="68"/>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5</w:t>
                      </w:r>
                      <w:r>
                        <w:rPr>
                          <w:rFonts w:hint="eastAsia" w:ascii="黑体" w:hAnsi="黑体" w:eastAsia="黑体"/>
                          <w:sz w:val="36"/>
                          <w:szCs w:val="36"/>
                        </w:rPr>
                        <w:t>-</w:t>
                      </w:r>
                      <w:r>
                        <w:rPr>
                          <w:rFonts w:hint="eastAsia" w:ascii="黑体" w:hAnsi="黑体" w:eastAsia="黑体"/>
                          <w:sz w:val="36"/>
                          <w:szCs w:val="36"/>
                          <w:lang w:val="en-US" w:eastAsia="zh-CN"/>
                        </w:rPr>
                        <w:t>12</w:t>
                      </w:r>
                    </w:p>
                  </w:txbxContent>
                </v:textbox>
                <w10:anchorlock/>
              </v:rect>
            </w:pict>
          </mc:Fallback>
        </mc:AlternateContent>
      </w:r>
    </w:p>
    <w:p w14:paraId="60A4B863">
      <w:pPr>
        <w:pStyle w:val="99"/>
        <w:jc w:val="center"/>
        <w:rPr>
          <w:rFonts w:ascii="黑体" w:hAnsi="黑体" w:eastAsia="黑体"/>
          <w:b w:val="0"/>
          <w:bCs w:val="0"/>
          <w:sz w:val="24"/>
          <w:szCs w:val="24"/>
        </w:rPr>
      </w:pPr>
    </w:p>
    <w:p w14:paraId="5485B151">
      <w:pPr>
        <w:pStyle w:val="99"/>
        <w:jc w:val="center"/>
        <w:rPr>
          <w:rFonts w:ascii="黑体" w:hAnsi="黑体" w:eastAsia="黑体"/>
          <w:b w:val="0"/>
          <w:bCs w:val="0"/>
          <w:sz w:val="24"/>
          <w:szCs w:val="24"/>
        </w:rPr>
      </w:pPr>
    </w:p>
    <w:p w14:paraId="6EAE2478">
      <w:pPr>
        <w:pStyle w:val="99"/>
        <w:jc w:val="center"/>
        <w:rPr>
          <w:rFonts w:ascii="黑体" w:hAnsi="黑体" w:eastAsia="黑体"/>
          <w:b w:val="0"/>
          <w:bCs w:val="0"/>
          <w:sz w:val="24"/>
          <w:szCs w:val="24"/>
        </w:rPr>
      </w:pPr>
    </w:p>
    <w:p w14:paraId="51704646">
      <w:pPr>
        <w:pStyle w:val="99"/>
        <w:jc w:val="center"/>
        <w:rPr>
          <w:rFonts w:ascii="黑体" w:hAnsi="黑体" w:eastAsia="黑体"/>
          <w:b w:val="0"/>
          <w:bCs w:val="0"/>
          <w:sz w:val="24"/>
          <w:szCs w:val="24"/>
        </w:rPr>
      </w:pPr>
    </w:p>
    <w:p w14:paraId="7E453036">
      <w:pPr>
        <w:pStyle w:val="99"/>
        <w:jc w:val="center"/>
        <w:rPr>
          <w:rFonts w:ascii="黑体" w:hAnsi="黑体" w:eastAsia="黑体"/>
          <w:b w:val="0"/>
          <w:bCs w:val="0"/>
          <w:sz w:val="24"/>
          <w:szCs w:val="24"/>
        </w:rPr>
      </w:pPr>
    </w:p>
    <w:p w14:paraId="642EA6C2">
      <w:pPr>
        <w:pStyle w:val="99"/>
        <w:jc w:val="center"/>
        <w:rPr>
          <w:rFonts w:ascii="黑体" w:hAnsi="黑体" w:eastAsia="黑体"/>
          <w:b w:val="0"/>
          <w:bCs w:val="0"/>
          <w:sz w:val="24"/>
          <w:szCs w:val="24"/>
        </w:rPr>
      </w:pPr>
    </w:p>
    <w:p w14:paraId="0082894A">
      <w:pPr>
        <w:pStyle w:val="99"/>
        <w:jc w:val="center"/>
        <w:rPr>
          <w:rFonts w:ascii="黑体" w:hAnsi="黑体" w:eastAsia="黑体"/>
          <w:b w:val="0"/>
          <w:bCs w:val="0"/>
          <w:sz w:val="24"/>
          <w:szCs w:val="24"/>
        </w:rPr>
      </w:pPr>
    </w:p>
    <w:p w14:paraId="0709B332">
      <w:pPr>
        <w:pStyle w:val="99"/>
        <w:jc w:val="center"/>
        <w:rPr>
          <w:rFonts w:ascii="黑体" w:hAnsi="黑体" w:eastAsia="黑体"/>
          <w:b w:val="0"/>
          <w:bCs w:val="0"/>
          <w:sz w:val="24"/>
          <w:szCs w:val="24"/>
        </w:rPr>
      </w:pPr>
    </w:p>
    <w:p w14:paraId="5258344D">
      <w:pPr>
        <w:pStyle w:val="99"/>
        <w:jc w:val="center"/>
        <w:rPr>
          <w:rFonts w:ascii="黑体" w:hAnsi="黑体" w:eastAsia="黑体"/>
          <w:b w:val="0"/>
          <w:bCs w:val="0"/>
          <w:sz w:val="24"/>
          <w:szCs w:val="24"/>
        </w:rPr>
      </w:pPr>
    </w:p>
    <w:p w14:paraId="660B44CE">
      <w:pPr>
        <w:pStyle w:val="99"/>
        <w:jc w:val="center"/>
        <w:rPr>
          <w:rFonts w:ascii="黑体" w:hAnsi="黑体" w:eastAsia="黑体"/>
          <w:b w:val="0"/>
          <w:bCs w:val="0"/>
          <w:sz w:val="24"/>
          <w:szCs w:val="24"/>
        </w:rPr>
      </w:pPr>
    </w:p>
    <w:p w14:paraId="29D1196A">
      <w:pPr>
        <w:pStyle w:val="99"/>
        <w:jc w:val="center"/>
        <w:rPr>
          <w:rFonts w:ascii="黑体" w:hAnsi="黑体" w:eastAsia="黑体"/>
          <w:b w:val="0"/>
          <w:bCs w:val="0"/>
          <w:sz w:val="24"/>
          <w:szCs w:val="24"/>
        </w:rPr>
      </w:pPr>
    </w:p>
    <w:p w14:paraId="60223242">
      <w:pPr>
        <w:pStyle w:val="99"/>
        <w:jc w:val="center"/>
        <w:rPr>
          <w:rFonts w:ascii="黑体" w:hAnsi="黑体" w:eastAsia="黑体"/>
          <w:b w:val="0"/>
          <w:bCs w:val="0"/>
          <w:sz w:val="24"/>
          <w:szCs w:val="24"/>
        </w:rPr>
      </w:pPr>
    </w:p>
    <w:p w14:paraId="7AAF4CC4">
      <w:pPr>
        <w:pStyle w:val="99"/>
        <w:jc w:val="center"/>
        <w:rPr>
          <w:rFonts w:ascii="黑体" w:hAnsi="黑体" w:eastAsia="黑体"/>
          <w:b w:val="0"/>
          <w:bCs w:val="0"/>
          <w:sz w:val="24"/>
          <w:szCs w:val="24"/>
        </w:rPr>
      </w:pPr>
    </w:p>
    <w:p w14:paraId="75E989CA">
      <w:pPr>
        <w:pStyle w:val="99"/>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-528955</wp:posOffset>
                </wp:positionH>
                <wp:positionV relativeFrom="margin">
                  <wp:posOffset>7419340</wp:posOffset>
                </wp:positionV>
                <wp:extent cx="6995160" cy="1652270"/>
                <wp:effectExtent l="0" t="0" r="2540" b="11430"/>
                <wp:wrapNone/>
                <wp:docPr id="1" name="fmFrame7"/>
                <wp:cNvGraphicFramePr/>
                <a:graphic xmlns:a="http://schemas.openxmlformats.org/drawingml/2006/main">
                  <a:graphicData uri="http://schemas.microsoft.com/office/word/2010/wordprocessingShape">
                    <wps:wsp>
                      <wps:cNvSpPr/>
                      <wps:spPr>
                        <a:xfrm>
                          <a:off x="0" y="0"/>
                          <a:ext cx="6995160" cy="1652270"/>
                        </a:xfrm>
                        <a:prstGeom prst="rect">
                          <a:avLst/>
                        </a:prstGeom>
                        <a:solidFill>
                          <a:srgbClr val="FFFFFF"/>
                        </a:solidFill>
                        <a:ln>
                          <a:noFill/>
                        </a:ln>
                      </wps:spPr>
                      <wps:txbx>
                        <w:txbxContent>
                          <w:p w14:paraId="6FD6E607">
                            <w:pPr>
                              <w:pStyle w:val="76"/>
                              <w:rPr>
                                <w:rFonts w:ascii="宋体" w:hAnsi="宋体" w:eastAsia="宋体" w:cs="宋体"/>
                                <w:spacing w:val="58"/>
                                <w:w w:val="120"/>
                                <w:kern w:val="2"/>
                                <w:sz w:val="28"/>
                                <w:szCs w:val="28"/>
                              </w:rPr>
                            </w:pPr>
                          </w:p>
                          <w:p w14:paraId="5BF7C346">
                            <w:pPr>
                              <w:jc w:val="center"/>
                              <w:rPr>
                                <w:rFonts w:hint="eastAsia" w:ascii="宋体" w:hAnsi="宋体" w:cs="宋体"/>
                                <w:spacing w:val="58"/>
                                <w:w w:val="120"/>
                                <w:sz w:val="28"/>
                                <w:szCs w:val="28"/>
                              </w:rPr>
                            </w:pPr>
                            <w:r>
                              <w:rPr>
                                <w:rFonts w:hint="eastAsia" w:ascii="宋体" w:hAnsi="宋体" w:cs="宋体"/>
                                <w:spacing w:val="58"/>
                                <w:w w:val="120"/>
                                <w:sz w:val="28"/>
                                <w:szCs w:val="28"/>
                              </w:rPr>
                              <w:t>有色金属材料分析用火花放电原子发射光谱仪</w:t>
                            </w:r>
                          </w:p>
                          <w:p w14:paraId="06143CAA">
                            <w:pPr>
                              <w:jc w:val="center"/>
                              <w:rPr>
                                <w:rFonts w:ascii="宋体" w:hAnsi="宋体" w:cs="宋体"/>
                                <w:sz w:val="28"/>
                                <w:szCs w:val="28"/>
                              </w:rPr>
                            </w:pPr>
                            <w:r>
                              <w:rPr>
                                <w:rFonts w:hint="eastAsia" w:ascii="宋体" w:hAnsi="宋体" w:cs="宋体"/>
                                <w:spacing w:val="58"/>
                                <w:w w:val="120"/>
                                <w:sz w:val="28"/>
                                <w:szCs w:val="28"/>
                              </w:rPr>
                              <w:t>校准规范编制组</w:t>
                            </w:r>
                          </w:p>
                          <w:p w14:paraId="703B9137">
                            <w:pPr>
                              <w:pStyle w:val="115"/>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国标（北京）检验认证有限</w:t>
                            </w:r>
                            <w:r>
                              <w:rPr>
                                <w:rFonts w:hint="eastAsia" w:ascii="宋体" w:hAnsi="宋体" w:eastAsia="宋体" w:cs="宋体"/>
                                <w:sz w:val="28"/>
                                <w:szCs w:val="28"/>
                              </w:rPr>
                              <w:t>公司</w:t>
                            </w:r>
                          </w:p>
                        </w:txbxContent>
                      </wps:txbx>
                      <wps:bodyPr lIns="0" tIns="0" rIns="0" bIns="0" upright="1"/>
                    </wps:wsp>
                  </a:graphicData>
                </a:graphic>
              </wp:anchor>
            </w:drawing>
          </mc:Choice>
          <mc:Fallback>
            <w:pict>
              <v:rect id="fmFrame7" o:spid="_x0000_s1026" o:spt="1" style="position:absolute;left:0pt;margin-left:-41.65pt;margin-top:584.2pt;height:130.1pt;width:550.8pt;mso-position-horizontal-relative:margin;mso-position-vertical-relative:margin;z-index:251661312;mso-width-relative:page;mso-height-relative:page;" fillcolor="#FFFFFF" filled="t" stroked="f" coordsize="21600,21600" o:gfxdata="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avgk12QAAAA4BAAAPAAAAAAAAAAEAIAAAACIAAABkcnMvZG93bnJldi54bWxQSwEC&#10;FAAUAAAACACHTuJAEBZN3boBAACPAwAADgAAAAAAAAABACAAAAAoAQAAZHJzL2Uyb0RvYy54bWxQ&#10;SwUGAAAAAAYABgBZAQAAVAUAAAAA&#10;">
                <v:fill on="t" focussize="0,0"/>
                <v:stroke on="f"/>
                <v:imagedata o:title=""/>
                <o:lock v:ext="edit" aspectratio="f"/>
                <v:textbox inset="0mm,0mm,0mm,0mm">
                  <w:txbxContent>
                    <w:p w14:paraId="6FD6E607">
                      <w:pPr>
                        <w:pStyle w:val="76"/>
                        <w:rPr>
                          <w:rFonts w:ascii="宋体" w:hAnsi="宋体" w:eastAsia="宋体" w:cs="宋体"/>
                          <w:spacing w:val="58"/>
                          <w:w w:val="120"/>
                          <w:kern w:val="2"/>
                          <w:sz w:val="28"/>
                          <w:szCs w:val="28"/>
                        </w:rPr>
                      </w:pPr>
                    </w:p>
                    <w:p w14:paraId="5BF7C346">
                      <w:pPr>
                        <w:jc w:val="center"/>
                        <w:rPr>
                          <w:rFonts w:hint="eastAsia" w:ascii="宋体" w:hAnsi="宋体" w:cs="宋体"/>
                          <w:spacing w:val="58"/>
                          <w:w w:val="120"/>
                          <w:sz w:val="28"/>
                          <w:szCs w:val="28"/>
                        </w:rPr>
                      </w:pPr>
                      <w:r>
                        <w:rPr>
                          <w:rFonts w:hint="eastAsia" w:ascii="宋体" w:hAnsi="宋体" w:cs="宋体"/>
                          <w:spacing w:val="58"/>
                          <w:w w:val="120"/>
                          <w:sz w:val="28"/>
                          <w:szCs w:val="28"/>
                        </w:rPr>
                        <w:t>有色金属材料分析用火花放电原子发射光谱仪</w:t>
                      </w:r>
                    </w:p>
                    <w:p w14:paraId="06143CAA">
                      <w:pPr>
                        <w:jc w:val="center"/>
                        <w:rPr>
                          <w:rFonts w:ascii="宋体" w:hAnsi="宋体" w:cs="宋体"/>
                          <w:sz w:val="28"/>
                          <w:szCs w:val="28"/>
                        </w:rPr>
                      </w:pPr>
                      <w:r>
                        <w:rPr>
                          <w:rFonts w:hint="eastAsia" w:ascii="宋体" w:hAnsi="宋体" w:cs="宋体"/>
                          <w:spacing w:val="58"/>
                          <w:w w:val="120"/>
                          <w:sz w:val="28"/>
                          <w:szCs w:val="28"/>
                        </w:rPr>
                        <w:t>校准规范编制组</w:t>
                      </w:r>
                    </w:p>
                    <w:p w14:paraId="703B9137">
                      <w:pPr>
                        <w:pStyle w:val="115"/>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国标（北京）检验认证有限</w:t>
                      </w:r>
                      <w:r>
                        <w:rPr>
                          <w:rFonts w:hint="eastAsia" w:ascii="宋体" w:hAnsi="宋体" w:eastAsia="宋体" w:cs="宋体"/>
                          <w:sz w:val="28"/>
                          <w:szCs w:val="28"/>
                        </w:rPr>
                        <w:t>公司</w:t>
                      </w:r>
                    </w:p>
                  </w:txbxContent>
                </v:textbox>
                <w10:anchorlock/>
              </v:rect>
            </w:pict>
          </mc:Fallback>
        </mc:AlternateContent>
      </w:r>
    </w:p>
    <w:p w14:paraId="08C76235">
      <w:pPr>
        <w:pStyle w:val="99"/>
        <w:jc w:val="center"/>
        <w:rPr>
          <w:rFonts w:ascii="黑体" w:hAnsi="黑体" w:eastAsia="黑体"/>
          <w:b w:val="0"/>
          <w:bCs w:val="0"/>
          <w:sz w:val="24"/>
          <w:szCs w:val="24"/>
        </w:rPr>
      </w:pPr>
    </w:p>
    <w:p w14:paraId="207D3399">
      <w:pPr>
        <w:pStyle w:val="99"/>
        <w:jc w:val="center"/>
        <w:rPr>
          <w:rFonts w:ascii="黑体" w:hAnsi="黑体" w:eastAsia="黑体"/>
          <w:b w:val="0"/>
          <w:bCs w:val="0"/>
          <w:sz w:val="24"/>
          <w:szCs w:val="24"/>
        </w:rPr>
      </w:pPr>
    </w:p>
    <w:p w14:paraId="2A2979CC">
      <w:pPr>
        <w:pStyle w:val="99"/>
        <w:jc w:val="center"/>
        <w:rPr>
          <w:rFonts w:ascii="黑体" w:hAnsi="黑体" w:eastAsia="黑体"/>
          <w:b w:val="0"/>
          <w:bCs w:val="0"/>
          <w:sz w:val="24"/>
          <w:szCs w:val="24"/>
        </w:rPr>
      </w:pPr>
    </w:p>
    <w:p w14:paraId="1C6E7CC3">
      <w:pPr>
        <w:pStyle w:val="99"/>
        <w:jc w:val="center"/>
        <w:rPr>
          <w:rFonts w:ascii="黑体" w:hAnsi="黑体" w:eastAsia="黑体"/>
          <w:b w:val="0"/>
          <w:bCs w:val="0"/>
          <w:sz w:val="24"/>
          <w:szCs w:val="24"/>
        </w:rPr>
      </w:pPr>
    </w:p>
    <w:p w14:paraId="1F92AC1C">
      <w:pPr>
        <w:pStyle w:val="99"/>
        <w:jc w:val="center"/>
        <w:rPr>
          <w:rFonts w:ascii="黑体" w:hAnsi="黑体" w:eastAsia="黑体"/>
          <w:b w:val="0"/>
          <w:bCs w:val="0"/>
          <w:sz w:val="24"/>
          <w:szCs w:val="24"/>
        </w:rPr>
      </w:pPr>
    </w:p>
    <w:p w14:paraId="0C6A8990">
      <w:pPr>
        <w:pStyle w:val="99"/>
        <w:jc w:val="center"/>
        <w:rPr>
          <w:rFonts w:ascii="黑体" w:hAnsi="黑体" w:eastAsia="黑体"/>
          <w:b w:val="0"/>
          <w:bCs w:val="0"/>
          <w:sz w:val="24"/>
          <w:szCs w:val="24"/>
        </w:rPr>
      </w:pPr>
    </w:p>
    <w:p w14:paraId="6F63AF80">
      <w:pPr>
        <w:pStyle w:val="99"/>
        <w:jc w:val="center"/>
        <w:rPr>
          <w:rFonts w:ascii="黑体" w:hAnsi="黑体" w:eastAsia="黑体"/>
          <w:b w:val="0"/>
          <w:bCs w:val="0"/>
          <w:sz w:val="24"/>
          <w:szCs w:val="24"/>
        </w:rPr>
      </w:pPr>
    </w:p>
    <w:p w14:paraId="4518B1F7">
      <w:pPr>
        <w:pStyle w:val="2"/>
        <w:spacing w:before="156" w:after="156"/>
        <w:rPr>
          <w:b w:val="0"/>
          <w:bCs w:val="0"/>
        </w:rPr>
      </w:pPr>
      <w:r>
        <w:rPr>
          <w:rFonts w:hint="eastAsia"/>
          <w:b w:val="0"/>
          <w:bCs w:val="0"/>
        </w:rPr>
        <w:t>一、工作简况</w:t>
      </w:r>
      <w:bookmarkEnd w:id="0"/>
      <w:bookmarkStart w:id="2" w:name="_Toc464728896"/>
    </w:p>
    <w:p w14:paraId="75FBB674">
      <w:pPr>
        <w:pStyle w:val="3"/>
        <w:spacing w:before="156" w:after="156"/>
        <w:rPr>
          <w:b w:val="0"/>
          <w:bCs w:val="0"/>
        </w:rPr>
      </w:pPr>
      <w:r>
        <w:rPr>
          <w:rFonts w:hint="eastAsia"/>
          <w:b w:val="0"/>
          <w:bCs w:val="0"/>
        </w:rPr>
        <w:t>1.立项目的</w:t>
      </w:r>
    </w:p>
    <w:p w14:paraId="0D7E6401">
      <w:pPr>
        <w:spacing w:line="400" w:lineRule="exact"/>
        <w:ind w:firstLine="555"/>
        <w:rPr>
          <w:rFonts w:hint="eastAsia" w:hAnsi="宋体" w:eastAsia="宋体"/>
          <w:b w:val="0"/>
          <w:bCs w:val="0"/>
          <w:sz w:val="24"/>
          <w:szCs w:val="24"/>
          <w:lang w:eastAsia="zh-CN"/>
        </w:rPr>
      </w:pPr>
      <w:r>
        <w:rPr>
          <w:rFonts w:hint="eastAsia" w:hAnsi="宋体"/>
          <w:b w:val="0"/>
          <w:bCs w:val="0"/>
          <w:sz w:val="24"/>
          <w:szCs w:val="24"/>
        </w:rPr>
        <w:t>有色金属材料分析用火花放电原子发射光谱仪是测试有色金属材料中元素成分的试验仪器，主要用于</w:t>
      </w:r>
      <w:r>
        <w:rPr>
          <w:rFonts w:hint="eastAsia" w:ascii="Times New Roman" w:cs="Times New Roman"/>
          <w:sz w:val="24"/>
          <w:szCs w:val="24"/>
          <w:lang w:val="en-US" w:eastAsia="zh-CN"/>
        </w:rPr>
        <w:t>铝、铜、锡、镁、铅、锌、镍、钴、钛、铋、锑、镉</w:t>
      </w:r>
      <w:r>
        <w:rPr>
          <w:rFonts w:hint="eastAsia" w:hAnsi="宋体"/>
          <w:b w:val="0"/>
          <w:bCs w:val="0"/>
          <w:sz w:val="24"/>
          <w:szCs w:val="24"/>
        </w:rPr>
        <w:t>等材料中多种元素的含量测定。光谱仪通过高压火花放电激发样品产生特征光谱，经光学系统分光后检测特征谱线的波长和强度，实现各元素的定性和定量分析。有色金属材料分析用火花放电原子发射光谱仪</w:t>
      </w:r>
      <w:r>
        <w:rPr>
          <w:rFonts w:hAnsi="宋体"/>
          <w:b w:val="0"/>
          <w:bCs w:val="0"/>
          <w:sz w:val="24"/>
          <w:szCs w:val="24"/>
        </w:rPr>
        <w:t>性能的好坏直接影响测量结果的准确性。为</w:t>
      </w:r>
      <w:r>
        <w:rPr>
          <w:rFonts w:hint="eastAsia" w:hAnsi="宋体"/>
          <w:b w:val="0"/>
          <w:bCs w:val="0"/>
          <w:sz w:val="24"/>
          <w:szCs w:val="24"/>
          <w:lang w:val="en-US" w:eastAsia="zh-CN"/>
        </w:rPr>
        <w:t>保证</w:t>
      </w:r>
      <w:r>
        <w:rPr>
          <w:rFonts w:hint="eastAsia" w:hAnsi="宋体"/>
          <w:b w:val="0"/>
          <w:bCs w:val="0"/>
          <w:sz w:val="24"/>
          <w:szCs w:val="24"/>
        </w:rPr>
        <w:t>有色金属材料分析用火花放电原子发射光谱仪</w:t>
      </w:r>
      <w:r>
        <w:rPr>
          <w:rFonts w:hint="eastAsia" w:hAnsi="宋体"/>
          <w:b w:val="0"/>
          <w:bCs w:val="0"/>
          <w:sz w:val="24"/>
          <w:szCs w:val="24"/>
          <w:lang w:val="en-US" w:eastAsia="zh-CN"/>
        </w:rPr>
        <w:t>测试结果的</w:t>
      </w:r>
      <w:r>
        <w:rPr>
          <w:rFonts w:hAnsi="宋体"/>
          <w:b w:val="0"/>
          <w:bCs w:val="0"/>
          <w:sz w:val="24"/>
          <w:szCs w:val="24"/>
        </w:rPr>
        <w:t>准确可靠，需要对其进行</w:t>
      </w:r>
      <w:r>
        <w:rPr>
          <w:rFonts w:hint="eastAsia" w:hAnsi="宋体"/>
          <w:b w:val="0"/>
          <w:bCs w:val="0"/>
          <w:sz w:val="24"/>
          <w:szCs w:val="24"/>
          <w:lang w:val="en-US" w:eastAsia="zh-CN"/>
        </w:rPr>
        <w:t>校准</w:t>
      </w:r>
      <w:r>
        <w:rPr>
          <w:rFonts w:hAnsi="宋体"/>
          <w:b w:val="0"/>
          <w:bCs w:val="0"/>
          <w:sz w:val="24"/>
          <w:szCs w:val="24"/>
        </w:rPr>
        <w:t>，保证其量值准确、可靠、有源可溯。</w:t>
      </w:r>
    </w:p>
    <w:p w14:paraId="7745D0B2">
      <w:pPr>
        <w:pStyle w:val="21"/>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hAnsi="宋体"/>
          <w:b w:val="0"/>
          <w:bCs w:val="0"/>
          <w:color w:val="000000" w:themeColor="text1"/>
          <w:sz w:val="24"/>
          <w:szCs w:val="24"/>
          <w14:textFill>
            <w14:solidFill>
              <w14:schemeClr w14:val="tx1"/>
            </w14:solidFill>
          </w14:textFill>
        </w:rPr>
      </w:pPr>
      <w:r>
        <w:rPr>
          <w:rFonts w:hint="eastAsia" w:hAnsi="宋体"/>
          <w:b w:val="0"/>
          <w:bCs w:val="0"/>
          <w:color w:val="000000" w:themeColor="text1"/>
          <w:sz w:val="24"/>
          <w:szCs w:val="24"/>
          <w14:textFill>
            <w14:solidFill>
              <w14:schemeClr w14:val="tx1"/>
            </w14:solidFill>
          </w14:textFill>
        </w:rPr>
        <w:t>随着</w:t>
      </w:r>
      <w:r>
        <w:rPr>
          <w:rFonts w:hint="eastAsia" w:hAnsi="宋体"/>
          <w:b w:val="0"/>
          <w:bCs w:val="0"/>
          <w:color w:val="000000" w:themeColor="text1"/>
          <w:sz w:val="24"/>
          <w:szCs w:val="24"/>
          <w:lang w:val="en-US" w:eastAsia="zh-CN"/>
          <w14:textFill>
            <w14:solidFill>
              <w14:schemeClr w14:val="tx1"/>
            </w14:solidFill>
          </w14:textFill>
        </w:rPr>
        <w:t>科学技术</w:t>
      </w:r>
      <w:r>
        <w:rPr>
          <w:rFonts w:hint="eastAsia" w:hAnsi="宋体"/>
          <w:b w:val="0"/>
          <w:bCs w:val="0"/>
          <w:color w:val="000000" w:themeColor="text1"/>
          <w:sz w:val="24"/>
          <w:szCs w:val="24"/>
          <w14:textFill>
            <w14:solidFill>
              <w14:schemeClr w14:val="tx1"/>
            </w14:solidFill>
          </w14:textFill>
        </w:rPr>
        <w:t>的</w:t>
      </w:r>
      <w:r>
        <w:rPr>
          <w:rFonts w:hint="eastAsia" w:hAnsi="宋体"/>
          <w:b w:val="0"/>
          <w:bCs w:val="0"/>
          <w:color w:val="000000" w:themeColor="text1"/>
          <w:sz w:val="24"/>
          <w:szCs w:val="24"/>
          <w:lang w:val="en-US" w:eastAsia="zh-CN"/>
          <w14:textFill>
            <w14:solidFill>
              <w14:schemeClr w14:val="tx1"/>
            </w14:solidFill>
          </w14:textFill>
        </w:rPr>
        <w:t>快速</w:t>
      </w:r>
      <w:r>
        <w:rPr>
          <w:rFonts w:hint="eastAsia" w:hAnsi="宋体"/>
          <w:b w:val="0"/>
          <w:bCs w:val="0"/>
          <w:color w:val="000000" w:themeColor="text1"/>
          <w:sz w:val="24"/>
          <w:szCs w:val="24"/>
          <w14:textFill>
            <w14:solidFill>
              <w14:schemeClr w14:val="tx1"/>
            </w14:solidFill>
          </w14:textFill>
        </w:rPr>
        <w:t>发展，火</w:t>
      </w:r>
      <w:r>
        <w:rPr>
          <w:rFonts w:hint="eastAsia" w:hAnsi="宋体"/>
          <w:b w:val="0"/>
          <w:bCs w:val="0"/>
          <w:sz w:val="24"/>
          <w:szCs w:val="24"/>
        </w:rPr>
        <w:t>花放电原子发射光谱仪</w:t>
      </w:r>
      <w:r>
        <w:rPr>
          <w:rFonts w:hint="eastAsia" w:hAnsi="宋体"/>
          <w:b w:val="0"/>
          <w:bCs w:val="0"/>
          <w:sz w:val="24"/>
          <w:szCs w:val="24"/>
          <w:lang w:val="en-US" w:eastAsia="zh-CN"/>
        </w:rPr>
        <w:t>的核心部件检测器进行了技术革新。早期检测器采用光电倍增管（PMT）的单通道/多通道检测系统，仅能分析有限元素（如钢铁中的C、Si、Mn），且分光系统采用刚性光栅，体积庞大，需手动校准波长。近年来开发出全谱CCD/CMOS检测器，实现全波长覆盖（如200-800 nm），元素扩展性显著提升，支持高精度痕量分析（如铜中0.1 ppm Pb）、自动谱线拟合等功能。由于仪器检测器的更新升级，</w:t>
      </w:r>
      <w:r>
        <w:rPr>
          <w:rFonts w:hint="eastAsia" w:hAnsi="宋体"/>
          <w:b w:val="0"/>
          <w:bCs w:val="0"/>
          <w:color w:val="000000" w:themeColor="text1"/>
          <w:sz w:val="24"/>
          <w:szCs w:val="24"/>
          <w14:textFill>
            <w14:solidFill>
              <w14:schemeClr w14:val="tx1"/>
            </w14:solidFill>
          </w14:textFill>
        </w:rPr>
        <w:t>现有的JJG768-2005《发射光谱仪》校准规范不</w:t>
      </w:r>
      <w:r>
        <w:rPr>
          <w:rFonts w:hint="eastAsia" w:hAnsi="宋体"/>
          <w:b w:val="0"/>
          <w:bCs w:val="0"/>
          <w:color w:val="000000" w:themeColor="text1"/>
          <w:sz w:val="24"/>
          <w:szCs w:val="24"/>
          <w:lang w:val="en-US" w:eastAsia="zh-CN"/>
          <w14:textFill>
            <w14:solidFill>
              <w14:schemeClr w14:val="tx1"/>
            </w14:solidFill>
          </w14:textFill>
        </w:rPr>
        <w:t>再</w:t>
      </w:r>
      <w:r>
        <w:rPr>
          <w:rFonts w:hint="eastAsia" w:hAnsi="宋体"/>
          <w:b w:val="0"/>
          <w:bCs w:val="0"/>
          <w:color w:val="000000" w:themeColor="text1"/>
          <w:sz w:val="24"/>
          <w:szCs w:val="24"/>
          <w14:textFill>
            <w14:solidFill>
              <w14:schemeClr w14:val="tx1"/>
            </w14:solidFill>
          </w14:textFill>
        </w:rPr>
        <w:t>适用于火花放电原子发射光谱仪的校准。</w:t>
      </w:r>
    </w:p>
    <w:p w14:paraId="61D1CF67">
      <w:pPr>
        <w:pStyle w:val="21"/>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Ansi="宋体"/>
          <w:b w:val="0"/>
          <w:bCs w:val="0"/>
          <w:szCs w:val="21"/>
        </w:rPr>
      </w:pPr>
      <w:r>
        <w:rPr>
          <w:rFonts w:hint="eastAsia" w:hAnsi="宋体"/>
          <w:b w:val="0"/>
          <w:bCs w:val="0"/>
          <w:color w:val="000000" w:themeColor="text1"/>
          <w:sz w:val="24"/>
          <w:szCs w:val="24"/>
          <w14:textFill>
            <w14:solidFill>
              <w14:schemeClr w14:val="tx1"/>
            </w14:solidFill>
          </w14:textFill>
        </w:rPr>
        <w:t>本</w:t>
      </w:r>
      <w:r>
        <w:rPr>
          <w:rFonts w:hint="eastAsia" w:hAnsi="宋体"/>
          <w:b w:val="0"/>
          <w:bCs w:val="0"/>
          <w:color w:val="000000" w:themeColor="text1"/>
          <w:sz w:val="24"/>
          <w:szCs w:val="24"/>
          <w:lang w:val="en-US" w:eastAsia="zh-CN"/>
          <w14:textFill>
            <w14:solidFill>
              <w14:schemeClr w14:val="tx1"/>
            </w14:solidFill>
          </w14:textFill>
        </w:rPr>
        <w:t>规范</w:t>
      </w:r>
      <w:r>
        <w:rPr>
          <w:rFonts w:hint="eastAsia" w:hAnsi="宋体"/>
          <w:b w:val="0"/>
          <w:bCs w:val="0"/>
          <w:color w:val="000000" w:themeColor="text1"/>
          <w:sz w:val="24"/>
          <w:szCs w:val="24"/>
          <w14:textFill>
            <w14:solidFill>
              <w14:schemeClr w14:val="tx1"/>
            </w14:solidFill>
          </w14:textFill>
        </w:rPr>
        <w:t>制定后，能够规范行业内</w:t>
      </w:r>
      <w:r>
        <w:rPr>
          <w:rFonts w:hint="eastAsia" w:hAnsi="宋体"/>
          <w:b w:val="0"/>
          <w:bCs w:val="0"/>
          <w:sz w:val="24"/>
          <w:szCs w:val="24"/>
        </w:rPr>
        <w:t>有色金属材料分析用火花放电原子发射光谱仪</w:t>
      </w:r>
      <w:r>
        <w:rPr>
          <w:rFonts w:hint="eastAsia" w:hAnsi="宋体"/>
          <w:b w:val="0"/>
          <w:bCs w:val="0"/>
          <w:color w:val="000000" w:themeColor="text1"/>
          <w:sz w:val="24"/>
          <w:szCs w:val="24"/>
          <w14:textFill>
            <w14:solidFill>
              <w14:schemeClr w14:val="tx1"/>
            </w14:solidFill>
          </w14:textFill>
        </w:rPr>
        <w:t>校准方法，可以广泛应用到行业生产科研、教学等部门理化实验室等的校准，保证各台设备量值的准确，进而保证试验结果的可信度，使得产品的安全性、可靠性得到保证，保障行业生产的安全，促进国内化工制造、冶金、制药、环保等领域的发展提供保障，为我有色金属行业高质量发展保驾护航。</w:t>
      </w:r>
    </w:p>
    <w:p w14:paraId="33748486">
      <w:pPr>
        <w:pStyle w:val="3"/>
        <w:spacing w:before="156" w:after="156"/>
        <w:rPr>
          <w:b w:val="0"/>
          <w:bCs w:val="0"/>
        </w:rPr>
      </w:pPr>
      <w:r>
        <w:rPr>
          <w:rFonts w:hint="eastAsia"/>
          <w:b w:val="0"/>
          <w:bCs w:val="0"/>
        </w:rPr>
        <w:t>2.任务来源</w:t>
      </w:r>
      <w:bookmarkEnd w:id="2"/>
    </w:p>
    <w:p w14:paraId="4C4584EA">
      <w:pPr>
        <w:pStyle w:val="36"/>
        <w:spacing w:after="0" w:line="400" w:lineRule="exact"/>
        <w:ind w:firstLine="480" w:firstLineChars="200"/>
        <w:rPr>
          <w:rFonts w:hint="eastAsia" w:hAnsi="宋体"/>
          <w:b w:val="0"/>
          <w:bCs w:val="0"/>
          <w:sz w:val="24"/>
          <w:szCs w:val="24"/>
        </w:rPr>
      </w:pPr>
      <w:r>
        <w:rPr>
          <w:rFonts w:hint="eastAsia" w:hAnsi="宋体"/>
          <w:b w:val="0"/>
          <w:bCs w:val="0"/>
          <w:sz w:val="24"/>
          <w:szCs w:val="24"/>
        </w:rPr>
        <w:t>根据工业和信息化部《关于印发202</w:t>
      </w:r>
      <w:r>
        <w:rPr>
          <w:rFonts w:hint="eastAsia" w:hAnsi="宋体"/>
          <w:b w:val="0"/>
          <w:bCs w:val="0"/>
          <w:sz w:val="24"/>
          <w:szCs w:val="24"/>
          <w:lang w:val="en-US" w:eastAsia="zh-CN"/>
        </w:rPr>
        <w:t>4</w:t>
      </w:r>
      <w:r>
        <w:rPr>
          <w:rFonts w:hint="eastAsia" w:hAnsi="宋体"/>
          <w:b w:val="0"/>
          <w:bCs w:val="0"/>
          <w:sz w:val="24"/>
          <w:szCs w:val="24"/>
        </w:rPr>
        <w:t>年行业计量技术规范制修订计划的通知》（工</w:t>
      </w:r>
      <w:r>
        <w:rPr>
          <w:rFonts w:hint="eastAsia" w:hAnsi="宋体"/>
          <w:b w:val="0"/>
          <w:bCs w:val="0"/>
          <w:sz w:val="24"/>
          <w:szCs w:val="24"/>
          <w:lang w:val="en-US" w:eastAsia="zh-CN"/>
        </w:rPr>
        <w:t>厅科</w:t>
      </w:r>
      <w:r>
        <w:rPr>
          <w:rFonts w:hint="eastAsia" w:hAnsi="宋体"/>
          <w:b w:val="0"/>
          <w:bCs w:val="0"/>
          <w:sz w:val="24"/>
          <w:szCs w:val="24"/>
        </w:rPr>
        <w:t>［202</w:t>
      </w:r>
      <w:r>
        <w:rPr>
          <w:rFonts w:hint="eastAsia" w:hAnsi="宋体"/>
          <w:b w:val="0"/>
          <w:bCs w:val="0"/>
          <w:sz w:val="24"/>
          <w:szCs w:val="24"/>
          <w:lang w:val="en-US" w:eastAsia="zh-CN"/>
        </w:rPr>
        <w:t>4</w:t>
      </w:r>
      <w:r>
        <w:rPr>
          <w:rFonts w:hint="eastAsia" w:hAnsi="宋体"/>
          <w:b w:val="0"/>
          <w:bCs w:val="0"/>
          <w:sz w:val="24"/>
          <w:szCs w:val="24"/>
        </w:rPr>
        <w:t>］</w:t>
      </w:r>
      <w:r>
        <w:rPr>
          <w:rFonts w:hint="eastAsia" w:hAnsi="宋体"/>
          <w:b w:val="0"/>
          <w:bCs w:val="0"/>
          <w:sz w:val="24"/>
          <w:szCs w:val="24"/>
          <w:lang w:val="en-US" w:eastAsia="zh-CN"/>
        </w:rPr>
        <w:t>602</w:t>
      </w:r>
      <w:r>
        <w:rPr>
          <w:rFonts w:hint="eastAsia" w:hAnsi="宋体"/>
          <w:b w:val="0"/>
          <w:bCs w:val="0"/>
          <w:sz w:val="24"/>
          <w:szCs w:val="24"/>
        </w:rPr>
        <w:t>号）文的要求，行业计量技术规范《有色金属材料分析用火花放电原子发射光谱仪校准规范》由</w:t>
      </w:r>
      <w:r>
        <w:rPr>
          <w:rFonts w:hint="eastAsia" w:hAnsi="宋体"/>
          <w:b w:val="0"/>
          <w:bCs w:val="0"/>
          <w:sz w:val="24"/>
          <w:szCs w:val="24"/>
          <w:lang w:val="en-US" w:eastAsia="zh-CN"/>
        </w:rPr>
        <w:t>国标（北京）检验认证有限</w:t>
      </w:r>
      <w:r>
        <w:rPr>
          <w:rFonts w:hint="eastAsia" w:hAnsi="宋体"/>
          <w:b w:val="0"/>
          <w:bCs w:val="0"/>
          <w:sz w:val="24"/>
          <w:szCs w:val="24"/>
        </w:rPr>
        <w:t>公司负责起草。该项目计划编号为JJFZ(有色金属)010-2024。</w:t>
      </w:r>
    </w:p>
    <w:p w14:paraId="50272B02">
      <w:pPr>
        <w:spacing w:after="0" w:line="360" w:lineRule="auto"/>
        <w:ind w:firstLine="480" w:firstLineChars="200"/>
        <w:rPr>
          <w:rFonts w:hint="eastAsia" w:hAnsi="宋体"/>
          <w:b w:val="0"/>
          <w:bCs w:val="0"/>
          <w:sz w:val="24"/>
          <w:szCs w:val="24"/>
        </w:rPr>
      </w:pPr>
      <w:r>
        <w:rPr>
          <w:rFonts w:hint="eastAsia"/>
          <w:sz w:val="24"/>
          <w:szCs w:val="24"/>
        </w:rPr>
        <w:t>按计划要求，本计量规范应于</w:t>
      </w:r>
      <w:r>
        <w:rPr>
          <w:sz w:val="24"/>
          <w:szCs w:val="24"/>
        </w:rPr>
        <w:t>202</w:t>
      </w:r>
      <w:r>
        <w:rPr>
          <w:rFonts w:hint="eastAsia"/>
          <w:sz w:val="24"/>
          <w:szCs w:val="24"/>
          <w:lang w:val="en-US" w:eastAsia="zh-CN"/>
        </w:rPr>
        <w:t>6</w:t>
      </w:r>
      <w:r>
        <w:rPr>
          <w:rFonts w:hint="eastAsia"/>
          <w:sz w:val="24"/>
          <w:szCs w:val="24"/>
        </w:rPr>
        <w:t>年</w:t>
      </w:r>
      <w:r>
        <w:rPr>
          <w:rFonts w:hint="eastAsia"/>
          <w:sz w:val="24"/>
          <w:szCs w:val="24"/>
          <w:lang w:val="en-US" w:eastAsia="zh-CN"/>
        </w:rPr>
        <w:t>6月</w:t>
      </w:r>
      <w:r>
        <w:rPr>
          <w:rFonts w:hint="eastAsia"/>
          <w:sz w:val="24"/>
          <w:szCs w:val="24"/>
        </w:rPr>
        <w:t>完成</w:t>
      </w:r>
      <w:r>
        <w:rPr>
          <w:rFonts w:hint="eastAsia"/>
          <w:sz w:val="24"/>
          <w:szCs w:val="24"/>
          <w:lang w:val="en-US" w:eastAsia="zh-CN"/>
        </w:rPr>
        <w:t>制定</w:t>
      </w:r>
      <w:r>
        <w:rPr>
          <w:sz w:val="24"/>
          <w:szCs w:val="24"/>
        </w:rPr>
        <w:t>。</w:t>
      </w:r>
    </w:p>
    <w:p w14:paraId="7285DE43">
      <w:pPr>
        <w:pStyle w:val="3"/>
        <w:spacing w:before="156" w:after="156"/>
        <w:rPr>
          <w:b w:val="0"/>
          <w:bCs w:val="0"/>
        </w:rPr>
      </w:pPr>
      <w:r>
        <w:rPr>
          <w:rFonts w:hint="eastAsia"/>
          <w:b w:val="0"/>
          <w:bCs w:val="0"/>
        </w:rPr>
        <w:t>3.项目编制组单位简况</w:t>
      </w:r>
    </w:p>
    <w:p w14:paraId="5C80AFEB">
      <w:pPr>
        <w:pStyle w:val="4"/>
        <w:spacing w:before="156" w:after="156"/>
        <w:rPr>
          <w:b w:val="0"/>
          <w:bCs w:val="0"/>
          <w:sz w:val="24"/>
          <w:szCs w:val="24"/>
        </w:rPr>
      </w:pPr>
      <w:r>
        <w:rPr>
          <w:rFonts w:hint="eastAsia"/>
          <w:b w:val="0"/>
          <w:bCs w:val="0"/>
          <w:sz w:val="24"/>
          <w:szCs w:val="24"/>
        </w:rPr>
        <w:t>3.1编制组成员单位</w:t>
      </w:r>
    </w:p>
    <w:p w14:paraId="40014D57">
      <w:pPr>
        <w:widowControl/>
        <w:autoSpaceDE w:val="0"/>
        <w:autoSpaceDN w:val="0"/>
        <w:spacing w:line="400" w:lineRule="exact"/>
        <w:ind w:firstLine="480" w:firstLineChars="200"/>
        <w:rPr>
          <w:rFonts w:hint="default"/>
          <w:b w:val="0"/>
          <w:bCs w:val="0"/>
          <w:sz w:val="24"/>
          <w:szCs w:val="24"/>
        </w:rPr>
      </w:pPr>
      <w:bookmarkStart w:id="3" w:name="_Toc464728900"/>
      <w:bookmarkStart w:id="4" w:name="_Toc462884344"/>
      <w:r>
        <w:rPr>
          <w:rFonts w:hint="eastAsia"/>
          <w:b w:val="0"/>
          <w:bCs w:val="0"/>
          <w:sz w:val="24"/>
          <w:szCs w:val="24"/>
        </w:rPr>
        <w:t>本规范的编制组单位为：</w:t>
      </w:r>
      <w:r>
        <w:rPr>
          <w:rFonts w:hint="eastAsia"/>
          <w:sz w:val="24"/>
          <w:szCs w:val="24"/>
        </w:rPr>
        <w:t>国标（北京）检验认证有限公司</w:t>
      </w:r>
      <w:r>
        <w:rPr>
          <w:rFonts w:hint="eastAsia"/>
          <w:b w:val="0"/>
          <w:bCs w:val="0"/>
          <w:sz w:val="24"/>
          <w:szCs w:val="24"/>
          <w:lang w:eastAsia="zh-CN"/>
        </w:rPr>
        <w:t>、中铝洛阳铜加工有限公司、</w:t>
      </w:r>
      <w:r>
        <w:rPr>
          <w:rFonts w:hint="eastAsia"/>
          <w:b w:val="0"/>
          <w:bCs w:val="0"/>
          <w:sz w:val="24"/>
          <w:szCs w:val="24"/>
          <w:highlight w:val="none"/>
          <w:lang w:val="en-US" w:eastAsia="zh-CN"/>
        </w:rPr>
        <w:t>酒泉钢铁（集团）有限责任公司、</w:t>
      </w:r>
      <w:r>
        <w:rPr>
          <w:rFonts w:hint="eastAsia"/>
          <w:b w:val="0"/>
          <w:bCs w:val="0"/>
          <w:sz w:val="24"/>
          <w:szCs w:val="24"/>
          <w:lang w:eastAsia="zh-CN"/>
        </w:rPr>
        <w:t>有色金属技术经济研究院有限责任公司、</w:t>
      </w:r>
      <w:r>
        <w:rPr>
          <w:rFonts w:hint="eastAsia" w:ascii="黑体" w:hAnsi="黑体"/>
          <w:sz w:val="24"/>
          <w:szCs w:val="24"/>
          <w:highlight w:val="none"/>
        </w:rPr>
        <w:t>中铝材料应用研究院有限公司</w:t>
      </w:r>
      <w:r>
        <w:rPr>
          <w:rFonts w:hint="eastAsia"/>
          <w:b w:val="0"/>
          <w:bCs w:val="0"/>
          <w:sz w:val="24"/>
          <w:szCs w:val="24"/>
          <w:highlight w:val="none"/>
          <w:lang w:val="en-US" w:eastAsia="zh-CN"/>
        </w:rPr>
        <w:t>、</w:t>
      </w:r>
      <w:r>
        <w:rPr>
          <w:rFonts w:hint="eastAsia" w:ascii="宋体" w:hAnsi="宋体" w:eastAsia="宋体" w:cs="宋体"/>
          <w:b w:val="0"/>
          <w:bCs w:val="0"/>
          <w:color w:val="auto"/>
          <w:kern w:val="2"/>
          <w:sz w:val="24"/>
          <w:szCs w:val="24"/>
          <w:highlight w:val="none"/>
          <w:lang w:val="en-US" w:eastAsia="zh-CN"/>
        </w:rPr>
        <w:t>上海有色金属工业技术监测中心有限公司</w:t>
      </w:r>
      <w:r>
        <w:rPr>
          <w:rFonts w:hint="eastAsia" w:cs="宋体"/>
          <w:b w:val="0"/>
          <w:bCs w:val="0"/>
          <w:color w:val="000000"/>
          <w:kern w:val="0"/>
          <w:sz w:val="24"/>
          <w:szCs w:val="24"/>
          <w:highlight w:val="none"/>
        </w:rPr>
        <w:t>、</w:t>
      </w:r>
      <w:r>
        <w:rPr>
          <w:rFonts w:hint="eastAsia" w:ascii="宋体" w:hAnsi="宋体" w:eastAsia="宋体" w:cs="宋体"/>
          <w:b w:val="0"/>
          <w:bCs w:val="0"/>
          <w:color w:val="auto"/>
          <w:kern w:val="2"/>
          <w:sz w:val="24"/>
          <w:szCs w:val="24"/>
          <w:highlight w:val="none"/>
          <w:lang w:val="en-US" w:eastAsia="zh-CN"/>
        </w:rPr>
        <w:t>国合通用(重庆)测试评价认证有限公司</w:t>
      </w:r>
      <w:r>
        <w:rPr>
          <w:rFonts w:hint="eastAsia" w:ascii="宋体" w:hAnsi="宋体" w:cs="宋体"/>
          <w:b w:val="0"/>
          <w:bCs w:val="0"/>
          <w:color w:val="auto"/>
          <w:kern w:val="2"/>
          <w:sz w:val="24"/>
          <w:szCs w:val="24"/>
          <w:highlight w:val="none"/>
          <w:lang w:val="en-US" w:eastAsia="zh-CN"/>
        </w:rPr>
        <w:t>、</w:t>
      </w:r>
      <w:r>
        <w:rPr>
          <w:rFonts w:hint="eastAsia"/>
          <w:b w:val="0"/>
          <w:bCs w:val="0"/>
          <w:sz w:val="24"/>
          <w:szCs w:val="24"/>
          <w:highlight w:val="none"/>
          <w:lang w:val="en-US" w:eastAsia="zh-CN"/>
        </w:rPr>
        <w:t>西南铝业(集团)有限责任公司</w:t>
      </w:r>
      <w:r>
        <w:rPr>
          <w:rFonts w:hint="eastAsia"/>
          <w:b w:val="0"/>
          <w:bCs w:val="0"/>
          <w:sz w:val="24"/>
          <w:szCs w:val="24"/>
        </w:rPr>
        <w:t>。</w:t>
      </w:r>
    </w:p>
    <w:p w14:paraId="7D4F1A94">
      <w:pPr>
        <w:pStyle w:val="4"/>
        <w:spacing w:before="156" w:after="156"/>
        <w:rPr>
          <w:b w:val="0"/>
          <w:bCs w:val="0"/>
          <w:sz w:val="24"/>
          <w:szCs w:val="24"/>
        </w:rPr>
      </w:pPr>
      <w:r>
        <w:rPr>
          <w:rFonts w:hint="eastAsia"/>
          <w:b w:val="0"/>
          <w:bCs w:val="0"/>
          <w:sz w:val="24"/>
          <w:szCs w:val="24"/>
        </w:rPr>
        <w:t>3.2 主编单位简介</w:t>
      </w:r>
    </w:p>
    <w:bookmarkEnd w:id="3"/>
    <w:bookmarkEnd w:id="4"/>
    <w:p w14:paraId="0B09C435">
      <w:pPr>
        <w:spacing w:line="400" w:lineRule="exact"/>
        <w:ind w:firstLine="480" w:firstLineChars="200"/>
        <w:rPr>
          <w:rFonts w:hint="eastAsia"/>
          <w:b w:val="0"/>
          <w:bCs w:val="0"/>
          <w:color w:val="0000FF"/>
          <w:sz w:val="24"/>
          <w:szCs w:val="24"/>
          <w:lang w:eastAsia="zh-CN"/>
        </w:rPr>
      </w:pPr>
      <w:r>
        <w:rPr>
          <w:rFonts w:hint="eastAsia"/>
          <w:sz w:val="24"/>
          <w:szCs w:val="24"/>
          <w:lang w:eastAsia="zh-CN"/>
        </w:rPr>
        <w:t>国标（北京）检验认证有限公司是我国有色行业的材料研究、材料检测和仪器校准的权威机构，公司运行着国家新材料测试评价平台有色金属材料行业中心、国家有色金属及电子材料分析测试中心、国家有色金属质量检验检测中心、北京市有色金属新材料产业计量测试中心。中心拥有雄厚的技术力量，先进的仪器，齐全的校准测试方法，在国内外科技期刊上发表论文1200余篇，撰写论著22部。起草国际标准7项、国家/行业标准720余项；主编校准规范8项，参编校准规范13项，共计21项。</w:t>
      </w:r>
    </w:p>
    <w:p w14:paraId="1BFEC3A0">
      <w:pPr>
        <w:spacing w:line="400" w:lineRule="exact"/>
        <w:ind w:firstLine="480" w:firstLineChars="200"/>
        <w:contextualSpacing/>
        <w:jc w:val="left"/>
        <w:rPr>
          <w:rFonts w:hint="eastAsia"/>
          <w:b w:val="0"/>
          <w:bCs w:val="0"/>
          <w:sz w:val="24"/>
          <w:szCs w:val="24"/>
        </w:rPr>
      </w:pPr>
      <w:r>
        <w:rPr>
          <w:rFonts w:hint="eastAsia"/>
          <w:b w:val="0"/>
          <w:bCs w:val="0"/>
          <w:sz w:val="24"/>
          <w:szCs w:val="24"/>
          <w:lang w:val="en-US" w:eastAsia="zh-CN"/>
        </w:rPr>
        <w:t>该</w:t>
      </w:r>
      <w:r>
        <w:rPr>
          <w:rFonts w:hint="eastAsia"/>
          <w:b w:val="0"/>
          <w:bCs w:val="0"/>
          <w:sz w:val="24"/>
          <w:szCs w:val="24"/>
        </w:rPr>
        <w:t>单位</w:t>
      </w:r>
      <w:r>
        <w:rPr>
          <w:rFonts w:hint="eastAsia"/>
          <w:b w:val="0"/>
          <w:bCs w:val="0"/>
          <w:sz w:val="24"/>
          <w:szCs w:val="24"/>
          <w:lang w:val="en-US" w:eastAsia="zh-CN"/>
        </w:rPr>
        <w:t>主要负责本规范的起草工作</w:t>
      </w:r>
      <w:r>
        <w:rPr>
          <w:rFonts w:hint="eastAsia"/>
          <w:b w:val="0"/>
          <w:bCs w:val="0"/>
          <w:sz w:val="24"/>
          <w:szCs w:val="24"/>
          <w:lang w:eastAsia="zh-CN"/>
        </w:rPr>
        <w:t>，</w:t>
      </w:r>
      <w:r>
        <w:rPr>
          <w:rFonts w:hint="eastAsia"/>
          <w:b w:val="0"/>
          <w:bCs w:val="0"/>
          <w:sz w:val="24"/>
          <w:szCs w:val="24"/>
          <w:lang w:val="en-US" w:eastAsia="zh-CN"/>
        </w:rPr>
        <w:t>成立编制组并根据委员会的工作安排组织编制组成员单位开展相关校准工作</w:t>
      </w:r>
      <w:r>
        <w:rPr>
          <w:rFonts w:hint="eastAsia"/>
          <w:b w:val="0"/>
          <w:bCs w:val="0"/>
          <w:sz w:val="24"/>
          <w:szCs w:val="24"/>
        </w:rPr>
        <w:t>，组织</w:t>
      </w:r>
      <w:r>
        <w:rPr>
          <w:rFonts w:hint="eastAsia"/>
          <w:b w:val="0"/>
          <w:bCs w:val="0"/>
          <w:sz w:val="24"/>
          <w:szCs w:val="24"/>
          <w:lang w:val="en-US" w:eastAsia="zh-CN"/>
        </w:rPr>
        <w:t>各</w:t>
      </w:r>
      <w:r>
        <w:rPr>
          <w:rFonts w:hint="eastAsia"/>
          <w:b w:val="0"/>
          <w:bCs w:val="0"/>
          <w:sz w:val="24"/>
          <w:szCs w:val="24"/>
        </w:rPr>
        <w:t>单位对规范的《征求意见稿》</w:t>
      </w:r>
      <w:r>
        <w:rPr>
          <w:rFonts w:hint="eastAsia"/>
          <w:b w:val="0"/>
          <w:bCs w:val="0"/>
          <w:sz w:val="24"/>
          <w:szCs w:val="24"/>
          <w:lang w:eastAsia="zh-CN"/>
        </w:rPr>
        <w:t>、《</w:t>
      </w:r>
      <w:r>
        <w:rPr>
          <w:rFonts w:hint="eastAsia"/>
          <w:b w:val="0"/>
          <w:bCs w:val="0"/>
          <w:sz w:val="24"/>
          <w:szCs w:val="24"/>
          <w:lang w:val="en-US" w:eastAsia="zh-CN"/>
        </w:rPr>
        <w:t>预审稿</w:t>
      </w:r>
      <w:r>
        <w:rPr>
          <w:rFonts w:hint="eastAsia"/>
          <w:b w:val="0"/>
          <w:bCs w:val="0"/>
          <w:sz w:val="24"/>
          <w:szCs w:val="24"/>
          <w:lang w:eastAsia="zh-CN"/>
        </w:rPr>
        <w:t>》</w:t>
      </w:r>
      <w:r>
        <w:rPr>
          <w:rFonts w:hint="eastAsia"/>
          <w:b w:val="0"/>
          <w:bCs w:val="0"/>
          <w:sz w:val="24"/>
          <w:szCs w:val="24"/>
          <w:lang w:val="en-US" w:eastAsia="zh-CN"/>
        </w:rPr>
        <w:t>及《送审稿》</w:t>
      </w:r>
      <w:r>
        <w:rPr>
          <w:rFonts w:hint="eastAsia"/>
          <w:b w:val="0"/>
          <w:bCs w:val="0"/>
          <w:sz w:val="24"/>
          <w:szCs w:val="24"/>
        </w:rPr>
        <w:t>进行认真的讨论，</w:t>
      </w:r>
      <w:r>
        <w:rPr>
          <w:rFonts w:hint="eastAsia"/>
          <w:b w:val="0"/>
          <w:bCs w:val="0"/>
          <w:sz w:val="24"/>
          <w:szCs w:val="24"/>
          <w:lang w:val="en-US" w:eastAsia="zh-CN"/>
        </w:rPr>
        <w:t>并就</w:t>
      </w:r>
      <w:r>
        <w:rPr>
          <w:rFonts w:hint="eastAsia"/>
          <w:b w:val="0"/>
          <w:bCs w:val="0"/>
          <w:sz w:val="24"/>
          <w:szCs w:val="24"/>
        </w:rPr>
        <w:t>提出的意见和建议</w:t>
      </w:r>
      <w:r>
        <w:rPr>
          <w:rFonts w:hint="eastAsia"/>
          <w:b w:val="0"/>
          <w:bCs w:val="0"/>
          <w:sz w:val="24"/>
          <w:szCs w:val="24"/>
          <w:lang w:val="en-US" w:eastAsia="zh-CN"/>
        </w:rPr>
        <w:t>进行反馈和修改</w:t>
      </w:r>
      <w:r>
        <w:rPr>
          <w:rFonts w:hint="eastAsia"/>
          <w:b w:val="0"/>
          <w:bCs w:val="0"/>
          <w:sz w:val="24"/>
          <w:szCs w:val="24"/>
        </w:rPr>
        <w:t>，在编制组中发挥了</w:t>
      </w:r>
      <w:r>
        <w:rPr>
          <w:rFonts w:hint="eastAsia"/>
          <w:b w:val="0"/>
          <w:bCs w:val="0"/>
          <w:sz w:val="24"/>
          <w:szCs w:val="24"/>
          <w:lang w:val="en-US" w:eastAsia="zh-CN"/>
        </w:rPr>
        <w:t>主要带头</w:t>
      </w:r>
      <w:r>
        <w:rPr>
          <w:rFonts w:hint="eastAsia"/>
          <w:b w:val="0"/>
          <w:bCs w:val="0"/>
          <w:sz w:val="24"/>
          <w:szCs w:val="24"/>
        </w:rPr>
        <w:t>作用。</w:t>
      </w:r>
    </w:p>
    <w:p w14:paraId="6220CB61">
      <w:pPr>
        <w:pStyle w:val="61"/>
        <w:numPr>
          <w:ilvl w:val="0"/>
          <w:numId w:val="0"/>
        </w:numPr>
        <w:spacing w:before="156" w:beforeLines="50" w:after="156" w:afterLines="50"/>
        <w:rPr>
          <w:b w:val="0"/>
          <w:bCs w:val="0"/>
          <w:color w:val="auto"/>
          <w:sz w:val="24"/>
          <w:szCs w:val="24"/>
        </w:rPr>
      </w:pPr>
      <w:bookmarkStart w:id="5" w:name="_Toc462884345"/>
      <w:bookmarkStart w:id="6" w:name="_Toc464728901"/>
      <w:r>
        <w:rPr>
          <w:rFonts w:hint="eastAsia"/>
          <w:b w:val="0"/>
          <w:bCs w:val="0"/>
          <w:color w:val="auto"/>
          <w:sz w:val="24"/>
          <w:szCs w:val="24"/>
        </w:rPr>
        <w:t>3.3成员单位简介</w:t>
      </w:r>
      <w:bookmarkEnd w:id="5"/>
      <w:bookmarkEnd w:id="6"/>
    </w:p>
    <w:p w14:paraId="13CD49DB">
      <w:pPr>
        <w:pStyle w:val="60"/>
        <w:numPr>
          <w:ilvl w:val="0"/>
          <w:numId w:val="0"/>
        </w:numPr>
        <w:spacing w:before="156" w:beforeLines="50" w:after="156" w:afterLines="50"/>
        <w:contextualSpacing/>
        <w:rPr>
          <w:rFonts w:hint="default"/>
          <w:b w:val="0"/>
          <w:bCs w:val="0"/>
          <w:sz w:val="24"/>
          <w:szCs w:val="24"/>
          <w:lang w:val="en-US" w:eastAsia="zh-CN"/>
        </w:rPr>
      </w:pPr>
      <w:r>
        <w:rPr>
          <w:rFonts w:hint="eastAsia" w:ascii="黑体" w:hAnsi="黑体" w:eastAsia="黑体" w:cs="黑体"/>
          <w:b w:val="0"/>
          <w:bCs w:val="0"/>
          <w:sz w:val="24"/>
          <w:szCs w:val="24"/>
          <w:lang w:val="en-US" w:eastAsia="zh-CN"/>
        </w:rPr>
        <w:t>3.3.</w:t>
      </w:r>
      <w:r>
        <w:rPr>
          <w:rFonts w:hint="eastAsia" w:cs="黑体"/>
          <w:b w:val="0"/>
          <w:bCs w:val="0"/>
          <w:sz w:val="24"/>
          <w:szCs w:val="24"/>
          <w:lang w:val="en-US" w:eastAsia="zh-CN"/>
        </w:rPr>
        <w:t>1</w:t>
      </w:r>
      <w:r>
        <w:rPr>
          <w:rFonts w:hint="eastAsia" w:ascii="Times New Roman"/>
          <w:b w:val="0"/>
          <w:bCs w:val="0"/>
          <w:sz w:val="24"/>
          <w:szCs w:val="24"/>
          <w:lang w:val="en-US" w:eastAsia="zh-CN"/>
        </w:rPr>
        <w:t xml:space="preserve"> </w:t>
      </w:r>
      <w:r>
        <w:rPr>
          <w:rFonts w:hint="eastAsia"/>
          <w:sz w:val="24"/>
          <w:szCs w:val="24"/>
          <w:lang w:eastAsia="zh-CN"/>
        </w:rPr>
        <w:t>中铝洛阳铜加工有限公司</w:t>
      </w:r>
    </w:p>
    <w:p w14:paraId="5CD8348D">
      <w:pPr>
        <w:spacing w:line="400" w:lineRule="exact"/>
        <w:ind w:firstLine="480" w:firstLineChars="200"/>
        <w:rPr>
          <w:rFonts w:hint="eastAsia"/>
          <w:sz w:val="24"/>
          <w:szCs w:val="24"/>
          <w:lang w:eastAsia="zh-CN"/>
        </w:rPr>
      </w:pPr>
      <w:r>
        <w:rPr>
          <w:rFonts w:hint="eastAsia"/>
          <w:sz w:val="24"/>
          <w:szCs w:val="24"/>
          <w:lang w:eastAsia="zh-CN"/>
        </w:rPr>
        <w:t>中铝洛阳铜加工有限公司（以下简称洛阳铜加工）是知名铜加工企业，国内具影响力的综合性铜加工企业，拥有拥有“国内领先、世界一流”的高精度电子铜带生产（引进美国、德国、意大利、日本等国家具有国际领先水平的先进生产装备）、铜及铜合金板带箔加工生产、铜及铜合金管棒加工生产、铝镁材加工生产等多条生产线，产品涉及铜及铜合金板、带、箔、管、棒、型材、铝镁板带箔材。广泛应用于电子信息通讯、新能源、汽车、海洋工程、轨道交通、电力装备等领域，为神州系列飞船、大推力火箭、区域电子对抗、JT等国家重大战略工程提供了关键材料保障。拥有国家级企业技术中心、国家实验室认证认可监督管理委员会认可的实验室、中国有色金属工业重金属加工材质检站、河南省铜镁材料和加工技术工程研究中心、中铝集团高性能铜板带箔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接插件用铜及铜合金异型带材生产技术成熟，产品质量稳定、性能满足用户使用要求，有较好的技术基础和能力。</w:t>
      </w:r>
    </w:p>
    <w:p w14:paraId="65A8ED72">
      <w:pPr>
        <w:spacing w:line="400" w:lineRule="exact"/>
        <w:ind w:firstLine="480" w:firstLineChars="200"/>
        <w:contextualSpacing w:val="0"/>
        <w:jc w:val="left"/>
        <w:rPr>
          <w:rFonts w:hint="eastAsia"/>
          <w:b w:val="0"/>
          <w:bCs w:val="0"/>
          <w:color w:val="auto"/>
          <w:sz w:val="24"/>
          <w:szCs w:val="24"/>
        </w:rPr>
      </w:pPr>
      <w:r>
        <w:rPr>
          <w:rFonts w:hint="eastAsia"/>
          <w:b w:val="0"/>
          <w:bCs w:val="0"/>
          <w:color w:val="auto"/>
          <w:sz w:val="24"/>
          <w:szCs w:val="24"/>
          <w:lang w:val="en-US" w:eastAsia="zh-CN"/>
        </w:rPr>
        <w:t>该</w:t>
      </w:r>
      <w:r>
        <w:rPr>
          <w:rFonts w:hint="eastAsia"/>
          <w:b w:val="0"/>
          <w:bCs w:val="0"/>
          <w:color w:val="auto"/>
          <w:sz w:val="24"/>
          <w:szCs w:val="24"/>
        </w:rPr>
        <w:t>单位积极</w:t>
      </w:r>
      <w:r>
        <w:rPr>
          <w:rFonts w:hint="eastAsia"/>
          <w:b w:val="0"/>
          <w:bCs w:val="0"/>
          <w:color w:val="auto"/>
          <w:sz w:val="24"/>
          <w:szCs w:val="24"/>
          <w:lang w:val="en-US" w:eastAsia="zh-CN"/>
        </w:rPr>
        <w:t>参与</w:t>
      </w:r>
      <w:r>
        <w:rPr>
          <w:rFonts w:hint="eastAsia"/>
          <w:b w:val="0"/>
          <w:bCs w:val="0"/>
          <w:color w:val="auto"/>
          <w:sz w:val="24"/>
          <w:szCs w:val="24"/>
        </w:rPr>
        <w:t>编制组</w:t>
      </w:r>
      <w:r>
        <w:rPr>
          <w:rFonts w:hint="eastAsia"/>
          <w:b w:val="0"/>
          <w:bCs w:val="0"/>
          <w:color w:val="auto"/>
          <w:sz w:val="24"/>
          <w:szCs w:val="24"/>
          <w:lang w:val="en-US" w:eastAsia="zh-CN"/>
        </w:rPr>
        <w:t>的</w:t>
      </w:r>
      <w:r>
        <w:rPr>
          <w:rFonts w:hint="eastAsia"/>
          <w:b w:val="0"/>
          <w:bCs w:val="0"/>
          <w:color w:val="auto"/>
          <w:sz w:val="24"/>
          <w:szCs w:val="24"/>
        </w:rPr>
        <w:t>各</w:t>
      </w:r>
      <w:r>
        <w:rPr>
          <w:rFonts w:hint="eastAsia"/>
          <w:b w:val="0"/>
          <w:bCs w:val="0"/>
          <w:color w:val="auto"/>
          <w:sz w:val="24"/>
          <w:szCs w:val="24"/>
          <w:lang w:val="en-US" w:eastAsia="zh-CN"/>
        </w:rPr>
        <w:t>项</w:t>
      </w:r>
      <w:r>
        <w:rPr>
          <w:rFonts w:hint="eastAsia"/>
          <w:b w:val="0"/>
          <w:bCs w:val="0"/>
          <w:color w:val="auto"/>
          <w:sz w:val="24"/>
          <w:szCs w:val="24"/>
        </w:rPr>
        <w:t>工作会议，</w:t>
      </w:r>
      <w:r>
        <w:rPr>
          <w:rFonts w:hint="eastAsia"/>
          <w:b w:val="0"/>
          <w:bCs w:val="0"/>
          <w:color w:val="auto"/>
          <w:sz w:val="24"/>
          <w:szCs w:val="24"/>
          <w:lang w:val="en-US" w:eastAsia="zh-CN"/>
        </w:rPr>
        <w:t>对规范的技术指标、校准项目提出了有效建议，是该规范的验证单位，</w:t>
      </w:r>
      <w:r>
        <w:rPr>
          <w:rFonts w:hint="eastAsia"/>
          <w:b w:val="0"/>
          <w:bCs w:val="0"/>
          <w:color w:val="auto"/>
          <w:sz w:val="24"/>
          <w:szCs w:val="24"/>
        </w:rPr>
        <w:t>在编制组中发挥了</w:t>
      </w:r>
      <w:r>
        <w:rPr>
          <w:rFonts w:hint="eastAsia"/>
          <w:b w:val="0"/>
          <w:bCs w:val="0"/>
          <w:color w:val="auto"/>
          <w:sz w:val="24"/>
          <w:szCs w:val="24"/>
          <w:lang w:val="en-US" w:eastAsia="zh-CN"/>
        </w:rPr>
        <w:t>主要</w:t>
      </w:r>
      <w:r>
        <w:rPr>
          <w:rFonts w:hint="eastAsia"/>
          <w:b w:val="0"/>
          <w:bCs w:val="0"/>
          <w:color w:val="auto"/>
          <w:sz w:val="24"/>
          <w:szCs w:val="24"/>
        </w:rPr>
        <w:t>作用。</w:t>
      </w:r>
    </w:p>
    <w:p w14:paraId="0E19BB5F">
      <w:pPr>
        <w:pStyle w:val="60"/>
        <w:numPr>
          <w:ilvl w:val="0"/>
          <w:numId w:val="0"/>
        </w:numPr>
        <w:spacing w:before="156" w:beforeLines="50" w:after="156" w:afterLines="50"/>
        <w:contextualSpacing/>
        <w:rPr>
          <w:rFonts w:hint="eastAsia"/>
          <w:b w:val="0"/>
          <w:bCs w:val="0"/>
          <w:sz w:val="24"/>
          <w:szCs w:val="24"/>
          <w:lang w:eastAsia="zh-CN"/>
        </w:rPr>
      </w:pPr>
      <w:r>
        <w:rPr>
          <w:rFonts w:hint="eastAsia"/>
          <w:b w:val="0"/>
          <w:bCs w:val="0"/>
          <w:sz w:val="24"/>
          <w:szCs w:val="24"/>
        </w:rPr>
        <w:t>3.3.</w:t>
      </w:r>
      <w:r>
        <w:rPr>
          <w:rFonts w:hint="eastAsia"/>
          <w:b w:val="0"/>
          <w:bCs w:val="0"/>
          <w:sz w:val="24"/>
          <w:szCs w:val="24"/>
          <w:lang w:val="en-US" w:eastAsia="zh-CN"/>
        </w:rPr>
        <w:t>2</w:t>
      </w:r>
      <w:r>
        <w:rPr>
          <w:rFonts w:hint="eastAsia" w:ascii="Times New Roman"/>
          <w:b w:val="0"/>
          <w:bCs w:val="0"/>
          <w:sz w:val="24"/>
          <w:szCs w:val="24"/>
        </w:rPr>
        <w:t xml:space="preserve">  </w:t>
      </w:r>
      <w:r>
        <w:rPr>
          <w:rFonts w:hint="eastAsia"/>
          <w:b w:val="0"/>
          <w:bCs w:val="0"/>
          <w:sz w:val="24"/>
          <w:szCs w:val="24"/>
          <w:highlight w:val="none"/>
          <w:lang w:val="en-US" w:eastAsia="zh-CN"/>
        </w:rPr>
        <w:t>酒泉钢铁（集团）有限责任公司检验检测中心</w:t>
      </w:r>
    </w:p>
    <w:p w14:paraId="09EF6D25">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lang w:eastAsia="zh-CN"/>
          <w14:textFill>
            <w14:solidFill>
              <w14:schemeClr w14:val="tx1"/>
            </w14:solidFill>
          </w14:textFill>
        </w:rPr>
        <w:t>酒钢检验</w:t>
      </w:r>
      <w:r>
        <w:rPr>
          <w:rFonts w:hint="eastAsia" w:ascii="Times New Roman" w:hAnsi="Times New Roman" w:eastAsia="宋体" w:cs="Times New Roman"/>
          <w:color w:val="000000" w:themeColor="text1"/>
          <w:sz w:val="24"/>
          <w:szCs w:val="24"/>
          <w14:textFill>
            <w14:solidFill>
              <w14:schemeClr w14:val="tx1"/>
            </w14:solidFill>
          </w14:textFill>
        </w:rPr>
        <w:t>检测中心为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酒钢集团公司专业中心之一，2024年成功获批成为甘肃省省级钢铁质量检验检测中心。其主要职能是承担集团公司内部各单位环境监测、特种设备检测、工程质量检测、公司进厂原燃料、厂际产品和出厂产品等理化检验计量工作。</w:t>
      </w:r>
      <w:r>
        <w:rPr>
          <w:rFonts w:hint="eastAsia"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检验检测中心现有职工总数685人，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拥有检测仪器设备总数930台套，其中ICP、直读光谱分析仪、X-荧光光谱仪、气相色谱分析仪、原子吸收等100多台先进大型精密检测仪器，取得128项CNAS实验室检测和校准能力、1454项CMA检验检测能力（参数）、45项企业内部最高计量标准，满足了集团公司内部单位的检验检测和量值溯源基本需求。</w:t>
      </w:r>
    </w:p>
    <w:p w14:paraId="79439DA5">
      <w:pPr>
        <w:spacing w:line="400" w:lineRule="exact"/>
        <w:ind w:firstLine="480" w:firstLineChars="200"/>
        <w:contextualSpacing/>
        <w:jc w:val="left"/>
        <w:rPr>
          <w:rFonts w:hint="eastAsia"/>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2020年-2025年检验检测中心持续参与国家、行业、团体标准制定，根据酒钢的产品特点，结合新钢种、新原料等新检验</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方法、规范的开发，申报国际、国家、行业、地方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标准25项</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。其中主持制定国际标准1项、国家标准1项、行业标准1项，由</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检验检测中心</w:t>
      </w:r>
      <w:r>
        <w:rPr>
          <w:rFonts w:hint="eastAsia" w:ascii="Times New Roman" w:hAnsi="Times New Roman" w:eastAsia="宋体" w:cs="Times New Roman"/>
          <w:color w:val="000000" w:themeColor="text1"/>
          <w:sz w:val="24"/>
          <w:szCs w:val="24"/>
          <w:highlight w:val="none"/>
          <w14:textFill>
            <w14:solidFill>
              <w14:schemeClr w14:val="tx1"/>
            </w14:solidFill>
          </w14:textFill>
        </w:rPr>
        <w:t>主持制定的镍铁检测国际标准（ISO23156</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2021）2021年3月26日在国际标准化组织（ISO）官网正式发布实施。</w:t>
      </w:r>
    </w:p>
    <w:p w14:paraId="23198076">
      <w:pPr>
        <w:spacing w:line="400" w:lineRule="exact"/>
        <w:ind w:firstLine="480" w:firstLineChars="200"/>
        <w:contextualSpacing w:val="0"/>
        <w:jc w:val="left"/>
        <w:rPr>
          <w:rFonts w:hint="eastAsia"/>
          <w:b w:val="0"/>
          <w:bCs w:val="0"/>
          <w:color w:val="auto"/>
          <w:sz w:val="24"/>
          <w:szCs w:val="24"/>
        </w:rPr>
      </w:pPr>
      <w:r>
        <w:rPr>
          <w:rFonts w:hint="eastAsia"/>
          <w:b w:val="0"/>
          <w:bCs w:val="0"/>
          <w:color w:val="auto"/>
          <w:sz w:val="24"/>
          <w:szCs w:val="24"/>
          <w:lang w:val="en-US" w:eastAsia="zh-CN"/>
        </w:rPr>
        <w:t>该</w:t>
      </w:r>
      <w:r>
        <w:rPr>
          <w:rFonts w:hint="eastAsia"/>
          <w:b w:val="0"/>
          <w:bCs w:val="0"/>
          <w:color w:val="auto"/>
          <w:sz w:val="24"/>
          <w:szCs w:val="24"/>
        </w:rPr>
        <w:t>单位积极</w:t>
      </w:r>
      <w:r>
        <w:rPr>
          <w:rFonts w:hint="eastAsia"/>
          <w:b w:val="0"/>
          <w:bCs w:val="0"/>
          <w:color w:val="auto"/>
          <w:sz w:val="24"/>
          <w:szCs w:val="24"/>
          <w:lang w:val="en-US" w:eastAsia="zh-CN"/>
        </w:rPr>
        <w:t>参与</w:t>
      </w:r>
      <w:r>
        <w:rPr>
          <w:rFonts w:hint="eastAsia"/>
          <w:b w:val="0"/>
          <w:bCs w:val="0"/>
          <w:color w:val="auto"/>
          <w:sz w:val="24"/>
          <w:szCs w:val="24"/>
        </w:rPr>
        <w:t>编制组</w:t>
      </w:r>
      <w:r>
        <w:rPr>
          <w:rFonts w:hint="eastAsia"/>
          <w:b w:val="0"/>
          <w:bCs w:val="0"/>
          <w:color w:val="auto"/>
          <w:sz w:val="24"/>
          <w:szCs w:val="24"/>
          <w:lang w:val="en-US" w:eastAsia="zh-CN"/>
        </w:rPr>
        <w:t>的</w:t>
      </w:r>
      <w:r>
        <w:rPr>
          <w:rFonts w:hint="eastAsia"/>
          <w:b w:val="0"/>
          <w:bCs w:val="0"/>
          <w:color w:val="auto"/>
          <w:sz w:val="24"/>
          <w:szCs w:val="24"/>
        </w:rPr>
        <w:t>各</w:t>
      </w:r>
      <w:r>
        <w:rPr>
          <w:rFonts w:hint="eastAsia"/>
          <w:b w:val="0"/>
          <w:bCs w:val="0"/>
          <w:color w:val="auto"/>
          <w:sz w:val="24"/>
          <w:szCs w:val="24"/>
          <w:lang w:val="en-US" w:eastAsia="zh-CN"/>
        </w:rPr>
        <w:t>项</w:t>
      </w:r>
      <w:r>
        <w:rPr>
          <w:rFonts w:hint="eastAsia"/>
          <w:b w:val="0"/>
          <w:bCs w:val="0"/>
          <w:color w:val="auto"/>
          <w:sz w:val="24"/>
          <w:szCs w:val="24"/>
        </w:rPr>
        <w:t>工作会议，</w:t>
      </w:r>
      <w:r>
        <w:rPr>
          <w:rFonts w:hint="eastAsia"/>
          <w:b w:val="0"/>
          <w:bCs w:val="0"/>
          <w:color w:val="auto"/>
          <w:sz w:val="24"/>
          <w:szCs w:val="24"/>
          <w:lang w:val="en-US" w:eastAsia="zh-CN"/>
        </w:rPr>
        <w:t>对规范的技术指标、校准项目提出了有效建议，是该规范的验证单位，</w:t>
      </w:r>
      <w:r>
        <w:rPr>
          <w:rFonts w:hint="eastAsia"/>
          <w:b w:val="0"/>
          <w:bCs w:val="0"/>
          <w:color w:val="auto"/>
          <w:sz w:val="24"/>
          <w:szCs w:val="24"/>
        </w:rPr>
        <w:t>在编制组中发挥了</w:t>
      </w:r>
      <w:r>
        <w:rPr>
          <w:rFonts w:hint="eastAsia"/>
          <w:b w:val="0"/>
          <w:bCs w:val="0"/>
          <w:color w:val="auto"/>
          <w:sz w:val="24"/>
          <w:szCs w:val="24"/>
          <w:lang w:val="en-US" w:eastAsia="zh-CN"/>
        </w:rPr>
        <w:t>主要</w:t>
      </w:r>
      <w:r>
        <w:rPr>
          <w:rFonts w:hint="eastAsia"/>
          <w:b w:val="0"/>
          <w:bCs w:val="0"/>
          <w:color w:val="auto"/>
          <w:sz w:val="24"/>
          <w:szCs w:val="24"/>
        </w:rPr>
        <w:t>作用。</w:t>
      </w:r>
    </w:p>
    <w:p w14:paraId="33C1E20C">
      <w:pPr>
        <w:pStyle w:val="60"/>
        <w:numPr>
          <w:ilvl w:val="3"/>
          <w:numId w:val="0"/>
        </w:numPr>
        <w:spacing w:before="156" w:beforeLines="50" w:after="156" w:afterLines="50"/>
        <w:ind w:left="2" w:leftChars="0" w:firstLine="0" w:firstLineChars="0"/>
        <w:contextualSpacing/>
        <w:rPr>
          <w:color w:val="auto"/>
          <w:sz w:val="24"/>
          <w:szCs w:val="24"/>
        </w:rPr>
      </w:pPr>
      <w:r>
        <w:rPr>
          <w:rFonts w:hint="eastAsia"/>
          <w:b w:val="0"/>
          <w:bCs w:val="0"/>
          <w:sz w:val="24"/>
          <w:szCs w:val="24"/>
        </w:rPr>
        <w:t>3.3.</w:t>
      </w:r>
      <w:r>
        <w:rPr>
          <w:rFonts w:hint="eastAsia"/>
          <w:b w:val="0"/>
          <w:bCs w:val="0"/>
          <w:sz w:val="24"/>
          <w:szCs w:val="24"/>
          <w:lang w:val="en-US" w:eastAsia="zh-CN"/>
        </w:rPr>
        <w:t xml:space="preserve">3 </w:t>
      </w:r>
      <w:r>
        <w:rPr>
          <w:rFonts w:hint="eastAsia"/>
          <w:color w:val="auto"/>
          <w:sz w:val="24"/>
          <w:szCs w:val="24"/>
        </w:rPr>
        <w:t>有色金属技术经济研究院有限责任公司</w:t>
      </w:r>
    </w:p>
    <w:p w14:paraId="1A1251AB">
      <w:pPr>
        <w:spacing w:line="400" w:lineRule="exact"/>
        <w:ind w:left="0" w:leftChars="0" w:firstLine="480" w:firstLineChars="200"/>
        <w:contextualSpacing/>
        <w:jc w:val="lef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金属技术经济研究院有限责任公司成立于1983年3月，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47C2F7DC">
      <w:pPr>
        <w:spacing w:line="400" w:lineRule="exact"/>
        <w:ind w:left="0" w:leftChars="0" w:firstLine="480" w:firstLineChars="200"/>
        <w:contextualSpacing/>
        <w:jc w:val="lef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金属行业计量技术委员会是有色金属技术经济研究院有限责任公司下属机构，负责有色金属金属行业计量技术规范制修订工作。该机构旨在充分发挥有色金属行业生产、科研、教学、质量检验和计量器具生产诸方面计量专家的作用，更好地开展有色金属行业的量值溯源、规范制修订、能力验证和提高计量标准建设与完善计量技术及其管理体系等工作。</w:t>
      </w:r>
    </w:p>
    <w:p w14:paraId="61F7C231">
      <w:pPr>
        <w:spacing w:line="400" w:lineRule="exact"/>
        <w:ind w:left="0" w:leftChars="0" w:firstLine="480" w:firstLineChars="200"/>
        <w:contextualSpacing/>
        <w:jc w:val="lef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20余项，在研40余项。</w:t>
      </w:r>
    </w:p>
    <w:p w14:paraId="053B8928">
      <w:pPr>
        <w:spacing w:line="400" w:lineRule="exact"/>
        <w:ind w:firstLine="480" w:firstLineChars="200"/>
        <w:contextualSpacing/>
        <w:jc w:val="left"/>
        <w:rPr>
          <w:rFonts w:hint="eastAsia"/>
          <w:b w:val="0"/>
          <w:bCs w:val="0"/>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该单位负责组织编制组的各项工作会议，</w:t>
      </w:r>
      <w:r>
        <w:rPr>
          <w:rFonts w:hint="eastAsia"/>
          <w:b w:val="0"/>
          <w:bCs w:val="0"/>
          <w:color w:val="000000" w:themeColor="text1"/>
          <w:sz w:val="24"/>
          <w:szCs w:val="24"/>
          <w:lang w:val="en-US" w:eastAsia="zh-CN"/>
          <w14:textFill>
            <w14:solidFill>
              <w14:schemeClr w14:val="tx1"/>
            </w14:solidFill>
          </w14:textFill>
        </w:rPr>
        <w:t>对规范的技术指标、校准项目等内容提出了，有效建议，</w:t>
      </w:r>
      <w:r>
        <w:rPr>
          <w:rFonts w:hint="eastAsia"/>
          <w:b w:val="0"/>
          <w:bCs w:val="0"/>
          <w:color w:val="000000" w:themeColor="text1"/>
          <w:sz w:val="24"/>
          <w:szCs w:val="24"/>
          <w14:textFill>
            <w14:solidFill>
              <w14:schemeClr w14:val="tx1"/>
            </w14:solidFill>
          </w14:textFill>
        </w:rPr>
        <w:t>在编制组中发挥了</w:t>
      </w:r>
      <w:r>
        <w:rPr>
          <w:rFonts w:hint="eastAsia"/>
          <w:b w:val="0"/>
          <w:bCs w:val="0"/>
          <w:color w:val="000000" w:themeColor="text1"/>
          <w:sz w:val="24"/>
          <w:szCs w:val="24"/>
          <w:lang w:val="en-US" w:eastAsia="zh-CN"/>
          <w14:textFill>
            <w14:solidFill>
              <w14:schemeClr w14:val="tx1"/>
            </w14:solidFill>
          </w14:textFill>
        </w:rPr>
        <w:t>主要</w:t>
      </w:r>
      <w:r>
        <w:rPr>
          <w:rFonts w:hint="eastAsia"/>
          <w:b w:val="0"/>
          <w:bCs w:val="0"/>
          <w:color w:val="000000" w:themeColor="text1"/>
          <w:sz w:val="24"/>
          <w:szCs w:val="24"/>
          <w14:textFill>
            <w14:solidFill>
              <w14:schemeClr w14:val="tx1"/>
            </w14:solidFill>
          </w14:textFill>
        </w:rPr>
        <w:t>作用</w:t>
      </w:r>
      <w:r>
        <w:rPr>
          <w:rFonts w:hint="eastAsia"/>
          <w:color w:val="000000" w:themeColor="text1"/>
          <w:sz w:val="24"/>
          <w:szCs w:val="24"/>
          <w14:textFill>
            <w14:solidFill>
              <w14:schemeClr w14:val="tx1"/>
            </w14:solidFill>
          </w14:textFill>
        </w:rPr>
        <w:t>。</w:t>
      </w:r>
    </w:p>
    <w:p w14:paraId="188FBB10">
      <w:pPr>
        <w:pStyle w:val="60"/>
        <w:numPr>
          <w:ilvl w:val="0"/>
          <w:numId w:val="0"/>
        </w:numPr>
        <w:spacing w:before="156" w:beforeLines="50" w:after="156" w:afterLines="50"/>
        <w:ind w:firstLine="0" w:firstLineChars="0"/>
        <w:contextualSpacing/>
        <w:rPr>
          <w:rFonts w:hint="eastAsia" w:ascii="黑体" w:hAnsi="黑体"/>
          <w:color w:val="000000" w:themeColor="text1"/>
          <w:sz w:val="24"/>
          <w:szCs w:val="24"/>
          <w:highlight w:val="none"/>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 xml:space="preserve">3.3.4 </w:t>
      </w:r>
      <w:r>
        <w:rPr>
          <w:rFonts w:hint="eastAsia" w:ascii="黑体" w:hAnsi="黑体"/>
          <w:sz w:val="24"/>
          <w:szCs w:val="24"/>
          <w:highlight w:val="none"/>
        </w:rPr>
        <w:t>中铝材料应用研究院有限公司</w:t>
      </w:r>
    </w:p>
    <w:p w14:paraId="7C66235C">
      <w:pPr>
        <w:spacing w:line="400" w:lineRule="exact"/>
        <w:ind w:firstLine="480" w:firstLineChars="200"/>
        <w:contextualSpacing/>
        <w:jc w:val="left"/>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中铝材料应用研究院有限公司（以下简称中铝材料院）是中国铝业公司下属科研企业，前身为成立于2010年5月的中铝科学技术研究院，是中央组织部、国务院国资委在北京市昌平区未来科学城规划的15家中央企业重要科研、创新基地之一。中铝材料院以有色金属材料研发及其应用产品研制为主业，研发方向涉及航空航天用铝合金板材、汽车轻量化用铝合金、锂电池用铝合金电池壳、电子信息用铜合金引线框架，轨道交通用铜合金材料及其应用产品研制等多个方面。目前各类在研项目包括国家“863”项目、国家重点研发计划项目，以及北京市科技创新引导专项、中铝公司科技发展基金等多个项目。为提升科技创新水平，中铝材料院引进国家级专家3人，形成了以专家为核心的科研创新队伍。聘任中国工程院院士，启动运行了院士专家工作站，引进多名高校知名教授及业内有重要影响的科技专家。目前</w:t>
      </w:r>
      <w:r>
        <w:rPr>
          <w:rFonts w:hint="eastAsia"/>
          <w:color w:val="000000" w:themeColor="text1"/>
          <w:sz w:val="24"/>
          <w:szCs w:val="24"/>
          <w:lang w:val="en-US" w:eastAsia="zh-CN"/>
          <w14:textFill>
            <w14:solidFill>
              <w14:schemeClr w14:val="tx1"/>
            </w14:solidFill>
          </w14:textFill>
        </w:rPr>
        <w:t>中铝</w:t>
      </w:r>
      <w:r>
        <w:rPr>
          <w:rFonts w:hint="eastAsia" w:ascii="Times New Roman" w:hAnsi="Times New Roman"/>
          <w:color w:val="000000" w:themeColor="text1"/>
          <w:sz w:val="24"/>
          <w:szCs w:val="24"/>
          <w14:textFill>
            <w14:solidFill>
              <w14:schemeClr w14:val="tx1"/>
            </w14:solidFill>
          </w14:textFill>
        </w:rPr>
        <w:t>材料院科研人才比例达78%，全日制大学本科及以上学历达100%，硕士研究生占50%，博士研究生占36%。</w:t>
      </w:r>
    </w:p>
    <w:p w14:paraId="3B01853B">
      <w:pPr>
        <w:spacing w:line="400" w:lineRule="exact"/>
        <w:ind w:firstLine="480" w:firstLineChars="200"/>
        <w:contextualSpacing/>
        <w:jc w:val="left"/>
        <w:rPr>
          <w:rFonts w:hint="eastAsia"/>
          <w:b w:val="0"/>
          <w:bCs w:val="0"/>
          <w:color w:val="000000" w:themeColor="text1"/>
          <w:sz w:val="24"/>
          <w:szCs w:val="24"/>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该</w:t>
      </w:r>
      <w:r>
        <w:rPr>
          <w:rFonts w:hint="eastAsia"/>
          <w:b w:val="0"/>
          <w:bCs w:val="0"/>
          <w:color w:val="000000" w:themeColor="text1"/>
          <w:sz w:val="24"/>
          <w:szCs w:val="24"/>
          <w14:textFill>
            <w14:solidFill>
              <w14:schemeClr w14:val="tx1"/>
            </w14:solidFill>
          </w14:textFill>
        </w:rPr>
        <w:t>单位积极</w:t>
      </w:r>
      <w:r>
        <w:rPr>
          <w:rFonts w:hint="eastAsia"/>
          <w:b w:val="0"/>
          <w:bCs w:val="0"/>
          <w:color w:val="000000" w:themeColor="text1"/>
          <w:sz w:val="24"/>
          <w:szCs w:val="24"/>
          <w:lang w:val="en-US" w:eastAsia="zh-CN"/>
          <w14:textFill>
            <w14:solidFill>
              <w14:schemeClr w14:val="tx1"/>
            </w14:solidFill>
          </w14:textFill>
        </w:rPr>
        <w:t>参与</w:t>
      </w:r>
      <w:r>
        <w:rPr>
          <w:rFonts w:hint="eastAsia"/>
          <w:b w:val="0"/>
          <w:bCs w:val="0"/>
          <w:color w:val="000000" w:themeColor="text1"/>
          <w:sz w:val="24"/>
          <w:szCs w:val="24"/>
          <w14:textFill>
            <w14:solidFill>
              <w14:schemeClr w14:val="tx1"/>
            </w14:solidFill>
          </w14:textFill>
        </w:rPr>
        <w:t>编制组</w:t>
      </w:r>
      <w:r>
        <w:rPr>
          <w:rFonts w:hint="eastAsia"/>
          <w:b w:val="0"/>
          <w:bCs w:val="0"/>
          <w:color w:val="000000" w:themeColor="text1"/>
          <w:sz w:val="24"/>
          <w:szCs w:val="24"/>
          <w:lang w:val="en-US" w:eastAsia="zh-CN"/>
          <w14:textFill>
            <w14:solidFill>
              <w14:schemeClr w14:val="tx1"/>
            </w14:solidFill>
          </w14:textFill>
        </w:rPr>
        <w:t>的</w:t>
      </w:r>
      <w:r>
        <w:rPr>
          <w:rFonts w:hint="eastAsia"/>
          <w:b w:val="0"/>
          <w:bCs w:val="0"/>
          <w:color w:val="000000" w:themeColor="text1"/>
          <w:sz w:val="24"/>
          <w:szCs w:val="24"/>
          <w14:textFill>
            <w14:solidFill>
              <w14:schemeClr w14:val="tx1"/>
            </w14:solidFill>
          </w14:textFill>
        </w:rPr>
        <w:t>各</w:t>
      </w:r>
      <w:r>
        <w:rPr>
          <w:rFonts w:hint="eastAsia"/>
          <w:b w:val="0"/>
          <w:bCs w:val="0"/>
          <w:color w:val="000000" w:themeColor="text1"/>
          <w:sz w:val="24"/>
          <w:szCs w:val="24"/>
          <w:lang w:val="en-US" w:eastAsia="zh-CN"/>
          <w14:textFill>
            <w14:solidFill>
              <w14:schemeClr w14:val="tx1"/>
            </w14:solidFill>
          </w14:textFill>
        </w:rPr>
        <w:t>项</w:t>
      </w:r>
      <w:r>
        <w:rPr>
          <w:rFonts w:hint="eastAsia"/>
          <w:b w:val="0"/>
          <w:bCs w:val="0"/>
          <w:color w:val="000000" w:themeColor="text1"/>
          <w:sz w:val="24"/>
          <w:szCs w:val="24"/>
          <w14:textFill>
            <w14:solidFill>
              <w14:schemeClr w14:val="tx1"/>
            </w14:solidFill>
          </w14:textFill>
        </w:rPr>
        <w:t>工作会议，</w:t>
      </w:r>
      <w:r>
        <w:rPr>
          <w:rFonts w:hint="eastAsia"/>
          <w:b w:val="0"/>
          <w:bCs w:val="0"/>
          <w:color w:val="000000" w:themeColor="text1"/>
          <w:sz w:val="24"/>
          <w:szCs w:val="24"/>
          <w:lang w:val="en-US" w:eastAsia="zh-CN"/>
          <w14:textFill>
            <w14:solidFill>
              <w14:schemeClr w14:val="tx1"/>
            </w14:solidFill>
          </w14:textFill>
        </w:rPr>
        <w:t>对规范的技术指标、校准项目提出了有效建议，是该规范的验证单位，</w:t>
      </w:r>
      <w:r>
        <w:rPr>
          <w:rFonts w:hint="eastAsia"/>
          <w:b w:val="0"/>
          <w:bCs w:val="0"/>
          <w:color w:val="000000" w:themeColor="text1"/>
          <w:sz w:val="24"/>
          <w:szCs w:val="24"/>
          <w14:textFill>
            <w14:solidFill>
              <w14:schemeClr w14:val="tx1"/>
            </w14:solidFill>
          </w14:textFill>
        </w:rPr>
        <w:t>在编制组中发挥了</w:t>
      </w:r>
      <w:r>
        <w:rPr>
          <w:rFonts w:hint="eastAsia"/>
          <w:b w:val="0"/>
          <w:bCs w:val="0"/>
          <w:color w:val="000000" w:themeColor="text1"/>
          <w:sz w:val="24"/>
          <w:szCs w:val="24"/>
          <w:lang w:val="en-US" w:eastAsia="zh-CN"/>
          <w14:textFill>
            <w14:solidFill>
              <w14:schemeClr w14:val="tx1"/>
            </w14:solidFill>
          </w14:textFill>
        </w:rPr>
        <w:t>主要</w:t>
      </w:r>
      <w:r>
        <w:rPr>
          <w:rFonts w:hint="eastAsia"/>
          <w:b w:val="0"/>
          <w:bCs w:val="0"/>
          <w:color w:val="000000" w:themeColor="text1"/>
          <w:sz w:val="24"/>
          <w:szCs w:val="24"/>
          <w14:textFill>
            <w14:solidFill>
              <w14:schemeClr w14:val="tx1"/>
            </w14:solidFill>
          </w14:textFill>
        </w:rPr>
        <w:t>作用。</w:t>
      </w:r>
    </w:p>
    <w:p w14:paraId="1091669C">
      <w:pPr>
        <w:pStyle w:val="60"/>
        <w:numPr>
          <w:ilvl w:val="0"/>
          <w:numId w:val="0"/>
        </w:numPr>
        <w:spacing w:before="156" w:beforeLines="50" w:after="156" w:afterLines="50"/>
        <w:contextualSpacing/>
        <w:jc w:val="left"/>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pPr>
      <w:r>
        <w:rPr>
          <w:rFonts w:hint="eastAsia" w:ascii="黑体" w:hAnsi="黑体" w:eastAsia="黑体" w:cs="Times New Roman"/>
          <w:b w:val="0"/>
          <w:bCs w:val="0"/>
          <w:color w:val="000000" w:themeColor="text1"/>
          <w:sz w:val="24"/>
          <w:szCs w:val="24"/>
          <w:lang w:val="en-US" w:eastAsia="zh-CN"/>
          <w14:textFill>
            <w14:solidFill>
              <w14:schemeClr w14:val="tx1"/>
            </w14:solidFill>
          </w14:textFill>
        </w:rPr>
        <w:t>3.3.</w:t>
      </w:r>
      <w:r>
        <w:rPr>
          <w:rFonts w:hint="eastAsia" w:ascii="黑体" w:hAnsi="黑体" w:eastAsia="黑体" w:cs="Times New Roman"/>
          <w:b w:val="0"/>
          <w:bCs w:val="0"/>
          <w:color w:val="000000" w:themeColor="text1"/>
          <w:sz w:val="24"/>
          <w:szCs w:val="24"/>
          <w:lang w:val="en-US" w:eastAsia="zh-CN"/>
          <w14:textFill>
            <w14:solidFill>
              <w14:schemeClr w14:val="tx1"/>
            </w14:solidFill>
          </w14:textFill>
        </w:rPr>
        <w:t>5</w:t>
      </w: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上海有色金属工业技术监测中心有限公司</w:t>
      </w:r>
    </w:p>
    <w:p w14:paraId="6ABDF1C8">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ascii="宋体" w:hAnsi="宋体" w:eastAsia="宋体" w:cs="宋体"/>
          <w:sz w:val="24"/>
          <w:szCs w:val="24"/>
        </w:rPr>
      </w:pPr>
      <w:r>
        <w:rPr>
          <w:rFonts w:ascii="宋体" w:hAnsi="宋体" w:eastAsia="宋体" w:cs="宋体"/>
          <w:sz w:val="24"/>
          <w:szCs w:val="24"/>
        </w:rPr>
        <w:t>上海有色金属工业技术监测中心有限公司成立于2013年，由北京有色金属研究总院、上海有色金属行业协会共同出资组建，目前隶属于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w:t>
      </w:r>
    </w:p>
    <w:p w14:paraId="58CD4841">
      <w:pPr>
        <w:spacing w:line="400" w:lineRule="exact"/>
        <w:ind w:firstLine="480" w:firstLineChars="200"/>
        <w:contextualSpacing/>
        <w:jc w:val="left"/>
        <w:rPr>
          <w:rFonts w:hint="default" w:ascii="宋体" w:hAnsi="宋体" w:eastAsia="宋体" w:cs="宋体"/>
          <w:color w:val="auto"/>
          <w:spacing w:val="0"/>
          <w:sz w:val="24"/>
          <w:szCs w:val="24"/>
        </w:rPr>
      </w:pPr>
      <w:r>
        <w:rPr>
          <w:rFonts w:hint="default" w:ascii="宋体" w:hAnsi="宋体" w:cs="宋体"/>
          <w:b w:val="0"/>
          <w:bCs w:val="0"/>
          <w:sz w:val="24"/>
          <w:szCs w:val="24"/>
          <w:lang w:val="en-US" w:eastAsia="zh-CN"/>
        </w:rPr>
        <w:t>该</w:t>
      </w:r>
      <w:r>
        <w:rPr>
          <w:rFonts w:hint="default" w:ascii="宋体" w:hAnsi="宋体" w:cs="宋体"/>
          <w:b w:val="0"/>
          <w:bCs w:val="0"/>
          <w:sz w:val="24"/>
          <w:szCs w:val="24"/>
        </w:rPr>
        <w:t>单位积极</w:t>
      </w:r>
      <w:r>
        <w:rPr>
          <w:rFonts w:hint="default" w:ascii="宋体" w:hAnsi="宋体" w:cs="宋体"/>
          <w:b w:val="0"/>
          <w:bCs w:val="0"/>
          <w:sz w:val="24"/>
          <w:szCs w:val="24"/>
          <w:lang w:val="en-US" w:eastAsia="zh-CN"/>
        </w:rPr>
        <w:t>参与</w:t>
      </w:r>
      <w:r>
        <w:rPr>
          <w:rFonts w:hint="default" w:ascii="宋体" w:hAnsi="宋体" w:cs="宋体"/>
          <w:b w:val="0"/>
          <w:bCs w:val="0"/>
          <w:sz w:val="24"/>
          <w:szCs w:val="24"/>
        </w:rPr>
        <w:t>编制组</w:t>
      </w:r>
      <w:r>
        <w:rPr>
          <w:rFonts w:hint="default" w:ascii="宋体" w:hAnsi="宋体" w:cs="宋体"/>
          <w:b w:val="0"/>
          <w:bCs w:val="0"/>
          <w:sz w:val="24"/>
          <w:szCs w:val="24"/>
          <w:lang w:val="en-US" w:eastAsia="zh-CN"/>
        </w:rPr>
        <w:t>的</w:t>
      </w:r>
      <w:r>
        <w:rPr>
          <w:rFonts w:hint="default" w:ascii="宋体" w:hAnsi="宋体" w:cs="宋体"/>
          <w:b w:val="0"/>
          <w:bCs w:val="0"/>
          <w:sz w:val="24"/>
          <w:szCs w:val="24"/>
        </w:rPr>
        <w:t>各</w:t>
      </w:r>
      <w:r>
        <w:rPr>
          <w:rFonts w:hint="default" w:ascii="宋体" w:hAnsi="宋体" w:cs="宋体"/>
          <w:b w:val="0"/>
          <w:bCs w:val="0"/>
          <w:sz w:val="24"/>
          <w:szCs w:val="24"/>
          <w:lang w:val="en-US" w:eastAsia="zh-CN"/>
        </w:rPr>
        <w:t>项</w:t>
      </w:r>
      <w:r>
        <w:rPr>
          <w:rFonts w:hint="default" w:ascii="宋体" w:hAnsi="宋体" w:cs="宋体"/>
          <w:b w:val="0"/>
          <w:bCs w:val="0"/>
          <w:sz w:val="24"/>
          <w:szCs w:val="24"/>
        </w:rPr>
        <w:t>工作会议，</w:t>
      </w:r>
      <w:r>
        <w:rPr>
          <w:rFonts w:hint="default" w:ascii="宋体" w:hAnsi="宋体" w:cs="宋体"/>
          <w:b w:val="0"/>
          <w:bCs w:val="0"/>
          <w:sz w:val="24"/>
          <w:szCs w:val="24"/>
          <w:lang w:val="en-US" w:eastAsia="zh-CN"/>
        </w:rPr>
        <w:t>对规范的技术指标、校准项目等内容提出了有效建议，</w:t>
      </w:r>
      <w:r>
        <w:rPr>
          <w:rFonts w:hint="default" w:ascii="宋体" w:hAnsi="宋体" w:cs="宋体"/>
          <w:b w:val="0"/>
          <w:bCs w:val="0"/>
          <w:sz w:val="24"/>
          <w:szCs w:val="24"/>
        </w:rPr>
        <w:t>在编制组中发挥了</w:t>
      </w:r>
      <w:r>
        <w:rPr>
          <w:rFonts w:hint="default" w:ascii="宋体" w:hAnsi="宋体" w:cs="宋体"/>
          <w:b w:val="0"/>
          <w:bCs w:val="0"/>
          <w:sz w:val="24"/>
          <w:szCs w:val="24"/>
          <w:lang w:val="en-US" w:eastAsia="zh-CN"/>
        </w:rPr>
        <w:t>主要</w:t>
      </w:r>
      <w:r>
        <w:rPr>
          <w:rFonts w:hint="default" w:ascii="宋体" w:hAnsi="宋体" w:cs="宋体"/>
          <w:b w:val="0"/>
          <w:bCs w:val="0"/>
          <w:sz w:val="24"/>
          <w:szCs w:val="24"/>
        </w:rPr>
        <w:t>作用</w:t>
      </w:r>
      <w:r>
        <w:rPr>
          <w:rFonts w:hint="default" w:ascii="宋体" w:hAnsi="宋体" w:cs="宋体"/>
          <w:sz w:val="24"/>
          <w:szCs w:val="24"/>
        </w:rPr>
        <w:t>。</w:t>
      </w:r>
    </w:p>
    <w:p w14:paraId="0FC44D14">
      <w:pPr>
        <w:pStyle w:val="60"/>
        <w:numPr>
          <w:ilvl w:val="0"/>
          <w:numId w:val="0"/>
        </w:numPr>
        <w:spacing w:before="156" w:beforeLines="50" w:after="156" w:afterLines="50"/>
        <w:contextualSpacing/>
        <w:jc w:val="left"/>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pP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3.3.</w:t>
      </w:r>
      <w:r>
        <w:rPr>
          <w:rFonts w:hint="eastAsia" w:cs="Times New Roman"/>
          <w:b w:val="0"/>
          <w:bCs w:val="0"/>
          <w:color w:val="000000" w:themeColor="text1"/>
          <w:kern w:val="0"/>
          <w:sz w:val="24"/>
          <w:szCs w:val="24"/>
          <w:lang w:val="en-US" w:eastAsia="zh-CN"/>
          <w14:textFill>
            <w14:solidFill>
              <w14:schemeClr w14:val="tx1"/>
            </w14:solidFill>
          </w14:textFill>
        </w:rPr>
        <w:t>6</w:t>
      </w: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 xml:space="preserve"> 国合通用(重庆)测试评价认证有限公司</w:t>
      </w:r>
    </w:p>
    <w:p w14:paraId="2CFF8ADE">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both"/>
        <w:textAlignment w:val="auto"/>
        <w:rPr>
          <w:rFonts w:ascii="宋体" w:hAnsi="宋体" w:eastAsia="宋体" w:cs="宋体"/>
          <w:sz w:val="24"/>
          <w:szCs w:val="24"/>
        </w:rPr>
      </w:pPr>
      <w:r>
        <w:rPr>
          <w:rFonts w:ascii="宋体" w:hAnsi="宋体" w:eastAsia="宋体" w:cs="宋体"/>
          <w:sz w:val="24"/>
          <w:szCs w:val="24"/>
        </w:rPr>
        <w:t>国合通用(重庆)测试评价认证有限公司(简称国合重庆)是中央企业中国有研科技集团有限公司(简称中国有研)所属国合通用测试评价认证股份公司(简称国合通测)的全资子公司，于2022年11月在重庆市两江新区注册成立，是国合通测在西南地区布局的综合性材料测试评价认证机构，承担国合通测西南实验室、先进射线技术与应用研究中心等建设任务，建成总面积10000余平方米，包含材料成分分析、机械和物理性能测试微观组织分析、无损检测等4个主要研究方向的综合性实验室。</w:t>
      </w:r>
    </w:p>
    <w:p w14:paraId="5FE3B350">
      <w:pPr>
        <w:spacing w:line="400" w:lineRule="exact"/>
        <w:ind w:firstLine="480" w:firstLineChars="200"/>
        <w:contextualSpacing/>
        <w:jc w:val="left"/>
        <w:rPr>
          <w:rFonts w:hint="default" w:ascii="宋体" w:hAnsi="宋体" w:eastAsia="宋体" w:cs="宋体"/>
          <w:color w:val="auto"/>
          <w:spacing w:val="0"/>
          <w:sz w:val="24"/>
          <w:szCs w:val="24"/>
        </w:rPr>
      </w:pPr>
      <w:r>
        <w:rPr>
          <w:rFonts w:hint="default" w:ascii="宋体" w:hAnsi="宋体" w:cs="宋体"/>
          <w:b w:val="0"/>
          <w:bCs w:val="0"/>
          <w:sz w:val="24"/>
          <w:szCs w:val="24"/>
          <w:lang w:val="en-US" w:eastAsia="zh-CN"/>
        </w:rPr>
        <w:t>该</w:t>
      </w:r>
      <w:r>
        <w:rPr>
          <w:rFonts w:hint="default" w:ascii="宋体" w:hAnsi="宋体" w:cs="宋体"/>
          <w:b w:val="0"/>
          <w:bCs w:val="0"/>
          <w:sz w:val="24"/>
          <w:szCs w:val="24"/>
        </w:rPr>
        <w:t>单位积极</w:t>
      </w:r>
      <w:r>
        <w:rPr>
          <w:rFonts w:hint="default" w:ascii="宋体" w:hAnsi="宋体" w:cs="宋体"/>
          <w:b w:val="0"/>
          <w:bCs w:val="0"/>
          <w:sz w:val="24"/>
          <w:szCs w:val="24"/>
          <w:lang w:val="en-US" w:eastAsia="zh-CN"/>
        </w:rPr>
        <w:t>参与</w:t>
      </w:r>
      <w:r>
        <w:rPr>
          <w:rFonts w:hint="default" w:ascii="宋体" w:hAnsi="宋体" w:cs="宋体"/>
          <w:b w:val="0"/>
          <w:bCs w:val="0"/>
          <w:sz w:val="24"/>
          <w:szCs w:val="24"/>
        </w:rPr>
        <w:t>编制组</w:t>
      </w:r>
      <w:r>
        <w:rPr>
          <w:rFonts w:hint="default" w:ascii="宋体" w:hAnsi="宋体" w:cs="宋体"/>
          <w:b w:val="0"/>
          <w:bCs w:val="0"/>
          <w:sz w:val="24"/>
          <w:szCs w:val="24"/>
          <w:lang w:val="en-US" w:eastAsia="zh-CN"/>
        </w:rPr>
        <w:t>的</w:t>
      </w:r>
      <w:r>
        <w:rPr>
          <w:rFonts w:hint="default" w:ascii="宋体" w:hAnsi="宋体" w:cs="宋体"/>
          <w:b w:val="0"/>
          <w:bCs w:val="0"/>
          <w:sz w:val="24"/>
          <w:szCs w:val="24"/>
        </w:rPr>
        <w:t>各</w:t>
      </w:r>
      <w:r>
        <w:rPr>
          <w:rFonts w:hint="default" w:ascii="宋体" w:hAnsi="宋体" w:cs="宋体"/>
          <w:b w:val="0"/>
          <w:bCs w:val="0"/>
          <w:sz w:val="24"/>
          <w:szCs w:val="24"/>
          <w:lang w:val="en-US" w:eastAsia="zh-CN"/>
        </w:rPr>
        <w:t>项</w:t>
      </w:r>
      <w:r>
        <w:rPr>
          <w:rFonts w:hint="default" w:ascii="宋体" w:hAnsi="宋体" w:cs="宋体"/>
          <w:b w:val="0"/>
          <w:bCs w:val="0"/>
          <w:sz w:val="24"/>
          <w:szCs w:val="24"/>
        </w:rPr>
        <w:t>工作会议，</w:t>
      </w:r>
      <w:r>
        <w:rPr>
          <w:rFonts w:hint="default" w:ascii="宋体" w:hAnsi="宋体" w:cs="宋体"/>
          <w:b w:val="0"/>
          <w:bCs w:val="0"/>
          <w:sz w:val="24"/>
          <w:szCs w:val="24"/>
          <w:lang w:val="en-US" w:eastAsia="zh-CN"/>
        </w:rPr>
        <w:t>对规范的技术指标、校准项目等内容提出了有效建议，</w:t>
      </w:r>
      <w:r>
        <w:rPr>
          <w:rFonts w:hint="default" w:ascii="宋体" w:hAnsi="宋体" w:cs="宋体"/>
          <w:b w:val="0"/>
          <w:bCs w:val="0"/>
          <w:sz w:val="24"/>
          <w:szCs w:val="24"/>
        </w:rPr>
        <w:t>在编制组中发挥了</w:t>
      </w:r>
      <w:r>
        <w:rPr>
          <w:rFonts w:hint="default" w:ascii="宋体" w:hAnsi="宋体" w:cs="宋体"/>
          <w:b w:val="0"/>
          <w:bCs w:val="0"/>
          <w:sz w:val="24"/>
          <w:szCs w:val="24"/>
          <w:lang w:val="en-US" w:eastAsia="zh-CN"/>
        </w:rPr>
        <w:t>主要</w:t>
      </w:r>
      <w:r>
        <w:rPr>
          <w:rFonts w:hint="default" w:ascii="宋体" w:hAnsi="宋体" w:cs="宋体"/>
          <w:b w:val="0"/>
          <w:bCs w:val="0"/>
          <w:sz w:val="24"/>
          <w:szCs w:val="24"/>
        </w:rPr>
        <w:t>作用</w:t>
      </w:r>
      <w:r>
        <w:rPr>
          <w:rFonts w:hint="default" w:ascii="宋体" w:hAnsi="宋体" w:cs="宋体"/>
          <w:sz w:val="24"/>
          <w:szCs w:val="24"/>
        </w:rPr>
        <w:t>。</w:t>
      </w:r>
    </w:p>
    <w:p w14:paraId="24B8ECCF">
      <w:pPr>
        <w:pStyle w:val="60"/>
        <w:numPr>
          <w:ilvl w:val="0"/>
          <w:numId w:val="0"/>
        </w:numPr>
        <w:spacing w:before="156" w:beforeLines="50" w:after="156" w:afterLines="50"/>
        <w:contextualSpacing/>
        <w:jc w:val="left"/>
        <w:rPr>
          <w:rFonts w:hint="eastAsia" w:ascii="黑体" w:hAnsi="黑体" w:eastAsia="黑体" w:cs="Times New Roman"/>
          <w:b w:val="0"/>
          <w:bCs w:val="0"/>
          <w:sz w:val="24"/>
          <w:szCs w:val="24"/>
          <w:highlight w:val="none"/>
          <w:lang w:val="en-US" w:eastAsia="zh-CN"/>
        </w:rPr>
      </w:pP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3.3.</w:t>
      </w: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7</w:t>
      </w:r>
      <w:r>
        <w:rPr>
          <w:rFonts w:hint="eastAsia" w:ascii="黑体" w:hAnsi="黑体" w:eastAsia="黑体" w:cs="Times New Roman"/>
          <w:b w:val="0"/>
          <w:bCs w:val="0"/>
          <w:color w:val="000000" w:themeColor="text1"/>
          <w:kern w:val="0"/>
          <w:sz w:val="24"/>
          <w:szCs w:val="24"/>
          <w:highlight w:val="none"/>
          <w:lang w:val="en-US" w:eastAsia="zh-CN"/>
          <w14:textFill>
            <w14:solidFill>
              <w14:schemeClr w14:val="tx1"/>
            </w14:solidFill>
          </w14:textFill>
        </w:rPr>
        <w:t xml:space="preserve"> </w:t>
      </w:r>
      <w:r>
        <w:rPr>
          <w:rFonts w:hint="eastAsia" w:ascii="黑体" w:hAnsi="黑体" w:eastAsia="黑体" w:cs="Times New Roman"/>
          <w:b w:val="0"/>
          <w:bCs w:val="0"/>
          <w:sz w:val="24"/>
          <w:szCs w:val="24"/>
          <w:highlight w:val="none"/>
          <w:lang w:val="en-US" w:eastAsia="zh-CN"/>
        </w:rPr>
        <w:t>西南铝业(集团)有限责任公司</w:t>
      </w:r>
    </w:p>
    <w:p w14:paraId="0DC9099A">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西</w:t>
      </w:r>
      <w:r>
        <w:rPr>
          <w:rFonts w:hint="default" w:ascii="Times New Roman" w:hAnsi="Times New Roman" w:cs="Times New Roman" w:eastAsiaTheme="minorEastAsia"/>
          <w:kern w:val="0"/>
          <w:sz w:val="24"/>
          <w:szCs w:val="24"/>
        </w:rPr>
        <w:t>南</w:t>
      </w:r>
      <w:r>
        <w:rPr>
          <w:rFonts w:hint="default" w:ascii="Times New Roman" w:hAnsi="Times New Roman" w:cs="Times New Roman" w:eastAsiaTheme="minorEastAsia"/>
          <w:color w:val="000000"/>
          <w:kern w:val="0"/>
          <w:sz w:val="24"/>
          <w:szCs w:val="24"/>
        </w:rPr>
        <w:t>铝业（集团）有限责任公司</w:t>
      </w:r>
      <w:r>
        <w:rPr>
          <w:rFonts w:hint="default" w:ascii="Times New Roman" w:hAnsi="Times New Roman" w:cs="Times New Roman" w:eastAsiaTheme="minorEastAsia"/>
          <w:sz w:val="24"/>
          <w:szCs w:val="24"/>
        </w:rPr>
        <w:t>（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津贴专家30余人，建有院士工作站，拥有国家级企业技术中心。西南铝建有校准实验室与检测实验室，均通过CNAS认可，具备对廉金属热电偶、工业贵金属热电偶、开展热电偶的CNAS校准能力。西南铝累计申请专利722件，其中授权发明专利249件、授权实用新型专利473件，主持和参与国家、行业标准277项。</w:t>
      </w:r>
    </w:p>
    <w:p w14:paraId="618D76B2">
      <w:pPr>
        <w:spacing w:line="400" w:lineRule="exact"/>
        <w:ind w:firstLine="480" w:firstLineChars="200"/>
        <w:contextualSpacing/>
        <w:rPr>
          <w:rFonts w:hint="default" w:ascii="Times New Roman" w:hAnsi="Times New Roman" w:eastAsiaTheme="minorEastAsia"/>
          <w:color w:val="auto"/>
          <w:spacing w:val="0"/>
          <w:sz w:val="24"/>
          <w:szCs w:val="24"/>
        </w:rPr>
      </w:pPr>
      <w:r>
        <w:rPr>
          <w:rFonts w:hint="default" w:eastAsiaTheme="minorEastAsia"/>
          <w:b w:val="0"/>
          <w:bCs w:val="0"/>
          <w:sz w:val="24"/>
          <w:szCs w:val="24"/>
          <w:lang w:val="en-US" w:eastAsia="zh-CN"/>
        </w:rPr>
        <w:t>该</w:t>
      </w:r>
      <w:r>
        <w:rPr>
          <w:rFonts w:hint="default" w:eastAsiaTheme="minorEastAsia"/>
          <w:b w:val="0"/>
          <w:bCs w:val="0"/>
          <w:sz w:val="24"/>
          <w:szCs w:val="24"/>
        </w:rPr>
        <w:t>单位积极</w:t>
      </w:r>
      <w:r>
        <w:rPr>
          <w:rFonts w:hint="default" w:eastAsiaTheme="minorEastAsia"/>
          <w:b w:val="0"/>
          <w:bCs w:val="0"/>
          <w:sz w:val="24"/>
          <w:szCs w:val="24"/>
          <w:lang w:val="en-US" w:eastAsia="zh-CN"/>
        </w:rPr>
        <w:t>参与</w:t>
      </w:r>
      <w:r>
        <w:rPr>
          <w:rFonts w:hint="default" w:eastAsiaTheme="minorEastAsia"/>
          <w:b w:val="0"/>
          <w:bCs w:val="0"/>
          <w:sz w:val="24"/>
          <w:szCs w:val="24"/>
        </w:rPr>
        <w:t>编制组</w:t>
      </w:r>
      <w:r>
        <w:rPr>
          <w:rFonts w:hint="default" w:eastAsiaTheme="minorEastAsia"/>
          <w:b w:val="0"/>
          <w:bCs w:val="0"/>
          <w:sz w:val="24"/>
          <w:szCs w:val="24"/>
          <w:lang w:val="en-US" w:eastAsia="zh-CN"/>
        </w:rPr>
        <w:t>的</w:t>
      </w:r>
      <w:r>
        <w:rPr>
          <w:rFonts w:hint="default" w:eastAsiaTheme="minorEastAsia"/>
          <w:b w:val="0"/>
          <w:bCs w:val="0"/>
          <w:sz w:val="24"/>
          <w:szCs w:val="24"/>
        </w:rPr>
        <w:t>各</w:t>
      </w:r>
      <w:r>
        <w:rPr>
          <w:rFonts w:hint="default" w:eastAsiaTheme="minorEastAsia"/>
          <w:b w:val="0"/>
          <w:bCs w:val="0"/>
          <w:sz w:val="24"/>
          <w:szCs w:val="24"/>
          <w:lang w:val="en-US" w:eastAsia="zh-CN"/>
        </w:rPr>
        <w:t>项</w:t>
      </w:r>
      <w:r>
        <w:rPr>
          <w:rFonts w:hint="default" w:eastAsiaTheme="minorEastAsia"/>
          <w:b w:val="0"/>
          <w:bCs w:val="0"/>
          <w:sz w:val="24"/>
          <w:szCs w:val="24"/>
        </w:rPr>
        <w:t>工作会议，</w:t>
      </w:r>
      <w:r>
        <w:rPr>
          <w:rFonts w:hint="default" w:eastAsiaTheme="minorEastAsia"/>
          <w:b w:val="0"/>
          <w:bCs w:val="0"/>
          <w:sz w:val="24"/>
          <w:szCs w:val="24"/>
          <w:lang w:val="en-US" w:eastAsia="zh-CN"/>
        </w:rPr>
        <w:t>对规范的技术指标、校准项目等内容提出了有效建议，</w:t>
      </w:r>
      <w:r>
        <w:rPr>
          <w:rFonts w:hint="default" w:eastAsiaTheme="minorEastAsia"/>
          <w:b w:val="0"/>
          <w:bCs w:val="0"/>
          <w:sz w:val="24"/>
          <w:szCs w:val="24"/>
        </w:rPr>
        <w:t>在编制组中发挥了</w:t>
      </w:r>
      <w:r>
        <w:rPr>
          <w:rFonts w:hint="default" w:eastAsiaTheme="minorEastAsia"/>
          <w:b w:val="0"/>
          <w:bCs w:val="0"/>
          <w:sz w:val="24"/>
          <w:szCs w:val="24"/>
          <w:lang w:val="en-US" w:eastAsia="zh-CN"/>
        </w:rPr>
        <w:t>主要</w:t>
      </w:r>
      <w:r>
        <w:rPr>
          <w:rFonts w:hint="default" w:eastAsiaTheme="minorEastAsia"/>
          <w:b w:val="0"/>
          <w:bCs w:val="0"/>
          <w:sz w:val="24"/>
          <w:szCs w:val="24"/>
        </w:rPr>
        <w:t>作用</w:t>
      </w:r>
      <w:r>
        <w:rPr>
          <w:rFonts w:hint="default" w:eastAsiaTheme="minorEastAsia"/>
          <w:sz w:val="24"/>
          <w:szCs w:val="24"/>
        </w:rPr>
        <w:t>。</w:t>
      </w:r>
    </w:p>
    <w:p w14:paraId="1CA26D8A">
      <w:pPr>
        <w:pStyle w:val="60"/>
        <w:numPr>
          <w:ilvl w:val="0"/>
          <w:numId w:val="0"/>
        </w:numPr>
        <w:spacing w:before="156" w:beforeLines="50" w:after="156" w:afterLines="50"/>
        <w:ind w:leftChars="0"/>
        <w:rPr>
          <w:rFonts w:hint="eastAsia" w:ascii="黑体" w:hAnsi="Times New Roman" w:eastAsia="黑体" w:cs="Times New Roman"/>
          <w:color w:val="auto"/>
          <w:spacing w:val="-4"/>
          <w:sz w:val="24"/>
          <w:szCs w:val="24"/>
        </w:rPr>
      </w:pPr>
      <w:bookmarkStart w:id="7" w:name="_Toc464728903"/>
      <w:bookmarkStart w:id="8" w:name="_Toc462884347"/>
      <w:r>
        <w:rPr>
          <w:rFonts w:hint="default" w:hAnsi="Times New Roman" w:eastAsia="黑体"/>
          <w:b w:val="0"/>
          <w:bCs w:val="0"/>
          <w:color w:val="auto"/>
          <w:spacing w:val="-4"/>
          <w:sz w:val="24"/>
          <w:szCs w:val="24"/>
        </w:rPr>
        <w:t>3.</w:t>
      </w:r>
      <w:r>
        <w:rPr>
          <w:rFonts w:hint="default" w:hAnsi="Times New Roman" w:eastAsia="黑体"/>
          <w:b w:val="0"/>
          <w:bCs w:val="0"/>
          <w:color w:val="auto"/>
          <w:spacing w:val="-4"/>
          <w:sz w:val="24"/>
          <w:szCs w:val="24"/>
          <w:lang w:val="en-US" w:eastAsia="zh-CN"/>
        </w:rPr>
        <w:t>4</w:t>
      </w:r>
      <w:r>
        <w:rPr>
          <w:rFonts w:hint="default" w:ascii="黑体" w:hAnsi="Times New Roman" w:eastAsia="黑体" w:cs="Times New Roman"/>
          <w:color w:val="auto"/>
          <w:spacing w:val="-4"/>
          <w:sz w:val="24"/>
          <w:szCs w:val="24"/>
          <w:lang w:eastAsia="zh-CN"/>
        </w:rPr>
        <w:t>各单位分工情况</w:t>
      </w:r>
    </w:p>
    <w:p w14:paraId="35305676">
      <w:pPr>
        <w:spacing w:line="400" w:lineRule="exact"/>
        <w:ind w:firstLine="480" w:firstLineChars="200"/>
        <w:contextualSpacing/>
        <w:jc w:val="both"/>
        <w:rPr>
          <w:rFonts w:hint="default" w:ascii="Times New Roman" w:hAnsi="Times New Roman" w:cs="Times New Roman" w:eastAsiaTheme="minorEastAsia"/>
          <w:b w:val="0"/>
          <w:bCs w:val="0"/>
          <w:color w:val="auto"/>
          <w:kern w:val="2"/>
          <w:sz w:val="24"/>
          <w:szCs w:val="24"/>
          <w:highlight w:val="none"/>
          <w:lang w:val="en-US" w:eastAsia="zh-CN"/>
        </w:rPr>
      </w:pPr>
      <w:r>
        <w:rPr>
          <w:rFonts w:hint="default" w:ascii="Times New Roman" w:hAnsi="Times New Roman" w:cs="Times New Roman" w:eastAsiaTheme="minorEastAsia"/>
          <w:sz w:val="24"/>
          <w:szCs w:val="24"/>
          <w:lang w:val="en-US" w:eastAsia="zh-CN"/>
        </w:rPr>
        <w:t>编制组依据各单位情况，对整个规范的起草进行了分工。国标（北京）检验认证有限公司</w:t>
      </w:r>
      <w:r>
        <w:rPr>
          <w:rFonts w:hint="default" w:ascii="Times New Roman" w:hAnsi="Times New Roman" w:cs="Times New Roman" w:eastAsiaTheme="minorEastAsia"/>
          <w:b w:val="0"/>
          <w:bCs w:val="0"/>
          <w:color w:val="auto"/>
          <w:kern w:val="2"/>
          <w:sz w:val="24"/>
          <w:szCs w:val="24"/>
          <w:highlight w:val="none"/>
          <w:lang w:val="en-US" w:eastAsia="zh-CN"/>
        </w:rPr>
        <w:t>负责资料的调研、收集，完成分析方法研究工作，撰写标准文稿、编制说明和研究报告。</w:t>
      </w:r>
      <w:r>
        <w:rPr>
          <w:rFonts w:hint="eastAsia" w:cs="Times New Roman" w:eastAsiaTheme="minorEastAsia"/>
          <w:b w:val="0"/>
          <w:bCs w:val="0"/>
          <w:color w:val="auto"/>
          <w:kern w:val="2"/>
          <w:sz w:val="24"/>
          <w:szCs w:val="24"/>
          <w:highlight w:val="none"/>
          <w:lang w:val="en-US" w:eastAsia="zh-CN"/>
        </w:rPr>
        <w:t>中铝洛阳铜加工有限公司</w:t>
      </w:r>
      <w:r>
        <w:rPr>
          <w:rFonts w:hint="default" w:ascii="Times New Roman" w:hAnsi="Times New Roman" w:cs="Times New Roman" w:eastAsiaTheme="minorEastAsia"/>
          <w:b w:val="0"/>
          <w:bCs w:val="0"/>
          <w:color w:val="auto"/>
          <w:kern w:val="2"/>
          <w:sz w:val="24"/>
          <w:szCs w:val="24"/>
          <w:highlight w:val="none"/>
          <w:lang w:val="en-US" w:eastAsia="zh-CN"/>
        </w:rPr>
        <w:t>、酒泉钢铁（集团）有限责任公司检验检测中心</w:t>
      </w:r>
      <w:r>
        <w:rPr>
          <w:rFonts w:hint="default" w:cs="Times New Roman" w:eastAsiaTheme="minorEastAsia"/>
          <w:b w:val="0"/>
          <w:bCs w:val="0"/>
          <w:kern w:val="2"/>
          <w:sz w:val="24"/>
          <w:szCs w:val="24"/>
          <w:lang w:val="en-US" w:eastAsia="zh-CN"/>
        </w:rPr>
        <w:t>、</w:t>
      </w:r>
      <w:r>
        <w:rPr>
          <w:rFonts w:hint="default" w:ascii="Times New Roman" w:hAnsi="Times New Roman" w:cs="Times New Roman" w:eastAsiaTheme="minorEastAsia"/>
          <w:color w:val="auto"/>
          <w:sz w:val="24"/>
          <w:szCs w:val="24"/>
          <w:highlight w:val="none"/>
        </w:rPr>
        <w:t>中铝材料应用研究院有限公司</w:t>
      </w:r>
      <w:r>
        <w:rPr>
          <w:rFonts w:hint="default" w:ascii="Times New Roman" w:hAnsi="Times New Roman" w:cs="Times New Roman" w:eastAsiaTheme="minorEastAsia"/>
          <w:sz w:val="24"/>
          <w:szCs w:val="24"/>
          <w:lang w:val="en-US" w:eastAsia="zh-CN"/>
        </w:rPr>
        <w:t>对规范内容提出具体修改意见，</w:t>
      </w:r>
      <w:r>
        <w:rPr>
          <w:rFonts w:hint="default" w:ascii="Times New Roman" w:hAnsi="Times New Roman" w:cs="Times New Roman" w:eastAsiaTheme="minorEastAsia"/>
          <w:b w:val="0"/>
          <w:bCs w:val="0"/>
          <w:color w:val="auto"/>
          <w:kern w:val="2"/>
          <w:sz w:val="24"/>
          <w:szCs w:val="24"/>
          <w:highlight w:val="none"/>
          <w:lang w:val="en-US" w:eastAsia="zh-CN"/>
        </w:rPr>
        <w:t>提供对规范方法的验证工作及完成相应验证报告，并对标准文稿等提出相应修改意见，</w:t>
      </w:r>
      <w:r>
        <w:rPr>
          <w:rFonts w:hint="default" w:ascii="Times New Roman" w:hAnsi="Times New Roman" w:cs="Times New Roman" w:eastAsiaTheme="minorEastAsia"/>
          <w:sz w:val="24"/>
          <w:szCs w:val="24"/>
          <w:lang w:val="en-US" w:eastAsia="zh-CN"/>
        </w:rPr>
        <w:t>有</w:t>
      </w:r>
      <w:r>
        <w:rPr>
          <w:rFonts w:hint="default" w:ascii="Times New Roman" w:hAnsi="Times New Roman" w:cs="Times New Roman" w:eastAsiaTheme="minorEastAsia"/>
          <w:b w:val="0"/>
          <w:bCs w:val="0"/>
          <w:color w:val="auto"/>
          <w:kern w:val="2"/>
          <w:sz w:val="24"/>
          <w:szCs w:val="24"/>
          <w:highlight w:val="none"/>
          <w:lang w:val="en-US" w:eastAsia="zh-CN"/>
        </w:rPr>
        <w:t>色金属技术经济研究院有限责任公司、上海有色金属工业技术监测中心有限公司、国合通用(重庆)测试评价认证有限公司、西南铝业(集团)有限责任公司对标准文稿等提出相应修改意见，分工见表1。</w:t>
      </w:r>
    </w:p>
    <w:p w14:paraId="2995A873">
      <w:pPr>
        <w:pStyle w:val="60"/>
        <w:numPr>
          <w:ilvl w:val="0"/>
          <w:numId w:val="0"/>
        </w:numPr>
        <w:spacing w:before="156" w:beforeLines="50" w:after="156" w:afterLines="50"/>
        <w:jc w:val="center"/>
        <w:rPr>
          <w:rFonts w:hint="eastAsia" w:ascii="黑体" w:hAnsi="黑体" w:eastAsia="黑体" w:cs="Times New Roman"/>
          <w:kern w:val="0"/>
          <w:sz w:val="24"/>
          <w:szCs w:val="24"/>
          <w:highlight w:val="none"/>
          <w:lang w:val="en-US" w:eastAsia="zh-CN" w:bidi="ar-SA"/>
        </w:rPr>
      </w:pPr>
      <w:r>
        <w:rPr>
          <w:rFonts w:hint="eastAsia" w:ascii="黑体" w:hAnsi="黑体" w:eastAsia="黑体" w:cs="Times New Roman"/>
          <w:kern w:val="0"/>
          <w:sz w:val="24"/>
          <w:szCs w:val="24"/>
          <w:highlight w:val="none"/>
          <w:lang w:val="en-US" w:eastAsia="zh-CN" w:bidi="ar-SA"/>
        </w:rPr>
        <w:t>表1 各单位分工表</w:t>
      </w:r>
    </w:p>
    <w:tbl>
      <w:tblPr>
        <w:tblStyle w:val="42"/>
        <w:tblpPr w:leftFromText="180" w:rightFromText="180" w:vertAnchor="text" w:horzAnchor="page" w:tblpX="1526" w:tblpY="485"/>
        <w:tblOverlap w:val="never"/>
        <w:tblW w:w="48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966"/>
        <w:gridCol w:w="1524"/>
        <w:gridCol w:w="4372"/>
      </w:tblGrid>
      <w:tr w14:paraId="73BA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8" w:type="pct"/>
            <w:noWrap w:val="0"/>
            <w:vAlign w:val="center"/>
          </w:tcPr>
          <w:p w14:paraId="2484531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521" w:type="pct"/>
            <w:noWrap w:val="0"/>
            <w:vAlign w:val="center"/>
          </w:tcPr>
          <w:p w14:paraId="2EE2CBE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822" w:type="pct"/>
            <w:noWrap w:val="0"/>
            <w:vAlign w:val="center"/>
          </w:tcPr>
          <w:p w14:paraId="6EF7830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职称</w:t>
            </w:r>
          </w:p>
        </w:tc>
        <w:tc>
          <w:tcPr>
            <w:tcW w:w="2357" w:type="pct"/>
            <w:noWrap w:val="0"/>
            <w:vAlign w:val="center"/>
          </w:tcPr>
          <w:p w14:paraId="03CFDAE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2E3E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298" w:type="pct"/>
            <w:noWrap w:val="0"/>
            <w:vAlign w:val="center"/>
          </w:tcPr>
          <w:p w14:paraId="0DB8A62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default" w:ascii="Times New Roman" w:hAnsi="Times New Roman" w:eastAsia="宋体" w:cs="Times New Roman"/>
                <w:b w:val="0"/>
                <w:color w:val="auto"/>
                <w:kern w:val="2"/>
                <w:sz w:val="21"/>
                <w:szCs w:val="21"/>
                <w:vertAlign w:val="baseline"/>
                <w:lang w:val="en-US" w:eastAsia="zh-CN" w:bidi="ar-SA"/>
              </w:rPr>
              <w:t>国标（北京）检验认证有限公司</w:t>
            </w:r>
          </w:p>
        </w:tc>
        <w:tc>
          <w:tcPr>
            <w:tcW w:w="521" w:type="pct"/>
            <w:noWrap w:val="0"/>
            <w:vAlign w:val="center"/>
          </w:tcPr>
          <w:p w14:paraId="081BA74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纪红</w:t>
            </w:r>
          </w:p>
          <w:p w14:paraId="51A5069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侯文茹</w:t>
            </w:r>
          </w:p>
        </w:tc>
        <w:tc>
          <w:tcPr>
            <w:tcW w:w="822" w:type="pct"/>
            <w:noWrap w:val="0"/>
            <w:vAlign w:val="center"/>
          </w:tcPr>
          <w:p w14:paraId="2309499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正高级工程师</w:t>
            </w:r>
          </w:p>
          <w:p w14:paraId="4A23DF6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工程师</w:t>
            </w:r>
          </w:p>
        </w:tc>
        <w:tc>
          <w:tcPr>
            <w:tcW w:w="2357" w:type="pct"/>
            <w:noWrap w:val="0"/>
            <w:vAlign w:val="center"/>
          </w:tcPr>
          <w:p w14:paraId="762B78C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w:t>
            </w:r>
            <w:r>
              <w:rPr>
                <w:rFonts w:hint="eastAsia" w:cs="Times New Roman"/>
                <w:b w:val="0"/>
                <w:color w:val="auto"/>
                <w:kern w:val="2"/>
                <w:sz w:val="21"/>
                <w:szCs w:val="21"/>
                <w:vertAlign w:val="baseline"/>
                <w:lang w:val="en-US" w:eastAsia="zh-CN" w:bidi="ar-SA"/>
              </w:rPr>
              <w:t>开展实验，</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6C65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pct"/>
            <w:noWrap w:val="0"/>
            <w:vAlign w:val="center"/>
          </w:tcPr>
          <w:p w14:paraId="3574D2A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Times New Roman" w:hAnsi="Times New Roman" w:eastAsia="宋体" w:cs="Times New Roman"/>
                <w:b w:val="0"/>
                <w:color w:val="auto"/>
                <w:kern w:val="2"/>
                <w:sz w:val="21"/>
                <w:szCs w:val="21"/>
                <w:highlight w:val="yellow"/>
                <w:lang w:val="en-US" w:eastAsia="zh-CN" w:bidi="ar-SA"/>
              </w:rPr>
            </w:pPr>
            <w:r>
              <w:rPr>
                <w:rFonts w:hint="eastAsia" w:ascii="宋体" w:hAnsi="宋体" w:cs="宋体"/>
                <w:b w:val="0"/>
                <w:bCs w:val="0"/>
                <w:color w:val="auto"/>
                <w:kern w:val="2"/>
                <w:sz w:val="21"/>
                <w:szCs w:val="21"/>
                <w:highlight w:val="none"/>
                <w:lang w:val="en-US" w:eastAsia="zh-CN"/>
              </w:rPr>
              <w:t>中铝洛阳铜加工有限公司</w:t>
            </w:r>
          </w:p>
        </w:tc>
        <w:tc>
          <w:tcPr>
            <w:tcW w:w="521" w:type="pct"/>
            <w:noWrap w:val="0"/>
            <w:vAlign w:val="center"/>
          </w:tcPr>
          <w:p w14:paraId="403D92C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刘光辉</w:t>
            </w:r>
          </w:p>
          <w:p w14:paraId="40A832D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韩跃伟</w:t>
            </w:r>
          </w:p>
        </w:tc>
        <w:tc>
          <w:tcPr>
            <w:tcW w:w="822" w:type="pct"/>
            <w:noWrap w:val="0"/>
            <w:vAlign w:val="center"/>
          </w:tcPr>
          <w:p w14:paraId="3D1879D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工程师</w:t>
            </w:r>
          </w:p>
          <w:p w14:paraId="12AA45C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工程师</w:t>
            </w:r>
          </w:p>
        </w:tc>
        <w:tc>
          <w:tcPr>
            <w:tcW w:w="2357" w:type="pct"/>
            <w:noWrap w:val="0"/>
            <w:vAlign w:val="center"/>
          </w:tcPr>
          <w:p w14:paraId="74FA100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Times New Roman" w:hAnsi="Times New Roman" w:cs="Times New Roman"/>
                <w:b w:val="0"/>
                <w:color w:val="auto"/>
                <w:kern w:val="2"/>
                <w:sz w:val="21"/>
                <w:szCs w:val="21"/>
                <w:highlight w:val="yellow"/>
                <w:vertAlign w:val="baseline"/>
                <w:lang w:val="en-US" w:eastAsia="zh-CN" w:bidi="ar-SA"/>
              </w:rPr>
            </w:pPr>
            <w:r>
              <w:rPr>
                <w:rFonts w:hint="eastAsia" w:cs="Times New Roman"/>
                <w:b w:val="0"/>
                <w:color w:val="auto"/>
                <w:kern w:val="2"/>
                <w:sz w:val="21"/>
                <w:szCs w:val="21"/>
                <w:vertAlign w:val="baseline"/>
                <w:lang w:val="en-US" w:eastAsia="zh-CN" w:bidi="ar-SA"/>
              </w:rPr>
              <w:t>开展实验，规范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及讨论，内容审阅并提出修改意见，会议纪要整理。</w:t>
            </w:r>
          </w:p>
        </w:tc>
      </w:tr>
      <w:tr w14:paraId="353D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298" w:type="pct"/>
            <w:noWrap w:val="0"/>
            <w:vAlign w:val="center"/>
          </w:tcPr>
          <w:p w14:paraId="3E4CC5A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宋体" w:hAnsi="宋体" w:cs="宋体"/>
                <w:b w:val="0"/>
                <w:bCs w:val="0"/>
                <w:color w:val="auto"/>
                <w:kern w:val="2"/>
                <w:sz w:val="21"/>
                <w:szCs w:val="21"/>
                <w:lang w:val="en-US" w:eastAsia="zh-CN"/>
              </w:rPr>
              <w:t>酒泉钢铁（集团）有限责任公司检验检测中心</w:t>
            </w:r>
          </w:p>
        </w:tc>
        <w:tc>
          <w:tcPr>
            <w:tcW w:w="521" w:type="pct"/>
            <w:noWrap w:val="0"/>
            <w:vAlign w:val="center"/>
          </w:tcPr>
          <w:p w14:paraId="6A117FF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lang w:val="en-US" w:eastAsia="zh-CN" w:bidi="ar-SA"/>
              </w:rPr>
            </w:pPr>
            <w:r>
              <w:rPr>
                <w:rFonts w:hint="eastAsia" w:cs="Times New Roman"/>
                <w:b w:val="0"/>
                <w:color w:val="auto"/>
                <w:kern w:val="2"/>
                <w:sz w:val="21"/>
                <w:szCs w:val="21"/>
                <w:lang w:val="en-US" w:eastAsia="zh-CN" w:bidi="ar-SA"/>
              </w:rPr>
              <w:t>康开斌</w:t>
            </w:r>
          </w:p>
          <w:p w14:paraId="591930F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lang w:val="en-US" w:eastAsia="zh-CN" w:bidi="ar-SA"/>
              </w:rPr>
            </w:pPr>
            <w:r>
              <w:rPr>
                <w:rFonts w:hint="eastAsia" w:cs="Times New Roman"/>
                <w:b w:val="0"/>
                <w:color w:val="auto"/>
                <w:kern w:val="2"/>
                <w:sz w:val="21"/>
                <w:szCs w:val="21"/>
                <w:lang w:val="en-US" w:eastAsia="zh-CN" w:bidi="ar-SA"/>
              </w:rPr>
              <w:t>黄菊</w:t>
            </w:r>
          </w:p>
        </w:tc>
        <w:tc>
          <w:tcPr>
            <w:tcW w:w="822" w:type="pct"/>
            <w:noWrap w:val="0"/>
            <w:vAlign w:val="center"/>
          </w:tcPr>
          <w:p w14:paraId="0037DDCE">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工程师</w:t>
            </w:r>
          </w:p>
          <w:p w14:paraId="0F90841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工程师</w:t>
            </w:r>
          </w:p>
        </w:tc>
        <w:tc>
          <w:tcPr>
            <w:tcW w:w="2357" w:type="pct"/>
            <w:noWrap w:val="0"/>
            <w:vAlign w:val="center"/>
          </w:tcPr>
          <w:p w14:paraId="499391F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开展实验，规范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w:t>
            </w:r>
          </w:p>
          <w:p w14:paraId="3E674B3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vertAlign w:val="baseline"/>
                <w:lang w:val="en-US" w:eastAsia="zh-CN" w:bidi="ar-SA"/>
              </w:rPr>
            </w:pPr>
          </w:p>
        </w:tc>
      </w:tr>
      <w:tr w14:paraId="3874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298" w:type="pct"/>
            <w:noWrap w:val="0"/>
            <w:vAlign w:val="center"/>
          </w:tcPr>
          <w:p w14:paraId="6CC3B4E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cs="宋体"/>
                <w:b w:val="0"/>
                <w:bCs w:val="0"/>
                <w:color w:val="auto"/>
                <w:kern w:val="2"/>
                <w:sz w:val="21"/>
                <w:szCs w:val="21"/>
                <w:lang w:val="en-US" w:eastAsia="zh-CN"/>
              </w:rPr>
            </w:pPr>
            <w:r>
              <w:rPr>
                <w:rFonts w:hint="eastAsia" w:ascii="宋体" w:hAnsi="宋体" w:cs="宋体"/>
                <w:color w:val="auto"/>
                <w:sz w:val="21"/>
                <w:szCs w:val="21"/>
                <w:highlight w:val="none"/>
              </w:rPr>
              <w:t>中铝材料应用研究院有限公司</w:t>
            </w:r>
          </w:p>
        </w:tc>
        <w:tc>
          <w:tcPr>
            <w:tcW w:w="521" w:type="pct"/>
            <w:noWrap w:val="0"/>
            <w:vAlign w:val="center"/>
          </w:tcPr>
          <w:p w14:paraId="325A8B7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lang w:val="en-US" w:eastAsia="zh-CN" w:bidi="ar-SA"/>
              </w:rPr>
            </w:pPr>
            <w:r>
              <w:rPr>
                <w:rFonts w:hint="eastAsia" w:cs="Times New Roman"/>
                <w:b w:val="0"/>
                <w:color w:val="auto"/>
                <w:kern w:val="2"/>
                <w:sz w:val="21"/>
                <w:szCs w:val="21"/>
                <w:lang w:val="en-US" w:eastAsia="zh-CN" w:bidi="ar-SA"/>
              </w:rPr>
              <w:t>孙喆</w:t>
            </w:r>
          </w:p>
          <w:p w14:paraId="6A837BF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lang w:val="en-US" w:eastAsia="zh-CN" w:bidi="ar-SA"/>
              </w:rPr>
            </w:pPr>
            <w:r>
              <w:rPr>
                <w:rFonts w:hint="default" w:cs="Times New Roman"/>
                <w:b w:val="0"/>
                <w:color w:val="auto"/>
                <w:kern w:val="2"/>
                <w:sz w:val="21"/>
                <w:szCs w:val="21"/>
                <w:lang w:val="en-US" w:eastAsia="zh-CN" w:bidi="ar-SA"/>
              </w:rPr>
              <w:t>贺铭兰</w:t>
            </w:r>
          </w:p>
        </w:tc>
        <w:tc>
          <w:tcPr>
            <w:tcW w:w="822" w:type="pct"/>
            <w:noWrap w:val="0"/>
            <w:vAlign w:val="center"/>
          </w:tcPr>
          <w:p w14:paraId="367A463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工程师</w:t>
            </w:r>
          </w:p>
          <w:p w14:paraId="2C62226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工程师</w:t>
            </w:r>
          </w:p>
        </w:tc>
        <w:tc>
          <w:tcPr>
            <w:tcW w:w="2357" w:type="pct"/>
            <w:noWrap w:val="0"/>
            <w:vAlign w:val="center"/>
          </w:tcPr>
          <w:p w14:paraId="1CAE056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开展实验，规范</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及讨论，内容审阅并提出修改意见。</w:t>
            </w:r>
          </w:p>
        </w:tc>
      </w:tr>
      <w:tr w14:paraId="01A5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298" w:type="pct"/>
            <w:shd w:val="clear" w:color="auto" w:fill="auto"/>
            <w:noWrap w:val="0"/>
            <w:vAlign w:val="center"/>
          </w:tcPr>
          <w:p w14:paraId="383D54C3">
            <w:pPr>
              <w:jc w:val="center"/>
              <w:rPr>
                <w:rFonts w:hint="eastAsia" w:ascii="宋体" w:hAnsi="宋体" w:eastAsia="宋体" w:cs="宋体"/>
                <w:b w:val="0"/>
                <w:bCs w:val="0"/>
                <w:color w:val="auto"/>
                <w:spacing w:val="-6"/>
                <w:kern w:val="2"/>
                <w:sz w:val="21"/>
                <w:szCs w:val="21"/>
                <w:highlight w:val="none"/>
                <w:lang w:val="en-US" w:eastAsia="zh-CN" w:bidi="ar-SA"/>
              </w:rPr>
            </w:pPr>
            <w:r>
              <w:rPr>
                <w:rFonts w:hint="default" w:ascii="宋体" w:hAnsi="宋体" w:eastAsia="宋体" w:cs="宋体"/>
                <w:b w:val="0"/>
                <w:bCs w:val="0"/>
                <w:color w:val="auto"/>
                <w:spacing w:val="-6"/>
                <w:kern w:val="2"/>
                <w:sz w:val="21"/>
                <w:szCs w:val="21"/>
                <w:highlight w:val="none"/>
                <w:lang w:val="en-US" w:eastAsia="zh-CN" w:bidi="ar-SA"/>
              </w:rPr>
              <w:t>有色金属技术经济研究院有限责任公司</w:t>
            </w:r>
          </w:p>
        </w:tc>
        <w:tc>
          <w:tcPr>
            <w:tcW w:w="521" w:type="pct"/>
            <w:shd w:val="clear" w:color="auto" w:fill="auto"/>
            <w:noWrap w:val="0"/>
            <w:vAlign w:val="center"/>
          </w:tcPr>
          <w:p w14:paraId="59D2B52F">
            <w:pPr>
              <w:jc w:val="center"/>
              <w:rPr>
                <w:rFonts w:hint="eastAsia" w:ascii="宋体" w:hAnsi="宋体" w:eastAsia="宋体" w:cs="宋体"/>
                <w:b w:val="0"/>
                <w:bCs w:val="0"/>
                <w:color w:val="auto"/>
                <w:spacing w:val="-6"/>
                <w:kern w:val="2"/>
                <w:sz w:val="21"/>
                <w:szCs w:val="21"/>
                <w:highlight w:val="none"/>
                <w:lang w:val="en-US" w:eastAsia="zh-CN" w:bidi="ar-SA"/>
              </w:rPr>
            </w:pPr>
            <w:r>
              <w:rPr>
                <w:rFonts w:hint="eastAsia" w:ascii="宋体" w:hAnsi="宋体" w:eastAsia="宋体" w:cs="宋体"/>
                <w:b w:val="0"/>
                <w:bCs w:val="0"/>
                <w:color w:val="auto"/>
                <w:spacing w:val="-6"/>
                <w:kern w:val="2"/>
                <w:sz w:val="21"/>
                <w:szCs w:val="21"/>
                <w:highlight w:val="none"/>
                <w:lang w:val="en-US" w:eastAsia="zh-CN" w:bidi="ar-SA"/>
              </w:rPr>
              <w:t>闫雁楠</w:t>
            </w:r>
          </w:p>
        </w:tc>
        <w:tc>
          <w:tcPr>
            <w:tcW w:w="822" w:type="pct"/>
            <w:shd w:val="clear" w:color="auto" w:fill="auto"/>
            <w:noWrap w:val="0"/>
            <w:vAlign w:val="center"/>
          </w:tcPr>
          <w:p w14:paraId="33470C69">
            <w:pPr>
              <w:jc w:val="center"/>
              <w:rPr>
                <w:rFonts w:hint="eastAsia" w:ascii="宋体" w:hAnsi="宋体" w:eastAsia="宋体" w:cs="宋体"/>
                <w:b w:val="0"/>
                <w:bCs w:val="0"/>
                <w:color w:val="auto"/>
                <w:spacing w:val="-6"/>
                <w:kern w:val="2"/>
                <w:sz w:val="21"/>
                <w:szCs w:val="21"/>
                <w:highlight w:val="none"/>
                <w:lang w:val="en-US" w:eastAsia="zh-CN" w:bidi="ar-SA"/>
              </w:rPr>
            </w:pPr>
            <w:r>
              <w:rPr>
                <w:rFonts w:hint="eastAsia" w:ascii="宋体" w:hAnsi="宋体" w:eastAsia="宋体" w:cs="宋体"/>
                <w:b w:val="0"/>
                <w:bCs w:val="0"/>
                <w:color w:val="auto"/>
                <w:spacing w:val="-6"/>
                <w:kern w:val="2"/>
                <w:sz w:val="21"/>
                <w:szCs w:val="21"/>
                <w:highlight w:val="none"/>
                <w:lang w:val="en-US" w:eastAsia="zh-CN" w:bidi="ar-SA"/>
              </w:rPr>
              <w:t>工程师</w:t>
            </w:r>
          </w:p>
        </w:tc>
        <w:tc>
          <w:tcPr>
            <w:tcW w:w="2357" w:type="pct"/>
            <w:shd w:val="clear" w:color="auto" w:fill="auto"/>
            <w:noWrap w:val="0"/>
            <w:vAlign w:val="center"/>
          </w:tcPr>
          <w:p w14:paraId="0F56303E">
            <w:pPr>
              <w:jc w:val="center"/>
              <w:rPr>
                <w:rFonts w:hint="eastAsia" w:ascii="宋体" w:hAnsi="宋体" w:eastAsia="宋体" w:cs="宋体"/>
                <w:b w:val="0"/>
                <w:bCs w:val="0"/>
                <w:color w:val="auto"/>
                <w:spacing w:val="-6"/>
                <w:kern w:val="2"/>
                <w:sz w:val="21"/>
                <w:szCs w:val="21"/>
                <w:highlight w:val="none"/>
                <w:lang w:val="en-US" w:eastAsia="zh-CN" w:bidi="ar-SA"/>
              </w:rPr>
            </w:pPr>
            <w:r>
              <w:rPr>
                <w:rFonts w:hint="default" w:ascii="宋体" w:hAnsi="宋体" w:eastAsia="宋体" w:cs="宋体"/>
                <w:b w:val="0"/>
                <w:bCs w:val="0"/>
                <w:color w:val="auto"/>
                <w:spacing w:val="-6"/>
                <w:kern w:val="2"/>
                <w:sz w:val="21"/>
                <w:szCs w:val="21"/>
                <w:highlight w:val="none"/>
                <w:lang w:val="en-US" w:eastAsia="zh-CN" w:bidi="ar-SA"/>
              </w:rPr>
              <w:t>内容审阅并提出修改意见</w:t>
            </w:r>
          </w:p>
        </w:tc>
      </w:tr>
      <w:tr w14:paraId="693D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98" w:type="pct"/>
            <w:noWrap w:val="0"/>
            <w:vAlign w:val="center"/>
          </w:tcPr>
          <w:p w14:paraId="15F979A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上海有色金属工业技术监测中心有限公司</w:t>
            </w:r>
          </w:p>
        </w:tc>
        <w:tc>
          <w:tcPr>
            <w:tcW w:w="521" w:type="pct"/>
            <w:noWrap w:val="0"/>
            <w:vAlign w:val="center"/>
          </w:tcPr>
          <w:p w14:paraId="24E1703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郭晓华</w:t>
            </w:r>
          </w:p>
        </w:tc>
        <w:tc>
          <w:tcPr>
            <w:tcW w:w="822" w:type="pct"/>
            <w:noWrap w:val="0"/>
            <w:vAlign w:val="center"/>
          </w:tcPr>
          <w:p w14:paraId="7EE1198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pacing w:val="-6"/>
                <w:kern w:val="2"/>
                <w:sz w:val="21"/>
                <w:szCs w:val="21"/>
                <w:highlight w:val="none"/>
                <w:lang w:val="en-US" w:eastAsia="zh-CN" w:bidi="ar-SA"/>
              </w:rPr>
              <w:t>工程师</w:t>
            </w:r>
          </w:p>
        </w:tc>
        <w:tc>
          <w:tcPr>
            <w:tcW w:w="2357" w:type="pct"/>
            <w:noWrap w:val="0"/>
            <w:vAlign w:val="center"/>
          </w:tcPr>
          <w:p w14:paraId="1413721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default" w:ascii="宋体" w:hAnsi="宋体" w:eastAsia="宋体" w:cs="宋体"/>
                <w:b w:val="0"/>
                <w:bCs w:val="0"/>
                <w:color w:val="auto"/>
                <w:spacing w:val="-6"/>
                <w:kern w:val="2"/>
                <w:sz w:val="21"/>
                <w:szCs w:val="21"/>
                <w:highlight w:val="none"/>
                <w:lang w:val="en-US" w:eastAsia="zh-CN" w:bidi="ar-SA"/>
              </w:rPr>
              <w:t>内容审阅并提出修改意见</w:t>
            </w:r>
          </w:p>
        </w:tc>
      </w:tr>
      <w:tr w14:paraId="69A4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298" w:type="pct"/>
            <w:noWrap w:val="0"/>
            <w:vAlign w:val="center"/>
          </w:tcPr>
          <w:p w14:paraId="64B3C22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国合通用(重庆)测试评价认证有限公司</w:t>
            </w:r>
          </w:p>
        </w:tc>
        <w:tc>
          <w:tcPr>
            <w:tcW w:w="521" w:type="pct"/>
            <w:noWrap w:val="0"/>
            <w:vAlign w:val="center"/>
          </w:tcPr>
          <w:p w14:paraId="7773F3C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曲翔</w:t>
            </w:r>
          </w:p>
        </w:tc>
        <w:tc>
          <w:tcPr>
            <w:tcW w:w="822" w:type="pct"/>
            <w:noWrap w:val="0"/>
            <w:vAlign w:val="center"/>
          </w:tcPr>
          <w:p w14:paraId="1DE903D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高级工程师</w:t>
            </w:r>
          </w:p>
        </w:tc>
        <w:tc>
          <w:tcPr>
            <w:tcW w:w="2357" w:type="pct"/>
            <w:noWrap w:val="0"/>
            <w:vAlign w:val="center"/>
          </w:tcPr>
          <w:p w14:paraId="5FEF0DF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default" w:ascii="宋体" w:hAnsi="宋体" w:eastAsia="宋体" w:cs="宋体"/>
                <w:b w:val="0"/>
                <w:bCs w:val="0"/>
                <w:color w:val="auto"/>
                <w:spacing w:val="-6"/>
                <w:kern w:val="2"/>
                <w:sz w:val="21"/>
                <w:szCs w:val="21"/>
                <w:highlight w:val="none"/>
                <w:lang w:val="en-US" w:eastAsia="zh-CN" w:bidi="ar-SA"/>
              </w:rPr>
              <w:t>内容审阅并提出修改意见</w:t>
            </w:r>
          </w:p>
        </w:tc>
      </w:tr>
      <w:tr w14:paraId="6668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298" w:type="pct"/>
            <w:noWrap w:val="0"/>
            <w:vAlign w:val="center"/>
          </w:tcPr>
          <w:p w14:paraId="2B5F137D">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西南铝业(集团)有限责任公司</w:t>
            </w:r>
          </w:p>
        </w:tc>
        <w:tc>
          <w:tcPr>
            <w:tcW w:w="521" w:type="pct"/>
            <w:noWrap w:val="0"/>
            <w:vAlign w:val="center"/>
          </w:tcPr>
          <w:p w14:paraId="68B676A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张国栋</w:t>
            </w:r>
          </w:p>
        </w:tc>
        <w:tc>
          <w:tcPr>
            <w:tcW w:w="822" w:type="pct"/>
            <w:noWrap w:val="0"/>
            <w:vAlign w:val="center"/>
          </w:tcPr>
          <w:p w14:paraId="50C2604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eastAsia" w:cs="Times New Roman"/>
                <w:b w:val="0"/>
                <w:color w:val="auto"/>
                <w:kern w:val="2"/>
                <w:sz w:val="21"/>
                <w:szCs w:val="21"/>
                <w:vertAlign w:val="baseline"/>
                <w:lang w:val="en-US" w:eastAsia="zh-CN" w:bidi="ar-SA"/>
              </w:rPr>
              <w:t>正高级工程师</w:t>
            </w:r>
          </w:p>
        </w:tc>
        <w:tc>
          <w:tcPr>
            <w:tcW w:w="2357" w:type="pct"/>
            <w:noWrap w:val="0"/>
            <w:vAlign w:val="center"/>
          </w:tcPr>
          <w:p w14:paraId="6B4E49C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rPr>
            </w:pPr>
            <w:r>
              <w:rPr>
                <w:rFonts w:hint="default" w:ascii="宋体" w:hAnsi="宋体" w:eastAsia="宋体" w:cs="宋体"/>
                <w:b w:val="0"/>
                <w:bCs w:val="0"/>
                <w:color w:val="auto"/>
                <w:spacing w:val="-6"/>
                <w:kern w:val="2"/>
                <w:sz w:val="21"/>
                <w:szCs w:val="21"/>
                <w:highlight w:val="none"/>
                <w:lang w:val="en-US" w:eastAsia="zh-CN" w:bidi="ar-SA"/>
              </w:rPr>
              <w:t>内容审阅并提出修改意见</w:t>
            </w:r>
          </w:p>
        </w:tc>
      </w:tr>
    </w:tbl>
    <w:p w14:paraId="6875DD3B">
      <w:pPr>
        <w:pStyle w:val="59"/>
        <w:ind w:left="0" w:leftChars="0" w:firstLine="0" w:firstLineChars="0"/>
        <w:jc w:val="center"/>
        <w:rPr>
          <w:rFonts w:hint="default" w:ascii="黑体" w:hAnsi="黑体" w:eastAsia="黑体" w:cs="黑体"/>
          <w:kern w:val="0"/>
          <w:sz w:val="21"/>
          <w:szCs w:val="21"/>
          <w:highlight w:val="none"/>
          <w:lang w:val="en-US" w:eastAsia="zh-CN" w:bidi="ar-SA"/>
        </w:rPr>
      </w:pPr>
    </w:p>
    <w:bookmarkEnd w:id="7"/>
    <w:bookmarkEnd w:id="8"/>
    <w:p w14:paraId="3126F503">
      <w:pPr>
        <w:pStyle w:val="4"/>
        <w:numPr>
          <w:ilvl w:val="0"/>
          <w:numId w:val="11"/>
        </w:numPr>
        <w:spacing w:before="156" w:after="156"/>
        <w:rPr>
          <w:rFonts w:hint="eastAsia"/>
          <w:b w:val="0"/>
          <w:bCs w:val="0"/>
          <w:sz w:val="24"/>
          <w:szCs w:val="24"/>
        </w:rPr>
      </w:pPr>
      <w:bookmarkStart w:id="9" w:name="_Toc462884357"/>
      <w:bookmarkStart w:id="10" w:name="_Toc464728913"/>
      <w:r>
        <w:rPr>
          <w:rFonts w:hint="eastAsia"/>
          <w:b w:val="0"/>
          <w:bCs w:val="0"/>
          <w:sz w:val="24"/>
          <w:szCs w:val="24"/>
        </w:rPr>
        <w:t>主要工作过程</w:t>
      </w:r>
      <w:bookmarkEnd w:id="9"/>
      <w:bookmarkEnd w:id="10"/>
    </w:p>
    <w:p w14:paraId="13F9A9F6">
      <w:pPr>
        <w:pStyle w:val="59"/>
        <w:spacing w:line="360" w:lineRule="auto"/>
        <w:ind w:left="0" w:leftChars="0" w:firstLine="0" w:firstLineChars="0"/>
        <w:rPr>
          <w:rFonts w:hint="default"/>
          <w:sz w:val="24"/>
          <w:szCs w:val="24"/>
          <w:lang w:val="en-US" w:eastAsia="zh-CN"/>
        </w:rPr>
      </w:pPr>
      <w:bookmarkStart w:id="11" w:name="_Hlk134448643"/>
      <w:r>
        <w:rPr>
          <w:rFonts w:hint="default" w:ascii="黑体" w:hAnsi="Times New Roman" w:eastAsia="黑体" w:cs="Times New Roman"/>
          <w:color w:val="auto"/>
          <w:spacing w:val="-4"/>
          <w:sz w:val="24"/>
          <w:szCs w:val="24"/>
          <w:lang w:val="en-US" w:eastAsia="zh-CN" w:bidi="ar-SA"/>
        </w:rPr>
        <w:t>4.1 预研阶段</w:t>
      </w:r>
    </w:p>
    <w:p w14:paraId="1300F3FD">
      <w:pPr>
        <w:pStyle w:val="59"/>
        <w:spacing w:line="360" w:lineRule="auto"/>
        <w:ind w:firstLine="420"/>
        <w:rPr>
          <w:rFonts w:hint="default"/>
          <w:sz w:val="24"/>
          <w:szCs w:val="24"/>
          <w:lang w:val="en-US" w:eastAsia="zh-CN"/>
        </w:rPr>
      </w:pPr>
      <w:r>
        <w:rPr>
          <w:rFonts w:hint="default"/>
          <w:sz w:val="24"/>
          <w:szCs w:val="24"/>
          <w:lang w:val="en-US" w:eastAsia="zh-CN"/>
        </w:rPr>
        <w:t>编制组内部经实地调研，就规范包含的内容、主要技术指标等问题进行了讨论，确定规范起草的主导思想和起草原则，对起草组人员的工作进行了分配，并对制定规范的技术指标及拟使用的方法进行现场验证。了解使用单位需求情直流光谱仪况并进行测试试验,收集相关技术材料。</w:t>
      </w:r>
    </w:p>
    <w:p w14:paraId="22CF4DBF">
      <w:pPr>
        <w:pStyle w:val="59"/>
        <w:spacing w:line="360" w:lineRule="auto"/>
        <w:ind w:left="0" w:leftChars="0" w:firstLine="0" w:firstLineChars="0"/>
        <w:rPr>
          <w:rFonts w:hint="default" w:ascii="黑体" w:hAnsi="Times New Roman" w:eastAsia="黑体" w:cs="Times New Roman"/>
          <w:color w:val="auto"/>
          <w:spacing w:val="-4"/>
          <w:sz w:val="24"/>
          <w:szCs w:val="24"/>
          <w:lang w:val="en-US" w:eastAsia="zh-CN" w:bidi="ar-SA"/>
        </w:rPr>
      </w:pPr>
      <w:r>
        <w:rPr>
          <w:rFonts w:hint="eastAsia" w:ascii="黑体" w:hAnsi="Times New Roman" w:eastAsia="黑体" w:cs="Times New Roman"/>
          <w:color w:val="auto"/>
          <w:spacing w:val="-4"/>
          <w:sz w:val="24"/>
          <w:szCs w:val="24"/>
          <w:lang w:val="en-US" w:eastAsia="zh-CN" w:bidi="ar-SA"/>
        </w:rPr>
        <w:t>4.1.1 规范内容的确认</w:t>
      </w:r>
    </w:p>
    <w:p w14:paraId="099B7F01">
      <w:pPr>
        <w:pStyle w:val="59"/>
        <w:spacing w:line="360" w:lineRule="auto"/>
        <w:ind w:firstLine="420"/>
        <w:rPr>
          <w:rFonts w:hint="eastAsia"/>
          <w:sz w:val="24"/>
          <w:szCs w:val="24"/>
          <w:lang w:val="en-US" w:eastAsia="zh-CN"/>
        </w:rPr>
      </w:pPr>
      <w:r>
        <w:rPr>
          <w:rFonts w:hint="eastAsia"/>
          <w:sz w:val="24"/>
          <w:szCs w:val="24"/>
          <w:lang w:val="en-US" w:eastAsia="zh-CN"/>
        </w:rPr>
        <w:t>通过调研市场设备，如德国</w:t>
      </w:r>
      <w:r>
        <w:rPr>
          <w:rFonts w:hint="default"/>
          <w:sz w:val="24"/>
          <w:szCs w:val="24"/>
          <w:lang w:val="en-US" w:eastAsia="zh-CN"/>
        </w:rPr>
        <w:t>斯派克</w:t>
      </w:r>
      <w:r>
        <w:rPr>
          <w:rFonts w:hint="eastAsia"/>
          <w:sz w:val="24"/>
          <w:szCs w:val="24"/>
          <w:lang w:val="en-US" w:eastAsia="zh-CN"/>
        </w:rPr>
        <w:t>公司</w:t>
      </w:r>
      <w:r>
        <w:rPr>
          <w:rFonts w:hint="default"/>
          <w:sz w:val="24"/>
          <w:szCs w:val="24"/>
          <w:lang w:val="en-US" w:eastAsia="zh-CN"/>
        </w:rPr>
        <w:t>SPECTROLAB S直流光谱仪</w:t>
      </w:r>
      <w:r>
        <w:rPr>
          <w:rFonts w:hint="eastAsia"/>
          <w:sz w:val="24"/>
          <w:szCs w:val="24"/>
          <w:lang w:val="en-US" w:eastAsia="zh-CN"/>
        </w:rPr>
        <w:t>、</w:t>
      </w:r>
      <w:r>
        <w:rPr>
          <w:rFonts w:hint="default"/>
          <w:sz w:val="24"/>
          <w:szCs w:val="24"/>
          <w:lang w:val="en-US" w:eastAsia="zh-CN"/>
        </w:rPr>
        <w:t>德国OBLF QSN750-II型直读光谱仪</w:t>
      </w:r>
      <w:r>
        <w:rPr>
          <w:rFonts w:hint="eastAsia"/>
          <w:sz w:val="24"/>
          <w:szCs w:val="24"/>
          <w:lang w:val="en-US" w:eastAsia="zh-CN"/>
        </w:rPr>
        <w:t>、美国热电的ARL 3460</w:t>
      </w:r>
      <w:r>
        <w:rPr>
          <w:rFonts w:hint="default"/>
          <w:sz w:val="24"/>
          <w:szCs w:val="24"/>
          <w:lang w:val="en-US" w:eastAsia="zh-CN"/>
        </w:rPr>
        <w:t>直流光谱仪</w:t>
      </w:r>
      <w:r>
        <w:rPr>
          <w:rFonts w:hint="eastAsia"/>
          <w:sz w:val="24"/>
          <w:szCs w:val="24"/>
          <w:lang w:val="en-US" w:eastAsia="zh-CN"/>
        </w:rPr>
        <w:t>等，对规范的校准项目及参数进行了调研。经调研发现，目前有色金属材料分析用火花放电原子发射光谱仪校准参数多为检出限、示值误差、重复性、稳定性等，所以确认以上几项参数为主要校准项目。</w:t>
      </w:r>
    </w:p>
    <w:p w14:paraId="70F20D6B">
      <w:pPr>
        <w:pStyle w:val="59"/>
        <w:spacing w:line="360" w:lineRule="auto"/>
        <w:ind w:left="0" w:leftChars="0" w:firstLine="0" w:firstLineChars="0"/>
        <w:rPr>
          <w:rFonts w:hint="default" w:ascii="黑体" w:hAnsi="Times New Roman" w:eastAsia="黑体" w:cs="Times New Roman"/>
          <w:color w:val="auto"/>
          <w:spacing w:val="-4"/>
          <w:sz w:val="24"/>
          <w:szCs w:val="24"/>
          <w:lang w:val="en-US" w:eastAsia="zh-CN" w:bidi="ar-SA"/>
        </w:rPr>
      </w:pPr>
      <w:r>
        <w:rPr>
          <w:rFonts w:hint="eastAsia" w:ascii="黑体" w:hAnsi="Times New Roman" w:eastAsia="黑体" w:cs="Times New Roman"/>
          <w:color w:val="auto"/>
          <w:spacing w:val="-4"/>
          <w:sz w:val="24"/>
          <w:szCs w:val="24"/>
          <w:lang w:val="en-US" w:eastAsia="zh-CN" w:bidi="ar-SA"/>
        </w:rPr>
        <w:t>4.1.2 技术指标的确认</w:t>
      </w:r>
    </w:p>
    <w:p w14:paraId="29F5D2DD">
      <w:pPr>
        <w:pStyle w:val="59"/>
        <w:spacing w:line="360" w:lineRule="auto"/>
        <w:ind w:firstLine="420"/>
        <w:rPr>
          <w:rFonts w:hint="eastAsia"/>
          <w:sz w:val="24"/>
          <w:szCs w:val="24"/>
          <w:lang w:val="en-US" w:eastAsia="zh-CN"/>
        </w:rPr>
      </w:pPr>
      <w:r>
        <w:rPr>
          <w:rFonts w:hint="eastAsia"/>
          <w:sz w:val="24"/>
          <w:szCs w:val="24"/>
          <w:lang w:val="en-US" w:eastAsia="zh-CN"/>
        </w:rPr>
        <w:t>通过参考JJG 768对</w:t>
      </w:r>
      <w:r>
        <w:rPr>
          <w:rFonts w:hint="default"/>
          <w:sz w:val="24"/>
          <w:szCs w:val="24"/>
          <w:lang w:val="en-US" w:eastAsia="zh-CN"/>
        </w:rPr>
        <w:t>主要技术指标</w:t>
      </w:r>
      <w:r>
        <w:rPr>
          <w:rFonts w:hint="eastAsia"/>
          <w:sz w:val="24"/>
          <w:szCs w:val="24"/>
          <w:lang w:val="en-US" w:eastAsia="zh-CN"/>
        </w:rPr>
        <w:t>进行查询，并与设备使用实验室进行技术讨论，初步确认了校准项目的测量范围和误差范围。</w:t>
      </w:r>
    </w:p>
    <w:p w14:paraId="55DA51DA">
      <w:pPr>
        <w:pStyle w:val="59"/>
        <w:spacing w:line="360" w:lineRule="auto"/>
        <w:ind w:firstLine="0" w:firstLineChars="0"/>
        <w:rPr>
          <w:rFonts w:hint="eastAsia" w:ascii="黑体" w:hAnsi="黑体" w:eastAsia="黑体" w:cs="黑体"/>
          <w:sz w:val="24"/>
          <w:szCs w:val="24"/>
        </w:rPr>
      </w:pPr>
      <w:r>
        <w:rPr>
          <w:rFonts w:hint="eastAsia" w:ascii="黑体" w:hAnsi="黑体" w:eastAsia="黑体" w:cs="黑体"/>
          <w:sz w:val="24"/>
          <w:szCs w:val="24"/>
        </w:rPr>
        <w:t>4.2 立项阶段</w:t>
      </w:r>
    </w:p>
    <w:p w14:paraId="428E584D">
      <w:pPr>
        <w:pStyle w:val="59"/>
        <w:spacing w:line="360" w:lineRule="auto"/>
        <w:ind w:firstLine="420"/>
        <w:rPr>
          <w:rFonts w:hint="default"/>
          <w:sz w:val="24"/>
          <w:szCs w:val="24"/>
          <w:lang w:val="en-US" w:eastAsia="zh-CN"/>
        </w:rPr>
      </w:pPr>
      <w:r>
        <w:rPr>
          <w:rFonts w:hint="default"/>
          <w:sz w:val="24"/>
          <w:szCs w:val="24"/>
          <w:lang w:val="en-US" w:eastAsia="zh-CN"/>
        </w:rPr>
        <w:t>预研工作完成后，由国标（北京）检验认证有限公司提交项目申请书等材料，于2024年8月</w:t>
      </w:r>
      <w:r>
        <w:rPr>
          <w:rFonts w:hint="eastAsia"/>
          <w:sz w:val="24"/>
          <w:szCs w:val="24"/>
          <w:lang w:val="en-US" w:eastAsia="zh-CN"/>
        </w:rPr>
        <w:t>，</w:t>
      </w:r>
      <w:r>
        <w:rPr>
          <w:rFonts w:hint="default"/>
          <w:sz w:val="24"/>
          <w:szCs w:val="24"/>
          <w:lang w:val="en-US" w:eastAsia="zh-CN"/>
        </w:rPr>
        <w:t>工业和信息化部以工信厅科函</w:t>
      </w:r>
      <w:r>
        <w:rPr>
          <w:rFonts w:hint="eastAsia" w:hAnsi="宋体"/>
          <w:b w:val="0"/>
          <w:bCs w:val="0"/>
          <w:sz w:val="24"/>
          <w:szCs w:val="24"/>
        </w:rPr>
        <w:t>［202</w:t>
      </w:r>
      <w:r>
        <w:rPr>
          <w:rFonts w:hint="eastAsia" w:hAnsi="宋体"/>
          <w:b w:val="0"/>
          <w:bCs w:val="0"/>
          <w:sz w:val="24"/>
          <w:szCs w:val="24"/>
          <w:lang w:val="en-US" w:eastAsia="zh-CN"/>
        </w:rPr>
        <w:t>4</w:t>
      </w:r>
      <w:r>
        <w:rPr>
          <w:rFonts w:hint="eastAsia" w:hAnsi="宋体"/>
          <w:b w:val="0"/>
          <w:bCs w:val="0"/>
          <w:sz w:val="24"/>
          <w:szCs w:val="24"/>
        </w:rPr>
        <w:t>］</w:t>
      </w:r>
      <w:r>
        <w:rPr>
          <w:rFonts w:hint="eastAsia" w:hAnsi="宋体"/>
          <w:b w:val="0"/>
          <w:bCs w:val="0"/>
          <w:sz w:val="24"/>
          <w:szCs w:val="24"/>
          <w:lang w:val="en-US" w:eastAsia="zh-CN"/>
        </w:rPr>
        <w:t>602</w:t>
      </w:r>
      <w:r>
        <w:rPr>
          <w:rFonts w:hint="eastAsia" w:hAnsi="宋体"/>
          <w:b w:val="0"/>
          <w:bCs w:val="0"/>
          <w:sz w:val="24"/>
          <w:szCs w:val="24"/>
        </w:rPr>
        <w:t>号</w:t>
      </w:r>
      <w:r>
        <w:rPr>
          <w:rFonts w:hint="default"/>
          <w:sz w:val="24"/>
          <w:szCs w:val="24"/>
          <w:lang w:val="en-US" w:eastAsia="zh-CN"/>
        </w:rPr>
        <w:t>文下达了《工业和信息化部办公厅关于印发202</w:t>
      </w:r>
      <w:r>
        <w:rPr>
          <w:rFonts w:hint="eastAsia"/>
          <w:sz w:val="24"/>
          <w:szCs w:val="24"/>
          <w:lang w:val="en-US" w:eastAsia="zh-CN"/>
        </w:rPr>
        <w:t>4</w:t>
      </w:r>
      <w:r>
        <w:rPr>
          <w:rFonts w:hint="default"/>
          <w:sz w:val="24"/>
          <w:szCs w:val="24"/>
          <w:lang w:val="en-US" w:eastAsia="zh-CN"/>
        </w:rPr>
        <w:t>年行业计量技术规范制修订计划的通知》</w:t>
      </w:r>
      <w:r>
        <w:rPr>
          <w:rFonts w:hint="eastAsia"/>
          <w:sz w:val="24"/>
          <w:szCs w:val="24"/>
          <w:lang w:val="en-US" w:eastAsia="zh-CN"/>
        </w:rPr>
        <w:t>，</w:t>
      </w:r>
      <w:r>
        <w:rPr>
          <w:rFonts w:hint="default"/>
          <w:sz w:val="24"/>
          <w:szCs w:val="24"/>
          <w:lang w:val="en-US" w:eastAsia="zh-CN"/>
        </w:rPr>
        <w:t>其申报号为：JJFZ(有色金属)</w:t>
      </w:r>
      <w:r>
        <w:rPr>
          <w:rFonts w:hint="eastAsia"/>
          <w:sz w:val="24"/>
          <w:szCs w:val="24"/>
          <w:lang w:val="en-US" w:eastAsia="zh-CN"/>
        </w:rPr>
        <w:t xml:space="preserve"> </w:t>
      </w:r>
      <w:r>
        <w:rPr>
          <w:rFonts w:hint="default"/>
          <w:sz w:val="24"/>
          <w:szCs w:val="24"/>
          <w:lang w:val="en-US" w:eastAsia="zh-CN"/>
        </w:rPr>
        <w:t>0</w:t>
      </w:r>
      <w:r>
        <w:rPr>
          <w:rFonts w:hint="eastAsia"/>
          <w:sz w:val="24"/>
          <w:szCs w:val="24"/>
          <w:lang w:val="en-US" w:eastAsia="zh-CN"/>
        </w:rPr>
        <w:t>10</w:t>
      </w:r>
      <w:r>
        <w:rPr>
          <w:rFonts w:hint="default"/>
          <w:sz w:val="24"/>
          <w:szCs w:val="24"/>
          <w:lang w:val="en-US" w:eastAsia="zh-CN"/>
        </w:rPr>
        <w:t>-202</w:t>
      </w:r>
      <w:r>
        <w:rPr>
          <w:rFonts w:hint="eastAsia"/>
          <w:sz w:val="24"/>
          <w:szCs w:val="24"/>
          <w:lang w:val="en-US" w:eastAsia="zh-CN"/>
        </w:rPr>
        <w:t>4，</w:t>
      </w:r>
      <w:r>
        <w:rPr>
          <w:rFonts w:hint="default"/>
          <w:sz w:val="24"/>
          <w:szCs w:val="24"/>
          <w:lang w:val="en-US" w:eastAsia="zh-CN"/>
        </w:rPr>
        <w:t>计划完成年限为202</w:t>
      </w:r>
      <w:r>
        <w:rPr>
          <w:rFonts w:hint="eastAsia"/>
          <w:sz w:val="24"/>
          <w:szCs w:val="24"/>
          <w:lang w:val="en-US" w:eastAsia="zh-CN"/>
        </w:rPr>
        <w:t>6</w:t>
      </w:r>
      <w:r>
        <w:rPr>
          <w:rFonts w:hint="default"/>
          <w:sz w:val="24"/>
          <w:szCs w:val="24"/>
          <w:lang w:val="en-US" w:eastAsia="zh-CN"/>
        </w:rPr>
        <w:t>年。</w:t>
      </w:r>
    </w:p>
    <w:p w14:paraId="1346E37A">
      <w:pPr>
        <w:spacing w:line="360" w:lineRule="auto"/>
        <w:rPr>
          <w:rFonts w:hint="default" w:ascii="黑体" w:hAnsi="Times New Roman" w:eastAsia="黑体" w:cs="Times New Roman"/>
          <w:color w:val="auto"/>
          <w:spacing w:val="-4"/>
          <w:kern w:val="0"/>
          <w:sz w:val="24"/>
          <w:szCs w:val="24"/>
          <w:lang w:val="en-US" w:eastAsia="zh-CN" w:bidi="ar-SA"/>
        </w:rPr>
      </w:pPr>
      <w:r>
        <w:rPr>
          <w:rFonts w:hint="default" w:ascii="黑体" w:hAnsi="Times New Roman" w:eastAsia="黑体" w:cs="Times New Roman"/>
          <w:color w:val="auto"/>
          <w:spacing w:val="-4"/>
          <w:kern w:val="0"/>
          <w:sz w:val="24"/>
          <w:szCs w:val="24"/>
          <w:lang w:val="en-US" w:eastAsia="zh-CN" w:bidi="ar-SA"/>
        </w:rPr>
        <w:t>4.3 起草阶段</w:t>
      </w:r>
    </w:p>
    <w:p w14:paraId="29F6FCC5">
      <w:pPr>
        <w:pStyle w:val="59"/>
        <w:spacing w:line="360" w:lineRule="auto"/>
        <w:ind w:firstLine="0" w:firstLineChars="0"/>
        <w:rPr>
          <w:rFonts w:hint="default" w:ascii="黑体" w:hAnsi="Times New Roman" w:eastAsia="黑体" w:cs="Times New Roman"/>
          <w:color w:val="auto"/>
          <w:spacing w:val="-4"/>
          <w:kern w:val="0"/>
          <w:sz w:val="24"/>
          <w:szCs w:val="24"/>
          <w:lang w:val="en-US" w:eastAsia="zh-CN" w:bidi="ar-SA"/>
        </w:rPr>
      </w:pPr>
      <w:r>
        <w:rPr>
          <w:rFonts w:hint="default" w:ascii="黑体" w:hAnsi="Times New Roman" w:eastAsia="黑体" w:cs="Times New Roman"/>
          <w:color w:val="auto"/>
          <w:spacing w:val="-4"/>
          <w:kern w:val="0"/>
          <w:sz w:val="24"/>
          <w:szCs w:val="24"/>
          <w:lang w:val="en-US" w:eastAsia="zh-CN" w:bidi="ar-SA"/>
        </w:rPr>
        <w:t>4.3.1 任务讨论会</w:t>
      </w:r>
    </w:p>
    <w:p w14:paraId="1EBF2E95">
      <w:pPr>
        <w:pStyle w:val="59"/>
        <w:spacing w:line="360" w:lineRule="auto"/>
        <w:ind w:firstLine="420"/>
        <w:rPr>
          <w:rFonts w:hint="default"/>
          <w:sz w:val="24"/>
          <w:szCs w:val="24"/>
          <w:lang w:val="en-US" w:eastAsia="zh-CN"/>
        </w:rPr>
      </w:pPr>
      <w:r>
        <w:rPr>
          <w:rFonts w:ascii="Times New Roman" w:hAnsi="Times New Roman"/>
          <w:sz w:val="24"/>
          <w:szCs w:val="24"/>
        </w:rPr>
        <w:t>2</w:t>
      </w:r>
      <w:r>
        <w:rPr>
          <w:rFonts w:hint="default"/>
          <w:sz w:val="24"/>
          <w:szCs w:val="24"/>
          <w:lang w:val="en-US" w:eastAsia="zh-CN"/>
        </w:rPr>
        <w:t>0</w:t>
      </w:r>
      <w:r>
        <w:rPr>
          <w:rFonts w:hint="eastAsia"/>
          <w:sz w:val="24"/>
          <w:szCs w:val="24"/>
          <w:lang w:val="en-US" w:eastAsia="zh-CN"/>
        </w:rPr>
        <w:t>24年</w:t>
      </w:r>
      <w:r>
        <w:rPr>
          <w:rFonts w:hint="default"/>
          <w:sz w:val="24"/>
          <w:szCs w:val="24"/>
          <w:lang w:val="en-US" w:eastAsia="zh-CN"/>
        </w:rPr>
        <w:t>9</w:t>
      </w:r>
      <w:r>
        <w:rPr>
          <w:rFonts w:hint="eastAsia"/>
          <w:sz w:val="24"/>
          <w:szCs w:val="24"/>
          <w:lang w:val="en-US" w:eastAsia="zh-CN"/>
        </w:rPr>
        <w:t>月～2025年4月</w:t>
      </w:r>
      <w:r>
        <w:rPr>
          <w:rFonts w:hint="default"/>
          <w:sz w:val="24"/>
          <w:szCs w:val="24"/>
          <w:lang w:val="en-US" w:eastAsia="zh-CN"/>
        </w:rPr>
        <w:t>，</w:t>
      </w:r>
      <w:r>
        <w:rPr>
          <w:rFonts w:hint="eastAsia"/>
          <w:sz w:val="24"/>
          <w:szCs w:val="24"/>
          <w:lang w:val="en-US" w:eastAsia="zh-CN"/>
        </w:rPr>
        <w:t>由</w:t>
      </w:r>
      <w:r>
        <w:rPr>
          <w:rFonts w:hint="default"/>
          <w:sz w:val="24"/>
          <w:szCs w:val="24"/>
          <w:lang w:val="en-US" w:eastAsia="zh-CN"/>
        </w:rPr>
        <w:t>国标（北京）检验认证有限公司</w:t>
      </w:r>
      <w:r>
        <w:rPr>
          <w:rFonts w:hint="eastAsia"/>
          <w:sz w:val="24"/>
          <w:szCs w:val="24"/>
          <w:lang w:val="en-US" w:eastAsia="zh-CN"/>
        </w:rPr>
        <w:t>编制组对规范进行起草。</w:t>
      </w:r>
      <w:r>
        <w:rPr>
          <w:rFonts w:hint="default"/>
          <w:sz w:val="24"/>
          <w:szCs w:val="24"/>
          <w:lang w:val="en-US" w:eastAsia="zh-CN"/>
        </w:rPr>
        <w:t>起草组经过多次现场试验、查阅资料、收集数据等，</w:t>
      </w:r>
      <w:r>
        <w:rPr>
          <w:rFonts w:hint="eastAsia"/>
          <w:sz w:val="24"/>
          <w:szCs w:val="24"/>
          <w:lang w:val="en-US" w:eastAsia="zh-CN"/>
        </w:rPr>
        <w:t>对主要型号的商用有色金属材料分析用火花放电原子发射光谱仪的指标参数进行比较分析，并结合试验数据进行归纳总结。对《有色金属材料分析用火花放电原子发射光谱仪校准规范》中的计量特性及校准方法进行了讨论，确定了校准项目和方法，</w:t>
      </w:r>
      <w:r>
        <w:rPr>
          <w:rFonts w:hint="default"/>
          <w:sz w:val="24"/>
          <w:szCs w:val="24"/>
          <w:lang w:val="en-US" w:eastAsia="zh-CN"/>
        </w:rPr>
        <w:t>完成了规范的讨论稿。</w:t>
      </w:r>
    </w:p>
    <w:p w14:paraId="506DB935">
      <w:pPr>
        <w:pStyle w:val="59"/>
        <w:spacing w:line="360" w:lineRule="auto"/>
        <w:ind w:firstLine="420"/>
        <w:rPr>
          <w:rFonts w:hint="eastAsia"/>
          <w:sz w:val="24"/>
          <w:szCs w:val="24"/>
          <w:lang w:val="en-US" w:eastAsia="zh-CN"/>
        </w:rPr>
      </w:pPr>
      <w:r>
        <w:rPr>
          <w:rFonts w:hint="eastAsia"/>
          <w:sz w:val="24"/>
          <w:szCs w:val="24"/>
          <w:lang w:val="en-US" w:eastAsia="zh-CN"/>
        </w:rPr>
        <w:t>2025年5月7日~5月10日，由有色金属行业计量技术委员会组织，在洛阳举行有色金属计量技术规范研讨会，来自有色金属技术经济研究院有限责任公司、国标（北京）检验认证有限公司、中铝洛阳铜加工有限公司、酒泉钢铁（集团）有限责任公司检验检测中心、东北轻合金有限责任公司、西南铝业（集团）有限责任公司10余家企事业单位的40余名代表等单位参加了会议，会上的计量委员会委员、专家、代表对规范讨论稿提出了修改建议和意见，对关键技术指标、校准方法进一步讨论和明确，具体意见见表2，会上确定了中铝洛阳铜加工有限公司、酒泉钢铁（集团）有限责任公司为规范的一验单位；</w:t>
      </w:r>
      <w:r>
        <w:rPr>
          <w:rFonts w:hint="eastAsia" w:ascii="宋体" w:hAnsi="宋体" w:cs="Times New Roman"/>
          <w:color w:val="auto"/>
          <w:sz w:val="24"/>
          <w:szCs w:val="24"/>
          <w:highlight w:val="none"/>
        </w:rPr>
        <w:t>中铝材料应用研究院有限公司</w:t>
      </w:r>
      <w:r>
        <w:rPr>
          <w:rFonts w:hint="eastAsia"/>
          <w:sz w:val="24"/>
          <w:szCs w:val="24"/>
          <w:lang w:val="en-US" w:eastAsia="zh-CN"/>
        </w:rPr>
        <w:t>为二验单位，并明确了本规范的工作安排及时间节点，</w:t>
      </w:r>
      <w:r>
        <w:rPr>
          <w:rFonts w:hint="eastAsia" w:eastAsiaTheme="minorEastAsia"/>
          <w:szCs w:val="21"/>
        </w:rPr>
        <w:t>具体见表</w:t>
      </w:r>
      <w:r>
        <w:rPr>
          <w:rFonts w:hint="eastAsia" w:eastAsiaTheme="minorEastAsia"/>
          <w:szCs w:val="21"/>
          <w:lang w:val="en-US" w:eastAsia="zh-CN"/>
        </w:rPr>
        <w:t>3</w:t>
      </w:r>
      <w:r>
        <w:rPr>
          <w:rFonts w:hint="eastAsia"/>
          <w:sz w:val="24"/>
          <w:szCs w:val="24"/>
          <w:lang w:val="en-US" w:eastAsia="zh-CN"/>
        </w:rPr>
        <w:t>。</w:t>
      </w:r>
    </w:p>
    <w:p w14:paraId="49116AC9">
      <w:pPr>
        <w:jc w:val="center"/>
        <w:rPr>
          <w:rFonts w:hint="eastAsia" w:ascii="黑体" w:hAnsi="黑体" w:eastAsia="黑体" w:cs="黑体"/>
          <w:kern w:val="0"/>
          <w:sz w:val="21"/>
          <w:szCs w:val="21"/>
          <w:highlight w:val="none"/>
          <w:lang w:val="en-US" w:eastAsia="zh-CN" w:bidi="ar-SA"/>
        </w:rPr>
      </w:pPr>
    </w:p>
    <w:p w14:paraId="1594FFC4">
      <w:pPr>
        <w:jc w:val="center"/>
        <w:rPr>
          <w:rFonts w:hint="default" w:ascii="Times New Roman" w:hAnsi="Times New Roman" w:eastAsia="宋体" w:cs="Times New Roman"/>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表2 有色金属计量技术规范研讨会会议纪要</w:t>
      </w:r>
    </w:p>
    <w:tbl>
      <w:tblPr>
        <w:tblStyle w:val="42"/>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025"/>
        <w:gridCol w:w="4427"/>
        <w:gridCol w:w="1410"/>
        <w:gridCol w:w="1877"/>
      </w:tblGrid>
      <w:tr w14:paraId="43DE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049863F8">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535" w:type="pct"/>
            <w:shd w:val="clear" w:color="auto" w:fill="auto"/>
            <w:vAlign w:val="center"/>
          </w:tcPr>
          <w:p w14:paraId="04FF77D3">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标准章条</w:t>
            </w:r>
          </w:p>
          <w:p w14:paraId="4C6A6299">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编号</w:t>
            </w:r>
          </w:p>
        </w:tc>
        <w:tc>
          <w:tcPr>
            <w:tcW w:w="2311" w:type="pct"/>
            <w:shd w:val="clear" w:color="auto" w:fill="auto"/>
            <w:noWrap/>
            <w:vAlign w:val="center"/>
          </w:tcPr>
          <w:p w14:paraId="4162FB04">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意见内容</w:t>
            </w:r>
          </w:p>
        </w:tc>
        <w:tc>
          <w:tcPr>
            <w:tcW w:w="736" w:type="pct"/>
            <w:shd w:val="clear" w:color="auto" w:fill="auto"/>
            <w:noWrap/>
            <w:vAlign w:val="center"/>
          </w:tcPr>
          <w:p w14:paraId="77356074">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提出单位</w:t>
            </w:r>
          </w:p>
          <w:p w14:paraId="35DDEA79">
            <w:pPr>
              <w:widowControl/>
              <w:jc w:val="center"/>
              <w:rPr>
                <w:rFonts w:hint="eastAsia" w:ascii="Times New Roman" w:hAnsi="Times New Roman" w:eastAsia="宋体" w:cs="Times New Roman"/>
                <w:b/>
                <w:bCs/>
                <w:color w:val="000000"/>
                <w:kern w:val="0"/>
                <w:sz w:val="21"/>
                <w:szCs w:val="21"/>
                <w:lang w:eastAsia="zh-CN"/>
              </w:rPr>
            </w:pPr>
            <w:r>
              <w:rPr>
                <w:rFonts w:hint="default" w:ascii="Times New Roman" w:hAnsi="Times New Roman" w:eastAsia="宋体" w:cs="Times New Roman"/>
                <w:b/>
                <w:bCs/>
                <w:color w:val="000000"/>
                <w:kern w:val="0"/>
                <w:sz w:val="21"/>
                <w:szCs w:val="21"/>
              </w:rPr>
              <w:t>（可简写）</w:t>
            </w:r>
          </w:p>
        </w:tc>
        <w:tc>
          <w:tcPr>
            <w:tcW w:w="979" w:type="pct"/>
            <w:shd w:val="clear" w:color="auto" w:fill="auto"/>
            <w:noWrap/>
            <w:vAlign w:val="center"/>
          </w:tcPr>
          <w:p w14:paraId="2AFD7D49">
            <w:pPr>
              <w:widowControl/>
              <w:jc w:val="center"/>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处理意见</w:t>
            </w:r>
          </w:p>
        </w:tc>
      </w:tr>
      <w:tr w14:paraId="4371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45D69A58">
            <w:pPr>
              <w:pStyle w:val="22"/>
              <w:widowControl/>
              <w:numPr>
                <w:ilvl w:val="0"/>
                <w:numId w:val="12"/>
              </w:numPr>
              <w:ind w:firstLineChars="0"/>
              <w:jc w:val="center"/>
              <w:rPr>
                <w:rFonts w:hint="default" w:ascii="Times New Roman" w:hAnsi="Times New Roman" w:eastAsia="宋体" w:cs="Times New Roman"/>
                <w:color w:val="000000"/>
                <w:kern w:val="0"/>
                <w:sz w:val="21"/>
                <w:szCs w:val="21"/>
              </w:rPr>
            </w:pPr>
          </w:p>
        </w:tc>
        <w:tc>
          <w:tcPr>
            <w:tcW w:w="535" w:type="pct"/>
            <w:shd w:val="clear" w:color="auto" w:fill="auto"/>
            <w:noWrap/>
            <w:vAlign w:val="center"/>
          </w:tcPr>
          <w:p w14:paraId="4487158E">
            <w:pPr>
              <w:widowControl/>
              <w:jc w:val="left"/>
              <w:rPr>
                <w:rFonts w:hint="default"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val="en-US" w:eastAsia="zh-CN"/>
              </w:rPr>
              <w:t>1范围</w:t>
            </w:r>
          </w:p>
        </w:tc>
        <w:tc>
          <w:tcPr>
            <w:tcW w:w="2311" w:type="pct"/>
            <w:shd w:val="clear" w:color="auto" w:fill="auto"/>
            <w:noWrap/>
            <w:vAlign w:val="center"/>
          </w:tcPr>
          <w:p w14:paraId="3FA6F1A1">
            <w:pPr>
              <w:widowControl/>
              <w:jc w:val="left"/>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限定范围，补充具体材料基体</w:t>
            </w:r>
          </w:p>
        </w:tc>
        <w:tc>
          <w:tcPr>
            <w:tcW w:w="736" w:type="pct"/>
            <w:shd w:val="clear" w:color="auto" w:fill="auto"/>
            <w:noWrap/>
            <w:vAlign w:val="center"/>
          </w:tcPr>
          <w:p w14:paraId="1F6FA4D3">
            <w:pPr>
              <w:widowControl/>
              <w:jc w:val="left"/>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中铝洛铜</w:t>
            </w:r>
          </w:p>
        </w:tc>
        <w:tc>
          <w:tcPr>
            <w:tcW w:w="979" w:type="pct"/>
            <w:shd w:val="clear" w:color="auto" w:fill="auto"/>
            <w:noWrap/>
            <w:vAlign w:val="center"/>
          </w:tcPr>
          <w:p w14:paraId="457C24F9">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采纳</w:t>
            </w:r>
          </w:p>
        </w:tc>
      </w:tr>
      <w:tr w14:paraId="11EF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2577FC74">
            <w:pPr>
              <w:pStyle w:val="22"/>
              <w:widowControl/>
              <w:numPr>
                <w:ilvl w:val="0"/>
                <w:numId w:val="12"/>
              </w:numPr>
              <w:ind w:firstLineChars="0"/>
              <w:jc w:val="center"/>
              <w:rPr>
                <w:rFonts w:hint="default" w:ascii="Times New Roman" w:hAnsi="Times New Roman" w:eastAsia="宋体" w:cs="Times New Roman"/>
                <w:color w:val="000000"/>
                <w:kern w:val="0"/>
                <w:sz w:val="21"/>
                <w:szCs w:val="21"/>
              </w:rPr>
            </w:pPr>
          </w:p>
        </w:tc>
        <w:tc>
          <w:tcPr>
            <w:tcW w:w="535" w:type="pct"/>
            <w:shd w:val="clear" w:color="auto" w:fill="auto"/>
            <w:noWrap/>
            <w:vAlign w:val="center"/>
          </w:tcPr>
          <w:p w14:paraId="4002784A">
            <w:pPr>
              <w:widowControl/>
              <w:jc w:val="left"/>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5.2测量标准</w:t>
            </w:r>
          </w:p>
        </w:tc>
        <w:tc>
          <w:tcPr>
            <w:tcW w:w="2311" w:type="pct"/>
            <w:shd w:val="clear" w:color="auto" w:fill="auto"/>
            <w:noWrap/>
            <w:vAlign w:val="center"/>
          </w:tcPr>
          <w:p w14:paraId="6D19D867">
            <w:pPr>
              <w:widowControl/>
              <w:jc w:val="left"/>
              <w:rPr>
                <w:rFonts w:hint="default" w:ascii="Times New Roman" w:hAnsi="Times New Roman" w:eastAsia="宋体" w:cs="Times New Roman"/>
                <w:color w:val="000000"/>
                <w:kern w:val="0"/>
                <w:sz w:val="21"/>
                <w:szCs w:val="21"/>
                <w:lang w:val="en-US"/>
              </w:rPr>
            </w:pPr>
            <w:r>
              <w:rPr>
                <w:rFonts w:hint="eastAsia" w:cs="Times New Roman"/>
                <w:color w:val="000000"/>
                <w:kern w:val="0"/>
                <w:sz w:val="21"/>
                <w:szCs w:val="21"/>
                <w:lang w:val="en-US" w:eastAsia="zh-CN"/>
              </w:rPr>
              <w:t>增加标准样品</w:t>
            </w:r>
          </w:p>
        </w:tc>
        <w:tc>
          <w:tcPr>
            <w:tcW w:w="736" w:type="pct"/>
            <w:shd w:val="clear" w:color="auto" w:fill="auto"/>
            <w:noWrap/>
            <w:vAlign w:val="center"/>
          </w:tcPr>
          <w:p w14:paraId="3BC35EDF">
            <w:pPr>
              <w:widowControl/>
              <w:jc w:val="left"/>
              <w:rPr>
                <w:rFonts w:hint="default" w:ascii="Times New Roman" w:hAnsi="Times New Roman" w:eastAsia="宋体" w:cs="Times New Roman"/>
                <w:color w:val="000000"/>
                <w:kern w:val="0"/>
                <w:sz w:val="21"/>
                <w:szCs w:val="21"/>
              </w:rPr>
            </w:pPr>
            <w:r>
              <w:rPr>
                <w:rFonts w:hint="eastAsia" w:cs="Times New Roman"/>
                <w:color w:val="000000"/>
                <w:kern w:val="0"/>
                <w:sz w:val="21"/>
                <w:szCs w:val="21"/>
                <w:lang w:val="en-US" w:eastAsia="zh-CN"/>
              </w:rPr>
              <w:t>中铝洛铜</w:t>
            </w:r>
            <w:r>
              <w:rPr>
                <w:rFonts w:hint="default" w:ascii="Times New Roman" w:hAnsi="Times New Roman" w:eastAsia="宋体" w:cs="Times New Roman"/>
                <w:color w:val="000000"/>
                <w:kern w:val="0"/>
                <w:sz w:val="21"/>
                <w:szCs w:val="21"/>
                <w:lang w:val="en-US" w:eastAsia="zh-CN"/>
              </w:rPr>
              <w:t xml:space="preserve"> </w:t>
            </w:r>
          </w:p>
        </w:tc>
        <w:tc>
          <w:tcPr>
            <w:tcW w:w="979" w:type="pct"/>
            <w:shd w:val="clear" w:color="auto" w:fill="auto"/>
            <w:noWrap/>
            <w:vAlign w:val="center"/>
          </w:tcPr>
          <w:p w14:paraId="72A3624D">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采纳</w:t>
            </w:r>
          </w:p>
        </w:tc>
      </w:tr>
      <w:tr w14:paraId="329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33EE711C">
            <w:pPr>
              <w:pStyle w:val="22"/>
              <w:widowControl/>
              <w:numPr>
                <w:ilvl w:val="0"/>
                <w:numId w:val="12"/>
              </w:numPr>
              <w:ind w:firstLineChars="0"/>
              <w:jc w:val="center"/>
              <w:rPr>
                <w:rFonts w:hint="default" w:ascii="Times New Roman" w:hAnsi="Times New Roman" w:eastAsia="宋体" w:cs="Times New Roman"/>
                <w:color w:val="000000"/>
                <w:kern w:val="0"/>
                <w:sz w:val="21"/>
                <w:szCs w:val="21"/>
              </w:rPr>
            </w:pPr>
          </w:p>
        </w:tc>
        <w:tc>
          <w:tcPr>
            <w:tcW w:w="535" w:type="pct"/>
            <w:shd w:val="clear" w:color="auto" w:fill="auto"/>
            <w:noWrap/>
            <w:vAlign w:val="center"/>
          </w:tcPr>
          <w:p w14:paraId="355C09A3">
            <w:pPr>
              <w:widowControl/>
              <w:jc w:val="left"/>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val="en-US" w:eastAsia="zh-CN" w:bidi="ar-SA"/>
              </w:rPr>
              <w:t>6.1 校准项目</w:t>
            </w:r>
          </w:p>
        </w:tc>
        <w:tc>
          <w:tcPr>
            <w:tcW w:w="2311" w:type="pct"/>
            <w:shd w:val="clear" w:color="auto" w:fill="auto"/>
            <w:noWrap/>
            <w:vAlign w:val="center"/>
          </w:tcPr>
          <w:p w14:paraId="6D2D5FA8">
            <w:pPr>
              <w:widowControl/>
              <w:jc w:val="left"/>
              <w:rPr>
                <w:rFonts w:hint="default" w:ascii="Times New Roman" w:hAnsi="Times New Roman" w:eastAsia="宋体" w:cs="Times New Roman"/>
                <w:color w:val="000000"/>
                <w:kern w:val="0"/>
                <w:sz w:val="21"/>
                <w:szCs w:val="21"/>
                <w:lang w:val="en-US"/>
              </w:rPr>
            </w:pPr>
            <w:r>
              <w:rPr>
                <w:rFonts w:hint="eastAsia" w:cs="Times New Roman"/>
                <w:color w:val="000000"/>
                <w:kern w:val="0"/>
                <w:sz w:val="21"/>
                <w:szCs w:val="21"/>
                <w:lang w:val="en-US" w:eastAsia="zh-CN" w:bidi="ar-SA"/>
              </w:rPr>
              <w:t>删除表格，校准项目总结为一句话</w:t>
            </w:r>
          </w:p>
        </w:tc>
        <w:tc>
          <w:tcPr>
            <w:tcW w:w="736" w:type="pct"/>
            <w:shd w:val="clear" w:color="auto" w:fill="auto"/>
            <w:noWrap/>
            <w:vAlign w:val="center"/>
          </w:tcPr>
          <w:p w14:paraId="7DED042C">
            <w:pPr>
              <w:widowControl/>
              <w:jc w:val="left"/>
              <w:rPr>
                <w:rFonts w:hint="default" w:ascii="Times New Roman" w:hAnsi="Times New Roman" w:eastAsia="宋体" w:cs="Times New Roman"/>
                <w:color w:val="000000"/>
                <w:kern w:val="0"/>
                <w:sz w:val="21"/>
                <w:szCs w:val="21"/>
                <w:lang w:val="en-US" w:eastAsia="zh-CN"/>
              </w:rPr>
            </w:pPr>
            <w:r>
              <w:rPr>
                <w:rFonts w:hint="eastAsia" w:ascii="宋体" w:hAnsi="宋体" w:cs="宋体"/>
                <w:color w:val="000000"/>
                <w:kern w:val="0"/>
                <w:szCs w:val="21"/>
              </w:rPr>
              <w:t>有色技经院</w:t>
            </w:r>
          </w:p>
        </w:tc>
        <w:tc>
          <w:tcPr>
            <w:tcW w:w="979" w:type="pct"/>
            <w:shd w:val="clear" w:color="auto" w:fill="auto"/>
            <w:noWrap/>
            <w:vAlign w:val="center"/>
          </w:tcPr>
          <w:p w14:paraId="1DA35E64">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采纳</w:t>
            </w:r>
          </w:p>
        </w:tc>
      </w:tr>
      <w:tr w14:paraId="633F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46CB1EB5">
            <w:pPr>
              <w:pStyle w:val="22"/>
              <w:widowControl/>
              <w:numPr>
                <w:ilvl w:val="0"/>
                <w:numId w:val="12"/>
              </w:numPr>
              <w:ind w:firstLineChars="0"/>
              <w:jc w:val="center"/>
              <w:rPr>
                <w:rFonts w:hint="default" w:ascii="Times New Roman" w:hAnsi="Times New Roman" w:eastAsia="宋体" w:cs="Times New Roman"/>
                <w:color w:val="000000"/>
                <w:kern w:val="0"/>
                <w:sz w:val="21"/>
                <w:szCs w:val="21"/>
              </w:rPr>
            </w:pPr>
          </w:p>
        </w:tc>
        <w:tc>
          <w:tcPr>
            <w:tcW w:w="535" w:type="pct"/>
            <w:shd w:val="clear" w:color="auto" w:fill="auto"/>
            <w:noWrap/>
            <w:vAlign w:val="center"/>
          </w:tcPr>
          <w:p w14:paraId="2073A482">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6.2.1外观及通用要求的检查</w:t>
            </w:r>
          </w:p>
        </w:tc>
        <w:tc>
          <w:tcPr>
            <w:tcW w:w="2311" w:type="pct"/>
            <w:shd w:val="clear" w:color="auto" w:fill="auto"/>
            <w:noWrap/>
            <w:vAlign w:val="center"/>
          </w:tcPr>
          <w:p w14:paraId="21CC08F4">
            <w:pPr>
              <w:widowControl/>
              <w:jc w:val="left"/>
              <w:rPr>
                <w:rFonts w:hint="default" w:ascii="Times New Roman" w:hAnsi="Times New Roman" w:eastAsia="宋体" w:cs="Times New Roman"/>
                <w:color w:val="000000"/>
                <w:kern w:val="0"/>
                <w:sz w:val="21"/>
                <w:szCs w:val="21"/>
                <w:lang w:val="en-US" w:eastAsia="zh-CN" w:bidi="ar-SA"/>
              </w:rPr>
            </w:pPr>
            <w:r>
              <w:rPr>
                <w:rFonts w:hint="eastAsia" w:cs="Times New Roman"/>
                <w:color w:val="000000"/>
                <w:kern w:val="0"/>
                <w:sz w:val="21"/>
                <w:szCs w:val="21"/>
                <w:lang w:val="en-US" w:eastAsia="zh-CN" w:bidi="ar-SA"/>
              </w:rPr>
              <w:t>组织成一段话</w:t>
            </w:r>
          </w:p>
        </w:tc>
        <w:tc>
          <w:tcPr>
            <w:tcW w:w="736" w:type="pct"/>
            <w:shd w:val="clear" w:color="auto" w:fill="auto"/>
            <w:noWrap/>
            <w:vAlign w:val="center"/>
          </w:tcPr>
          <w:p w14:paraId="7B72A012">
            <w:pPr>
              <w:widowControl/>
              <w:jc w:val="left"/>
              <w:rPr>
                <w:rFonts w:hint="default" w:ascii="Times New Roman" w:hAnsi="Times New Roman" w:eastAsia="宋体" w:cs="Times New Roman"/>
                <w:color w:val="000000"/>
                <w:kern w:val="0"/>
                <w:sz w:val="21"/>
                <w:szCs w:val="21"/>
              </w:rPr>
            </w:pPr>
            <w:r>
              <w:rPr>
                <w:rFonts w:hint="eastAsia" w:ascii="宋体" w:hAnsi="宋体" w:cs="宋体"/>
                <w:color w:val="000000"/>
                <w:kern w:val="0"/>
                <w:szCs w:val="21"/>
              </w:rPr>
              <w:t>有色技经院</w:t>
            </w:r>
          </w:p>
        </w:tc>
        <w:tc>
          <w:tcPr>
            <w:tcW w:w="979" w:type="pct"/>
            <w:shd w:val="clear" w:color="auto" w:fill="auto"/>
            <w:noWrap/>
            <w:vAlign w:val="center"/>
          </w:tcPr>
          <w:p w14:paraId="18A2F310">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采纳</w:t>
            </w:r>
          </w:p>
        </w:tc>
      </w:tr>
      <w:tr w14:paraId="15DB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5B86112F">
            <w:pPr>
              <w:pStyle w:val="22"/>
              <w:widowControl/>
              <w:numPr>
                <w:ilvl w:val="0"/>
                <w:numId w:val="12"/>
              </w:numPr>
              <w:ind w:firstLineChars="0"/>
              <w:jc w:val="center"/>
              <w:rPr>
                <w:rFonts w:hint="default" w:ascii="Times New Roman" w:hAnsi="Times New Roman" w:eastAsia="宋体" w:cs="Times New Roman"/>
                <w:color w:val="000000"/>
                <w:kern w:val="0"/>
                <w:sz w:val="21"/>
                <w:szCs w:val="21"/>
              </w:rPr>
            </w:pPr>
          </w:p>
        </w:tc>
        <w:tc>
          <w:tcPr>
            <w:tcW w:w="535" w:type="pct"/>
            <w:shd w:val="clear" w:color="auto" w:fill="auto"/>
            <w:noWrap/>
            <w:vAlign w:val="center"/>
          </w:tcPr>
          <w:p w14:paraId="0FC13A64">
            <w:pPr>
              <w:widowControl/>
              <w:jc w:val="left"/>
              <w:rPr>
                <w:rFonts w:hint="default" w:ascii="Times New Roman" w:hAnsi="Times New Roman" w:eastAsia="宋体" w:cs="Times New Roman"/>
                <w:color w:val="000000"/>
                <w:kern w:val="0"/>
                <w:sz w:val="21"/>
                <w:szCs w:val="21"/>
                <w:lang w:val="en-US" w:eastAsia="zh-CN" w:bidi="ar-SA"/>
              </w:rPr>
            </w:pPr>
            <w:r>
              <w:rPr>
                <w:rFonts w:hint="eastAsia" w:cs="Times New Roman"/>
                <w:color w:val="000000"/>
                <w:kern w:val="0"/>
                <w:sz w:val="21"/>
                <w:szCs w:val="21"/>
                <w:lang w:val="en-US" w:eastAsia="zh-CN" w:bidi="ar-SA"/>
              </w:rPr>
              <w:t>6.2.2检出限</w:t>
            </w:r>
          </w:p>
        </w:tc>
        <w:tc>
          <w:tcPr>
            <w:tcW w:w="2311" w:type="pct"/>
            <w:shd w:val="clear" w:color="auto" w:fill="auto"/>
            <w:noWrap/>
            <w:vAlign w:val="center"/>
          </w:tcPr>
          <w:p w14:paraId="163F66ED">
            <w:pPr>
              <w:widowControl/>
              <w:jc w:val="left"/>
              <w:rPr>
                <w:rFonts w:hint="default" w:ascii="Times New Roman" w:hAnsi="Times New Roman" w:eastAsia="宋体" w:cs="Times New Roman"/>
                <w:color w:val="000000"/>
                <w:kern w:val="0"/>
                <w:sz w:val="21"/>
                <w:szCs w:val="21"/>
                <w:lang w:val="en-US" w:eastAsia="zh-CN" w:bidi="ar-SA"/>
              </w:rPr>
            </w:pPr>
            <w:r>
              <w:rPr>
                <w:rFonts w:hint="eastAsia" w:cs="Times New Roman"/>
                <w:color w:val="000000"/>
                <w:kern w:val="0"/>
                <w:sz w:val="21"/>
                <w:szCs w:val="21"/>
                <w:lang w:val="en-US" w:eastAsia="zh-CN" w:bidi="ar-SA"/>
              </w:rPr>
              <w:t>检出限公式格式错误，用公式编辑器编辑</w:t>
            </w:r>
          </w:p>
        </w:tc>
        <w:tc>
          <w:tcPr>
            <w:tcW w:w="736" w:type="pct"/>
            <w:shd w:val="clear" w:color="auto" w:fill="auto"/>
            <w:noWrap/>
            <w:vAlign w:val="center"/>
          </w:tcPr>
          <w:p w14:paraId="7EDC5E1A">
            <w:pPr>
              <w:widowControl/>
              <w:jc w:val="left"/>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大冶有色金属</w:t>
            </w:r>
          </w:p>
        </w:tc>
        <w:tc>
          <w:tcPr>
            <w:tcW w:w="979" w:type="pct"/>
            <w:shd w:val="clear" w:color="auto" w:fill="auto"/>
            <w:noWrap/>
            <w:vAlign w:val="center"/>
          </w:tcPr>
          <w:p w14:paraId="4686062A">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采纳</w:t>
            </w:r>
          </w:p>
        </w:tc>
      </w:tr>
      <w:tr w14:paraId="5D34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2ABD65FB">
            <w:pPr>
              <w:pStyle w:val="22"/>
              <w:widowControl/>
              <w:numPr>
                <w:ilvl w:val="0"/>
                <w:numId w:val="12"/>
              </w:numPr>
              <w:ind w:firstLineChars="0"/>
              <w:jc w:val="center"/>
              <w:rPr>
                <w:rFonts w:hint="default" w:ascii="Times New Roman" w:hAnsi="Times New Roman" w:eastAsia="宋体" w:cs="Times New Roman"/>
                <w:color w:val="000000"/>
                <w:kern w:val="0"/>
                <w:sz w:val="21"/>
                <w:szCs w:val="21"/>
              </w:rPr>
            </w:pPr>
          </w:p>
        </w:tc>
        <w:tc>
          <w:tcPr>
            <w:tcW w:w="535" w:type="pct"/>
            <w:shd w:val="clear" w:color="auto" w:fill="auto"/>
            <w:noWrap/>
            <w:vAlign w:val="center"/>
          </w:tcPr>
          <w:p w14:paraId="5807CD12">
            <w:pPr>
              <w:widowControl/>
              <w:jc w:val="left"/>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6.2.3示值误差</w:t>
            </w:r>
          </w:p>
        </w:tc>
        <w:tc>
          <w:tcPr>
            <w:tcW w:w="2311" w:type="pct"/>
            <w:shd w:val="clear" w:color="auto" w:fill="auto"/>
            <w:noWrap/>
            <w:vAlign w:val="center"/>
          </w:tcPr>
          <w:p w14:paraId="66F0C95D">
            <w:pPr>
              <w:widowControl/>
              <w:jc w:val="left"/>
              <w:rPr>
                <w:rFonts w:hint="default" w:ascii="Times New Roman" w:hAnsi="Times New Roman" w:eastAsia="宋体" w:cs="Times New Roman"/>
                <w:kern w:val="0"/>
                <w:sz w:val="21"/>
                <w:szCs w:val="21"/>
                <w:highlight w:val="none"/>
                <w:vertAlign w:val="baseline"/>
                <w:lang w:val="en-US" w:eastAsia="zh-CN" w:bidi="ar-SA"/>
              </w:rPr>
            </w:pPr>
            <w:r>
              <w:rPr>
                <w:rFonts w:hint="eastAsia" w:cs="Times New Roman"/>
                <w:color w:val="000000"/>
                <w:kern w:val="0"/>
                <w:sz w:val="21"/>
                <w:szCs w:val="21"/>
                <w:lang w:val="en-US" w:eastAsia="zh-CN" w:bidi="ar-SA"/>
              </w:rPr>
              <w:t>明确</w:t>
            </w:r>
            <w:r>
              <w:rPr>
                <w:rFonts w:hint="default" w:cs="Times New Roman"/>
                <w:color w:val="000000"/>
                <w:kern w:val="0"/>
                <w:sz w:val="21"/>
                <w:szCs w:val="21"/>
                <w:lang w:val="en-US" w:eastAsia="zh-CN" w:bidi="ar-SA"/>
              </w:rPr>
              <w:t>高、中、低含量的标准物质</w:t>
            </w:r>
            <w:r>
              <w:rPr>
                <w:rFonts w:hint="eastAsia" w:cs="Times New Roman"/>
                <w:color w:val="000000"/>
                <w:kern w:val="0"/>
                <w:sz w:val="21"/>
                <w:szCs w:val="21"/>
                <w:lang w:val="en-US" w:eastAsia="zh-CN" w:bidi="ar-SA"/>
              </w:rPr>
              <w:t>的范围</w:t>
            </w:r>
          </w:p>
        </w:tc>
        <w:tc>
          <w:tcPr>
            <w:tcW w:w="736" w:type="pct"/>
            <w:shd w:val="clear" w:color="auto" w:fill="auto"/>
            <w:noWrap/>
            <w:vAlign w:val="center"/>
          </w:tcPr>
          <w:p w14:paraId="583BE760">
            <w:pPr>
              <w:widowControl/>
              <w:jc w:val="left"/>
              <w:rPr>
                <w:rFonts w:hint="default" w:ascii="Times New Roman" w:hAnsi="Times New Roman" w:eastAsia="宋体" w:cs="Times New Roman"/>
                <w:color w:val="000000"/>
                <w:kern w:val="0"/>
                <w:sz w:val="21"/>
                <w:szCs w:val="21"/>
                <w:lang w:val="en-US"/>
              </w:rPr>
            </w:pPr>
            <w:r>
              <w:rPr>
                <w:rFonts w:hint="eastAsia" w:ascii="宋体" w:hAnsi="宋体" w:cs="宋体"/>
                <w:color w:val="000000"/>
                <w:kern w:val="0"/>
                <w:szCs w:val="21"/>
              </w:rPr>
              <w:t>有色技经院</w:t>
            </w:r>
          </w:p>
        </w:tc>
        <w:tc>
          <w:tcPr>
            <w:tcW w:w="979" w:type="pct"/>
            <w:shd w:val="clear" w:color="auto" w:fill="auto"/>
            <w:noWrap/>
            <w:vAlign w:val="center"/>
          </w:tcPr>
          <w:p w14:paraId="69D8D34E">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采纳</w:t>
            </w:r>
          </w:p>
        </w:tc>
      </w:tr>
      <w:tr w14:paraId="4107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68705BCA">
            <w:pPr>
              <w:pStyle w:val="22"/>
              <w:widowControl/>
              <w:numPr>
                <w:ilvl w:val="0"/>
                <w:numId w:val="12"/>
              </w:numPr>
              <w:ind w:firstLineChars="0"/>
              <w:jc w:val="center"/>
              <w:rPr>
                <w:rFonts w:hint="default" w:ascii="Times New Roman" w:hAnsi="Times New Roman" w:eastAsia="宋体" w:cs="Times New Roman"/>
                <w:color w:val="000000"/>
                <w:kern w:val="0"/>
                <w:sz w:val="21"/>
                <w:szCs w:val="21"/>
              </w:rPr>
            </w:pPr>
          </w:p>
        </w:tc>
        <w:tc>
          <w:tcPr>
            <w:tcW w:w="535" w:type="pct"/>
            <w:shd w:val="clear" w:color="auto" w:fill="auto"/>
            <w:noWrap/>
            <w:vAlign w:val="center"/>
          </w:tcPr>
          <w:p w14:paraId="378947B1">
            <w:pPr>
              <w:widowControl/>
              <w:jc w:val="left"/>
              <w:rPr>
                <w:rFonts w:hint="default" w:ascii="Times New Roman" w:hAnsi="Times New Roman" w:eastAsia="宋体" w:cs="Times New Roman"/>
                <w:color w:val="000000"/>
                <w:kern w:val="0"/>
                <w:sz w:val="21"/>
                <w:szCs w:val="21"/>
                <w:lang w:val="en-US" w:eastAsia="zh-CN" w:bidi="ar-SA"/>
              </w:rPr>
            </w:pPr>
            <w:r>
              <w:rPr>
                <w:rFonts w:hint="eastAsia" w:cs="Times New Roman"/>
                <w:color w:val="000000"/>
                <w:kern w:val="0"/>
                <w:sz w:val="21"/>
                <w:szCs w:val="21"/>
                <w:lang w:val="en-US" w:eastAsia="zh-CN"/>
              </w:rPr>
              <w:t>附录A</w:t>
            </w:r>
          </w:p>
        </w:tc>
        <w:tc>
          <w:tcPr>
            <w:tcW w:w="2311" w:type="pct"/>
            <w:shd w:val="clear" w:color="auto" w:fill="auto"/>
            <w:noWrap/>
            <w:vAlign w:val="center"/>
          </w:tcPr>
          <w:p w14:paraId="7839C345">
            <w:pPr>
              <w:widowControl/>
              <w:numPr>
                <w:ilvl w:val="0"/>
                <w:numId w:val="0"/>
              </w:numPr>
              <w:ind w:left="0" w:leftChars="0" w:firstLine="0" w:firstLineChars="0"/>
              <w:jc w:val="left"/>
              <w:rPr>
                <w:rFonts w:hint="default" w:ascii="Times New Roman" w:hAnsi="Times New Roman" w:eastAsia="宋体" w:cs="Times New Roman"/>
                <w:kern w:val="0"/>
                <w:sz w:val="21"/>
                <w:szCs w:val="21"/>
                <w:highlight w:val="none"/>
                <w:vertAlign w:val="baseline"/>
                <w:lang w:val="en-US" w:eastAsia="zh-CN" w:bidi="ar-SA"/>
              </w:rPr>
            </w:pPr>
            <w:r>
              <w:rPr>
                <w:szCs w:val="21"/>
              </w:rPr>
              <w:t>标准偏差</w:t>
            </w:r>
            <w:r>
              <w:rPr>
                <w:rFonts w:hint="eastAsia"/>
                <w:szCs w:val="21"/>
                <w:lang w:val="en-US" w:eastAsia="zh-CN"/>
              </w:rPr>
              <w:t>(</w:t>
            </w:r>
            <w:r>
              <w:rPr>
                <w:i/>
                <w:iCs/>
                <w:szCs w:val="21"/>
              </w:rPr>
              <w:t>s</w:t>
            </w:r>
            <w:r>
              <w:rPr>
                <w:rFonts w:hint="eastAsia"/>
                <w:i w:val="0"/>
                <w:iCs w:val="0"/>
                <w:szCs w:val="21"/>
                <w:lang w:val="en-US" w:eastAsia="zh-CN"/>
              </w:rPr>
              <w:t>)去掉括号</w:t>
            </w:r>
          </w:p>
        </w:tc>
        <w:tc>
          <w:tcPr>
            <w:tcW w:w="736" w:type="pct"/>
            <w:shd w:val="clear" w:color="auto" w:fill="auto"/>
            <w:noWrap/>
            <w:vAlign w:val="center"/>
          </w:tcPr>
          <w:p w14:paraId="4D786159">
            <w:pPr>
              <w:widowControl/>
              <w:jc w:val="left"/>
              <w:rPr>
                <w:rFonts w:hint="default" w:ascii="Times New Roman" w:hAnsi="Times New Roman" w:eastAsia="宋体" w:cs="Times New Roman"/>
                <w:color w:val="000000"/>
                <w:kern w:val="0"/>
                <w:sz w:val="21"/>
                <w:szCs w:val="21"/>
              </w:rPr>
            </w:pPr>
            <w:r>
              <w:rPr>
                <w:rFonts w:hint="eastAsia" w:cs="Times New Roman"/>
                <w:color w:val="000000"/>
                <w:kern w:val="0"/>
                <w:sz w:val="21"/>
                <w:szCs w:val="21"/>
                <w:lang w:val="en-US" w:eastAsia="zh-CN"/>
              </w:rPr>
              <w:t>大冶有色金属</w:t>
            </w:r>
          </w:p>
        </w:tc>
        <w:tc>
          <w:tcPr>
            <w:tcW w:w="979" w:type="pct"/>
            <w:shd w:val="clear" w:color="auto" w:fill="auto"/>
            <w:noWrap/>
            <w:vAlign w:val="center"/>
          </w:tcPr>
          <w:p w14:paraId="1642C3EA">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采纳</w:t>
            </w:r>
          </w:p>
        </w:tc>
      </w:tr>
      <w:tr w14:paraId="6FC0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51433F94">
            <w:pPr>
              <w:pStyle w:val="22"/>
              <w:widowControl/>
              <w:numPr>
                <w:ilvl w:val="0"/>
                <w:numId w:val="12"/>
              </w:numPr>
              <w:ind w:firstLineChars="0"/>
              <w:jc w:val="center"/>
              <w:rPr>
                <w:rFonts w:hint="default" w:ascii="Times New Roman" w:hAnsi="Times New Roman" w:eastAsia="宋体" w:cs="Times New Roman"/>
                <w:color w:val="000000"/>
                <w:kern w:val="0"/>
                <w:sz w:val="21"/>
                <w:szCs w:val="21"/>
                <w:lang w:val="en-US" w:eastAsia="zh-CN" w:bidi="ar-SA"/>
              </w:rPr>
            </w:pPr>
          </w:p>
        </w:tc>
        <w:tc>
          <w:tcPr>
            <w:tcW w:w="535" w:type="pct"/>
            <w:shd w:val="clear" w:color="auto" w:fill="auto"/>
            <w:noWrap/>
            <w:vAlign w:val="center"/>
          </w:tcPr>
          <w:p w14:paraId="70362C11">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rPr>
              <w:t>C.1.3 被校对象</w:t>
            </w:r>
          </w:p>
        </w:tc>
        <w:tc>
          <w:tcPr>
            <w:tcW w:w="2311" w:type="pct"/>
            <w:shd w:val="clear" w:color="auto" w:fill="auto"/>
            <w:noWrap/>
            <w:vAlign w:val="center"/>
          </w:tcPr>
          <w:p w14:paraId="7035453E">
            <w:pPr>
              <w:widowControl/>
              <w:jc w:val="left"/>
              <w:rPr>
                <w:rFonts w:hint="default" w:ascii="Times New Roman" w:hAnsi="Times New Roman" w:eastAsia="宋体" w:cs="Times New Roman"/>
                <w:color w:val="000000"/>
                <w:kern w:val="0"/>
                <w:sz w:val="21"/>
                <w:szCs w:val="21"/>
                <w:lang w:val="en-US" w:eastAsia="zh-CN" w:bidi="ar-SA"/>
              </w:rPr>
            </w:pPr>
            <w:r>
              <w:rPr>
                <w:rFonts w:hint="eastAsia" w:cs="Times New Roman"/>
                <w:color w:val="000000"/>
                <w:kern w:val="0"/>
                <w:sz w:val="21"/>
                <w:szCs w:val="21"/>
                <w:lang w:val="en-US" w:eastAsia="zh-CN"/>
              </w:rPr>
              <w:t>补充设备信息，型号编号</w:t>
            </w:r>
          </w:p>
        </w:tc>
        <w:tc>
          <w:tcPr>
            <w:tcW w:w="736" w:type="pct"/>
            <w:shd w:val="clear" w:color="auto" w:fill="auto"/>
            <w:noWrap/>
            <w:vAlign w:val="center"/>
          </w:tcPr>
          <w:p w14:paraId="16A96956">
            <w:pPr>
              <w:widowControl/>
              <w:jc w:val="left"/>
              <w:rPr>
                <w:rFonts w:hint="default" w:ascii="Times New Roman" w:hAnsi="Times New Roman" w:eastAsia="宋体" w:cs="Times New Roman"/>
                <w:color w:val="000000"/>
                <w:kern w:val="0"/>
                <w:sz w:val="21"/>
                <w:szCs w:val="21"/>
                <w:lang w:val="en-US" w:eastAsia="zh-CN" w:bidi="ar-SA"/>
              </w:rPr>
            </w:pPr>
            <w:r>
              <w:rPr>
                <w:rFonts w:hint="eastAsia" w:cs="Times New Roman"/>
                <w:color w:val="000000"/>
                <w:kern w:val="0"/>
                <w:sz w:val="21"/>
                <w:szCs w:val="21"/>
                <w:lang w:val="en-US" w:eastAsia="zh-CN" w:bidi="ar-SA"/>
              </w:rPr>
              <w:t>四川六合</w:t>
            </w:r>
          </w:p>
        </w:tc>
        <w:tc>
          <w:tcPr>
            <w:tcW w:w="979" w:type="pct"/>
            <w:shd w:val="clear" w:color="auto" w:fill="auto"/>
            <w:noWrap/>
            <w:vAlign w:val="center"/>
          </w:tcPr>
          <w:p w14:paraId="5CB9B4AD">
            <w:pPr>
              <w:widowControl/>
              <w:jc w:val="left"/>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采纳</w:t>
            </w:r>
          </w:p>
        </w:tc>
      </w:tr>
      <w:tr w14:paraId="4905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7" w:type="pct"/>
            <w:shd w:val="clear" w:color="auto" w:fill="auto"/>
            <w:noWrap/>
            <w:vAlign w:val="center"/>
          </w:tcPr>
          <w:p w14:paraId="7892F104">
            <w:pPr>
              <w:pStyle w:val="22"/>
              <w:widowControl/>
              <w:numPr>
                <w:ilvl w:val="0"/>
                <w:numId w:val="12"/>
              </w:numPr>
              <w:ind w:firstLineChars="0"/>
              <w:jc w:val="center"/>
              <w:rPr>
                <w:rFonts w:hint="default" w:ascii="Times New Roman" w:hAnsi="Times New Roman" w:eastAsia="宋体" w:cs="Times New Roman"/>
                <w:color w:val="000000"/>
                <w:kern w:val="0"/>
                <w:sz w:val="21"/>
                <w:szCs w:val="21"/>
              </w:rPr>
            </w:pPr>
          </w:p>
        </w:tc>
        <w:tc>
          <w:tcPr>
            <w:tcW w:w="535" w:type="pct"/>
            <w:shd w:val="clear" w:color="auto" w:fill="auto"/>
            <w:noWrap/>
            <w:vAlign w:val="center"/>
          </w:tcPr>
          <w:p w14:paraId="5DB29706">
            <w:pPr>
              <w:widowControl/>
              <w:jc w:val="left"/>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C.3 测量不确定度的来源分析</w:t>
            </w:r>
          </w:p>
        </w:tc>
        <w:tc>
          <w:tcPr>
            <w:tcW w:w="2311" w:type="pct"/>
            <w:shd w:val="clear" w:color="auto" w:fill="auto"/>
            <w:noWrap/>
            <w:vAlign w:val="center"/>
          </w:tcPr>
          <w:p w14:paraId="72375164">
            <w:pPr>
              <w:widowControl/>
              <w:jc w:val="left"/>
              <w:rPr>
                <w:rFonts w:hint="default" w:ascii="Times New Roman" w:hAnsi="Times New Roman" w:eastAsia="宋体" w:cs="Times New Roman"/>
                <w:color w:val="000000"/>
                <w:kern w:val="0"/>
                <w:sz w:val="21"/>
                <w:szCs w:val="21"/>
                <w:lang w:val="en-US" w:eastAsia="zh-CN"/>
              </w:rPr>
            </w:pPr>
            <w:r>
              <w:rPr>
                <w:rFonts w:hint="eastAsia" w:cs="Times New Roman"/>
                <w:color w:val="000000"/>
                <w:kern w:val="0"/>
                <w:sz w:val="21"/>
                <w:szCs w:val="21"/>
                <w:lang w:val="en-US" w:eastAsia="zh-CN"/>
              </w:rPr>
              <w:t>增加仪器分辨力引入的不确定度分量</w:t>
            </w:r>
          </w:p>
        </w:tc>
        <w:tc>
          <w:tcPr>
            <w:tcW w:w="736" w:type="pct"/>
            <w:shd w:val="clear" w:color="auto" w:fill="auto"/>
            <w:noWrap/>
            <w:vAlign w:val="center"/>
          </w:tcPr>
          <w:p w14:paraId="48B39C93">
            <w:pPr>
              <w:widowControl/>
              <w:jc w:val="left"/>
              <w:rPr>
                <w:rFonts w:hint="default" w:ascii="Times New Roman" w:hAnsi="Times New Roman" w:eastAsia="宋体" w:cs="Times New Roman"/>
                <w:color w:val="000000"/>
                <w:kern w:val="0"/>
                <w:sz w:val="21"/>
                <w:szCs w:val="21"/>
              </w:rPr>
            </w:pPr>
            <w:r>
              <w:rPr>
                <w:rFonts w:hint="eastAsia" w:ascii="宋体" w:hAnsi="宋体" w:cs="宋体"/>
                <w:color w:val="000000"/>
                <w:kern w:val="0"/>
                <w:szCs w:val="21"/>
              </w:rPr>
              <w:t>有色技经院</w:t>
            </w:r>
          </w:p>
        </w:tc>
        <w:tc>
          <w:tcPr>
            <w:tcW w:w="979" w:type="pct"/>
            <w:shd w:val="clear" w:color="auto" w:fill="auto"/>
            <w:noWrap/>
            <w:vAlign w:val="center"/>
          </w:tcPr>
          <w:p w14:paraId="30ED6237">
            <w:pPr>
              <w:widowControl/>
              <w:jc w:val="lef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采纳</w:t>
            </w:r>
          </w:p>
        </w:tc>
      </w:tr>
      <w:bookmarkEnd w:id="11"/>
    </w:tbl>
    <w:p w14:paraId="6ACCC9AE">
      <w:pPr>
        <w:spacing w:line="240" w:lineRule="auto"/>
        <w:ind w:firstLine="0" w:firstLineChars="0"/>
        <w:jc w:val="center"/>
        <w:rPr>
          <w:rFonts w:hint="eastAsia" w:ascii="黑体" w:hAnsi="黑体" w:eastAsia="黑体" w:cs="黑体"/>
          <w:kern w:val="0"/>
          <w:szCs w:val="21"/>
          <w:highlight w:val="none"/>
        </w:rPr>
      </w:pPr>
    </w:p>
    <w:p w14:paraId="6EC96A0B">
      <w:pPr>
        <w:spacing w:line="240" w:lineRule="auto"/>
        <w:ind w:firstLine="0" w:firstLineChars="0"/>
        <w:jc w:val="center"/>
        <w:rPr>
          <w:rFonts w:hint="eastAsia" w:ascii="黑体" w:hAnsi="黑体" w:eastAsia="黑体" w:cs="黑体"/>
          <w:kern w:val="0"/>
          <w:szCs w:val="21"/>
          <w:highlight w:val="none"/>
        </w:rPr>
      </w:pPr>
      <w:r>
        <w:rPr>
          <w:rFonts w:hint="eastAsia" w:ascii="黑体" w:hAnsi="黑体" w:eastAsia="黑体" w:cs="黑体"/>
          <w:kern w:val="0"/>
          <w:szCs w:val="21"/>
          <w:highlight w:val="none"/>
        </w:rPr>
        <w:t>表</w:t>
      </w:r>
      <w:r>
        <w:rPr>
          <w:rFonts w:hint="eastAsia" w:ascii="黑体" w:hAnsi="黑体" w:eastAsia="黑体" w:cs="黑体"/>
          <w:kern w:val="0"/>
          <w:szCs w:val="21"/>
          <w:highlight w:val="none"/>
          <w:lang w:val="en-US" w:eastAsia="zh-CN"/>
        </w:rPr>
        <w:t>3</w:t>
      </w:r>
      <w:r>
        <w:rPr>
          <w:rFonts w:hint="eastAsia" w:ascii="黑体" w:hAnsi="黑体" w:eastAsia="黑体" w:cs="黑体"/>
          <w:kern w:val="0"/>
          <w:szCs w:val="21"/>
          <w:highlight w:val="none"/>
        </w:rPr>
        <w:t>《</w:t>
      </w:r>
      <w:r>
        <w:rPr>
          <w:rFonts w:hint="eastAsia" w:ascii="黑体" w:hAnsi="黑体" w:eastAsia="黑体" w:cs="黑体"/>
          <w:kern w:val="0"/>
          <w:sz w:val="21"/>
          <w:szCs w:val="21"/>
          <w:highlight w:val="none"/>
          <w:lang w:val="en-US" w:eastAsia="zh-CN"/>
        </w:rPr>
        <w:t>有色金属材料分析用火花放电原子发射光谱仪校准规范</w:t>
      </w:r>
      <w:r>
        <w:rPr>
          <w:rFonts w:hint="eastAsia" w:ascii="黑体" w:hAnsi="黑体" w:eastAsia="黑体" w:cs="黑体"/>
          <w:kern w:val="0"/>
          <w:szCs w:val="21"/>
          <w:highlight w:val="none"/>
        </w:rPr>
        <w:t>-讨论稿》工作安排</w:t>
      </w:r>
    </w:p>
    <w:tbl>
      <w:tblPr>
        <w:tblStyle w:val="42"/>
        <w:tblW w:w="4961" w:type="pct"/>
        <w:jc w:val="center"/>
        <w:tblLayout w:type="fixed"/>
        <w:tblCellMar>
          <w:top w:w="0" w:type="dxa"/>
          <w:left w:w="108" w:type="dxa"/>
          <w:bottom w:w="0" w:type="dxa"/>
          <w:right w:w="108" w:type="dxa"/>
        </w:tblCellMar>
      </w:tblPr>
      <w:tblGrid>
        <w:gridCol w:w="1878"/>
        <w:gridCol w:w="7620"/>
      </w:tblGrid>
      <w:tr w14:paraId="2C614C43">
        <w:tblPrEx>
          <w:tblCellMar>
            <w:top w:w="0" w:type="dxa"/>
            <w:left w:w="108" w:type="dxa"/>
            <w:bottom w:w="0" w:type="dxa"/>
            <w:right w:w="108" w:type="dxa"/>
          </w:tblCellMar>
        </w:tblPrEx>
        <w:trPr>
          <w:trHeight w:val="1698" w:hRule="atLeast"/>
          <w:jc w:val="center"/>
        </w:trPr>
        <w:tc>
          <w:tcPr>
            <w:tcW w:w="1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A4A54">
            <w:pPr>
              <w:spacing w:line="360" w:lineRule="auto"/>
            </w:pPr>
            <w:r>
              <w:rPr>
                <w:rFonts w:hint="eastAsia"/>
              </w:rPr>
              <w:t>拟参与编制单位</w:t>
            </w:r>
          </w:p>
        </w:tc>
        <w:tc>
          <w:tcPr>
            <w:tcW w:w="7620" w:type="dxa"/>
            <w:tcBorders>
              <w:top w:val="single" w:color="auto" w:sz="4" w:space="0"/>
              <w:left w:val="nil"/>
              <w:bottom w:val="single" w:color="auto" w:sz="4" w:space="0"/>
              <w:right w:val="single" w:color="auto" w:sz="4" w:space="0"/>
            </w:tcBorders>
            <w:shd w:val="clear" w:color="auto" w:fill="auto"/>
            <w:noWrap/>
            <w:vAlign w:val="center"/>
          </w:tcPr>
          <w:p w14:paraId="4B5351E8">
            <w:pPr>
              <w:widowControl/>
              <w:autoSpaceDE/>
              <w:autoSpaceDN/>
              <w:spacing w:line="240" w:lineRule="auto"/>
              <w:jc w:val="left"/>
              <w:rPr>
                <w:rFonts w:hint="default" w:eastAsia="宋体"/>
                <w:lang w:val="en-US" w:eastAsia="zh-CN"/>
              </w:rPr>
            </w:pPr>
            <w:r>
              <w:rPr>
                <w:rFonts w:hint="eastAsia"/>
                <w:b w:val="0"/>
                <w:bCs w:val="0"/>
                <w:color w:val="000000"/>
                <w:kern w:val="0"/>
                <w:sz w:val="21"/>
                <w:szCs w:val="21"/>
                <w:lang w:eastAsia="zh-CN"/>
              </w:rPr>
              <w:t>铝洛阳铜</w:t>
            </w:r>
            <w:r>
              <w:rPr>
                <w:rFonts w:hint="eastAsia"/>
                <w:b w:val="0"/>
                <w:bCs w:val="0"/>
                <w:color w:val="000000"/>
                <w:kern w:val="0"/>
                <w:sz w:val="21"/>
                <w:szCs w:val="21"/>
                <w:lang w:val="en-US" w:eastAsia="zh-CN"/>
              </w:rPr>
              <w:t>业检测技术有限公司</w:t>
            </w:r>
            <w:r>
              <w:rPr>
                <w:rFonts w:hint="eastAsia"/>
                <w:b w:val="0"/>
                <w:bCs w:val="0"/>
                <w:color w:val="000000"/>
                <w:kern w:val="0"/>
                <w:sz w:val="21"/>
                <w:szCs w:val="21"/>
                <w:lang w:eastAsia="zh-CN"/>
              </w:rPr>
              <w:t>、</w:t>
            </w:r>
            <w:r>
              <w:rPr>
                <w:rFonts w:hint="eastAsia"/>
                <w:b w:val="0"/>
                <w:bCs w:val="0"/>
                <w:color w:val="000000"/>
                <w:kern w:val="0"/>
                <w:sz w:val="21"/>
                <w:szCs w:val="21"/>
                <w:highlight w:val="none"/>
                <w:lang w:val="en-US" w:eastAsia="zh-CN"/>
              </w:rPr>
              <w:t>酒泉钢铁（集团）有限责任公司</w:t>
            </w:r>
            <w:r>
              <w:rPr>
                <w:rFonts w:hint="eastAsia" w:ascii="宋体" w:hAnsi="宋体" w:cs="宋体"/>
                <w:b w:val="0"/>
                <w:bCs w:val="0"/>
                <w:color w:val="auto"/>
                <w:kern w:val="2"/>
                <w:sz w:val="21"/>
                <w:szCs w:val="21"/>
                <w:lang w:val="en-US" w:eastAsia="zh-CN"/>
              </w:rPr>
              <w:t>检验检测中心</w:t>
            </w:r>
            <w:r>
              <w:rPr>
                <w:rFonts w:hint="eastAsia"/>
                <w:b w:val="0"/>
                <w:bCs w:val="0"/>
                <w:color w:val="000000"/>
                <w:kern w:val="0"/>
                <w:sz w:val="21"/>
                <w:szCs w:val="21"/>
                <w:highlight w:val="none"/>
                <w:lang w:val="en-US" w:eastAsia="zh-CN"/>
              </w:rPr>
              <w:t>、</w:t>
            </w:r>
            <w:r>
              <w:rPr>
                <w:rFonts w:hint="eastAsia"/>
                <w:b w:val="0"/>
                <w:bCs w:val="0"/>
                <w:color w:val="000000"/>
                <w:kern w:val="0"/>
                <w:sz w:val="21"/>
                <w:szCs w:val="21"/>
                <w:lang w:eastAsia="zh-CN"/>
              </w:rPr>
              <w:t>有色金属技术经济研究院有限责任公司、</w:t>
            </w:r>
            <w:r>
              <w:rPr>
                <w:rFonts w:hint="eastAsia" w:ascii="Times New Roman" w:hAnsi="Times New Roman"/>
                <w:color w:val="000000"/>
                <w:kern w:val="0"/>
                <w:sz w:val="21"/>
                <w:szCs w:val="21"/>
                <w:highlight w:val="none"/>
              </w:rPr>
              <w:t>中铝材料应用研究院有限公司</w:t>
            </w:r>
            <w:r>
              <w:rPr>
                <w:rFonts w:hint="eastAsia"/>
                <w:b w:val="0"/>
                <w:bCs w:val="0"/>
                <w:color w:val="000000"/>
                <w:kern w:val="0"/>
                <w:sz w:val="21"/>
                <w:szCs w:val="21"/>
                <w:highlight w:val="none"/>
                <w:lang w:val="en-US" w:eastAsia="zh-CN"/>
              </w:rPr>
              <w:t>、</w:t>
            </w:r>
            <w:r>
              <w:rPr>
                <w:rFonts w:hint="eastAsia" w:ascii="Times New Roman" w:hAnsi="Times New Roman" w:eastAsia="宋体" w:cs="Times New Roman"/>
                <w:b w:val="0"/>
                <w:bCs w:val="0"/>
                <w:color w:val="000000"/>
                <w:kern w:val="0"/>
                <w:sz w:val="21"/>
                <w:szCs w:val="21"/>
                <w:highlight w:val="none"/>
                <w:lang w:val="en-US" w:eastAsia="zh-CN"/>
              </w:rPr>
              <w:t>上海有色金属工业技术监测中心有限公司</w:t>
            </w:r>
            <w:r>
              <w:rPr>
                <w:rFonts w:hint="eastAsia" w:cs="Times New Roman"/>
                <w:b w:val="0"/>
                <w:bCs w:val="0"/>
                <w:color w:val="000000"/>
                <w:kern w:val="0"/>
                <w:sz w:val="21"/>
                <w:szCs w:val="21"/>
                <w:highlight w:val="none"/>
              </w:rPr>
              <w:t>、</w:t>
            </w:r>
            <w:r>
              <w:rPr>
                <w:rFonts w:hint="eastAsia" w:ascii="Times New Roman" w:hAnsi="Times New Roman" w:eastAsia="宋体" w:cs="Times New Roman"/>
                <w:b w:val="0"/>
                <w:bCs w:val="0"/>
                <w:color w:val="000000"/>
                <w:kern w:val="0"/>
                <w:sz w:val="21"/>
                <w:szCs w:val="21"/>
                <w:highlight w:val="none"/>
                <w:lang w:val="en-US" w:eastAsia="zh-CN"/>
              </w:rPr>
              <w:t>国合通用(重庆)测试评价认证有限公司</w:t>
            </w:r>
            <w:r>
              <w:rPr>
                <w:rFonts w:hint="eastAsia" w:ascii="Times New Roman" w:hAnsi="Times New Roman" w:cs="Times New Roman"/>
                <w:b w:val="0"/>
                <w:bCs w:val="0"/>
                <w:color w:val="000000"/>
                <w:kern w:val="0"/>
                <w:sz w:val="21"/>
                <w:szCs w:val="21"/>
                <w:highlight w:val="none"/>
                <w:lang w:val="en-US" w:eastAsia="zh-CN"/>
              </w:rPr>
              <w:t>、</w:t>
            </w:r>
            <w:r>
              <w:rPr>
                <w:rFonts w:hint="eastAsia"/>
                <w:b w:val="0"/>
                <w:bCs w:val="0"/>
                <w:color w:val="000000"/>
                <w:kern w:val="0"/>
                <w:sz w:val="21"/>
                <w:szCs w:val="21"/>
                <w:highlight w:val="none"/>
                <w:lang w:val="en-US" w:eastAsia="zh-CN"/>
              </w:rPr>
              <w:t>西南铝业(集团)有限责任公司</w:t>
            </w:r>
          </w:p>
        </w:tc>
      </w:tr>
      <w:tr w14:paraId="5E865BBE">
        <w:tblPrEx>
          <w:tblCellMar>
            <w:top w:w="0" w:type="dxa"/>
            <w:left w:w="108" w:type="dxa"/>
            <w:bottom w:w="0" w:type="dxa"/>
            <w:right w:w="108" w:type="dxa"/>
          </w:tblCellMar>
        </w:tblPrEx>
        <w:trPr>
          <w:trHeight w:val="977" w:hRule="atLeast"/>
          <w:jc w:val="center"/>
        </w:trPr>
        <w:tc>
          <w:tcPr>
            <w:tcW w:w="1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7F5CC">
            <w:pPr>
              <w:spacing w:line="360" w:lineRule="auto"/>
            </w:pPr>
            <w:r>
              <w:rPr>
                <w:rFonts w:hint="eastAsia"/>
              </w:rPr>
              <w:t>一验单位</w:t>
            </w:r>
          </w:p>
        </w:tc>
        <w:tc>
          <w:tcPr>
            <w:tcW w:w="7620" w:type="dxa"/>
            <w:tcBorders>
              <w:top w:val="single" w:color="auto" w:sz="4" w:space="0"/>
              <w:left w:val="nil"/>
              <w:bottom w:val="single" w:color="auto" w:sz="4" w:space="0"/>
              <w:right w:val="single" w:color="auto" w:sz="4" w:space="0"/>
            </w:tcBorders>
            <w:shd w:val="clear" w:color="auto" w:fill="auto"/>
            <w:noWrap/>
            <w:vAlign w:val="center"/>
          </w:tcPr>
          <w:p w14:paraId="70453509">
            <w:pPr>
              <w:widowControl/>
              <w:spacing w:line="240" w:lineRule="auto"/>
              <w:jc w:val="left"/>
              <w:rPr>
                <w:rFonts w:hint="default"/>
                <w:highlight w:val="yellow"/>
                <w:lang w:val="en-US"/>
              </w:rPr>
            </w:pPr>
            <w:r>
              <w:rPr>
                <w:rFonts w:hint="eastAsia"/>
                <w:color w:val="000000"/>
                <w:kern w:val="0"/>
                <w:sz w:val="21"/>
                <w:szCs w:val="21"/>
                <w:lang w:val="en-US" w:eastAsia="zh-CN"/>
              </w:rPr>
              <w:t>中铝洛阳铜加工有限公司、酒泉钢铁（集团）有限责任公司</w:t>
            </w:r>
            <w:r>
              <w:rPr>
                <w:rFonts w:hint="eastAsia" w:ascii="宋体" w:hAnsi="宋体" w:cs="宋体"/>
                <w:b w:val="0"/>
                <w:bCs w:val="0"/>
                <w:color w:val="auto"/>
                <w:kern w:val="2"/>
                <w:sz w:val="21"/>
                <w:szCs w:val="21"/>
                <w:lang w:val="en-US" w:eastAsia="zh-CN"/>
              </w:rPr>
              <w:t>检验检测中心</w:t>
            </w:r>
          </w:p>
        </w:tc>
      </w:tr>
      <w:tr w14:paraId="2090D5C2">
        <w:tblPrEx>
          <w:tblCellMar>
            <w:top w:w="0" w:type="dxa"/>
            <w:left w:w="108" w:type="dxa"/>
            <w:bottom w:w="0" w:type="dxa"/>
            <w:right w:w="108" w:type="dxa"/>
          </w:tblCellMar>
        </w:tblPrEx>
        <w:trPr>
          <w:trHeight w:val="677" w:hRule="atLeast"/>
          <w:jc w:val="center"/>
        </w:trPr>
        <w:tc>
          <w:tcPr>
            <w:tcW w:w="1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D55A1">
            <w:pPr>
              <w:spacing w:line="360" w:lineRule="auto"/>
            </w:pPr>
            <w:r>
              <w:rPr>
                <w:rFonts w:hint="eastAsia"/>
              </w:rPr>
              <w:t>二验单位</w:t>
            </w:r>
          </w:p>
        </w:tc>
        <w:tc>
          <w:tcPr>
            <w:tcW w:w="7620" w:type="dxa"/>
            <w:tcBorders>
              <w:top w:val="single" w:color="auto" w:sz="4" w:space="0"/>
              <w:left w:val="nil"/>
              <w:bottom w:val="single" w:color="auto" w:sz="4" w:space="0"/>
              <w:right w:val="single" w:color="auto" w:sz="4" w:space="0"/>
            </w:tcBorders>
            <w:shd w:val="clear" w:color="auto" w:fill="auto"/>
            <w:noWrap/>
            <w:vAlign w:val="center"/>
          </w:tcPr>
          <w:p w14:paraId="33965C88">
            <w:pPr>
              <w:widowControl/>
              <w:spacing w:line="240" w:lineRule="auto"/>
              <w:jc w:val="left"/>
              <w:rPr>
                <w:rFonts w:hint="default"/>
                <w:highlight w:val="yellow"/>
                <w:lang w:val="en-US"/>
              </w:rPr>
            </w:pPr>
            <w:r>
              <w:rPr>
                <w:rFonts w:hint="eastAsia" w:ascii="Times New Roman" w:hAnsi="Times New Roman" w:cs="Times New Roman"/>
                <w:color w:val="000000"/>
                <w:kern w:val="0"/>
                <w:sz w:val="21"/>
                <w:szCs w:val="21"/>
              </w:rPr>
              <w:t>中铝材料应用研究院有限公司</w:t>
            </w:r>
          </w:p>
        </w:tc>
      </w:tr>
      <w:tr w14:paraId="48232A3B">
        <w:tblPrEx>
          <w:tblCellMar>
            <w:top w:w="0" w:type="dxa"/>
            <w:left w:w="108" w:type="dxa"/>
            <w:bottom w:w="0" w:type="dxa"/>
            <w:right w:w="108" w:type="dxa"/>
          </w:tblCellMar>
        </w:tblPrEx>
        <w:trPr>
          <w:trHeight w:val="1007" w:hRule="atLeast"/>
          <w:jc w:val="center"/>
        </w:trPr>
        <w:tc>
          <w:tcPr>
            <w:tcW w:w="18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FE515">
            <w:pPr>
              <w:spacing w:line="360" w:lineRule="auto"/>
            </w:pPr>
            <w:r>
              <w:rPr>
                <w:rFonts w:hint="eastAsia"/>
              </w:rPr>
              <w:t>时间节点安排</w:t>
            </w:r>
          </w:p>
        </w:tc>
        <w:tc>
          <w:tcPr>
            <w:tcW w:w="7620" w:type="dxa"/>
            <w:tcBorders>
              <w:top w:val="single" w:color="auto" w:sz="4" w:space="0"/>
              <w:left w:val="nil"/>
              <w:bottom w:val="single" w:color="auto" w:sz="4" w:space="0"/>
              <w:right w:val="single" w:color="auto" w:sz="4" w:space="0"/>
            </w:tcBorders>
            <w:shd w:val="clear" w:color="auto" w:fill="auto"/>
            <w:noWrap/>
            <w:vAlign w:val="center"/>
          </w:tcPr>
          <w:p w14:paraId="74DD85FB">
            <w:pPr>
              <w:spacing w:line="360" w:lineRule="auto"/>
            </w:pPr>
            <w:r>
              <w:rPr>
                <w:rFonts w:hint="eastAsia"/>
              </w:rPr>
              <w:t>202</w:t>
            </w:r>
            <w:r>
              <w:rPr>
                <w:rFonts w:hint="eastAsia"/>
                <w:lang w:val="en-US" w:eastAsia="zh-CN"/>
              </w:rPr>
              <w:t>5</w:t>
            </w:r>
            <w:r>
              <w:rPr>
                <w:rFonts w:hint="eastAsia"/>
              </w:rPr>
              <w:t>年9月完成试验验证</w:t>
            </w:r>
          </w:p>
        </w:tc>
      </w:tr>
    </w:tbl>
    <w:p w14:paraId="49B7BA08">
      <w:pPr>
        <w:pStyle w:val="59"/>
        <w:spacing w:before="156" w:after="156" w:line="360" w:lineRule="auto"/>
        <w:ind w:firstLine="0" w:firstLineChars="0"/>
        <w:rPr>
          <w:rFonts w:hint="default" w:ascii="黑体" w:hAnsi="Times New Roman" w:eastAsia="黑体" w:cs="Times New Roman"/>
          <w:b w:val="0"/>
          <w:bCs w:val="0"/>
          <w:color w:val="auto"/>
          <w:spacing w:val="-4"/>
          <w:sz w:val="24"/>
          <w:szCs w:val="24"/>
          <w:lang w:val="en-US" w:eastAsia="zh-CN"/>
        </w:rPr>
      </w:pPr>
    </w:p>
    <w:p w14:paraId="1A5840D1">
      <w:pPr>
        <w:pStyle w:val="59"/>
        <w:spacing w:before="156" w:after="156" w:line="360" w:lineRule="auto"/>
        <w:ind w:firstLine="0" w:firstLineChars="0"/>
        <w:rPr>
          <w:rFonts w:hint="default" w:ascii="黑体" w:hAnsi="Times New Roman" w:eastAsia="黑体" w:cs="Times New Roman"/>
          <w:b w:val="0"/>
          <w:bCs w:val="0"/>
          <w:color w:val="auto"/>
          <w:spacing w:val="-4"/>
          <w:sz w:val="24"/>
          <w:szCs w:val="24"/>
          <w:lang w:val="en-US" w:eastAsia="zh-CN"/>
        </w:rPr>
      </w:pPr>
      <w:r>
        <w:rPr>
          <w:rFonts w:hint="default" w:ascii="黑体" w:hAnsi="Times New Roman" w:eastAsia="黑体" w:cs="Times New Roman"/>
          <w:b w:val="0"/>
          <w:bCs w:val="0"/>
          <w:color w:val="auto"/>
          <w:spacing w:val="-4"/>
          <w:sz w:val="24"/>
          <w:szCs w:val="24"/>
          <w:lang w:val="en-US" w:eastAsia="zh-CN"/>
        </w:rPr>
        <w:t>4.3.2 任务预审会</w:t>
      </w:r>
    </w:p>
    <w:p w14:paraId="64118B62">
      <w:pPr>
        <w:spacing w:line="400" w:lineRule="exact"/>
        <w:ind w:firstLine="480" w:firstLineChars="200"/>
        <w:rPr>
          <w:rFonts w:hint="eastAsia" w:ascii="Times New Roman" w:hAnsi="Times New Roman" w:cs="Times New Roman"/>
          <w:sz w:val="24"/>
          <w:szCs w:val="24"/>
        </w:rPr>
      </w:pPr>
      <w:r>
        <w:rPr>
          <w:rFonts w:hint="default"/>
          <w:bCs w:val="0"/>
          <w:color w:val="auto"/>
          <w:sz w:val="24"/>
          <w:szCs w:val="24"/>
        </w:rPr>
        <w:t>202</w:t>
      </w:r>
      <w:r>
        <w:rPr>
          <w:rFonts w:hint="eastAsia"/>
          <w:bCs w:val="0"/>
          <w:color w:val="auto"/>
          <w:sz w:val="24"/>
          <w:szCs w:val="24"/>
          <w:lang w:val="en-US" w:eastAsia="zh-CN"/>
        </w:rPr>
        <w:t>5</w:t>
      </w:r>
      <w:r>
        <w:rPr>
          <w:rFonts w:hint="default"/>
          <w:bCs w:val="0"/>
          <w:color w:val="auto"/>
          <w:sz w:val="24"/>
          <w:szCs w:val="24"/>
        </w:rPr>
        <w:t>年</w:t>
      </w:r>
      <w:r>
        <w:rPr>
          <w:rFonts w:hint="eastAsia"/>
          <w:bCs w:val="0"/>
          <w:color w:val="auto"/>
          <w:sz w:val="24"/>
          <w:szCs w:val="24"/>
          <w:lang w:val="en-US" w:eastAsia="zh-CN"/>
        </w:rPr>
        <w:t>9</w:t>
      </w:r>
      <w:r>
        <w:rPr>
          <w:rFonts w:hint="default"/>
          <w:bCs w:val="0"/>
          <w:color w:val="auto"/>
          <w:sz w:val="24"/>
          <w:szCs w:val="24"/>
        </w:rPr>
        <w:t>月2</w:t>
      </w:r>
      <w:r>
        <w:rPr>
          <w:rFonts w:hint="eastAsia"/>
          <w:bCs w:val="0"/>
          <w:color w:val="auto"/>
          <w:sz w:val="24"/>
          <w:szCs w:val="24"/>
          <w:lang w:val="en-US" w:eastAsia="zh-CN"/>
        </w:rPr>
        <w:t>2</w:t>
      </w:r>
      <w:r>
        <w:rPr>
          <w:rFonts w:hint="default"/>
          <w:bCs w:val="0"/>
          <w:color w:val="auto"/>
          <w:sz w:val="24"/>
          <w:szCs w:val="24"/>
        </w:rPr>
        <w:t>日</w:t>
      </w:r>
      <w:r>
        <w:rPr>
          <w:rFonts w:hint="eastAsia"/>
          <w:bCs w:val="0"/>
          <w:color w:val="auto"/>
          <w:sz w:val="24"/>
          <w:szCs w:val="24"/>
          <w:lang w:val="en-US" w:eastAsia="zh-CN"/>
        </w:rPr>
        <w:t>-25日</w:t>
      </w:r>
      <w:r>
        <w:rPr>
          <w:rFonts w:hint="default"/>
          <w:bCs w:val="0"/>
          <w:color w:val="auto"/>
          <w:sz w:val="24"/>
          <w:szCs w:val="24"/>
          <w:lang w:eastAsia="zh-CN"/>
        </w:rPr>
        <w:t>，</w:t>
      </w:r>
      <w:r>
        <w:rPr>
          <w:rFonts w:hint="eastAsia" w:ascii="Times New Roman" w:hAnsi="Times New Roman"/>
          <w:sz w:val="24"/>
          <w:szCs w:val="24"/>
        </w:rPr>
        <w:t>由有色金属行业计量技术委员会组织，在</w:t>
      </w:r>
      <w:r>
        <w:rPr>
          <w:rFonts w:hint="eastAsia"/>
          <w:sz w:val="24"/>
          <w:szCs w:val="24"/>
          <w:lang w:val="en-US" w:eastAsia="zh-CN"/>
        </w:rPr>
        <w:t>西安</w:t>
      </w:r>
      <w:r>
        <w:rPr>
          <w:rFonts w:hint="eastAsia" w:ascii="Times New Roman" w:hAnsi="Times New Roman"/>
          <w:sz w:val="24"/>
          <w:szCs w:val="24"/>
        </w:rPr>
        <w:t>召开规范预审会，来自</w:t>
      </w:r>
      <w:r>
        <w:rPr>
          <w:rFonts w:hint="eastAsia"/>
          <w:sz w:val="24"/>
          <w:szCs w:val="24"/>
          <w:lang w:val="en-US" w:eastAsia="zh-CN"/>
        </w:rPr>
        <w:t>有色金属技术经济研究院有限责任公司</w:t>
      </w:r>
      <w:r>
        <w:rPr>
          <w:rFonts w:hint="eastAsia" w:cs="Times New Roman"/>
          <w:color w:val="auto"/>
          <w:sz w:val="24"/>
          <w:szCs w:val="24"/>
          <w:lang w:val="en-US" w:eastAsia="zh-CN"/>
        </w:rPr>
        <w:t>、</w:t>
      </w:r>
      <w:r>
        <w:rPr>
          <w:rFonts w:hint="eastAsia" w:ascii="Times New Roman" w:hAnsi="Times New Roman"/>
          <w:sz w:val="24"/>
          <w:szCs w:val="24"/>
        </w:rPr>
        <w:t>国标（北京）检验认证有限公司、</w:t>
      </w:r>
      <w:r>
        <w:rPr>
          <w:rFonts w:hint="eastAsia"/>
          <w:sz w:val="24"/>
          <w:szCs w:val="24"/>
          <w:lang w:val="en-US" w:eastAsia="zh-CN"/>
        </w:rPr>
        <w:t>中铝洛阳铜加工有限公司</w:t>
      </w:r>
      <w:r>
        <w:rPr>
          <w:rFonts w:hint="default" w:cs="Times New Roman"/>
          <w:color w:val="auto"/>
          <w:sz w:val="24"/>
          <w:szCs w:val="24"/>
        </w:rPr>
        <w:t>、</w:t>
      </w:r>
      <w:r>
        <w:rPr>
          <w:rFonts w:hint="default" w:ascii="Times New Roman" w:hAnsi="Times New Roman" w:cs="Times New Roman"/>
          <w:color w:val="auto"/>
          <w:sz w:val="24"/>
          <w:szCs w:val="24"/>
          <w:highlight w:val="none"/>
        </w:rPr>
        <w:t>中铝材料应用研究院有限公司</w:t>
      </w:r>
      <w:r>
        <w:rPr>
          <w:rFonts w:hint="default" w:ascii="Times New Roman" w:hAnsi="Times New Roman"/>
          <w:sz w:val="24"/>
          <w:szCs w:val="24"/>
        </w:rPr>
        <w:t>、</w:t>
      </w:r>
      <w:r>
        <w:rPr>
          <w:rFonts w:hint="default" w:cs="Times New Roman"/>
          <w:color w:val="auto"/>
          <w:sz w:val="24"/>
          <w:szCs w:val="24"/>
        </w:rPr>
        <w:t>西南铝业（集团）有限责任公司</w:t>
      </w:r>
      <w:r>
        <w:rPr>
          <w:rFonts w:hint="eastAsia" w:ascii="Times New Roman" w:hAnsi="Times New Roman"/>
          <w:sz w:val="24"/>
          <w:szCs w:val="24"/>
        </w:rPr>
        <w:t>等单位参加了会议。</w:t>
      </w:r>
    </w:p>
    <w:p w14:paraId="71708126">
      <w:pPr>
        <w:spacing w:line="400" w:lineRule="exact"/>
        <w:ind w:firstLine="480" w:firstLineChars="200"/>
        <w:rPr>
          <w:rFonts w:hint="eastAsia" w:cs="Times New Roman"/>
          <w:bCs w:val="0"/>
          <w:sz w:val="24"/>
          <w:szCs w:val="24"/>
          <w:lang w:eastAsia="zh-CN"/>
        </w:rPr>
      </w:pPr>
      <w:r>
        <w:rPr>
          <w:rFonts w:hint="eastAsia"/>
          <w:bCs w:val="0"/>
          <w:color w:val="auto"/>
          <w:sz w:val="24"/>
          <w:szCs w:val="24"/>
          <w:lang w:val="en-US" w:eastAsia="zh-CN"/>
        </w:rPr>
        <w:t>在</w:t>
      </w:r>
      <w:r>
        <w:rPr>
          <w:rFonts w:hint="default"/>
          <w:bCs w:val="0"/>
          <w:color w:val="auto"/>
          <w:sz w:val="24"/>
          <w:szCs w:val="24"/>
        </w:rPr>
        <w:t>会上对《</w:t>
      </w:r>
      <w:r>
        <w:rPr>
          <w:rFonts w:hint="eastAsia"/>
          <w:sz w:val="24"/>
          <w:szCs w:val="24"/>
          <w:lang w:val="en-US" w:eastAsia="zh-CN"/>
        </w:rPr>
        <w:t>有色金属材料分析用火花放电原子发射光谱仪校准规范</w:t>
      </w:r>
      <w:r>
        <w:rPr>
          <w:rFonts w:hint="default"/>
          <w:bCs w:val="0"/>
          <w:color w:val="auto"/>
          <w:sz w:val="24"/>
          <w:szCs w:val="24"/>
        </w:rPr>
        <w:t>》进行了预审，会上有来自不同单位的计量委员会委员、专家、代表对《</w:t>
      </w:r>
      <w:r>
        <w:rPr>
          <w:rFonts w:hint="eastAsia"/>
          <w:sz w:val="24"/>
          <w:szCs w:val="24"/>
          <w:lang w:val="en-US" w:eastAsia="zh-CN"/>
        </w:rPr>
        <w:t>有色金属材料分析用火花放电原子发射光谱仪校准规范</w:t>
      </w:r>
      <w:r>
        <w:rPr>
          <w:rFonts w:hint="default"/>
          <w:bCs w:val="0"/>
          <w:color w:val="auto"/>
          <w:sz w:val="24"/>
          <w:szCs w:val="24"/>
        </w:rPr>
        <w:t>》</w:t>
      </w:r>
      <w:r>
        <w:rPr>
          <w:rFonts w:hint="eastAsia" w:cs="Times New Roman"/>
          <w:bCs w:val="0"/>
          <w:color w:val="auto"/>
          <w:sz w:val="24"/>
          <w:szCs w:val="24"/>
          <w:lang w:val="en-US" w:eastAsia="zh-CN"/>
        </w:rPr>
        <w:t>预审</w:t>
      </w:r>
      <w:r>
        <w:rPr>
          <w:rFonts w:hint="eastAsia"/>
          <w:bCs w:val="0"/>
          <w:color w:val="auto"/>
          <w:sz w:val="24"/>
          <w:szCs w:val="24"/>
          <w:lang w:val="en-US" w:eastAsia="zh-CN"/>
        </w:rPr>
        <w:t>稿进行了</w:t>
      </w:r>
      <w:r>
        <w:rPr>
          <w:rFonts w:hint="default" w:ascii="Times New Roman" w:hAnsi="Times New Roman"/>
          <w:sz w:val="24"/>
          <w:szCs w:val="24"/>
        </w:rPr>
        <w:t>热烈的</w:t>
      </w:r>
      <w:r>
        <w:rPr>
          <w:rFonts w:hint="eastAsia" w:ascii="Times New Roman" w:hAnsi="Times New Roman"/>
          <w:sz w:val="24"/>
          <w:szCs w:val="24"/>
        </w:rPr>
        <w:t>讨论，并对规范预审稿提出了修改意见，对</w:t>
      </w:r>
      <w:r>
        <w:rPr>
          <w:rFonts w:hint="default" w:ascii="Times New Roman" w:hAnsi="Times New Roman"/>
          <w:sz w:val="24"/>
          <w:szCs w:val="24"/>
        </w:rPr>
        <w:t>规范名称、技术</w:t>
      </w:r>
      <w:r>
        <w:rPr>
          <w:rFonts w:hint="eastAsia" w:ascii="Times New Roman" w:hAnsi="Times New Roman"/>
          <w:sz w:val="24"/>
          <w:szCs w:val="24"/>
        </w:rPr>
        <w:t>指标、校准方法进一步讨论和明确</w:t>
      </w:r>
      <w:r>
        <w:rPr>
          <w:rFonts w:hint="eastAsia" w:cs="Times New Roman"/>
          <w:bCs w:val="0"/>
          <w:sz w:val="24"/>
          <w:szCs w:val="24"/>
          <w:lang w:eastAsia="zh-CN"/>
        </w:rPr>
        <w:t>。</w:t>
      </w:r>
    </w:p>
    <w:p w14:paraId="0F31CF7C">
      <w:pPr>
        <w:spacing w:line="400" w:lineRule="exact"/>
        <w:ind w:firstLine="480" w:firstLineChars="200"/>
        <w:rPr>
          <w:rFonts w:hint="eastAsia"/>
          <w:bCs w:val="0"/>
          <w:color w:val="auto"/>
          <w:sz w:val="24"/>
          <w:szCs w:val="24"/>
          <w:highlight w:val="none"/>
        </w:rPr>
      </w:pPr>
      <w:r>
        <w:rPr>
          <w:rFonts w:hint="eastAsia"/>
          <w:bCs w:val="0"/>
          <w:color w:val="auto"/>
          <w:sz w:val="24"/>
          <w:szCs w:val="24"/>
          <w:highlight w:val="none"/>
          <w:lang w:val="en-US" w:eastAsia="zh-CN"/>
        </w:rPr>
        <w:t>2024年9月，</w:t>
      </w:r>
      <w:r>
        <w:rPr>
          <w:rFonts w:hint="eastAsia" w:ascii="Times New Roman" w:hAnsi="Times New Roman" w:cs="Times New Roman"/>
          <w:sz w:val="24"/>
          <w:szCs w:val="24"/>
        </w:rPr>
        <w:t>国标（北京）检验认证有限公司</w:t>
      </w:r>
      <w:r>
        <w:rPr>
          <w:rFonts w:hint="eastAsia"/>
          <w:bCs w:val="0"/>
          <w:color w:val="auto"/>
          <w:sz w:val="24"/>
          <w:szCs w:val="24"/>
          <w:highlight w:val="none"/>
          <w:lang w:val="en-US" w:eastAsia="zh-CN"/>
        </w:rPr>
        <w:t>按照会议要求</w:t>
      </w:r>
      <w:r>
        <w:rPr>
          <w:rFonts w:hint="eastAsia"/>
          <w:b w:val="0"/>
          <w:bCs w:val="0"/>
          <w:sz w:val="24"/>
          <w:highlight w:val="none"/>
        </w:rPr>
        <w:t>修改</w:t>
      </w:r>
      <w:r>
        <w:rPr>
          <w:rFonts w:hint="eastAsia"/>
          <w:b w:val="0"/>
          <w:bCs w:val="0"/>
          <w:sz w:val="24"/>
          <w:highlight w:val="none"/>
          <w:lang w:val="en-US" w:eastAsia="zh-CN"/>
        </w:rPr>
        <w:t>规范，</w:t>
      </w:r>
      <w:r>
        <w:rPr>
          <w:rFonts w:hint="eastAsia"/>
          <w:b w:val="0"/>
          <w:bCs w:val="0"/>
          <w:sz w:val="24"/>
          <w:highlight w:val="none"/>
        </w:rPr>
        <w:t>形成</w:t>
      </w:r>
      <w:r>
        <w:rPr>
          <w:rFonts w:hint="eastAsia"/>
          <w:b w:val="0"/>
          <w:bCs w:val="0"/>
          <w:sz w:val="24"/>
          <w:highlight w:val="none"/>
          <w:lang w:val="en-US" w:eastAsia="zh-CN"/>
        </w:rPr>
        <w:t>了</w:t>
      </w:r>
      <w:r>
        <w:rPr>
          <w:rFonts w:hint="eastAsia"/>
          <w:b w:val="0"/>
          <w:bCs w:val="0"/>
          <w:sz w:val="24"/>
          <w:szCs w:val="24"/>
          <w:highlight w:val="none"/>
        </w:rPr>
        <w:t>《</w:t>
      </w:r>
      <w:r>
        <w:rPr>
          <w:rFonts w:hint="eastAsia" w:cs="Times New Roman"/>
          <w:sz w:val="24"/>
          <w:szCs w:val="24"/>
          <w:lang w:val="en-US" w:eastAsia="zh-CN"/>
        </w:rPr>
        <w:t>有色金属材料分析用火花放电原子发射光谱仪校准规范</w:t>
      </w:r>
      <w:r>
        <w:rPr>
          <w:rFonts w:hint="eastAsia"/>
          <w:b w:val="0"/>
          <w:bCs w:val="0"/>
          <w:sz w:val="24"/>
          <w:szCs w:val="24"/>
          <w:highlight w:val="none"/>
        </w:rPr>
        <w:t>》</w:t>
      </w:r>
      <w:r>
        <w:rPr>
          <w:rFonts w:hint="eastAsia"/>
          <w:b w:val="0"/>
          <w:bCs w:val="0"/>
          <w:sz w:val="24"/>
          <w:highlight w:val="none"/>
        </w:rPr>
        <w:t>征求意见稿</w:t>
      </w:r>
      <w:r>
        <w:rPr>
          <w:rFonts w:hint="eastAsia"/>
          <w:b w:val="0"/>
          <w:bCs w:val="0"/>
          <w:sz w:val="24"/>
          <w:highlight w:val="none"/>
          <w:lang w:eastAsia="zh-CN"/>
        </w:rPr>
        <w:t>，</w:t>
      </w:r>
      <w:r>
        <w:rPr>
          <w:rFonts w:hint="eastAsia"/>
          <w:bCs w:val="0"/>
          <w:color w:val="auto"/>
          <w:sz w:val="24"/>
          <w:szCs w:val="24"/>
          <w:highlight w:val="none"/>
        </w:rPr>
        <w:t>并向社会广泛征求意见。</w:t>
      </w:r>
    </w:p>
    <w:p w14:paraId="368855ED">
      <w:pPr>
        <w:spacing w:line="400" w:lineRule="exact"/>
        <w:ind w:firstLine="480" w:firstLineChars="200"/>
        <w:rPr>
          <w:rFonts w:hint="eastAsia" w:eastAsia="宋体"/>
          <w:bCs w:val="0"/>
          <w:sz w:val="24"/>
          <w:lang w:eastAsia="zh-CN"/>
        </w:rPr>
      </w:pPr>
      <w:r>
        <w:rPr>
          <w:rFonts w:hint="eastAsia"/>
          <w:bCs w:val="0"/>
          <w:color w:val="auto"/>
          <w:sz w:val="24"/>
          <w:szCs w:val="24"/>
          <w:lang w:val="en-US" w:eastAsia="zh-CN"/>
        </w:rPr>
        <w:t>2025年9月-12月期间</w:t>
      </w:r>
      <w:r>
        <w:rPr>
          <w:rFonts w:hint="eastAsia" w:eastAsia="宋体"/>
          <w:bCs w:val="0"/>
          <w:sz w:val="24"/>
        </w:rPr>
        <w:t>，</w:t>
      </w:r>
      <w:r>
        <w:rPr>
          <w:rFonts w:hint="eastAsia" w:eastAsia="宋体"/>
          <w:bCs w:val="0"/>
          <w:sz w:val="24"/>
          <w:lang w:val="en-US" w:eastAsia="zh-CN"/>
        </w:rPr>
        <w:t>在有色计量委员会的组织和指导下，</w:t>
      </w:r>
      <w:r>
        <w:rPr>
          <w:rFonts w:hint="eastAsia" w:eastAsia="宋体"/>
          <w:bCs w:val="0"/>
          <w:sz w:val="24"/>
        </w:rPr>
        <w:t>编制组</w:t>
      </w:r>
      <w:r>
        <w:rPr>
          <w:rFonts w:hint="eastAsia" w:eastAsia="宋体"/>
          <w:bCs w:val="0"/>
          <w:sz w:val="24"/>
          <w:lang w:val="en-US" w:eastAsia="zh-CN"/>
        </w:rPr>
        <w:t>征求</w:t>
      </w:r>
      <w:r>
        <w:rPr>
          <w:rFonts w:hint="eastAsia"/>
          <w:bCs w:val="0"/>
          <w:sz w:val="24"/>
          <w:szCs w:val="24"/>
          <w:lang w:val="en-US" w:eastAsia="zh-CN"/>
        </w:rPr>
        <w:t>到</w:t>
      </w:r>
      <w:r>
        <w:rPr>
          <w:rFonts w:hint="eastAsia" w:eastAsia="宋体"/>
          <w:bCs w:val="0"/>
          <w:sz w:val="24"/>
          <w:lang w:val="en-US" w:eastAsia="zh-CN"/>
        </w:rPr>
        <w:t>了16家机构意见，</w:t>
      </w:r>
      <w:r>
        <w:rPr>
          <w:rFonts w:hint="eastAsia" w:eastAsia="宋体"/>
          <w:bCs w:val="0"/>
          <w:sz w:val="24"/>
        </w:rPr>
        <w:t>汇总意见</w:t>
      </w:r>
      <w:r>
        <w:rPr>
          <w:rFonts w:hint="eastAsia" w:eastAsia="宋体"/>
          <w:bCs w:val="0"/>
          <w:sz w:val="24"/>
          <w:lang w:val="en-US" w:eastAsia="zh-CN"/>
        </w:rPr>
        <w:t>与反馈</w:t>
      </w:r>
      <w:r>
        <w:rPr>
          <w:rFonts w:hint="eastAsia" w:eastAsia="宋体"/>
          <w:bCs w:val="0"/>
          <w:sz w:val="24"/>
        </w:rPr>
        <w:t>，对规范进行修改，形成</w:t>
      </w:r>
      <w:r>
        <w:rPr>
          <w:rFonts w:hint="eastAsia" w:eastAsia="宋体"/>
          <w:bCs w:val="0"/>
          <w:sz w:val="24"/>
          <w:lang w:val="en-US" w:eastAsia="zh-CN"/>
        </w:rPr>
        <w:t>了</w:t>
      </w:r>
      <w:r>
        <w:rPr>
          <w:rFonts w:hint="eastAsia" w:eastAsia="宋体"/>
          <w:bCs w:val="0"/>
          <w:sz w:val="24"/>
        </w:rPr>
        <w:t>《</w:t>
      </w:r>
      <w:r>
        <w:rPr>
          <w:rFonts w:hint="eastAsia" w:cs="Times New Roman"/>
          <w:sz w:val="24"/>
          <w:szCs w:val="24"/>
          <w:lang w:val="en-US" w:eastAsia="zh-CN"/>
        </w:rPr>
        <w:t>有色金属材料分析用火花放电原子发射光谱仪校准规范</w:t>
      </w:r>
      <w:r>
        <w:rPr>
          <w:rFonts w:hint="eastAsia" w:eastAsia="宋体"/>
          <w:bCs w:val="0"/>
          <w:sz w:val="24"/>
        </w:rPr>
        <w:t>》</w:t>
      </w:r>
      <w:r>
        <w:rPr>
          <w:rFonts w:hint="eastAsia" w:eastAsia="宋体"/>
          <w:bCs w:val="0"/>
          <w:sz w:val="24"/>
          <w:lang w:val="en-US" w:eastAsia="zh-CN"/>
        </w:rPr>
        <w:t>送审</w:t>
      </w:r>
      <w:r>
        <w:rPr>
          <w:rFonts w:hint="eastAsia" w:eastAsia="宋体"/>
          <w:bCs w:val="0"/>
          <w:sz w:val="24"/>
        </w:rPr>
        <w:t>稿</w:t>
      </w:r>
      <w:r>
        <w:rPr>
          <w:rFonts w:hint="eastAsia" w:eastAsia="宋体"/>
          <w:bCs w:val="0"/>
          <w:sz w:val="24"/>
          <w:lang w:eastAsia="zh-CN"/>
        </w:rPr>
        <w:t>。</w:t>
      </w:r>
    </w:p>
    <w:p w14:paraId="35C3C864">
      <w:pPr>
        <w:pStyle w:val="2"/>
        <w:spacing w:before="156" w:after="156"/>
        <w:rPr>
          <w:b w:val="0"/>
          <w:bCs w:val="0"/>
        </w:rPr>
      </w:pPr>
      <w:r>
        <w:rPr>
          <w:rFonts w:hint="eastAsia"/>
          <w:b w:val="0"/>
          <w:bCs w:val="0"/>
        </w:rPr>
        <w:t>二、编制原则和依据</w:t>
      </w:r>
    </w:p>
    <w:p w14:paraId="3F1A852F">
      <w:pPr>
        <w:pStyle w:val="3"/>
        <w:spacing w:before="156" w:after="156"/>
        <w:rPr>
          <w:b w:val="0"/>
          <w:bCs w:val="0"/>
        </w:rPr>
      </w:pPr>
      <w:bookmarkStart w:id="12" w:name="_Toc464728925"/>
      <w:r>
        <w:rPr>
          <w:rFonts w:hint="eastAsia"/>
          <w:b w:val="0"/>
          <w:bCs w:val="0"/>
        </w:rPr>
        <w:t>（一）编制原则</w:t>
      </w:r>
      <w:bookmarkEnd w:id="12"/>
    </w:p>
    <w:p w14:paraId="01663872">
      <w:pPr>
        <w:spacing w:line="400" w:lineRule="exact"/>
        <w:ind w:firstLine="480" w:firstLineChars="200"/>
        <w:rPr>
          <w:rFonts w:hint="eastAsia" w:ascii="Times New Roman" w:hAnsi="Times New Roman" w:eastAsia="宋体" w:cs="Times New Roman"/>
          <w:sz w:val="24"/>
          <w:szCs w:val="24"/>
          <w:lang w:eastAsia="zh-CN"/>
        </w:rPr>
      </w:pPr>
      <w:bookmarkStart w:id="13" w:name="_Toc464728926"/>
      <w:r>
        <w:rPr>
          <w:rFonts w:hint="eastAsia" w:ascii="Times New Roman" w:hAnsi="Times New Roman" w:cs="Times New Roman"/>
          <w:sz w:val="24"/>
          <w:szCs w:val="24"/>
        </w:rPr>
        <w:t>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1071</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《国家计量校准规范编写规则》</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0</w:t>
      </w:r>
      <w:r>
        <w:rPr>
          <w:rFonts w:hint="eastAsia" w:ascii="Times New Roman" w:hAnsi="Times New Roman" w:cs="Times New Roman"/>
          <w:sz w:val="24"/>
          <w:szCs w:val="24"/>
        </w:rPr>
        <w:t>01《通用计量术语及定义》和JJF</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1059.1《测量不确定度评定与表示》</w:t>
      </w:r>
      <w:r>
        <w:rPr>
          <w:rFonts w:hint="eastAsia" w:ascii="Times New Roman" w:hAnsi="Times New Roman" w:cs="Times New Roman"/>
          <w:sz w:val="24"/>
          <w:szCs w:val="24"/>
          <w:lang w:val="en-US" w:eastAsia="zh-CN"/>
        </w:rPr>
        <w:t>共同构成支撑校准规范制修订工作的基础性系列规范</w:t>
      </w:r>
      <w:r>
        <w:rPr>
          <w:rFonts w:hint="eastAsia" w:ascii="Times New Roman" w:hAnsi="Times New Roman" w:cs="Times New Roman"/>
          <w:sz w:val="24"/>
          <w:szCs w:val="24"/>
          <w:lang w:eastAsia="zh-CN"/>
        </w:rPr>
        <w:t>。</w:t>
      </w:r>
    </w:p>
    <w:p w14:paraId="10B86985">
      <w:pPr>
        <w:spacing w:line="400" w:lineRule="exact"/>
        <w:ind w:firstLine="480" w:firstLineChars="200"/>
        <w:rPr>
          <w:rFonts w:hint="eastAsia"/>
          <w:b w:val="0"/>
          <w:bCs w:val="0"/>
          <w:sz w:val="24"/>
          <w:szCs w:val="24"/>
        </w:rPr>
      </w:pPr>
      <w:r>
        <w:rPr>
          <w:rFonts w:hint="eastAsia"/>
          <w:b w:val="0"/>
          <w:bCs w:val="0"/>
          <w:sz w:val="24"/>
          <w:szCs w:val="24"/>
        </w:rPr>
        <w:t>本规范</w:t>
      </w:r>
      <w:r>
        <w:rPr>
          <w:rFonts w:hint="eastAsia"/>
          <w:b w:val="0"/>
          <w:bCs w:val="0"/>
          <w:sz w:val="24"/>
          <w:szCs w:val="24"/>
          <w:lang w:val="en-US" w:eastAsia="zh-CN"/>
        </w:rPr>
        <w:t>参考</w:t>
      </w:r>
      <w:r>
        <w:rPr>
          <w:rFonts w:hint="eastAsia"/>
          <w:b w:val="0"/>
          <w:bCs w:val="0"/>
          <w:sz w:val="24"/>
          <w:szCs w:val="24"/>
        </w:rPr>
        <w:t>了JJG 768-2005《发射光谱仪校准规范》</w:t>
      </w:r>
      <w:r>
        <w:rPr>
          <w:rFonts w:hint="eastAsia"/>
          <w:b w:val="0"/>
          <w:bCs w:val="0"/>
          <w:sz w:val="24"/>
          <w:szCs w:val="24"/>
          <w:lang w:eastAsia="zh-CN"/>
        </w:rPr>
        <w:t>、</w:t>
      </w:r>
      <w:r>
        <w:rPr>
          <w:rFonts w:hint="eastAsia"/>
          <w:b w:val="0"/>
          <w:bCs w:val="0"/>
          <w:sz w:val="24"/>
          <w:szCs w:val="24"/>
        </w:rPr>
        <w:t>GB/T 14203-2016《火花放电原子发射光谱分析法通则》等相关内容。提出了对</w:t>
      </w:r>
      <w:r>
        <w:rPr>
          <w:rFonts w:hint="eastAsia" w:hAnsi="宋体"/>
          <w:b w:val="0"/>
          <w:bCs w:val="0"/>
          <w:sz w:val="24"/>
          <w:szCs w:val="24"/>
        </w:rPr>
        <w:t>有色金属材料分析用火花放电原子发射光谱仪</w:t>
      </w:r>
      <w:r>
        <w:rPr>
          <w:rFonts w:hint="eastAsia"/>
          <w:b w:val="0"/>
          <w:bCs w:val="0"/>
          <w:sz w:val="24"/>
          <w:szCs w:val="24"/>
        </w:rPr>
        <w:t>计量特性的要求，制定了基本原则和编制依据，可对</w:t>
      </w:r>
      <w:r>
        <w:rPr>
          <w:rFonts w:hint="eastAsia" w:hAnsi="宋体"/>
          <w:b w:val="0"/>
          <w:bCs w:val="0"/>
          <w:sz w:val="24"/>
          <w:szCs w:val="24"/>
        </w:rPr>
        <w:t>有色金属材料分析用火花放电原子发射光谱仪</w:t>
      </w:r>
      <w:r>
        <w:rPr>
          <w:rFonts w:hint="eastAsia"/>
          <w:b w:val="0"/>
          <w:bCs w:val="0"/>
          <w:sz w:val="24"/>
          <w:szCs w:val="24"/>
        </w:rPr>
        <w:t>进行校准，解决了目前没有</w:t>
      </w:r>
      <w:r>
        <w:rPr>
          <w:rFonts w:hint="eastAsia" w:hAnsi="宋体"/>
          <w:b w:val="0"/>
          <w:bCs w:val="0"/>
          <w:sz w:val="24"/>
          <w:szCs w:val="24"/>
        </w:rPr>
        <w:t>有色金属材料分析用火花放电原子发射光谱仪</w:t>
      </w:r>
      <w:r>
        <w:rPr>
          <w:rFonts w:hint="eastAsia"/>
          <w:b w:val="0"/>
          <w:bCs w:val="0"/>
          <w:sz w:val="24"/>
          <w:szCs w:val="24"/>
        </w:rPr>
        <w:t>校准方法的难题。</w:t>
      </w:r>
    </w:p>
    <w:p w14:paraId="77D1E9FD">
      <w:pPr>
        <w:spacing w:line="400" w:lineRule="exact"/>
        <w:ind w:firstLine="480" w:firstLineChars="200"/>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基本的编制原则为：</w:t>
      </w:r>
    </w:p>
    <w:p w14:paraId="6A1C3032">
      <w:pPr>
        <w:spacing w:line="400" w:lineRule="exact"/>
        <w:ind w:firstLine="48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w:t>
      </w:r>
      <w:r>
        <w:rPr>
          <w:rFonts w:hint="eastAsia" w:ascii="Times New Roman" w:hAnsi="Times New Roman" w:eastAsia="宋体" w:cs="Times New Roman"/>
          <w:b w:val="0"/>
          <w:bCs w:val="0"/>
          <w:kern w:val="2"/>
          <w:sz w:val="24"/>
          <w:szCs w:val="24"/>
          <w:lang w:val="en-US" w:eastAsia="zh-CN" w:bidi="ar-SA"/>
        </w:rPr>
        <w:t>保证有色行业的特殊性和适用性。</w:t>
      </w:r>
    </w:p>
    <w:p w14:paraId="580B2D0C">
      <w:pPr>
        <w:spacing w:line="400" w:lineRule="exact"/>
        <w:ind w:firstLine="48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2、</w:t>
      </w:r>
      <w:r>
        <w:rPr>
          <w:rFonts w:hint="eastAsia" w:ascii="Times New Roman" w:hAnsi="Times New Roman" w:eastAsia="宋体" w:cs="Times New Roman"/>
          <w:b w:val="0"/>
          <w:bCs w:val="0"/>
          <w:kern w:val="2"/>
          <w:sz w:val="24"/>
          <w:szCs w:val="24"/>
          <w:lang w:val="en-US" w:eastAsia="zh-CN" w:bidi="ar-SA"/>
        </w:rPr>
        <w:t>保证校准规范的规范性。</w:t>
      </w:r>
    </w:p>
    <w:p w14:paraId="03528464">
      <w:pPr>
        <w:spacing w:line="400" w:lineRule="exact"/>
        <w:ind w:firstLine="48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en-US" w:eastAsia="zh-CN" w:bidi="ar-SA"/>
        </w:rPr>
        <w:t>保证校准规范的可操作性。</w:t>
      </w:r>
    </w:p>
    <w:p w14:paraId="30DE95D9">
      <w:pPr>
        <w:pStyle w:val="3"/>
        <w:spacing w:before="156" w:after="156"/>
        <w:rPr>
          <w:rFonts w:ascii="宋体" w:hAnsi="宋体"/>
          <w:b w:val="0"/>
          <w:bCs w:val="0"/>
        </w:rPr>
      </w:pPr>
      <w:r>
        <w:rPr>
          <w:rFonts w:hint="eastAsia"/>
          <w:b w:val="0"/>
          <w:bCs w:val="0"/>
        </w:rPr>
        <w:t>（二）确定主要内</w:t>
      </w:r>
      <w:bookmarkEnd w:id="13"/>
      <w:r>
        <w:rPr>
          <w:rFonts w:hint="eastAsia"/>
          <w:b w:val="0"/>
          <w:bCs w:val="0"/>
        </w:rPr>
        <w:t>容</w:t>
      </w:r>
    </w:p>
    <w:p w14:paraId="3099D9D4">
      <w:pPr>
        <w:pStyle w:val="4"/>
        <w:spacing w:before="156" w:after="156"/>
        <w:rPr>
          <w:b w:val="0"/>
          <w:bCs w:val="0"/>
          <w:sz w:val="24"/>
          <w:szCs w:val="24"/>
        </w:rPr>
      </w:pPr>
      <w:bookmarkStart w:id="14" w:name="_Toc193860027"/>
      <w:bookmarkStart w:id="15" w:name="_Toc500258929"/>
      <w:bookmarkStart w:id="16" w:name="_Toc193860208"/>
      <w:bookmarkStart w:id="17" w:name="_Toc193860177"/>
      <w:bookmarkStart w:id="18" w:name="_Toc23837_WPSOffice_Level1"/>
      <w:bookmarkStart w:id="19" w:name="_Toc464728964"/>
      <w:r>
        <w:rPr>
          <w:rFonts w:hint="eastAsia"/>
          <w:b w:val="0"/>
          <w:bCs w:val="0"/>
          <w:sz w:val="24"/>
          <w:szCs w:val="24"/>
        </w:rPr>
        <w:t>1范围</w:t>
      </w:r>
      <w:bookmarkEnd w:id="14"/>
      <w:bookmarkEnd w:id="15"/>
      <w:bookmarkEnd w:id="16"/>
      <w:bookmarkEnd w:id="17"/>
      <w:bookmarkEnd w:id="18"/>
    </w:p>
    <w:p w14:paraId="35A4A0B9">
      <w:pPr>
        <w:spacing w:line="400" w:lineRule="exact"/>
        <w:ind w:firstLine="480" w:firstLineChars="200"/>
        <w:rPr>
          <w:rFonts w:hint="default" w:eastAsiaTheme="minorEastAsia"/>
          <w:b w:val="0"/>
          <w:bCs w:val="0"/>
          <w:kern w:val="0"/>
          <w:sz w:val="24"/>
          <w:szCs w:val="24"/>
        </w:rPr>
      </w:pPr>
      <w:r>
        <w:rPr>
          <w:b w:val="0"/>
          <w:bCs w:val="0"/>
          <w:color w:val="000000" w:themeColor="text1"/>
          <w:sz w:val="24"/>
          <w:szCs w:val="24"/>
          <w14:textFill>
            <w14:solidFill>
              <w14:schemeClr w14:val="tx1"/>
            </w14:solidFill>
          </w14:textFill>
        </w:rPr>
        <w:t>本规范</w:t>
      </w:r>
      <w:r>
        <w:rPr>
          <w:b w:val="0"/>
          <w:bCs w:val="0"/>
          <w:sz w:val="24"/>
          <w:szCs w:val="24"/>
        </w:rPr>
        <w:t>适用于</w:t>
      </w:r>
      <w:r>
        <w:rPr>
          <w:rFonts w:hint="eastAsia" w:hAnsi="宋体"/>
          <w:b w:val="0"/>
          <w:bCs w:val="0"/>
          <w:sz w:val="24"/>
          <w:szCs w:val="24"/>
        </w:rPr>
        <w:t>有色金属材料分析用火花放电原子发射光谱仪</w:t>
      </w:r>
      <w:r>
        <w:rPr>
          <w:b w:val="0"/>
          <w:bCs w:val="0"/>
          <w:sz w:val="24"/>
          <w:szCs w:val="24"/>
        </w:rPr>
        <w:t>的校准</w:t>
      </w:r>
      <w:r>
        <w:rPr>
          <w:rFonts w:hint="eastAsia" w:eastAsiaTheme="minorEastAsia"/>
          <w:b w:val="0"/>
          <w:bCs w:val="0"/>
          <w:kern w:val="0"/>
          <w:sz w:val="24"/>
          <w:szCs w:val="24"/>
        </w:rPr>
        <w:t>。</w:t>
      </w:r>
      <w:r>
        <w:rPr>
          <w:rFonts w:hint="eastAsia" w:eastAsiaTheme="minorEastAsia"/>
          <w:b w:val="0"/>
          <w:bCs w:val="0"/>
          <w:kern w:val="0"/>
          <w:sz w:val="24"/>
          <w:szCs w:val="24"/>
          <w:lang w:val="en-US" w:eastAsia="zh-CN"/>
        </w:rPr>
        <w:t>该设备是检测</w:t>
      </w:r>
      <w:r>
        <w:rPr>
          <w:rFonts w:hint="eastAsia" w:ascii="Times New Roman" w:cs="Times New Roman"/>
          <w:sz w:val="24"/>
          <w:szCs w:val="24"/>
          <w:lang w:val="en-US" w:eastAsia="zh-CN"/>
        </w:rPr>
        <w:t>铝、铜、铅、锌、镍、钴、钛等</w:t>
      </w:r>
      <w:r>
        <w:rPr>
          <w:rFonts w:hint="eastAsia" w:eastAsiaTheme="minorEastAsia"/>
          <w:b w:val="0"/>
          <w:bCs w:val="0"/>
          <w:kern w:val="0"/>
          <w:sz w:val="24"/>
          <w:szCs w:val="24"/>
          <w:lang w:val="en-US" w:eastAsia="zh-CN"/>
        </w:rPr>
        <w:t>有色金属材料成分分析的主要设备之一。</w:t>
      </w:r>
    </w:p>
    <w:p w14:paraId="152DB701">
      <w:pPr>
        <w:pStyle w:val="4"/>
        <w:spacing w:before="156" w:after="156"/>
        <w:rPr>
          <w:b w:val="0"/>
          <w:bCs w:val="0"/>
          <w:sz w:val="24"/>
          <w:szCs w:val="24"/>
        </w:rPr>
      </w:pPr>
      <w:bookmarkStart w:id="20" w:name="_Toc193860209"/>
      <w:bookmarkStart w:id="21" w:name="_Toc193860178"/>
      <w:bookmarkStart w:id="22" w:name="_Toc193860028"/>
      <w:bookmarkStart w:id="23" w:name="_Toc500258930"/>
      <w:bookmarkStart w:id="24" w:name="_Toc7848_WPSOffice_Level1"/>
      <w:r>
        <w:rPr>
          <w:rFonts w:hint="eastAsia"/>
          <w:b w:val="0"/>
          <w:bCs w:val="0"/>
          <w:sz w:val="24"/>
          <w:szCs w:val="24"/>
        </w:rPr>
        <w:t>2 引用文</w:t>
      </w:r>
      <w:bookmarkEnd w:id="20"/>
      <w:bookmarkEnd w:id="21"/>
      <w:bookmarkEnd w:id="22"/>
      <w:r>
        <w:rPr>
          <w:rFonts w:hint="eastAsia"/>
          <w:b w:val="0"/>
          <w:bCs w:val="0"/>
          <w:sz w:val="24"/>
          <w:szCs w:val="24"/>
        </w:rPr>
        <w:t>件</w:t>
      </w:r>
      <w:bookmarkEnd w:id="23"/>
      <w:bookmarkEnd w:id="24"/>
    </w:p>
    <w:p w14:paraId="71E33098">
      <w:pPr>
        <w:spacing w:line="400" w:lineRule="exact"/>
        <w:ind w:firstLine="480" w:firstLineChars="200"/>
        <w:rPr>
          <w:rFonts w:hint="default" w:eastAsia="宋体"/>
          <w:b w:val="0"/>
          <w:bCs w:val="0"/>
          <w:kern w:val="2"/>
          <w:sz w:val="24"/>
          <w:szCs w:val="24"/>
          <w:highlight w:val="none"/>
          <w:lang w:val="en-US"/>
        </w:rPr>
      </w:pPr>
      <w:r>
        <w:rPr>
          <w:rFonts w:hint="default" w:eastAsia="宋体"/>
          <w:b w:val="0"/>
          <w:bCs w:val="0"/>
          <w:kern w:val="2"/>
          <w:sz w:val="24"/>
          <w:szCs w:val="24"/>
          <w:highlight w:val="none"/>
        </w:rPr>
        <w:t>本规范</w:t>
      </w:r>
      <w:r>
        <w:rPr>
          <w:rFonts w:hint="default" w:eastAsia="宋体"/>
          <w:b w:val="0"/>
          <w:bCs w:val="0"/>
          <w:kern w:val="2"/>
          <w:sz w:val="24"/>
          <w:szCs w:val="24"/>
          <w:highlight w:val="none"/>
          <w:lang w:val="en-US" w:eastAsia="zh-CN"/>
        </w:rPr>
        <w:t>中检出限、重复性、稳定性等</w:t>
      </w:r>
      <w:r>
        <w:rPr>
          <w:rFonts w:hint="default" w:eastAsia="宋体"/>
          <w:b w:val="0"/>
          <w:bCs w:val="0"/>
          <w:kern w:val="2"/>
          <w:sz w:val="24"/>
          <w:szCs w:val="24"/>
          <w:highlight w:val="none"/>
        </w:rPr>
        <w:t>计量特性参数引自</w:t>
      </w:r>
      <w:r>
        <w:rPr>
          <w:rFonts w:hint="default" w:ascii="Times New Roman" w:hAnsi="Times New Roman" w:eastAsia="宋体" w:cs="Times New Roman"/>
          <w:b w:val="0"/>
          <w:bCs w:val="0"/>
          <w:kern w:val="2"/>
          <w:sz w:val="24"/>
          <w:szCs w:val="24"/>
          <w:lang w:val="en-US" w:eastAsia="zh-CN" w:bidi="ar-SA"/>
        </w:rPr>
        <w:t>JJG 768《发射光谱仪》</w:t>
      </w:r>
      <w:r>
        <w:rPr>
          <w:rFonts w:hint="default" w:ascii="Times New Roman" w:hAnsi="Times New Roman" w:cs="Times New Roman"/>
          <w:b w:val="0"/>
          <w:bCs w:val="0"/>
          <w:kern w:val="2"/>
          <w:sz w:val="24"/>
          <w:szCs w:val="24"/>
          <w:lang w:val="en-US" w:eastAsia="zh-CN" w:bidi="ar-SA"/>
        </w:rPr>
        <w:t>，计量参数具体指标来自实验室间验证数据。</w:t>
      </w:r>
    </w:p>
    <w:p w14:paraId="6EB93489">
      <w:pPr>
        <w:pStyle w:val="4"/>
        <w:spacing w:before="156" w:after="156"/>
        <w:rPr>
          <w:b w:val="0"/>
          <w:bCs w:val="0"/>
          <w:sz w:val="24"/>
          <w:szCs w:val="24"/>
        </w:rPr>
      </w:pPr>
      <w:bookmarkStart w:id="25" w:name="_Toc193860211"/>
      <w:bookmarkStart w:id="26" w:name="_Toc193619097"/>
      <w:bookmarkStart w:id="27" w:name="_Toc193860030"/>
      <w:bookmarkStart w:id="28" w:name="_Toc193860180"/>
      <w:bookmarkStart w:id="29" w:name="_Toc193618952"/>
      <w:bookmarkStart w:id="30" w:name="_Toc193619055"/>
      <w:bookmarkStart w:id="31" w:name="_Toc13054_WPSOffice_Level1"/>
      <w:bookmarkStart w:id="32" w:name="_Toc500258937"/>
      <w:r>
        <w:rPr>
          <w:rFonts w:hint="eastAsia"/>
          <w:b w:val="0"/>
          <w:bCs w:val="0"/>
          <w:sz w:val="24"/>
          <w:szCs w:val="24"/>
        </w:rPr>
        <w:t>3 概述</w:t>
      </w:r>
      <w:bookmarkEnd w:id="25"/>
      <w:bookmarkEnd w:id="26"/>
      <w:bookmarkEnd w:id="27"/>
      <w:bookmarkEnd w:id="28"/>
      <w:bookmarkEnd w:id="29"/>
      <w:bookmarkEnd w:id="30"/>
      <w:bookmarkEnd w:id="31"/>
      <w:bookmarkEnd w:id="32"/>
    </w:p>
    <w:p w14:paraId="012AF372">
      <w:pPr>
        <w:pStyle w:val="59"/>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b w:val="0"/>
          <w:bCs w:val="0"/>
          <w:sz w:val="24"/>
          <w:szCs w:val="24"/>
          <w:lang w:val="en-US" w:eastAsia="zh-CN"/>
        </w:rPr>
        <w:t>本部分介绍了</w:t>
      </w:r>
      <w:r>
        <w:rPr>
          <w:rFonts w:hint="eastAsia" w:hAnsi="宋体"/>
          <w:b w:val="0"/>
          <w:bCs w:val="0"/>
          <w:sz w:val="24"/>
          <w:szCs w:val="24"/>
        </w:rPr>
        <w:t>有色金属材料分析用火花放电原子发射光谱仪</w:t>
      </w:r>
      <w:r>
        <w:rPr>
          <w:rFonts w:hint="eastAsia"/>
          <w:b w:val="0"/>
          <w:bCs w:val="0"/>
          <w:sz w:val="24"/>
          <w:szCs w:val="24"/>
          <w:lang w:val="en-US" w:eastAsia="zh-CN"/>
        </w:rPr>
        <w:t>的结构等内容：</w:t>
      </w:r>
      <w:r>
        <w:rPr>
          <w:rFonts w:hint="eastAsia" w:ascii="Times New Roman" w:hAnsi="Times New Roman" w:eastAsia="宋体" w:cs="Times New Roman"/>
          <w:b w:val="0"/>
          <w:bCs w:val="0"/>
          <w:kern w:val="2"/>
          <w:sz w:val="24"/>
          <w:szCs w:val="24"/>
          <w:lang w:val="en-US" w:eastAsia="zh-CN" w:bidi="ar-SA"/>
        </w:rPr>
        <w:t>有色金属材料分析用火花放电原子发射光谱仪（以下简称光谱仪）是测试有色金属材料中元素成分的试验仪器，主要用于</w:t>
      </w:r>
      <w:r>
        <w:rPr>
          <w:rFonts w:hint="eastAsia" w:ascii="Times New Roman" w:cs="Times New Roman"/>
          <w:sz w:val="24"/>
          <w:szCs w:val="24"/>
          <w:lang w:val="en-US" w:eastAsia="zh-CN"/>
        </w:rPr>
        <w:t>铝、铜、铅、锌、镍、钴、钛</w:t>
      </w:r>
      <w:r>
        <w:rPr>
          <w:rFonts w:hint="eastAsia" w:ascii="Times New Roman" w:hAnsi="Times New Roman" w:cs="Times New Roman"/>
          <w:b w:val="0"/>
          <w:bCs w:val="0"/>
          <w:kern w:val="2"/>
          <w:sz w:val="24"/>
          <w:szCs w:val="24"/>
          <w:lang w:val="en-US" w:eastAsia="zh-CN" w:bidi="ar-SA"/>
        </w:rPr>
        <w:t>等</w:t>
      </w:r>
      <w:r>
        <w:rPr>
          <w:rFonts w:hint="eastAsia" w:ascii="Times New Roman" w:hAnsi="Times New Roman" w:eastAsia="宋体" w:cs="Times New Roman"/>
          <w:b w:val="0"/>
          <w:bCs w:val="0"/>
          <w:kern w:val="2"/>
          <w:sz w:val="24"/>
          <w:szCs w:val="24"/>
          <w:lang w:val="en-US" w:eastAsia="zh-CN" w:bidi="ar-SA"/>
        </w:rPr>
        <w:t>材料中多种元素的含量测定。光谱仪通过高压火花放电激发样品产生特征光谱，经光学系统分光后检测特征谱线的波长和强度，实现各元素的定性和定量分析。仪器结构包括激发系统、光学系统、测光系统和控制系统组成。示意图</w:t>
      </w:r>
      <w:r>
        <w:rPr>
          <w:rFonts w:hint="eastAsia" w:ascii="Times New Roman" w:hAnsi="Times New Roman" w:cs="Times New Roman"/>
          <w:b w:val="0"/>
          <w:bCs w:val="0"/>
          <w:kern w:val="2"/>
          <w:sz w:val="24"/>
          <w:szCs w:val="24"/>
          <w:lang w:val="en-US" w:eastAsia="zh-CN" w:bidi="ar-SA"/>
        </w:rPr>
        <w:t>见正文</w:t>
      </w:r>
      <w:r>
        <w:rPr>
          <w:rFonts w:hint="eastAsia" w:ascii="Times New Roman" w:hAnsi="Times New Roman" w:eastAsia="宋体" w:cs="Times New Roman"/>
          <w:b w:val="0"/>
          <w:bCs w:val="0"/>
          <w:kern w:val="2"/>
          <w:sz w:val="24"/>
          <w:szCs w:val="24"/>
          <w:lang w:val="en-US" w:eastAsia="zh-CN" w:bidi="ar-SA"/>
        </w:rPr>
        <w:t>图1。</w:t>
      </w:r>
    </w:p>
    <w:p w14:paraId="1A0386FE">
      <w:pPr>
        <w:pStyle w:val="4"/>
        <w:spacing w:before="156" w:after="156"/>
        <w:rPr>
          <w:b w:val="0"/>
          <w:bCs w:val="0"/>
          <w:sz w:val="24"/>
          <w:szCs w:val="24"/>
        </w:rPr>
      </w:pPr>
      <w:bookmarkStart w:id="33" w:name="_Toc193860181"/>
      <w:bookmarkStart w:id="34" w:name="_Toc193618953"/>
      <w:bookmarkStart w:id="35" w:name="_Toc193619056"/>
      <w:bookmarkStart w:id="36" w:name="_Toc19851_WPSOffice_Level1"/>
      <w:bookmarkStart w:id="37" w:name="_Toc500258938"/>
      <w:bookmarkStart w:id="38" w:name="_Toc193860031"/>
      <w:bookmarkStart w:id="39" w:name="_Toc193860212"/>
      <w:bookmarkStart w:id="40" w:name="_Toc193619098"/>
      <w:r>
        <w:rPr>
          <w:rFonts w:hint="eastAsia"/>
          <w:b w:val="0"/>
          <w:bCs w:val="0"/>
          <w:sz w:val="24"/>
          <w:szCs w:val="24"/>
        </w:rPr>
        <w:t>4计量特性</w:t>
      </w:r>
      <w:bookmarkEnd w:id="33"/>
      <w:bookmarkEnd w:id="34"/>
      <w:bookmarkEnd w:id="35"/>
      <w:bookmarkEnd w:id="36"/>
      <w:bookmarkEnd w:id="37"/>
      <w:bookmarkEnd w:id="38"/>
      <w:bookmarkEnd w:id="39"/>
      <w:bookmarkEnd w:id="40"/>
      <w:bookmarkStart w:id="41" w:name="_Toc25829_WPSOffice_Level1"/>
    </w:p>
    <w:p w14:paraId="7EE074E6">
      <w:pPr>
        <w:spacing w:line="400" w:lineRule="exact"/>
        <w:ind w:firstLine="480" w:firstLineChars="200"/>
        <w:rPr>
          <w:rFonts w:hint="eastAsia"/>
          <w:b w:val="0"/>
          <w:bCs w:val="0"/>
          <w:sz w:val="24"/>
          <w:szCs w:val="24"/>
          <w:lang w:val="en-US" w:eastAsia="zh-CN"/>
        </w:rPr>
      </w:pPr>
      <w:r>
        <w:rPr>
          <w:rFonts w:hint="eastAsia" w:cstheme="majorBidi"/>
          <w:b w:val="0"/>
          <w:bCs w:val="0"/>
          <w:kern w:val="44"/>
          <w:sz w:val="24"/>
          <w:szCs w:val="24"/>
          <w:lang w:val="en-US" w:eastAsia="zh-CN"/>
        </w:rPr>
        <w:t>根据实际使用情况，并与</w:t>
      </w:r>
      <w:r>
        <w:rPr>
          <w:rFonts w:hint="eastAsia" w:cstheme="majorBidi"/>
          <w:color w:val="auto"/>
          <w:kern w:val="44"/>
          <w:sz w:val="24"/>
          <w:szCs w:val="24"/>
        </w:rPr>
        <w:t>有色金属技术</w:t>
      </w:r>
      <w:r>
        <w:rPr>
          <w:rFonts w:hint="eastAsia" w:ascii="Times New Roman" w:hAnsi="Times New Roman" w:eastAsia="宋体" w:cstheme="majorBidi"/>
          <w:b w:val="0"/>
          <w:bCs w:val="0"/>
          <w:color w:val="auto"/>
          <w:kern w:val="44"/>
          <w:sz w:val="24"/>
          <w:szCs w:val="24"/>
          <w:lang w:val="en-US" w:eastAsia="zh-CN" w:bidi="ar-SA"/>
        </w:rPr>
        <w:t>经济研究院有限责任公司、</w:t>
      </w:r>
      <w:r>
        <w:rPr>
          <w:rFonts w:hint="eastAsia" w:cstheme="majorBidi"/>
          <w:b w:val="0"/>
          <w:bCs w:val="0"/>
          <w:color w:val="auto"/>
          <w:kern w:val="44"/>
          <w:sz w:val="24"/>
          <w:szCs w:val="24"/>
          <w:highlight w:val="none"/>
          <w:lang w:val="en-US" w:eastAsia="zh-CN"/>
        </w:rPr>
        <w:t>中铝洛阳铜加工有限公司</w:t>
      </w:r>
      <w:r>
        <w:rPr>
          <w:rFonts w:hint="eastAsia" w:cstheme="majorBidi"/>
          <w:b w:val="0"/>
          <w:bCs w:val="0"/>
          <w:color w:val="auto"/>
          <w:kern w:val="44"/>
          <w:sz w:val="24"/>
          <w:szCs w:val="24"/>
          <w:highlight w:val="none"/>
        </w:rPr>
        <w:t>、</w:t>
      </w:r>
      <w:r>
        <w:rPr>
          <w:rFonts w:hint="eastAsia" w:cstheme="majorBidi"/>
          <w:b w:val="0"/>
          <w:bCs w:val="0"/>
          <w:kern w:val="44"/>
          <w:sz w:val="24"/>
          <w:szCs w:val="24"/>
          <w:highlight w:val="none"/>
          <w:lang w:val="en-US" w:eastAsia="zh-CN"/>
        </w:rPr>
        <w:t>酒泉钢铁（集团）有限责任公司检验检测中心</w:t>
      </w:r>
      <w:r>
        <w:rPr>
          <w:rFonts w:hint="eastAsia" w:cstheme="majorBidi"/>
          <w:b w:val="0"/>
          <w:bCs w:val="0"/>
          <w:kern w:val="44"/>
          <w:sz w:val="24"/>
          <w:szCs w:val="24"/>
          <w:lang w:val="en-US" w:eastAsia="zh-CN"/>
        </w:rPr>
        <w:t>等单位沟通，结合实验数据，确定了有色金属材料分析用火花放电原子发射光谱仪</w:t>
      </w:r>
      <w:r>
        <w:rPr>
          <w:rFonts w:hint="eastAsia"/>
          <w:b w:val="0"/>
          <w:bCs w:val="0"/>
          <w:sz w:val="24"/>
          <w:szCs w:val="24"/>
          <w:lang w:val="en-US" w:eastAsia="zh-CN"/>
        </w:rPr>
        <w:t>的计量特性主要有四个：</w:t>
      </w:r>
    </w:p>
    <w:p w14:paraId="480276BD">
      <w:pPr>
        <w:spacing w:line="360" w:lineRule="auto"/>
        <w:rPr>
          <w:rFonts w:hint="eastAsia" w:ascii="黑体" w:hAnsi="黑体" w:eastAsia="黑体" w:cs="黑体"/>
          <w:b w:val="0"/>
          <w:bCs w:val="0"/>
          <w:kern w:val="44"/>
          <w:lang w:val="en-US" w:eastAsia="zh-CN"/>
        </w:rPr>
      </w:pPr>
      <w:r>
        <w:rPr>
          <w:rFonts w:hint="eastAsia" w:ascii="黑体" w:hAnsi="黑体" w:eastAsia="黑体" w:cs="黑体"/>
          <w:b w:val="0"/>
          <w:bCs w:val="0"/>
          <w:kern w:val="44"/>
        </w:rPr>
        <w:t xml:space="preserve">4.1 </w:t>
      </w:r>
      <w:r>
        <w:rPr>
          <w:rFonts w:hint="eastAsia" w:ascii="黑体" w:hAnsi="黑体" w:eastAsia="黑体" w:cs="黑体"/>
          <w:b w:val="0"/>
          <w:bCs w:val="0"/>
          <w:kern w:val="44"/>
          <w:lang w:val="en-US" w:eastAsia="zh-CN"/>
        </w:rPr>
        <w:t>检出限</w:t>
      </w:r>
    </w:p>
    <w:p w14:paraId="6EDFD250">
      <w:pPr>
        <w:spacing w:line="360" w:lineRule="auto"/>
        <w:ind w:firstLine="480"/>
        <w:rPr>
          <w:rFonts w:hint="eastAsia" w:cs="Times New Roman"/>
          <w:b w:val="0"/>
          <w:bCs w:val="0"/>
          <w:kern w:val="2"/>
          <w:sz w:val="24"/>
          <w:szCs w:val="24"/>
          <w:lang w:val="en-US" w:eastAsia="zh-CN"/>
        </w:rPr>
      </w:pPr>
      <w:r>
        <w:rPr>
          <w:rFonts w:hint="eastAsia" w:cstheme="majorBidi"/>
          <w:b w:val="0"/>
          <w:bCs w:val="0"/>
          <w:kern w:val="44"/>
          <w:sz w:val="24"/>
          <w:szCs w:val="24"/>
          <w:highlight w:val="none"/>
          <w:lang w:val="en-US" w:eastAsia="zh-CN"/>
        </w:rPr>
        <w:t>检出限</w:t>
      </w:r>
      <w:r>
        <w:rPr>
          <w:rFonts w:hint="default" w:ascii="Times New Roman" w:hAnsi="Times New Roman" w:cs="Times New Roman"/>
          <w:sz w:val="24"/>
          <w:szCs w:val="24"/>
          <w:highlight w:val="none"/>
          <w:vertAlign w:val="baseline"/>
          <w:lang w:val="en-US" w:eastAsia="zh-CN"/>
        </w:rPr>
        <w:t>≤0.006</w:t>
      </w:r>
      <w:r>
        <w:rPr>
          <w:rFonts w:hint="eastAsia" w:cstheme="majorBidi"/>
          <w:b w:val="0"/>
          <w:bCs w:val="0"/>
          <w:kern w:val="44"/>
          <w:sz w:val="24"/>
          <w:szCs w:val="24"/>
        </w:rPr>
        <w:t>。</w:t>
      </w:r>
      <w:r>
        <w:rPr>
          <w:rFonts w:hint="eastAsia"/>
          <w:sz w:val="24"/>
          <w:szCs w:val="24"/>
          <w:lang w:val="en-US" w:eastAsia="zh-CN"/>
        </w:rPr>
        <w:t>该项内容参考了JJG768-2005《发射光谱仪检定规程》中表2的内容。</w:t>
      </w:r>
      <w:r>
        <w:rPr>
          <w:rFonts w:hint="eastAsia" w:cstheme="majorBidi"/>
          <w:b w:val="0"/>
          <w:bCs w:val="0"/>
          <w:kern w:val="44"/>
          <w:sz w:val="24"/>
          <w:szCs w:val="24"/>
          <w:lang w:val="en-US" w:eastAsia="zh-CN"/>
        </w:rPr>
        <w:t>该项内容经</w:t>
      </w:r>
      <w:r>
        <w:rPr>
          <w:rFonts w:hint="eastAsia"/>
          <w:sz w:val="24"/>
          <w:szCs w:val="24"/>
          <w:lang w:val="en-US" w:eastAsia="zh-CN"/>
        </w:rPr>
        <w:t>国标（北京）检验认证有限公司、中铝洛阳铜加工有限公司、酒泉钢铁（集团）有限责任公司检验检测中心、</w:t>
      </w:r>
      <w:r>
        <w:rPr>
          <w:rFonts w:hint="eastAsia" w:ascii="Times New Roman" w:hAnsi="Times New Roman" w:cs="Times New Roman"/>
          <w:color w:val="auto"/>
          <w:kern w:val="2"/>
          <w:sz w:val="24"/>
          <w:szCs w:val="24"/>
        </w:rPr>
        <w:t>中铝材料应用研究院有限公司</w:t>
      </w:r>
      <w:r>
        <w:rPr>
          <w:rFonts w:hint="eastAsia" w:cs="Times New Roman"/>
          <w:b w:val="0"/>
          <w:bCs w:val="0"/>
          <w:kern w:val="2"/>
          <w:sz w:val="24"/>
          <w:szCs w:val="24"/>
          <w:lang w:val="en-US" w:eastAsia="zh-CN"/>
        </w:rPr>
        <w:t>的实验室验证，检出限验证数据见表</w:t>
      </w:r>
      <w:r>
        <w:rPr>
          <w:rFonts w:hint="eastAsia" w:ascii="Times New Roman" w:hAnsi="Times New Roman" w:cs="Times New Roman"/>
          <w:b w:val="0"/>
          <w:bCs w:val="0"/>
          <w:kern w:val="2"/>
          <w:sz w:val="24"/>
          <w:szCs w:val="24"/>
          <w:lang w:val="en-US" w:eastAsia="zh-CN"/>
        </w:rPr>
        <w:t>4</w:t>
      </w:r>
      <w:r>
        <w:rPr>
          <w:rFonts w:hint="eastAsia" w:cs="Times New Roman"/>
          <w:b w:val="0"/>
          <w:bCs w:val="0"/>
          <w:kern w:val="2"/>
          <w:sz w:val="24"/>
          <w:szCs w:val="24"/>
          <w:lang w:val="en-US" w:eastAsia="zh-CN"/>
        </w:rPr>
        <w:t>，该校准要求可以满足实验室使用规范。</w:t>
      </w:r>
    </w:p>
    <w:p w14:paraId="5F4F16AE">
      <w:pPr>
        <w:spacing w:line="360" w:lineRule="auto"/>
        <w:ind w:firstLine="480"/>
        <w:rPr>
          <w:rFonts w:hint="eastAsia" w:cs="Times New Roman"/>
          <w:b w:val="0"/>
          <w:bCs w:val="0"/>
          <w:kern w:val="2"/>
          <w:sz w:val="24"/>
          <w:szCs w:val="24"/>
          <w:lang w:val="en-US" w:eastAsia="zh-CN"/>
        </w:rPr>
      </w:pPr>
      <w:bookmarkStart w:id="81" w:name="_GoBack"/>
      <w:bookmarkEnd w:id="81"/>
    </w:p>
    <w:p w14:paraId="777BD010">
      <w:pPr>
        <w:spacing w:line="400" w:lineRule="exact"/>
        <w:jc w:val="center"/>
        <w:rPr>
          <w:rFonts w:hint="default"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表4 检出限验证数据</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2004"/>
        <w:gridCol w:w="2004"/>
        <w:gridCol w:w="2005"/>
        <w:gridCol w:w="2005"/>
        <w:tblGridChange w:id="0">
          <w:tblGrid>
            <w:gridCol w:w="1550"/>
            <w:gridCol w:w="2004"/>
            <w:gridCol w:w="2004"/>
            <w:gridCol w:w="2005"/>
            <w:gridCol w:w="2005"/>
          </w:tblGrid>
        </w:tblGridChange>
      </w:tblGrid>
      <w:tr w14:paraId="6D10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50" w:type="dxa"/>
            <w:vAlign w:val="center"/>
          </w:tcPr>
          <w:p w14:paraId="54781276">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验证单位</w:t>
            </w:r>
          </w:p>
        </w:tc>
        <w:tc>
          <w:tcPr>
            <w:tcW w:w="2004" w:type="dxa"/>
            <w:vAlign w:val="center"/>
          </w:tcPr>
          <w:p w14:paraId="07D0F7B3">
            <w:pPr>
              <w:spacing w:line="240" w:lineRule="auto"/>
              <w:jc w:val="center"/>
              <w:rPr>
                <w:rFonts w:hint="default" w:cstheme="majorBidi"/>
                <w:b w:val="0"/>
                <w:bCs w:val="0"/>
                <w:kern w:val="44"/>
                <w:szCs w:val="21"/>
                <w:vertAlign w:val="baseline"/>
                <w:lang w:val="en-US" w:eastAsia="zh-CN"/>
              </w:rPr>
            </w:pPr>
            <w:r>
              <w:rPr>
                <w:rFonts w:hint="eastAsia" w:cstheme="majorBidi"/>
                <w:b w:val="0"/>
                <w:bCs w:val="0"/>
                <w:kern w:val="44"/>
                <w:szCs w:val="21"/>
                <w:vertAlign w:val="baseline"/>
                <w:lang w:val="en-US" w:eastAsia="zh-CN"/>
              </w:rPr>
              <w:t>国标检验</w:t>
            </w:r>
          </w:p>
        </w:tc>
        <w:tc>
          <w:tcPr>
            <w:tcW w:w="2004" w:type="dxa"/>
            <w:vAlign w:val="center"/>
          </w:tcPr>
          <w:p w14:paraId="5870609F">
            <w:pPr>
              <w:spacing w:line="240" w:lineRule="auto"/>
              <w:jc w:val="center"/>
              <w:rPr>
                <w:rFonts w:hint="default" w:cstheme="majorBidi"/>
                <w:b w:val="0"/>
                <w:bCs w:val="0"/>
                <w:kern w:val="44"/>
                <w:szCs w:val="21"/>
                <w:vertAlign w:val="baseline"/>
                <w:lang w:val="en-US" w:eastAsia="zh-CN"/>
              </w:rPr>
            </w:pPr>
            <w:r>
              <w:rPr>
                <w:rFonts w:hint="eastAsia" w:cs="Times New Roman"/>
                <w:b w:val="0"/>
                <w:bCs w:val="0"/>
                <w:color w:val="auto"/>
                <w:kern w:val="2"/>
                <w:sz w:val="21"/>
                <w:szCs w:val="21"/>
                <w:lang w:val="en-US" w:eastAsia="zh-CN" w:bidi="ar-SA"/>
              </w:rPr>
              <w:t>中铝洛铜</w:t>
            </w:r>
          </w:p>
        </w:tc>
        <w:tc>
          <w:tcPr>
            <w:tcW w:w="2005" w:type="dxa"/>
            <w:vAlign w:val="center"/>
          </w:tcPr>
          <w:p w14:paraId="21B08835">
            <w:pPr>
              <w:spacing w:line="240" w:lineRule="auto"/>
              <w:jc w:val="center"/>
              <w:rPr>
                <w:rFonts w:hint="default" w:cstheme="majorBidi"/>
                <w:b w:val="0"/>
                <w:bCs w:val="0"/>
                <w:kern w:val="44"/>
                <w:szCs w:val="21"/>
                <w:vertAlign w:val="baseline"/>
                <w:lang w:val="en-US" w:eastAsia="zh-CN"/>
              </w:rPr>
            </w:pPr>
            <w:r>
              <w:rPr>
                <w:rFonts w:hint="eastAsia"/>
                <w:sz w:val="21"/>
                <w:szCs w:val="21"/>
                <w:lang w:val="en-US" w:eastAsia="zh-CN"/>
              </w:rPr>
              <w:t>酒泉钢铁</w:t>
            </w:r>
          </w:p>
        </w:tc>
        <w:tc>
          <w:tcPr>
            <w:tcW w:w="2005" w:type="dxa"/>
            <w:vAlign w:val="center"/>
          </w:tcPr>
          <w:p w14:paraId="1FE7A45F">
            <w:pPr>
              <w:widowControl/>
              <w:spacing w:line="240" w:lineRule="auto"/>
              <w:jc w:val="center"/>
              <w:rPr>
                <w:rFonts w:hint="eastAsia"/>
                <w:sz w:val="21"/>
                <w:szCs w:val="21"/>
                <w:lang w:val="en-US" w:eastAsia="zh-CN"/>
              </w:rPr>
            </w:pPr>
            <w:r>
              <w:rPr>
                <w:rFonts w:hint="eastAsia" w:ascii="Times New Roman" w:hAnsi="Times New Roman" w:eastAsia="宋体" w:cs="Times New Roman"/>
                <w:b w:val="0"/>
                <w:bCs w:val="0"/>
                <w:color w:val="auto"/>
                <w:kern w:val="2"/>
                <w:sz w:val="21"/>
                <w:szCs w:val="21"/>
                <w:lang w:val="en-US" w:eastAsia="zh-CN" w:bidi="ar"/>
              </w:rPr>
              <w:t>中铝材料应用研究院有限公司</w:t>
            </w:r>
          </w:p>
        </w:tc>
      </w:tr>
      <w:tr w14:paraId="089A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50" w:type="dxa"/>
            <w:vAlign w:val="center"/>
          </w:tcPr>
          <w:p w14:paraId="05719EC3">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标样</w:t>
            </w:r>
          </w:p>
        </w:tc>
        <w:tc>
          <w:tcPr>
            <w:tcW w:w="2004" w:type="dxa"/>
            <w:vAlign w:val="center"/>
          </w:tcPr>
          <w:p w14:paraId="523C14F1">
            <w:pPr>
              <w:keepNext w:val="0"/>
              <w:keepLines w:val="0"/>
              <w:widowControl/>
              <w:suppressLineNumbers w:val="0"/>
              <w:jc w:val="center"/>
              <w:rPr>
                <w:rFonts w:hint="eastAsia" w:ascii="Times New Roman" w:hAnsi="Times New Roman" w:eastAsia="宋体" w:cs="Times New Roman"/>
                <w:color w:val="000000"/>
                <w:kern w:val="0"/>
                <w:sz w:val="19"/>
                <w:szCs w:val="19"/>
                <w:lang w:val="en-US" w:eastAsia="zh-CN" w:bidi="ar"/>
              </w:rPr>
            </w:pPr>
            <w:r>
              <w:rPr>
                <w:rFonts w:hint="default" w:ascii="Times New Roman" w:hAnsi="Times New Roman" w:eastAsia="宋体" w:cs="Times New Roman"/>
                <w:color w:val="000000"/>
                <w:kern w:val="0"/>
                <w:sz w:val="19"/>
                <w:szCs w:val="19"/>
                <w:lang w:val="en-US" w:eastAsia="zh-CN" w:bidi="ar"/>
              </w:rPr>
              <w:t>GBW(E)020044</w:t>
            </w:r>
          </w:p>
        </w:tc>
        <w:tc>
          <w:tcPr>
            <w:tcW w:w="2004" w:type="dxa"/>
            <w:vAlign w:val="center"/>
          </w:tcPr>
          <w:p w14:paraId="744D0AB7">
            <w:pPr>
              <w:keepNext w:val="0"/>
              <w:keepLines w:val="0"/>
              <w:widowControl/>
              <w:suppressLineNumbers w:val="0"/>
              <w:jc w:val="center"/>
              <w:rPr>
                <w:rFonts w:hint="default" w:ascii="Times New Roman" w:hAnsi="Times New Roman" w:eastAsia="宋体" w:cs="Times New Roman"/>
                <w:color w:val="000000"/>
                <w:kern w:val="0"/>
                <w:sz w:val="19"/>
                <w:szCs w:val="19"/>
                <w:lang w:val="en-US" w:eastAsia="zh-CN" w:bidi="ar"/>
              </w:rPr>
            </w:pPr>
            <w:r>
              <w:rPr>
                <w:rFonts w:hint="eastAsia" w:ascii="Times New Roman" w:hAnsi="Times New Roman" w:eastAsia="宋体" w:cs="Times New Roman"/>
                <w:color w:val="000000"/>
                <w:kern w:val="0"/>
                <w:sz w:val="19"/>
                <w:szCs w:val="19"/>
                <w:lang w:val="en-US" w:eastAsia="zh-CN" w:bidi="ar"/>
              </w:rPr>
              <w:t>GBW</w:t>
            </w:r>
            <w:r>
              <w:rPr>
                <w:rFonts w:hint="default" w:ascii="Times New Roman" w:hAnsi="Times New Roman" w:eastAsia="宋体" w:cs="Times New Roman"/>
                <w:color w:val="000000"/>
                <w:kern w:val="0"/>
                <w:sz w:val="19"/>
                <w:szCs w:val="19"/>
                <w:lang w:val="en-US" w:eastAsia="zh-CN" w:bidi="ar"/>
              </w:rPr>
              <w:t>(E)</w:t>
            </w:r>
            <w:r>
              <w:rPr>
                <w:rFonts w:hint="eastAsia" w:ascii="Times New Roman" w:hAnsi="Times New Roman" w:eastAsia="宋体" w:cs="Times New Roman"/>
                <w:color w:val="000000"/>
                <w:kern w:val="0"/>
                <w:sz w:val="19"/>
                <w:szCs w:val="19"/>
                <w:lang w:val="en-US" w:eastAsia="zh-CN" w:bidi="ar"/>
              </w:rPr>
              <w:t>020272</w:t>
            </w:r>
          </w:p>
        </w:tc>
        <w:tc>
          <w:tcPr>
            <w:tcW w:w="2005" w:type="dxa"/>
            <w:vAlign w:val="center"/>
          </w:tcPr>
          <w:p w14:paraId="143B5E20">
            <w:pPr>
              <w:keepNext w:val="0"/>
              <w:keepLines w:val="0"/>
              <w:widowControl/>
              <w:suppressLineNumbers w:val="0"/>
              <w:jc w:val="center"/>
              <w:rPr>
                <w:rFonts w:hint="default" w:ascii="Times New Roman" w:hAnsi="Times New Roman" w:eastAsia="宋体" w:cs="Times New Roman"/>
                <w:color w:val="000000"/>
                <w:kern w:val="0"/>
                <w:sz w:val="19"/>
                <w:szCs w:val="19"/>
                <w:lang w:val="en-US" w:eastAsia="zh-CN" w:bidi="ar"/>
              </w:rPr>
            </w:pPr>
            <w:r>
              <w:rPr>
                <w:rFonts w:hint="eastAsia" w:ascii="Times New Roman" w:hAnsi="Times New Roman" w:eastAsia="宋体" w:cs="Times New Roman"/>
                <w:color w:val="000000"/>
                <w:kern w:val="0"/>
                <w:sz w:val="19"/>
                <w:szCs w:val="19"/>
                <w:lang w:val="en-US" w:eastAsia="zh-CN" w:bidi="ar"/>
              </w:rPr>
              <w:t>GSB 04-2013-2016、GSB 04-3067-2013</w:t>
            </w:r>
          </w:p>
        </w:tc>
        <w:tc>
          <w:tcPr>
            <w:tcW w:w="2005" w:type="dxa"/>
            <w:vAlign w:val="center"/>
          </w:tcPr>
          <w:p w14:paraId="25DD1429">
            <w:pPr>
              <w:keepNext w:val="0"/>
              <w:keepLines w:val="0"/>
              <w:widowControl/>
              <w:suppressLineNumbers w:val="0"/>
              <w:jc w:val="center"/>
              <w:rPr>
                <w:rFonts w:hint="eastAsia" w:ascii="Times New Roman" w:hAnsi="Times New Roman" w:eastAsia="宋体" w:cs="Times New Roman"/>
                <w:color w:val="000000"/>
                <w:kern w:val="0"/>
                <w:sz w:val="19"/>
                <w:szCs w:val="19"/>
                <w:lang w:val="en-US" w:eastAsia="zh-CN" w:bidi="ar"/>
              </w:rPr>
            </w:pPr>
            <w:r>
              <w:rPr>
                <w:rFonts w:hint="eastAsia" w:ascii="Times New Roman" w:hAnsi="Times New Roman" w:eastAsia="宋体" w:cs="Times New Roman"/>
                <w:color w:val="000000"/>
                <w:kern w:val="0"/>
                <w:sz w:val="19"/>
                <w:szCs w:val="19"/>
                <w:lang w:val="en-US" w:eastAsia="zh-CN" w:bidi="ar"/>
              </w:rPr>
              <w:t>GSB-04-1054-1999</w:t>
            </w:r>
          </w:p>
        </w:tc>
      </w:tr>
      <w:tr w14:paraId="3191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50" w:type="dxa"/>
            <w:vAlign w:val="center"/>
          </w:tcPr>
          <w:p w14:paraId="14C18C38">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元素</w:t>
            </w:r>
          </w:p>
        </w:tc>
        <w:tc>
          <w:tcPr>
            <w:tcW w:w="2004" w:type="dxa"/>
            <w:vAlign w:val="center"/>
          </w:tcPr>
          <w:p w14:paraId="002FDE10">
            <w:pPr>
              <w:spacing w:line="400" w:lineRule="exact"/>
              <w:rPr>
                <w:rFonts w:hint="eastAsia" w:eastAsia="宋体" w:cstheme="majorBidi"/>
                <w:b w:val="0"/>
                <w:bCs w:val="0"/>
                <w:kern w:val="44"/>
                <w:vertAlign w:val="baseline"/>
                <w:lang w:val="en-US" w:eastAsia="zh-CN"/>
              </w:rPr>
            </w:pPr>
            <w:r>
              <w:rPr>
                <w:rFonts w:hint="eastAsia" w:eastAsia="宋体" w:cstheme="majorBidi"/>
                <w:b w:val="0"/>
                <w:bCs w:val="0"/>
                <w:kern w:val="44"/>
                <w:vertAlign w:val="baseline"/>
                <w:lang w:val="en-US" w:eastAsia="zh-CN"/>
              </w:rPr>
              <w:t>Si、Fe、Mg、Mn、</w:t>
            </w:r>
            <w:r>
              <w:rPr>
                <w:rFonts w:hint="eastAsia" w:cstheme="majorBidi"/>
                <w:b w:val="0"/>
                <w:bCs w:val="0"/>
                <w:kern w:val="44"/>
                <w:vertAlign w:val="baseline"/>
                <w:lang w:val="en-US" w:eastAsia="zh-CN"/>
              </w:rPr>
              <w:t>Ti</w:t>
            </w:r>
            <w:r>
              <w:rPr>
                <w:rFonts w:hint="eastAsia" w:eastAsia="宋体" w:cstheme="majorBidi"/>
                <w:b w:val="0"/>
                <w:bCs w:val="0"/>
                <w:kern w:val="44"/>
                <w:vertAlign w:val="baseline"/>
                <w:lang w:val="en-US" w:eastAsia="zh-CN"/>
              </w:rPr>
              <w:t>、Ni、Zn、</w:t>
            </w:r>
            <w:r>
              <w:rPr>
                <w:rFonts w:hint="eastAsia" w:cstheme="majorBidi"/>
                <w:b w:val="0"/>
                <w:bCs w:val="0"/>
                <w:kern w:val="44"/>
                <w:vertAlign w:val="baseline"/>
                <w:lang w:val="en-US" w:eastAsia="zh-CN"/>
              </w:rPr>
              <w:t>V</w:t>
            </w:r>
            <w:r>
              <w:rPr>
                <w:rFonts w:hint="eastAsia" w:eastAsia="宋体" w:cstheme="majorBidi"/>
                <w:b w:val="0"/>
                <w:bCs w:val="0"/>
                <w:kern w:val="44"/>
                <w:vertAlign w:val="baseline"/>
                <w:lang w:val="en-US" w:eastAsia="zh-CN"/>
              </w:rPr>
              <w:t>、</w:t>
            </w:r>
            <w:r>
              <w:rPr>
                <w:rFonts w:hint="eastAsia" w:cstheme="majorBidi"/>
                <w:b w:val="0"/>
                <w:bCs w:val="0"/>
                <w:kern w:val="44"/>
                <w:vertAlign w:val="baseline"/>
                <w:lang w:val="en-US" w:eastAsia="zh-CN"/>
              </w:rPr>
              <w:t>Ga</w:t>
            </w:r>
          </w:p>
        </w:tc>
        <w:tc>
          <w:tcPr>
            <w:tcW w:w="2004" w:type="dxa"/>
            <w:vAlign w:val="center"/>
          </w:tcPr>
          <w:p w14:paraId="4A0A10A3">
            <w:pPr>
              <w:spacing w:line="240" w:lineRule="auto"/>
              <w:jc w:val="center"/>
              <w:rPr>
                <w:rFonts w:hint="default" w:cstheme="majorBidi"/>
                <w:b w:val="0"/>
                <w:bCs w:val="0"/>
                <w:kern w:val="44"/>
                <w:vertAlign w:val="baseline"/>
                <w:lang w:val="en-US" w:eastAsia="zh-CN"/>
              </w:rPr>
            </w:pPr>
            <w:r>
              <w:rPr>
                <w:rFonts w:hint="default" w:cstheme="majorBidi"/>
                <w:b w:val="0"/>
                <w:bCs w:val="0"/>
                <w:kern w:val="44"/>
                <w:vertAlign w:val="baseline"/>
                <w:lang w:val="en-US" w:eastAsia="zh-CN"/>
              </w:rPr>
              <w:t>Pb、Fe、Bi、Sb、As、Sn、Ni、Zn、P、S、Ag、Si、Mn、Cd、Co、Cr、Se</w:t>
            </w:r>
          </w:p>
        </w:tc>
        <w:tc>
          <w:tcPr>
            <w:tcW w:w="2005" w:type="dxa"/>
            <w:vAlign w:val="center"/>
          </w:tcPr>
          <w:p w14:paraId="4AE06C56">
            <w:pPr>
              <w:spacing w:line="240" w:lineRule="auto"/>
              <w:jc w:val="center"/>
              <w:rPr>
                <w:rFonts w:hint="default" w:cstheme="majorBidi"/>
                <w:b w:val="0"/>
                <w:bCs w:val="0"/>
                <w:kern w:val="44"/>
                <w:vertAlign w:val="baseline"/>
                <w:lang w:val="en-US" w:eastAsia="zh-CN"/>
              </w:rPr>
            </w:pPr>
            <w:r>
              <w:rPr>
                <w:rFonts w:hint="default" w:cstheme="majorBidi"/>
                <w:b w:val="0"/>
                <w:bCs w:val="0"/>
                <w:kern w:val="44"/>
                <w:vertAlign w:val="baseline"/>
                <w:lang w:val="en-US" w:eastAsia="zh-CN"/>
              </w:rPr>
              <w:t>Si、Fe、Cu、Mn、Mg、Zn、Ti、Ga</w:t>
            </w:r>
          </w:p>
        </w:tc>
        <w:tc>
          <w:tcPr>
            <w:tcW w:w="2005" w:type="dxa"/>
            <w:vAlign w:val="center"/>
          </w:tcPr>
          <w:p w14:paraId="77B29703">
            <w:pPr>
              <w:spacing w:line="240" w:lineRule="auto"/>
              <w:jc w:val="center"/>
              <w:rPr>
                <w:rFonts w:hint="default" w:cstheme="majorBidi"/>
                <w:b w:val="0"/>
                <w:bCs w:val="0"/>
                <w:kern w:val="44"/>
                <w:vertAlign w:val="baseline"/>
                <w:lang w:val="en-US" w:eastAsia="zh-CN"/>
              </w:rPr>
            </w:pPr>
            <w:r>
              <w:rPr>
                <w:rFonts w:hint="eastAsia" w:eastAsia="宋体" w:cstheme="majorBidi"/>
                <w:b w:val="0"/>
                <w:bCs w:val="0"/>
                <w:kern w:val="44"/>
                <w:vertAlign w:val="baseline"/>
                <w:lang w:val="en-US" w:eastAsia="zh-CN"/>
              </w:rPr>
              <w:t>Fe、</w:t>
            </w:r>
            <w:r>
              <w:rPr>
                <w:rFonts w:hint="eastAsia" w:cstheme="majorBidi"/>
                <w:b w:val="0"/>
                <w:bCs w:val="0"/>
                <w:kern w:val="44"/>
                <w:vertAlign w:val="baseline"/>
                <w:lang w:val="en-US" w:eastAsia="zh-CN"/>
              </w:rPr>
              <w:t>Cu</w:t>
            </w:r>
            <w:r>
              <w:rPr>
                <w:rFonts w:hint="eastAsia" w:eastAsia="宋体" w:cstheme="majorBidi"/>
                <w:b w:val="0"/>
                <w:bCs w:val="0"/>
                <w:kern w:val="44"/>
                <w:vertAlign w:val="baseline"/>
                <w:lang w:val="en-US" w:eastAsia="zh-CN"/>
              </w:rPr>
              <w:t>、Mg、Mn、</w:t>
            </w:r>
            <w:r>
              <w:rPr>
                <w:rFonts w:hint="eastAsia" w:cstheme="majorBidi"/>
                <w:b w:val="0"/>
                <w:bCs w:val="0"/>
                <w:kern w:val="44"/>
                <w:vertAlign w:val="baseline"/>
                <w:lang w:val="en-US" w:eastAsia="zh-CN"/>
              </w:rPr>
              <w:t>Ti</w:t>
            </w:r>
            <w:r>
              <w:rPr>
                <w:rFonts w:hint="eastAsia" w:eastAsia="宋体" w:cstheme="majorBidi"/>
                <w:b w:val="0"/>
                <w:bCs w:val="0"/>
                <w:kern w:val="44"/>
                <w:vertAlign w:val="baseline"/>
                <w:lang w:val="en-US" w:eastAsia="zh-CN"/>
              </w:rPr>
              <w:t>、Ni、Zn、</w:t>
            </w:r>
          </w:p>
        </w:tc>
      </w:tr>
      <w:tr w14:paraId="321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50" w:type="dxa"/>
            <w:vAlign w:val="center"/>
          </w:tcPr>
          <w:p w14:paraId="7543B08C">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最大检出限</w:t>
            </w:r>
          </w:p>
        </w:tc>
        <w:tc>
          <w:tcPr>
            <w:tcW w:w="2004" w:type="dxa"/>
            <w:vAlign w:val="center"/>
          </w:tcPr>
          <w:p w14:paraId="5016A13B">
            <w:pPr>
              <w:spacing w:line="240" w:lineRule="auto"/>
              <w:jc w:val="center"/>
              <w:rPr>
                <w:rFonts w:hint="default" w:cstheme="majorBidi"/>
                <w:b w:val="0"/>
                <w:bCs w:val="0"/>
                <w:kern w:val="44"/>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0.0023</w:t>
            </w:r>
            <w:r>
              <w:rPr>
                <w:rFonts w:hint="eastAsia" w:cs="Times New Roman"/>
                <w:i w:val="0"/>
                <w:iCs w:val="0"/>
                <w:color w:val="000000"/>
                <w:kern w:val="0"/>
                <w:sz w:val="21"/>
                <w:szCs w:val="21"/>
                <w:u w:val="none"/>
                <w:lang w:val="en-US" w:eastAsia="zh-CN" w:bidi="ar"/>
              </w:rPr>
              <w:t>%</w:t>
            </w:r>
          </w:p>
        </w:tc>
        <w:tc>
          <w:tcPr>
            <w:tcW w:w="2004" w:type="dxa"/>
            <w:vAlign w:val="center"/>
          </w:tcPr>
          <w:p w14:paraId="77F29E4F">
            <w:pPr>
              <w:spacing w:line="240" w:lineRule="auto"/>
              <w:jc w:val="center"/>
              <w:rPr>
                <w:rFonts w:hint="default" w:cstheme="majorBidi"/>
                <w:b w:val="0"/>
                <w:bCs w:val="0"/>
                <w:kern w:val="44"/>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14%</w:t>
            </w:r>
          </w:p>
        </w:tc>
        <w:tc>
          <w:tcPr>
            <w:tcW w:w="2005" w:type="dxa"/>
            <w:vAlign w:val="center"/>
          </w:tcPr>
          <w:p w14:paraId="15A59E1A">
            <w:pPr>
              <w:spacing w:line="240" w:lineRule="auto"/>
              <w:jc w:val="center"/>
              <w:rPr>
                <w:rFonts w:hint="default" w:cstheme="majorBidi"/>
                <w:b w:val="0"/>
                <w:bCs w:val="0"/>
                <w:kern w:val="44"/>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15%</w:t>
            </w:r>
          </w:p>
        </w:tc>
        <w:tc>
          <w:tcPr>
            <w:tcW w:w="2005" w:type="dxa"/>
            <w:vAlign w:val="center"/>
          </w:tcPr>
          <w:p w14:paraId="41D3825A">
            <w:pPr>
              <w:spacing w:line="240" w:lineRule="auto"/>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55%</w:t>
            </w:r>
          </w:p>
        </w:tc>
      </w:tr>
      <w:tr w14:paraId="7F45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4D677D67">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确定的检出限指标</w:t>
            </w:r>
          </w:p>
        </w:tc>
        <w:tc>
          <w:tcPr>
            <w:tcW w:w="8018" w:type="dxa"/>
            <w:gridSpan w:val="4"/>
            <w:vAlign w:val="center"/>
          </w:tcPr>
          <w:p w14:paraId="053ED386">
            <w:pPr>
              <w:spacing w:line="240" w:lineRule="auto"/>
              <w:jc w:val="center"/>
              <w:rPr>
                <w:rFonts w:hint="default" w:ascii="Times New Roman" w:hAnsi="Times New Roman" w:cs="Times New Roman"/>
                <w:sz w:val="24"/>
                <w:szCs w:val="24"/>
                <w:highlight w:val="none"/>
                <w:vertAlign w:val="baseline"/>
                <w:lang w:val="en-US" w:eastAsia="zh-CN"/>
              </w:rPr>
            </w:pPr>
            <w:r>
              <w:rPr>
                <w:rFonts w:hint="eastAsia" w:ascii="宋体" w:hAnsi="宋体" w:cs="宋体"/>
                <w:sz w:val="24"/>
                <w:szCs w:val="24"/>
                <w:highlight w:val="none"/>
                <w:vertAlign w:val="baseline"/>
                <w:lang w:val="en-US" w:eastAsia="zh-CN"/>
              </w:rPr>
              <w:t>≤</w:t>
            </w:r>
            <w:r>
              <w:rPr>
                <w:rFonts w:hint="default" w:ascii="Times New Roman" w:hAnsi="Times New Roman" w:cs="Times New Roman"/>
                <w:sz w:val="24"/>
                <w:szCs w:val="24"/>
                <w:highlight w:val="none"/>
                <w:vertAlign w:val="baseline"/>
                <w:lang w:val="en-US" w:eastAsia="zh-CN"/>
              </w:rPr>
              <w:t>0.006</w:t>
            </w:r>
          </w:p>
        </w:tc>
      </w:tr>
    </w:tbl>
    <w:p w14:paraId="0D7F7596">
      <w:pPr>
        <w:spacing w:line="400" w:lineRule="exact"/>
        <w:ind w:firstLine="480"/>
        <w:rPr>
          <w:rFonts w:hint="eastAsia" w:eastAsia="宋体" w:cstheme="majorBidi"/>
          <w:b w:val="0"/>
          <w:bCs w:val="0"/>
          <w:kern w:val="44"/>
          <w:sz w:val="24"/>
          <w:szCs w:val="24"/>
          <w:highlight w:val="none"/>
          <w:lang w:eastAsia="zh-CN"/>
        </w:rPr>
      </w:pPr>
    </w:p>
    <w:p w14:paraId="46C7CE80">
      <w:pPr>
        <w:spacing w:line="360" w:lineRule="auto"/>
        <w:rPr>
          <w:rFonts w:cstheme="majorBidi"/>
          <w:b w:val="0"/>
          <w:bCs w:val="0"/>
          <w:kern w:val="44"/>
        </w:rPr>
      </w:pPr>
      <w:r>
        <w:rPr>
          <w:rFonts w:hint="eastAsia" w:ascii="黑体" w:hAnsi="黑体" w:eastAsia="黑体" w:cs="黑体"/>
          <w:b w:val="0"/>
          <w:bCs w:val="0"/>
          <w:kern w:val="44"/>
        </w:rPr>
        <w:t>4.</w:t>
      </w:r>
      <w:r>
        <w:rPr>
          <w:rFonts w:hint="eastAsia" w:ascii="黑体" w:hAnsi="黑体" w:eastAsia="黑体" w:cs="黑体"/>
          <w:b w:val="0"/>
          <w:bCs w:val="0"/>
          <w:kern w:val="44"/>
          <w:lang w:val="en-US" w:eastAsia="zh-CN"/>
        </w:rPr>
        <w:t>2</w:t>
      </w:r>
      <w:r>
        <w:rPr>
          <w:rFonts w:hint="eastAsia" w:ascii="黑体" w:hAnsi="黑体" w:eastAsia="黑体" w:cs="黑体"/>
          <w:b w:val="0"/>
          <w:bCs w:val="0"/>
          <w:kern w:val="44"/>
        </w:rPr>
        <w:t xml:space="preserve"> 示值误差</w:t>
      </w:r>
    </w:p>
    <w:p w14:paraId="55BF3C81">
      <w:pPr>
        <w:spacing w:line="360" w:lineRule="auto"/>
        <w:ind w:firstLine="480"/>
        <w:rPr>
          <w:rFonts w:hint="eastAsia" w:cstheme="majorBidi"/>
          <w:b w:val="0"/>
          <w:bCs w:val="0"/>
          <w:kern w:val="44"/>
          <w:sz w:val="24"/>
          <w:szCs w:val="24"/>
          <w:lang w:val="en-US" w:eastAsia="zh-CN"/>
        </w:rPr>
      </w:pPr>
      <w:r>
        <w:rPr>
          <w:rFonts w:cstheme="majorBidi"/>
          <w:b w:val="0"/>
          <w:bCs w:val="0"/>
          <w:kern w:val="44"/>
          <w:sz w:val="24"/>
          <w:szCs w:val="24"/>
        </w:rPr>
        <w:t>示值</w:t>
      </w:r>
      <w:r>
        <w:rPr>
          <w:rFonts w:hint="eastAsia" w:cstheme="majorBidi"/>
          <w:b w:val="0"/>
          <w:bCs w:val="0"/>
          <w:kern w:val="44"/>
          <w:sz w:val="24"/>
          <w:szCs w:val="24"/>
        </w:rPr>
        <w:t>最大允许误差</w:t>
      </w:r>
      <w:r>
        <w:rPr>
          <w:rFonts w:cstheme="majorBidi"/>
          <w:b w:val="0"/>
          <w:bCs w:val="0"/>
          <w:kern w:val="44"/>
          <w:sz w:val="24"/>
          <w:szCs w:val="24"/>
        </w:rPr>
        <w:t>±</w:t>
      </w:r>
      <w:r>
        <w:rPr>
          <w:rFonts w:hint="eastAsia" w:cstheme="majorBidi"/>
          <w:b w:val="0"/>
          <w:bCs w:val="0"/>
          <w:kern w:val="44"/>
          <w:sz w:val="24"/>
          <w:szCs w:val="24"/>
          <w:lang w:val="en-US" w:eastAsia="zh-CN"/>
        </w:rPr>
        <w:t>15</w:t>
      </w:r>
      <w:r>
        <w:rPr>
          <w:rFonts w:hint="eastAsia" w:cstheme="majorBidi"/>
          <w:b w:val="0"/>
          <w:bCs w:val="0"/>
          <w:kern w:val="44"/>
          <w:sz w:val="24"/>
          <w:szCs w:val="24"/>
        </w:rPr>
        <w:t>.0 %。</w:t>
      </w:r>
      <w:r>
        <w:rPr>
          <w:rFonts w:hint="eastAsia" w:cstheme="majorBidi"/>
          <w:b w:val="0"/>
          <w:bCs w:val="0"/>
          <w:kern w:val="44"/>
          <w:sz w:val="24"/>
          <w:szCs w:val="24"/>
          <w:lang w:val="en-US" w:eastAsia="zh-CN"/>
        </w:rPr>
        <w:t>该项内容经</w:t>
      </w:r>
      <w:r>
        <w:rPr>
          <w:rFonts w:hint="eastAsia"/>
          <w:sz w:val="24"/>
          <w:szCs w:val="24"/>
          <w:lang w:val="en-US" w:eastAsia="zh-CN"/>
        </w:rPr>
        <w:t>国标（北京）检验认证有限公司、中铝洛阳铜加工有限公司、酒泉钢铁（集团）有限责任公司检验检测中心、</w:t>
      </w:r>
      <w:r>
        <w:rPr>
          <w:rFonts w:hint="eastAsia" w:ascii="Times New Roman" w:hAnsi="Times New Roman" w:cs="Times New Roman"/>
          <w:kern w:val="2"/>
          <w:sz w:val="24"/>
          <w:szCs w:val="24"/>
        </w:rPr>
        <w:t>中铝材料应用研究院有限公司</w:t>
      </w:r>
      <w:r>
        <w:rPr>
          <w:rFonts w:hint="eastAsia" w:cstheme="majorBidi"/>
          <w:b w:val="0"/>
          <w:bCs w:val="0"/>
          <w:kern w:val="44"/>
          <w:sz w:val="24"/>
          <w:szCs w:val="24"/>
          <w:lang w:val="en-US" w:eastAsia="zh-CN"/>
        </w:rPr>
        <w:t>的实验室验证，示值误差验证数据见表</w:t>
      </w:r>
      <w:r>
        <w:rPr>
          <w:rFonts w:hint="eastAsia"/>
          <w:sz w:val="24"/>
          <w:szCs w:val="24"/>
          <w:lang w:val="en-US" w:eastAsia="zh-CN"/>
        </w:rPr>
        <w:t>5</w:t>
      </w:r>
      <w:r>
        <w:rPr>
          <w:rFonts w:hint="eastAsia" w:cstheme="majorBidi"/>
          <w:b w:val="0"/>
          <w:bCs w:val="0"/>
          <w:kern w:val="44"/>
          <w:sz w:val="24"/>
          <w:szCs w:val="24"/>
          <w:lang w:val="en-US" w:eastAsia="zh-CN"/>
        </w:rPr>
        <w:t>，该校准要求可以满足实验室使用规范。</w:t>
      </w:r>
    </w:p>
    <w:p w14:paraId="3D7578DD">
      <w:pPr>
        <w:spacing w:line="360" w:lineRule="auto"/>
        <w:ind w:firstLine="480"/>
        <w:rPr>
          <w:rFonts w:hint="eastAsia" w:cstheme="majorBidi"/>
          <w:b w:val="0"/>
          <w:bCs w:val="0"/>
          <w:kern w:val="44"/>
          <w:sz w:val="24"/>
          <w:szCs w:val="24"/>
          <w:lang w:val="en-US" w:eastAsia="zh-CN"/>
        </w:rPr>
      </w:pPr>
    </w:p>
    <w:p w14:paraId="7279C59C">
      <w:pPr>
        <w:spacing w:line="360" w:lineRule="auto"/>
        <w:ind w:firstLine="480"/>
        <w:rPr>
          <w:rFonts w:hint="eastAsia" w:cstheme="majorBidi"/>
          <w:b w:val="0"/>
          <w:bCs w:val="0"/>
          <w:kern w:val="44"/>
          <w:sz w:val="24"/>
          <w:szCs w:val="24"/>
          <w:lang w:val="en-US" w:eastAsia="zh-CN"/>
        </w:rPr>
      </w:pPr>
    </w:p>
    <w:p w14:paraId="535CBA42">
      <w:pPr>
        <w:spacing w:line="360" w:lineRule="auto"/>
        <w:ind w:firstLine="480"/>
        <w:rPr>
          <w:rFonts w:hint="eastAsia" w:cstheme="majorBidi"/>
          <w:b w:val="0"/>
          <w:bCs w:val="0"/>
          <w:kern w:val="44"/>
          <w:sz w:val="24"/>
          <w:szCs w:val="24"/>
          <w:lang w:val="en-US" w:eastAsia="zh-CN"/>
        </w:rPr>
      </w:pPr>
    </w:p>
    <w:p w14:paraId="06C68A7B">
      <w:pPr>
        <w:spacing w:line="360" w:lineRule="auto"/>
        <w:ind w:firstLine="480"/>
        <w:rPr>
          <w:rFonts w:hint="eastAsia" w:cstheme="majorBidi"/>
          <w:b w:val="0"/>
          <w:bCs w:val="0"/>
          <w:kern w:val="44"/>
          <w:sz w:val="24"/>
          <w:szCs w:val="24"/>
          <w:lang w:val="en-US" w:eastAsia="zh-CN"/>
        </w:rPr>
      </w:pPr>
    </w:p>
    <w:p w14:paraId="3ABF824C">
      <w:pPr>
        <w:spacing w:line="360" w:lineRule="auto"/>
        <w:ind w:firstLine="480"/>
        <w:jc w:val="left"/>
        <w:rPr>
          <w:rFonts w:hint="eastAsia" w:cstheme="majorBidi"/>
          <w:b w:val="0"/>
          <w:bCs w:val="0"/>
          <w:kern w:val="44"/>
          <w:sz w:val="24"/>
          <w:szCs w:val="24"/>
          <w:lang w:val="en-US" w:eastAsia="zh-CN"/>
        </w:rPr>
      </w:pPr>
    </w:p>
    <w:p w14:paraId="3D46D8C7">
      <w:pPr>
        <w:spacing w:line="400" w:lineRule="exact"/>
        <w:jc w:val="center"/>
        <w:rPr>
          <w:rFonts w:hint="default"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表5 示值误差验证数据</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018"/>
        <w:gridCol w:w="2002"/>
        <w:gridCol w:w="2011"/>
        <w:gridCol w:w="1996"/>
        <w:tblGridChange w:id="1">
          <w:tblGrid>
            <w:gridCol w:w="1544"/>
            <w:gridCol w:w="2018"/>
            <w:gridCol w:w="2002"/>
            <w:gridCol w:w="2011"/>
            <w:gridCol w:w="1996"/>
          </w:tblGrid>
        </w:tblGridChange>
      </w:tblGrid>
      <w:tr w14:paraId="59C2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44" w:type="dxa"/>
            <w:vAlign w:val="center"/>
          </w:tcPr>
          <w:p w14:paraId="6367A345">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验证单位</w:t>
            </w:r>
          </w:p>
        </w:tc>
        <w:tc>
          <w:tcPr>
            <w:tcW w:w="2018" w:type="dxa"/>
            <w:vAlign w:val="center"/>
          </w:tcPr>
          <w:p w14:paraId="49C35FB3">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国标检验</w:t>
            </w:r>
          </w:p>
        </w:tc>
        <w:tc>
          <w:tcPr>
            <w:tcW w:w="2002" w:type="dxa"/>
            <w:vAlign w:val="center"/>
          </w:tcPr>
          <w:p w14:paraId="622F3727">
            <w:pPr>
              <w:spacing w:line="240" w:lineRule="auto"/>
              <w:jc w:val="center"/>
              <w:rPr>
                <w:rFonts w:hint="default" w:cstheme="majorBidi"/>
                <w:b w:val="0"/>
                <w:bCs w:val="0"/>
                <w:kern w:val="44"/>
                <w:vertAlign w:val="baseline"/>
                <w:lang w:val="en-US" w:eastAsia="zh-CN"/>
              </w:rPr>
            </w:pPr>
            <w:r>
              <w:rPr>
                <w:rFonts w:hint="eastAsia" w:cs="Times New Roman"/>
                <w:b w:val="0"/>
                <w:bCs w:val="0"/>
                <w:color w:val="auto"/>
                <w:kern w:val="2"/>
                <w:sz w:val="21"/>
                <w:szCs w:val="21"/>
                <w:lang w:val="en-US" w:eastAsia="zh-CN" w:bidi="ar-SA"/>
              </w:rPr>
              <w:t>中铝洛铜</w:t>
            </w:r>
          </w:p>
        </w:tc>
        <w:tc>
          <w:tcPr>
            <w:tcW w:w="2011" w:type="dxa"/>
            <w:vAlign w:val="center"/>
          </w:tcPr>
          <w:p w14:paraId="270E344E">
            <w:pPr>
              <w:spacing w:line="240" w:lineRule="auto"/>
              <w:jc w:val="center"/>
              <w:rPr>
                <w:rFonts w:hint="default" w:cstheme="majorBidi"/>
                <w:b w:val="0"/>
                <w:bCs w:val="0"/>
                <w:kern w:val="44"/>
                <w:vertAlign w:val="baseline"/>
                <w:lang w:val="en-US" w:eastAsia="zh-CN"/>
              </w:rPr>
            </w:pPr>
            <w:r>
              <w:rPr>
                <w:rFonts w:hint="eastAsia"/>
                <w:sz w:val="21"/>
                <w:szCs w:val="21"/>
                <w:lang w:val="en-US" w:eastAsia="zh-CN"/>
              </w:rPr>
              <w:t>酒泉钢铁</w:t>
            </w:r>
          </w:p>
        </w:tc>
        <w:tc>
          <w:tcPr>
            <w:tcW w:w="1996" w:type="dxa"/>
            <w:shd w:val="clear" w:color="auto" w:fill="auto"/>
            <w:vAlign w:val="center"/>
          </w:tcPr>
          <w:p w14:paraId="32A79F7D">
            <w:pPr>
              <w:widowControl/>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
              </w:rPr>
              <w:t>中铝材料应用研究院有限公司</w:t>
            </w:r>
          </w:p>
        </w:tc>
      </w:tr>
      <w:tr w14:paraId="59F9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44" w:type="dxa"/>
            <w:vAlign w:val="center"/>
          </w:tcPr>
          <w:p w14:paraId="29D67AB9">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标样</w:t>
            </w:r>
          </w:p>
        </w:tc>
        <w:tc>
          <w:tcPr>
            <w:tcW w:w="2018" w:type="dxa"/>
            <w:vAlign w:val="center"/>
          </w:tcPr>
          <w:p w14:paraId="648E9F7E">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 xml:space="preserve">GBW(E)020057~GBW </w:t>
            </w:r>
          </w:p>
          <w:p w14:paraId="358CFCCB">
            <w:pPr>
              <w:keepNext w:val="0"/>
              <w:keepLines w:val="0"/>
              <w:widowControl/>
              <w:suppressLineNumbers w:val="0"/>
              <w:jc w:val="center"/>
              <w:rPr>
                <w:rFonts w:hint="eastAsia" w:eastAsia="宋体" w:cstheme="majorBidi"/>
                <w:b w:val="0"/>
                <w:bCs w:val="0"/>
                <w:kern w:val="44"/>
                <w:vertAlign w:val="baseline"/>
                <w:lang w:val="en-US" w:eastAsia="zh-CN"/>
              </w:rPr>
            </w:pPr>
            <w:r>
              <w:rPr>
                <w:rFonts w:hint="default" w:ascii="Times New Roman" w:hAnsi="Times New Roman" w:eastAsia="宋体" w:cs="Times New Roman"/>
                <w:color w:val="000000"/>
                <w:kern w:val="0"/>
                <w:sz w:val="19"/>
                <w:szCs w:val="19"/>
                <w:lang w:val="en-US" w:eastAsia="zh-CN" w:bidi="ar"/>
              </w:rPr>
              <w:t>(E)020063</w:t>
            </w:r>
          </w:p>
        </w:tc>
        <w:tc>
          <w:tcPr>
            <w:tcW w:w="2002" w:type="dxa"/>
            <w:vAlign w:val="center"/>
          </w:tcPr>
          <w:p w14:paraId="33094E05">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GSB 04-3765-2020、YSS024-2025</w:t>
            </w:r>
          </w:p>
        </w:tc>
        <w:tc>
          <w:tcPr>
            <w:tcW w:w="2011" w:type="dxa"/>
            <w:vAlign w:val="center"/>
          </w:tcPr>
          <w:p w14:paraId="055BD9C0">
            <w:pPr>
              <w:spacing w:line="240" w:lineRule="auto"/>
              <w:jc w:val="center"/>
              <w:rPr>
                <w:rFonts w:hint="default" w:cstheme="majorBidi"/>
                <w:b w:val="0"/>
                <w:bCs w:val="0"/>
                <w:kern w:val="44"/>
                <w:vertAlign w:val="baseline"/>
                <w:lang w:val="en-US" w:eastAsia="zh-CN"/>
              </w:rPr>
            </w:pPr>
            <w:r>
              <w:rPr>
                <w:rFonts w:hint="eastAsia" w:ascii="Times New Roman" w:hAnsi="Times New Roman" w:eastAsia="宋体" w:cs="Times New Roman"/>
                <w:color w:val="000000"/>
                <w:kern w:val="0"/>
                <w:sz w:val="19"/>
                <w:szCs w:val="19"/>
                <w:lang w:val="en-US" w:eastAsia="zh-CN" w:bidi="ar"/>
              </w:rPr>
              <w:t>GSB 04-3227-2014、220F-09232011-SUS-F</w:t>
            </w:r>
          </w:p>
        </w:tc>
        <w:tc>
          <w:tcPr>
            <w:tcW w:w="1996" w:type="dxa"/>
            <w:shd w:val="clear" w:color="auto" w:fill="auto"/>
            <w:vAlign w:val="center"/>
          </w:tcPr>
          <w:p w14:paraId="31271D44">
            <w:pPr>
              <w:keepNext w:val="0"/>
              <w:keepLines w:val="0"/>
              <w:widowControl/>
              <w:suppressLineNumbers w:val="0"/>
              <w:jc w:val="center"/>
              <w:rPr>
                <w:rFonts w:hint="eastAsia" w:ascii="Times New Roman" w:hAnsi="Times New Roman" w:eastAsia="宋体" w:cs="Times New Roman"/>
                <w:color w:val="000000"/>
                <w:kern w:val="0"/>
                <w:sz w:val="19"/>
                <w:szCs w:val="19"/>
                <w:lang w:val="en-US" w:eastAsia="zh-CN" w:bidi="ar"/>
              </w:rPr>
            </w:pPr>
            <w:r>
              <w:rPr>
                <w:rFonts w:hint="eastAsia" w:ascii="Times New Roman" w:hAnsi="Times New Roman" w:eastAsia="宋体" w:cs="Times New Roman"/>
                <w:color w:val="000000"/>
                <w:kern w:val="0"/>
                <w:sz w:val="19"/>
                <w:szCs w:val="19"/>
                <w:lang w:val="en-US" w:eastAsia="zh-CN" w:bidi="ar"/>
              </w:rPr>
              <w:t>GSB-04-1054-1999</w:t>
            </w:r>
          </w:p>
        </w:tc>
      </w:tr>
      <w:tr w14:paraId="71AF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544" w:type="dxa"/>
            <w:vAlign w:val="center"/>
          </w:tcPr>
          <w:p w14:paraId="794E7FF1">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元素</w:t>
            </w:r>
          </w:p>
        </w:tc>
        <w:tc>
          <w:tcPr>
            <w:tcW w:w="2018" w:type="dxa"/>
            <w:vAlign w:val="center"/>
          </w:tcPr>
          <w:p w14:paraId="69ADCED5">
            <w:pPr>
              <w:spacing w:line="240" w:lineRule="auto"/>
              <w:jc w:val="center"/>
              <w:rPr>
                <w:rFonts w:hint="eastAsia" w:eastAsia="宋体" w:cstheme="majorBidi"/>
                <w:b w:val="0"/>
                <w:bCs w:val="0"/>
                <w:kern w:val="44"/>
                <w:vertAlign w:val="baseline"/>
                <w:lang w:val="en-US" w:eastAsia="zh-CN"/>
              </w:rPr>
            </w:pPr>
            <w:r>
              <w:rPr>
                <w:rFonts w:hint="eastAsia" w:eastAsia="宋体" w:cstheme="majorBidi"/>
                <w:b w:val="0"/>
                <w:bCs w:val="0"/>
                <w:kern w:val="44"/>
                <w:vertAlign w:val="baseline"/>
                <w:lang w:val="en-US" w:eastAsia="zh-CN"/>
              </w:rPr>
              <w:t>Si、Fe、Mg、Cu、Mn、Ni、Zn、Sn、Cr</w:t>
            </w:r>
          </w:p>
        </w:tc>
        <w:tc>
          <w:tcPr>
            <w:tcW w:w="2002" w:type="dxa"/>
            <w:vAlign w:val="center"/>
          </w:tcPr>
          <w:p w14:paraId="24F8FC57">
            <w:pPr>
              <w:spacing w:line="240" w:lineRule="auto"/>
              <w:jc w:val="center"/>
              <w:rPr>
                <w:rFonts w:hint="default" w:cstheme="majorBidi"/>
                <w:b w:val="0"/>
                <w:bCs w:val="0"/>
                <w:kern w:val="44"/>
                <w:vertAlign w:val="baseline"/>
                <w:lang w:val="en-US" w:eastAsia="zh-CN"/>
              </w:rPr>
            </w:pPr>
            <w:r>
              <w:rPr>
                <w:rFonts w:hint="default" w:cstheme="majorBidi"/>
                <w:b w:val="0"/>
                <w:bCs w:val="0"/>
                <w:kern w:val="44"/>
                <w:vertAlign w:val="baseline"/>
                <w:lang w:val="en-US" w:eastAsia="zh-CN"/>
              </w:rPr>
              <w:t>Pb、Fe、Bi、Sb、As、Sn、Ni、Zn、P、S、Ag、Si、Mn、Cd、Co、Se、Mg</w:t>
            </w:r>
          </w:p>
        </w:tc>
        <w:tc>
          <w:tcPr>
            <w:tcW w:w="2011" w:type="dxa"/>
            <w:vAlign w:val="center"/>
          </w:tcPr>
          <w:p w14:paraId="2D7685BE">
            <w:pPr>
              <w:spacing w:line="240" w:lineRule="auto"/>
              <w:jc w:val="center"/>
              <w:rPr>
                <w:rFonts w:hint="default" w:cstheme="majorBidi"/>
                <w:b w:val="0"/>
                <w:bCs w:val="0"/>
                <w:kern w:val="44"/>
                <w:vertAlign w:val="baseline"/>
                <w:lang w:val="en-US" w:eastAsia="zh-CN"/>
              </w:rPr>
            </w:pPr>
            <w:r>
              <w:rPr>
                <w:rFonts w:hint="default" w:cstheme="majorBidi"/>
                <w:b w:val="0"/>
                <w:bCs w:val="0"/>
                <w:kern w:val="44"/>
                <w:vertAlign w:val="baseline"/>
                <w:lang w:val="en-US" w:eastAsia="zh-CN"/>
              </w:rPr>
              <w:t>Si、Fe、Cu、Mn、Mg、Zn、Ti、Ga</w:t>
            </w:r>
          </w:p>
        </w:tc>
        <w:tc>
          <w:tcPr>
            <w:tcW w:w="1996" w:type="dxa"/>
            <w:shd w:val="clear" w:color="auto" w:fill="auto"/>
            <w:vAlign w:val="center"/>
          </w:tcPr>
          <w:p w14:paraId="7C9827A5">
            <w:pPr>
              <w:spacing w:line="240" w:lineRule="auto"/>
              <w:jc w:val="center"/>
              <w:rPr>
                <w:rFonts w:hint="default" w:ascii="Times New Roman" w:hAnsi="Times New Roman" w:eastAsia="宋体" w:cstheme="majorBidi"/>
                <w:b w:val="0"/>
                <w:bCs w:val="0"/>
                <w:kern w:val="44"/>
                <w:sz w:val="21"/>
                <w:szCs w:val="24"/>
                <w:vertAlign w:val="baseline"/>
                <w:lang w:val="en-US" w:eastAsia="zh-CN" w:bidi="ar-SA"/>
              </w:rPr>
            </w:pPr>
            <w:r>
              <w:rPr>
                <w:rFonts w:hint="eastAsia" w:eastAsia="宋体" w:cstheme="majorBidi"/>
                <w:b w:val="0"/>
                <w:bCs w:val="0"/>
                <w:kern w:val="44"/>
                <w:vertAlign w:val="baseline"/>
                <w:lang w:val="en-US" w:eastAsia="zh-CN"/>
              </w:rPr>
              <w:t>Fe、</w:t>
            </w:r>
            <w:r>
              <w:rPr>
                <w:rFonts w:hint="eastAsia" w:cstheme="majorBidi"/>
                <w:b w:val="0"/>
                <w:bCs w:val="0"/>
                <w:kern w:val="44"/>
                <w:vertAlign w:val="baseline"/>
                <w:lang w:val="en-US" w:eastAsia="zh-CN"/>
              </w:rPr>
              <w:t>Cu</w:t>
            </w:r>
            <w:r>
              <w:rPr>
                <w:rFonts w:hint="eastAsia" w:eastAsia="宋体" w:cstheme="majorBidi"/>
                <w:b w:val="0"/>
                <w:bCs w:val="0"/>
                <w:kern w:val="44"/>
                <w:vertAlign w:val="baseline"/>
                <w:lang w:val="en-US" w:eastAsia="zh-CN"/>
              </w:rPr>
              <w:t>、Mg、Mn、</w:t>
            </w:r>
            <w:r>
              <w:rPr>
                <w:rFonts w:hint="eastAsia" w:cstheme="majorBidi"/>
                <w:b w:val="0"/>
                <w:bCs w:val="0"/>
                <w:kern w:val="44"/>
                <w:vertAlign w:val="baseline"/>
                <w:lang w:val="en-US" w:eastAsia="zh-CN"/>
              </w:rPr>
              <w:t>Cr</w:t>
            </w:r>
            <w:r>
              <w:rPr>
                <w:rFonts w:hint="eastAsia" w:eastAsia="宋体" w:cstheme="majorBidi"/>
                <w:b w:val="0"/>
                <w:bCs w:val="0"/>
                <w:kern w:val="44"/>
                <w:vertAlign w:val="baseline"/>
                <w:lang w:val="en-US" w:eastAsia="zh-CN"/>
              </w:rPr>
              <w:t>、</w:t>
            </w:r>
            <w:r>
              <w:rPr>
                <w:rFonts w:hint="eastAsia" w:cstheme="majorBidi"/>
                <w:b w:val="0"/>
                <w:bCs w:val="0"/>
                <w:kern w:val="44"/>
                <w:vertAlign w:val="baseline"/>
                <w:lang w:val="en-US" w:eastAsia="zh-CN"/>
              </w:rPr>
              <w:t>Ti</w:t>
            </w:r>
            <w:r>
              <w:rPr>
                <w:rFonts w:hint="eastAsia" w:eastAsia="宋体" w:cstheme="majorBidi"/>
                <w:b w:val="0"/>
                <w:bCs w:val="0"/>
                <w:kern w:val="44"/>
                <w:vertAlign w:val="baseline"/>
                <w:lang w:val="en-US" w:eastAsia="zh-CN"/>
              </w:rPr>
              <w:t>、Ni、Zn</w:t>
            </w:r>
          </w:p>
        </w:tc>
      </w:tr>
      <w:tr w14:paraId="6A9D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44" w:type="dxa"/>
            <w:vAlign w:val="center"/>
          </w:tcPr>
          <w:p w14:paraId="1253A3BC">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最大示值误差</w:t>
            </w:r>
          </w:p>
        </w:tc>
        <w:tc>
          <w:tcPr>
            <w:tcW w:w="2018" w:type="dxa"/>
            <w:vAlign w:val="center"/>
          </w:tcPr>
          <w:p w14:paraId="2444909B">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-14.5%</w:t>
            </w:r>
          </w:p>
        </w:tc>
        <w:tc>
          <w:tcPr>
            <w:tcW w:w="2002" w:type="dxa"/>
            <w:vAlign w:val="center"/>
          </w:tcPr>
          <w:p w14:paraId="2ED18E36">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-13.3%</w:t>
            </w:r>
          </w:p>
        </w:tc>
        <w:tc>
          <w:tcPr>
            <w:tcW w:w="2011" w:type="dxa"/>
            <w:vAlign w:val="center"/>
          </w:tcPr>
          <w:p w14:paraId="26CFFB39">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3.0%</w:t>
            </w:r>
          </w:p>
        </w:tc>
        <w:tc>
          <w:tcPr>
            <w:tcW w:w="1996" w:type="dxa"/>
            <w:vAlign w:val="center"/>
          </w:tcPr>
          <w:p w14:paraId="00F24FD3">
            <w:pPr>
              <w:spacing w:line="240" w:lineRule="auto"/>
              <w:jc w:val="center"/>
              <w:rPr>
                <w:rFonts w:hint="eastAsia" w:cstheme="majorBidi"/>
                <w:b w:val="0"/>
                <w:bCs w:val="0"/>
                <w:kern w:val="44"/>
                <w:vertAlign w:val="baseline"/>
                <w:lang w:val="en-US" w:eastAsia="zh-CN"/>
              </w:rPr>
            </w:pPr>
            <w:r>
              <w:rPr>
                <w:rFonts w:hint="eastAsia" w:cstheme="majorBidi"/>
                <w:b w:val="0"/>
                <w:bCs w:val="0"/>
                <w:kern w:val="44"/>
                <w:vertAlign w:val="baseline"/>
                <w:lang w:val="en-US" w:eastAsia="zh-CN"/>
              </w:rPr>
              <w:t>4.1%</w:t>
            </w:r>
          </w:p>
        </w:tc>
      </w:tr>
      <w:tr w14:paraId="20AA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4" w:type="dxa"/>
            <w:vAlign w:val="center"/>
          </w:tcPr>
          <w:p w14:paraId="5D5C4528">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确定的示值误差指标</w:t>
            </w:r>
          </w:p>
        </w:tc>
        <w:tc>
          <w:tcPr>
            <w:tcW w:w="8027" w:type="dxa"/>
            <w:gridSpan w:val="4"/>
            <w:vAlign w:val="center"/>
          </w:tcPr>
          <w:p w14:paraId="231A9E56">
            <w:pPr>
              <w:spacing w:line="240" w:lineRule="auto"/>
              <w:jc w:val="center"/>
              <w:rPr>
                <w:rFonts w:hint="eastAsia" w:cstheme="majorBidi"/>
                <w:b w:val="0"/>
                <w:bCs w:val="0"/>
                <w:kern w:val="44"/>
                <w:vertAlign w:val="baseline"/>
                <w:lang w:val="en-US" w:eastAsia="zh-CN"/>
              </w:rPr>
            </w:pPr>
            <w:r>
              <w:rPr>
                <w:rFonts w:hint="eastAsia" w:cstheme="majorBidi"/>
                <w:b w:val="0"/>
                <w:bCs w:val="0"/>
                <w:kern w:val="44"/>
                <w:vertAlign w:val="baseline"/>
                <w:lang w:val="en-US" w:eastAsia="zh-CN"/>
              </w:rPr>
              <w:t>±15%</w:t>
            </w:r>
          </w:p>
        </w:tc>
      </w:tr>
    </w:tbl>
    <w:p w14:paraId="5B611D7C">
      <w:pPr>
        <w:spacing w:line="400" w:lineRule="exact"/>
        <w:rPr>
          <w:rFonts w:hint="eastAsia" w:cstheme="majorBidi"/>
          <w:b w:val="0"/>
          <w:bCs w:val="0"/>
          <w:kern w:val="44"/>
          <w:sz w:val="24"/>
          <w:szCs w:val="24"/>
          <w:highlight w:val="none"/>
        </w:rPr>
      </w:pPr>
    </w:p>
    <w:p w14:paraId="2CDB696B">
      <w:pPr>
        <w:spacing w:line="360" w:lineRule="auto"/>
        <w:rPr>
          <w:rFonts w:hint="eastAsia" w:ascii="黑体" w:hAnsi="黑体" w:eastAsia="黑体" w:cs="黑体"/>
          <w:b w:val="0"/>
          <w:bCs w:val="0"/>
          <w:kern w:val="44"/>
          <w:lang w:val="en-US" w:eastAsia="zh-CN"/>
        </w:rPr>
      </w:pPr>
      <w:r>
        <w:rPr>
          <w:rFonts w:hint="eastAsia" w:ascii="黑体" w:hAnsi="黑体" w:eastAsia="黑体" w:cs="黑体"/>
          <w:b w:val="0"/>
          <w:bCs w:val="0"/>
          <w:kern w:val="44"/>
          <w:lang w:val="en-US" w:eastAsia="zh-CN"/>
        </w:rPr>
        <w:t>4.3重复性</w:t>
      </w:r>
    </w:p>
    <w:p w14:paraId="60F6B2B2">
      <w:pPr>
        <w:spacing w:line="360" w:lineRule="auto"/>
        <w:ind w:firstLine="480"/>
        <w:rPr>
          <w:rFonts w:hint="eastAsia" w:cstheme="majorBidi"/>
          <w:b w:val="0"/>
          <w:bCs w:val="0"/>
          <w:kern w:val="44"/>
          <w:sz w:val="24"/>
          <w:szCs w:val="24"/>
          <w:lang w:val="en-US" w:eastAsia="zh-CN"/>
        </w:rPr>
      </w:pPr>
      <w:r>
        <w:rPr>
          <w:rFonts w:hint="eastAsia"/>
          <w:sz w:val="24"/>
          <w:szCs w:val="24"/>
          <w:lang w:val="en-US" w:eastAsia="zh-CN"/>
        </w:rPr>
        <w:t>重复性</w:t>
      </w:r>
      <w:r>
        <w:rPr>
          <w:rFonts w:hint="default"/>
          <w:sz w:val="24"/>
          <w:szCs w:val="24"/>
          <w:lang w:val="en-US" w:eastAsia="zh-CN"/>
        </w:rPr>
        <w:t>≤</w:t>
      </w:r>
      <w:r>
        <w:rPr>
          <w:rFonts w:hint="eastAsia"/>
          <w:sz w:val="24"/>
          <w:szCs w:val="24"/>
          <w:lang w:val="en-US" w:eastAsia="zh-CN"/>
        </w:rPr>
        <w:t>5 %。该项内容参考了JJG768-2005《发射光谱仪检定规程》中表2的内容。</w:t>
      </w:r>
      <w:r>
        <w:rPr>
          <w:rFonts w:hint="eastAsia" w:cstheme="majorBidi"/>
          <w:b w:val="0"/>
          <w:bCs w:val="0"/>
          <w:kern w:val="44"/>
          <w:sz w:val="24"/>
          <w:szCs w:val="24"/>
          <w:lang w:val="en-US" w:eastAsia="zh-CN"/>
        </w:rPr>
        <w:t>该项内容经</w:t>
      </w:r>
      <w:r>
        <w:rPr>
          <w:rFonts w:hint="eastAsia"/>
          <w:sz w:val="24"/>
          <w:szCs w:val="24"/>
          <w:lang w:val="en-US" w:eastAsia="zh-CN"/>
        </w:rPr>
        <w:t>国标（北京）检验认证有限公司、中铝洛阳铜加工有限公司、酒泉钢铁（集团）有限责任公司检验检测中心、</w:t>
      </w:r>
      <w:r>
        <w:rPr>
          <w:rFonts w:hint="eastAsia" w:ascii="Times New Roman" w:hAnsi="Times New Roman" w:cs="Times New Roman"/>
          <w:kern w:val="2"/>
          <w:sz w:val="24"/>
          <w:szCs w:val="24"/>
        </w:rPr>
        <w:t>中铝材料应用研究院有限公司</w:t>
      </w:r>
      <w:r>
        <w:rPr>
          <w:rFonts w:hint="eastAsia" w:cstheme="majorBidi"/>
          <w:b w:val="0"/>
          <w:bCs w:val="0"/>
          <w:kern w:val="44"/>
          <w:sz w:val="24"/>
          <w:szCs w:val="24"/>
          <w:lang w:val="en-US" w:eastAsia="zh-CN"/>
        </w:rPr>
        <w:t>的的实验室验证，重复</w:t>
      </w:r>
      <w:r>
        <w:rPr>
          <w:rFonts w:hint="eastAsia"/>
          <w:sz w:val="24"/>
          <w:szCs w:val="24"/>
          <w:lang w:val="en-US" w:eastAsia="zh-CN"/>
        </w:rPr>
        <w:t>性验证数据见表6</w:t>
      </w:r>
      <w:r>
        <w:rPr>
          <w:rFonts w:hint="eastAsia" w:cstheme="majorBidi"/>
          <w:b w:val="0"/>
          <w:bCs w:val="0"/>
          <w:kern w:val="44"/>
          <w:sz w:val="24"/>
          <w:szCs w:val="24"/>
          <w:lang w:val="en-US" w:eastAsia="zh-CN"/>
        </w:rPr>
        <w:t>，该校准要求可以满足实验室使用规范。</w:t>
      </w:r>
    </w:p>
    <w:p w14:paraId="481BA928">
      <w:pPr>
        <w:spacing w:line="360" w:lineRule="auto"/>
        <w:ind w:firstLine="480"/>
        <w:rPr>
          <w:rFonts w:hint="eastAsia" w:cstheme="majorBidi"/>
          <w:b w:val="0"/>
          <w:bCs w:val="0"/>
          <w:kern w:val="44"/>
          <w:sz w:val="24"/>
          <w:szCs w:val="24"/>
          <w:lang w:val="en-US" w:eastAsia="zh-CN"/>
        </w:rPr>
      </w:pPr>
    </w:p>
    <w:p w14:paraId="047CF2C2">
      <w:pPr>
        <w:spacing w:line="400" w:lineRule="exact"/>
        <w:jc w:val="center"/>
        <w:rPr>
          <w:rFonts w:hint="default"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表6 重复性验证数据</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018"/>
        <w:gridCol w:w="2001"/>
        <w:gridCol w:w="2011"/>
        <w:gridCol w:w="1997"/>
        <w:tblGridChange w:id="2">
          <w:tblGrid>
            <w:gridCol w:w="1544"/>
            <w:gridCol w:w="2018"/>
            <w:gridCol w:w="2001"/>
            <w:gridCol w:w="2011"/>
            <w:gridCol w:w="1997"/>
          </w:tblGrid>
        </w:tblGridChange>
      </w:tblGrid>
      <w:tr w14:paraId="769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44" w:type="dxa"/>
            <w:vAlign w:val="center"/>
          </w:tcPr>
          <w:p w14:paraId="1BA2B74C">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验证单位</w:t>
            </w:r>
          </w:p>
        </w:tc>
        <w:tc>
          <w:tcPr>
            <w:tcW w:w="2018" w:type="dxa"/>
            <w:vAlign w:val="center"/>
          </w:tcPr>
          <w:p w14:paraId="37553C03">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国标检验</w:t>
            </w:r>
          </w:p>
        </w:tc>
        <w:tc>
          <w:tcPr>
            <w:tcW w:w="2001" w:type="dxa"/>
            <w:vAlign w:val="center"/>
          </w:tcPr>
          <w:p w14:paraId="3FCD8EEA">
            <w:pPr>
              <w:spacing w:line="240" w:lineRule="auto"/>
              <w:jc w:val="center"/>
              <w:rPr>
                <w:rFonts w:hint="default" w:cstheme="majorBidi"/>
                <w:b w:val="0"/>
                <w:bCs w:val="0"/>
                <w:kern w:val="44"/>
                <w:vertAlign w:val="baseline"/>
                <w:lang w:val="en-US" w:eastAsia="zh-CN"/>
              </w:rPr>
            </w:pPr>
            <w:r>
              <w:rPr>
                <w:rFonts w:hint="eastAsia" w:cs="Times New Roman"/>
                <w:b w:val="0"/>
                <w:bCs w:val="0"/>
                <w:color w:val="auto"/>
                <w:kern w:val="2"/>
                <w:sz w:val="21"/>
                <w:szCs w:val="21"/>
                <w:lang w:val="en-US" w:eastAsia="zh-CN" w:bidi="ar-SA"/>
              </w:rPr>
              <w:t>中铝洛铜</w:t>
            </w:r>
          </w:p>
        </w:tc>
        <w:tc>
          <w:tcPr>
            <w:tcW w:w="2011" w:type="dxa"/>
            <w:vAlign w:val="center"/>
          </w:tcPr>
          <w:p w14:paraId="369F9F46">
            <w:pPr>
              <w:spacing w:line="240" w:lineRule="auto"/>
              <w:jc w:val="center"/>
              <w:rPr>
                <w:rFonts w:hint="default" w:cstheme="majorBidi"/>
                <w:b w:val="0"/>
                <w:bCs w:val="0"/>
                <w:kern w:val="44"/>
                <w:vertAlign w:val="baseline"/>
                <w:lang w:val="en-US" w:eastAsia="zh-CN"/>
              </w:rPr>
            </w:pPr>
            <w:r>
              <w:rPr>
                <w:rFonts w:hint="eastAsia"/>
                <w:sz w:val="21"/>
                <w:szCs w:val="21"/>
                <w:lang w:val="en-US" w:eastAsia="zh-CN"/>
              </w:rPr>
              <w:t>酒泉钢铁</w:t>
            </w:r>
          </w:p>
        </w:tc>
        <w:tc>
          <w:tcPr>
            <w:tcW w:w="1997" w:type="dxa"/>
            <w:shd w:val="clear" w:color="auto" w:fill="auto"/>
            <w:vAlign w:val="center"/>
          </w:tcPr>
          <w:p w14:paraId="2F759C11">
            <w:pPr>
              <w:widowControl/>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
              </w:rPr>
              <w:t>中铝材料应用研究院有限公司</w:t>
            </w:r>
          </w:p>
        </w:tc>
      </w:tr>
      <w:tr w14:paraId="5527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44" w:type="dxa"/>
            <w:vAlign w:val="center"/>
          </w:tcPr>
          <w:p w14:paraId="40574744">
            <w:pPr>
              <w:spacing w:line="240" w:lineRule="auto"/>
              <w:jc w:val="center"/>
              <w:rPr>
                <w:rFonts w:hint="eastAsia" w:cstheme="majorBidi"/>
                <w:b w:val="0"/>
                <w:bCs w:val="0"/>
                <w:kern w:val="44"/>
                <w:vertAlign w:val="baseline"/>
                <w:lang w:val="en-US" w:eastAsia="zh-CN"/>
              </w:rPr>
            </w:pPr>
            <w:r>
              <w:rPr>
                <w:rFonts w:hint="eastAsia" w:cstheme="majorBidi"/>
                <w:b w:val="0"/>
                <w:bCs w:val="0"/>
                <w:kern w:val="44"/>
                <w:vertAlign w:val="baseline"/>
                <w:lang w:val="en-US" w:eastAsia="zh-CN"/>
              </w:rPr>
              <w:t>标样</w:t>
            </w:r>
          </w:p>
        </w:tc>
        <w:tc>
          <w:tcPr>
            <w:tcW w:w="2018" w:type="dxa"/>
            <w:vAlign w:val="center"/>
          </w:tcPr>
          <w:p w14:paraId="1176693D">
            <w:pPr>
              <w:keepNext w:val="0"/>
              <w:keepLines w:val="0"/>
              <w:widowControl/>
              <w:suppressLineNumbers w:val="0"/>
              <w:jc w:val="center"/>
              <w:rPr>
                <w:rFonts w:hint="eastAsia" w:ascii="Times New Roman" w:hAnsi="Times New Roman" w:eastAsia="宋体" w:cs="Times New Roman"/>
                <w:color w:val="000000"/>
                <w:kern w:val="0"/>
                <w:sz w:val="19"/>
                <w:szCs w:val="19"/>
                <w:lang w:val="en-US" w:eastAsia="zh-CN" w:bidi="ar"/>
              </w:rPr>
            </w:pPr>
            <w:r>
              <w:rPr>
                <w:rFonts w:hint="default" w:ascii="Times New Roman" w:hAnsi="Times New Roman" w:eastAsia="宋体" w:cs="Times New Roman"/>
                <w:color w:val="000000"/>
                <w:kern w:val="0"/>
                <w:sz w:val="19"/>
                <w:szCs w:val="19"/>
                <w:lang w:val="en-US" w:eastAsia="zh-CN" w:bidi="ar"/>
              </w:rPr>
              <w:t>GBW(E)020057~GBW (E)020063</w:t>
            </w:r>
          </w:p>
        </w:tc>
        <w:tc>
          <w:tcPr>
            <w:tcW w:w="2001" w:type="dxa"/>
            <w:vAlign w:val="center"/>
          </w:tcPr>
          <w:p w14:paraId="11BE0317">
            <w:pPr>
              <w:keepNext w:val="0"/>
              <w:keepLines w:val="0"/>
              <w:widowControl/>
              <w:suppressLineNumbers w:val="0"/>
              <w:jc w:val="center"/>
              <w:rPr>
                <w:rFonts w:hint="default" w:ascii="Times New Roman" w:hAnsi="Times New Roman" w:eastAsia="宋体" w:cs="Times New Roman"/>
                <w:color w:val="000000"/>
                <w:kern w:val="0"/>
                <w:sz w:val="19"/>
                <w:szCs w:val="19"/>
                <w:lang w:val="en-US" w:eastAsia="zh-CN" w:bidi="ar"/>
              </w:rPr>
            </w:pPr>
            <w:r>
              <w:rPr>
                <w:rFonts w:hint="eastAsia" w:ascii="Times New Roman" w:hAnsi="Times New Roman" w:eastAsia="宋体" w:cs="Times New Roman"/>
                <w:color w:val="000000"/>
                <w:kern w:val="0"/>
                <w:sz w:val="19"/>
                <w:szCs w:val="19"/>
                <w:lang w:val="en-US" w:eastAsia="zh-CN" w:bidi="ar"/>
              </w:rPr>
              <w:t>GSB 04-3765-2020、YSS024-2025</w:t>
            </w:r>
          </w:p>
        </w:tc>
        <w:tc>
          <w:tcPr>
            <w:tcW w:w="2011" w:type="dxa"/>
            <w:vAlign w:val="center"/>
          </w:tcPr>
          <w:p w14:paraId="6CB8AF20">
            <w:pPr>
              <w:keepNext w:val="0"/>
              <w:keepLines w:val="0"/>
              <w:widowControl/>
              <w:suppressLineNumbers w:val="0"/>
              <w:jc w:val="center"/>
              <w:rPr>
                <w:rFonts w:hint="default" w:ascii="Times New Roman" w:hAnsi="Times New Roman" w:eastAsia="宋体" w:cs="Times New Roman"/>
                <w:color w:val="000000"/>
                <w:kern w:val="0"/>
                <w:sz w:val="19"/>
                <w:szCs w:val="19"/>
                <w:lang w:val="en-US" w:eastAsia="zh-CN" w:bidi="ar"/>
              </w:rPr>
            </w:pPr>
            <w:r>
              <w:rPr>
                <w:rFonts w:hint="eastAsia" w:ascii="Times New Roman" w:hAnsi="Times New Roman" w:eastAsia="宋体" w:cs="Times New Roman"/>
                <w:color w:val="000000"/>
                <w:kern w:val="0"/>
                <w:sz w:val="19"/>
                <w:szCs w:val="19"/>
                <w:lang w:val="en-US" w:eastAsia="zh-CN" w:bidi="ar"/>
              </w:rPr>
              <w:t>GSB 04-3227-2014、220F-09232011-SUS-F</w:t>
            </w:r>
          </w:p>
        </w:tc>
        <w:tc>
          <w:tcPr>
            <w:tcW w:w="1997" w:type="dxa"/>
            <w:shd w:val="clear" w:color="auto" w:fill="auto"/>
            <w:vAlign w:val="center"/>
          </w:tcPr>
          <w:p w14:paraId="47F06EC4">
            <w:pPr>
              <w:keepNext w:val="0"/>
              <w:keepLines w:val="0"/>
              <w:widowControl/>
              <w:suppressLineNumbers w:val="0"/>
              <w:jc w:val="center"/>
              <w:rPr>
                <w:rFonts w:hint="eastAsia" w:ascii="Times New Roman" w:hAnsi="Times New Roman" w:eastAsia="宋体" w:cs="Times New Roman"/>
                <w:color w:val="000000"/>
                <w:kern w:val="0"/>
                <w:sz w:val="19"/>
                <w:szCs w:val="19"/>
                <w:lang w:val="en-US" w:eastAsia="zh-CN" w:bidi="ar"/>
              </w:rPr>
            </w:pPr>
            <w:r>
              <w:rPr>
                <w:rFonts w:hint="eastAsia" w:ascii="Times New Roman" w:hAnsi="Times New Roman" w:eastAsia="宋体" w:cs="Times New Roman"/>
                <w:color w:val="000000"/>
                <w:kern w:val="0"/>
                <w:sz w:val="19"/>
                <w:szCs w:val="19"/>
                <w:lang w:val="en-US" w:eastAsia="zh-CN" w:bidi="ar"/>
              </w:rPr>
              <w:t>GSB-04-1054-1999</w:t>
            </w:r>
          </w:p>
        </w:tc>
      </w:tr>
      <w:tr w14:paraId="1EB8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544" w:type="dxa"/>
            <w:vAlign w:val="center"/>
          </w:tcPr>
          <w:p w14:paraId="584AC5BA">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元素</w:t>
            </w:r>
          </w:p>
        </w:tc>
        <w:tc>
          <w:tcPr>
            <w:tcW w:w="2018" w:type="dxa"/>
            <w:vAlign w:val="center"/>
          </w:tcPr>
          <w:p w14:paraId="0497EE30">
            <w:pPr>
              <w:spacing w:line="240" w:lineRule="auto"/>
              <w:jc w:val="center"/>
              <w:rPr>
                <w:rFonts w:hint="eastAsia" w:eastAsia="宋体" w:cstheme="majorBidi"/>
                <w:b w:val="0"/>
                <w:bCs w:val="0"/>
                <w:kern w:val="44"/>
                <w:vertAlign w:val="baseline"/>
                <w:lang w:val="en-US" w:eastAsia="zh-CN"/>
              </w:rPr>
            </w:pPr>
            <w:r>
              <w:rPr>
                <w:rFonts w:hint="eastAsia" w:eastAsia="宋体" w:cstheme="majorBidi"/>
                <w:b w:val="0"/>
                <w:bCs w:val="0"/>
                <w:kern w:val="44"/>
                <w:vertAlign w:val="baseline"/>
                <w:lang w:val="en-US" w:eastAsia="zh-CN"/>
              </w:rPr>
              <w:t>Si、Fe、Mg、Cu、Mn、Ti、Ni、Zn、V、Sn、Cr</w:t>
            </w:r>
          </w:p>
        </w:tc>
        <w:tc>
          <w:tcPr>
            <w:tcW w:w="2001" w:type="dxa"/>
            <w:vAlign w:val="center"/>
          </w:tcPr>
          <w:p w14:paraId="256EFABB">
            <w:pPr>
              <w:spacing w:line="240" w:lineRule="auto"/>
              <w:jc w:val="center"/>
              <w:rPr>
                <w:rFonts w:hint="default" w:cstheme="majorBidi"/>
                <w:b w:val="0"/>
                <w:bCs w:val="0"/>
                <w:kern w:val="44"/>
                <w:vertAlign w:val="baseline"/>
                <w:lang w:val="en-US" w:eastAsia="zh-CN"/>
              </w:rPr>
            </w:pPr>
            <w:r>
              <w:rPr>
                <w:rFonts w:hint="default" w:cstheme="majorBidi"/>
                <w:b w:val="0"/>
                <w:bCs w:val="0"/>
                <w:kern w:val="44"/>
                <w:vertAlign w:val="baseline"/>
                <w:lang w:val="en-US" w:eastAsia="zh-CN"/>
              </w:rPr>
              <w:t xml:space="preserve">Fe、As、Ni、Zn、P、Ag、Mn、Co、Se、Mg、Ti  </w:t>
            </w:r>
          </w:p>
        </w:tc>
        <w:tc>
          <w:tcPr>
            <w:tcW w:w="2011" w:type="dxa"/>
            <w:vAlign w:val="center"/>
          </w:tcPr>
          <w:p w14:paraId="5860C370">
            <w:pPr>
              <w:spacing w:line="240" w:lineRule="auto"/>
              <w:jc w:val="center"/>
              <w:rPr>
                <w:rFonts w:hint="default" w:cstheme="majorBidi"/>
                <w:b w:val="0"/>
                <w:bCs w:val="0"/>
                <w:kern w:val="44"/>
                <w:vertAlign w:val="baseline"/>
                <w:lang w:val="en-US" w:eastAsia="zh-CN"/>
              </w:rPr>
            </w:pPr>
            <w:r>
              <w:rPr>
                <w:rFonts w:hint="default" w:cstheme="majorBidi"/>
                <w:b w:val="0"/>
                <w:bCs w:val="0"/>
                <w:kern w:val="44"/>
                <w:vertAlign w:val="baseline"/>
                <w:lang w:val="en-US" w:eastAsia="zh-CN"/>
              </w:rPr>
              <w:t>Si、Fe、Cu、Mn、Mg、Zn、Ti、Ga</w:t>
            </w:r>
            <w:r>
              <w:rPr>
                <w:rFonts w:hint="eastAsia" w:cstheme="majorBidi"/>
                <w:b w:val="0"/>
                <w:bCs w:val="0"/>
                <w:kern w:val="44"/>
                <w:vertAlign w:val="baseline"/>
                <w:lang w:val="en-US" w:eastAsia="zh-CN"/>
              </w:rPr>
              <w:t xml:space="preserve"> </w:t>
            </w:r>
          </w:p>
        </w:tc>
        <w:tc>
          <w:tcPr>
            <w:tcW w:w="1997" w:type="dxa"/>
            <w:shd w:val="clear" w:color="auto" w:fill="auto"/>
            <w:vAlign w:val="center"/>
          </w:tcPr>
          <w:p w14:paraId="71C37B99">
            <w:pPr>
              <w:spacing w:line="240" w:lineRule="auto"/>
              <w:jc w:val="center"/>
              <w:rPr>
                <w:rFonts w:hint="default" w:ascii="Times New Roman" w:hAnsi="Times New Roman" w:eastAsia="宋体" w:cstheme="majorBidi"/>
                <w:b w:val="0"/>
                <w:bCs w:val="0"/>
                <w:kern w:val="44"/>
                <w:sz w:val="21"/>
                <w:szCs w:val="24"/>
                <w:vertAlign w:val="baseline"/>
                <w:lang w:val="en-US" w:eastAsia="zh-CN" w:bidi="ar-SA"/>
              </w:rPr>
            </w:pPr>
            <w:r>
              <w:rPr>
                <w:rFonts w:hint="eastAsia" w:eastAsia="宋体" w:cstheme="majorBidi"/>
                <w:b w:val="0"/>
                <w:bCs w:val="0"/>
                <w:kern w:val="44"/>
                <w:vertAlign w:val="baseline"/>
                <w:lang w:val="en-US" w:eastAsia="zh-CN"/>
              </w:rPr>
              <w:t>Fe、</w:t>
            </w:r>
            <w:r>
              <w:rPr>
                <w:rFonts w:hint="eastAsia" w:cstheme="majorBidi"/>
                <w:b w:val="0"/>
                <w:bCs w:val="0"/>
                <w:kern w:val="44"/>
                <w:vertAlign w:val="baseline"/>
                <w:lang w:val="en-US" w:eastAsia="zh-CN"/>
              </w:rPr>
              <w:t>Cu</w:t>
            </w:r>
            <w:r>
              <w:rPr>
                <w:rFonts w:hint="eastAsia" w:eastAsia="宋体" w:cstheme="majorBidi"/>
                <w:b w:val="0"/>
                <w:bCs w:val="0"/>
                <w:kern w:val="44"/>
                <w:vertAlign w:val="baseline"/>
                <w:lang w:val="en-US" w:eastAsia="zh-CN"/>
              </w:rPr>
              <w:t>、Mg、Mn、</w:t>
            </w:r>
            <w:r>
              <w:rPr>
                <w:rFonts w:hint="eastAsia" w:cstheme="majorBidi"/>
                <w:b w:val="0"/>
                <w:bCs w:val="0"/>
                <w:kern w:val="44"/>
                <w:vertAlign w:val="baseline"/>
                <w:lang w:val="en-US" w:eastAsia="zh-CN"/>
              </w:rPr>
              <w:t>Ti</w:t>
            </w:r>
            <w:r>
              <w:rPr>
                <w:rFonts w:hint="eastAsia" w:eastAsia="宋体" w:cstheme="majorBidi"/>
                <w:b w:val="0"/>
                <w:bCs w:val="0"/>
                <w:kern w:val="44"/>
                <w:vertAlign w:val="baseline"/>
                <w:lang w:val="en-US" w:eastAsia="zh-CN"/>
              </w:rPr>
              <w:t>、Ni、Zn</w:t>
            </w:r>
          </w:p>
        </w:tc>
      </w:tr>
      <w:tr w14:paraId="7321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44" w:type="dxa"/>
            <w:vAlign w:val="center"/>
          </w:tcPr>
          <w:p w14:paraId="249B7403">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最大重复性</w:t>
            </w:r>
          </w:p>
        </w:tc>
        <w:tc>
          <w:tcPr>
            <w:tcW w:w="2018" w:type="dxa"/>
            <w:vAlign w:val="center"/>
          </w:tcPr>
          <w:p w14:paraId="06A049F5">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1.9%</w:t>
            </w:r>
          </w:p>
        </w:tc>
        <w:tc>
          <w:tcPr>
            <w:tcW w:w="2001" w:type="dxa"/>
            <w:vAlign w:val="center"/>
          </w:tcPr>
          <w:p w14:paraId="043858CB">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4.9%</w:t>
            </w:r>
          </w:p>
        </w:tc>
        <w:tc>
          <w:tcPr>
            <w:tcW w:w="2011" w:type="dxa"/>
            <w:vAlign w:val="center"/>
          </w:tcPr>
          <w:p w14:paraId="09BCF973">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3.0%</w:t>
            </w:r>
          </w:p>
        </w:tc>
        <w:tc>
          <w:tcPr>
            <w:tcW w:w="1997" w:type="dxa"/>
            <w:vAlign w:val="center"/>
          </w:tcPr>
          <w:p w14:paraId="268B8E45">
            <w:pPr>
              <w:spacing w:line="240" w:lineRule="auto"/>
              <w:jc w:val="center"/>
              <w:rPr>
                <w:rFonts w:hint="eastAsia" w:cstheme="majorBidi"/>
                <w:b w:val="0"/>
                <w:bCs w:val="0"/>
                <w:kern w:val="44"/>
                <w:vertAlign w:val="baseline"/>
                <w:lang w:val="en-US" w:eastAsia="zh-CN"/>
              </w:rPr>
            </w:pPr>
            <w:r>
              <w:rPr>
                <w:rFonts w:hint="eastAsia" w:cstheme="majorBidi"/>
                <w:b w:val="0"/>
                <w:bCs w:val="0"/>
                <w:kern w:val="44"/>
                <w:vertAlign w:val="baseline"/>
                <w:lang w:val="en-US" w:eastAsia="zh-CN"/>
              </w:rPr>
              <w:t>4.7%</w:t>
            </w:r>
          </w:p>
        </w:tc>
      </w:tr>
      <w:tr w14:paraId="1F26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4D48A21A">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确定的重复性指标</w:t>
            </w:r>
          </w:p>
        </w:tc>
        <w:tc>
          <w:tcPr>
            <w:tcW w:w="8027" w:type="dxa"/>
            <w:gridSpan w:val="4"/>
            <w:vAlign w:val="center"/>
          </w:tcPr>
          <w:p w14:paraId="3B71B350">
            <w:pPr>
              <w:spacing w:line="240" w:lineRule="auto"/>
              <w:jc w:val="center"/>
              <w:rPr>
                <w:rFonts w:hint="default"/>
                <w:sz w:val="24"/>
                <w:szCs w:val="24"/>
                <w:lang w:val="en-US" w:eastAsia="zh-CN"/>
              </w:rPr>
            </w:pPr>
            <w:r>
              <w:rPr>
                <w:rFonts w:hint="eastAsia" w:ascii="宋体" w:hAnsi="宋体" w:cs="宋体"/>
                <w:sz w:val="24"/>
                <w:szCs w:val="24"/>
                <w:lang w:val="en-US" w:eastAsia="zh-CN"/>
              </w:rPr>
              <w:t>≤</w:t>
            </w:r>
            <w:r>
              <w:rPr>
                <w:rFonts w:hint="eastAsia"/>
                <w:sz w:val="24"/>
                <w:szCs w:val="24"/>
                <w:lang w:val="en-US" w:eastAsia="zh-CN"/>
              </w:rPr>
              <w:t>5 %</w:t>
            </w:r>
          </w:p>
        </w:tc>
      </w:tr>
    </w:tbl>
    <w:p w14:paraId="23E1F9F1">
      <w:pPr>
        <w:spacing w:line="360" w:lineRule="auto"/>
        <w:rPr>
          <w:rFonts w:hint="eastAsia" w:ascii="黑体" w:hAnsi="黑体" w:eastAsia="黑体" w:cs="黑体"/>
          <w:b w:val="0"/>
          <w:bCs w:val="0"/>
          <w:kern w:val="44"/>
          <w:lang w:val="en-US" w:eastAsia="zh-CN"/>
        </w:rPr>
      </w:pPr>
    </w:p>
    <w:p w14:paraId="3DCF5CA2">
      <w:pPr>
        <w:spacing w:line="360" w:lineRule="auto"/>
        <w:rPr>
          <w:rFonts w:hint="eastAsia" w:ascii="黑体" w:hAnsi="黑体" w:eastAsia="黑体" w:cs="黑体"/>
          <w:b w:val="0"/>
          <w:bCs w:val="0"/>
          <w:kern w:val="44"/>
          <w:lang w:val="en-US" w:eastAsia="zh-CN"/>
        </w:rPr>
      </w:pPr>
      <w:r>
        <w:rPr>
          <w:rFonts w:hint="eastAsia" w:ascii="黑体" w:hAnsi="黑体" w:eastAsia="黑体" w:cs="黑体"/>
          <w:b w:val="0"/>
          <w:bCs w:val="0"/>
          <w:kern w:val="44"/>
          <w:lang w:val="en-US" w:eastAsia="zh-CN"/>
        </w:rPr>
        <w:t>4.4稳定性</w:t>
      </w:r>
    </w:p>
    <w:p w14:paraId="0AFC1F64">
      <w:pPr>
        <w:spacing w:line="360" w:lineRule="auto"/>
        <w:ind w:firstLine="480"/>
        <w:rPr>
          <w:rFonts w:hint="eastAsia" w:cstheme="majorBidi"/>
          <w:b w:val="0"/>
          <w:bCs w:val="0"/>
          <w:kern w:val="44"/>
          <w:sz w:val="24"/>
          <w:szCs w:val="24"/>
          <w:lang w:val="en-US" w:eastAsia="zh-CN"/>
        </w:rPr>
      </w:pPr>
      <w:r>
        <w:rPr>
          <w:rFonts w:hint="eastAsia" w:cstheme="majorBidi"/>
          <w:b w:val="0"/>
          <w:bCs w:val="0"/>
          <w:kern w:val="44"/>
          <w:sz w:val="24"/>
          <w:szCs w:val="24"/>
          <w:lang w:val="en-US" w:eastAsia="zh-CN"/>
        </w:rPr>
        <w:t>稳定性</w:t>
      </w:r>
      <w:r>
        <w:rPr>
          <w:rFonts w:hint="default" w:cstheme="majorBidi"/>
          <w:b w:val="0"/>
          <w:bCs w:val="0"/>
          <w:kern w:val="44"/>
          <w:sz w:val="24"/>
          <w:szCs w:val="24"/>
          <w:lang w:val="en-US" w:eastAsia="zh-CN"/>
        </w:rPr>
        <w:t>≤</w:t>
      </w:r>
      <w:r>
        <w:rPr>
          <w:rFonts w:hint="eastAsia" w:cstheme="majorBidi"/>
          <w:b w:val="0"/>
          <w:bCs w:val="0"/>
          <w:kern w:val="44"/>
          <w:sz w:val="24"/>
          <w:szCs w:val="24"/>
          <w:lang w:val="en-US" w:eastAsia="zh-CN"/>
        </w:rPr>
        <w:t>5 %。该项内容参考了JJG768-2005《发射光谱仪检定规程》中表2的内容。该项内容经国标（北京）检验认证有限公司、中铝洛阳铜加工有限公司、酒泉钢铁（集团）有限责任公司检验检测中心</w:t>
      </w:r>
      <w:r>
        <w:rPr>
          <w:rFonts w:hint="eastAsia"/>
          <w:sz w:val="24"/>
          <w:szCs w:val="24"/>
          <w:lang w:val="en-US" w:eastAsia="zh-CN"/>
        </w:rPr>
        <w:t>、</w:t>
      </w:r>
      <w:r>
        <w:rPr>
          <w:rFonts w:hint="eastAsia" w:ascii="Times New Roman" w:hAnsi="Times New Roman" w:cs="Times New Roman"/>
          <w:kern w:val="2"/>
          <w:sz w:val="24"/>
          <w:szCs w:val="24"/>
        </w:rPr>
        <w:t>中铝材料应用研究院有限公司</w:t>
      </w:r>
      <w:r>
        <w:rPr>
          <w:rFonts w:hint="eastAsia" w:cstheme="majorBidi"/>
          <w:b w:val="0"/>
          <w:bCs w:val="0"/>
          <w:kern w:val="44"/>
          <w:sz w:val="24"/>
          <w:szCs w:val="24"/>
          <w:lang w:val="en-US" w:eastAsia="zh-CN"/>
        </w:rPr>
        <w:t>的的实验室验证，稳定验证数据见表7，该校准要求可以满足实验室使用规范。</w:t>
      </w:r>
    </w:p>
    <w:p w14:paraId="02A42B85">
      <w:pPr>
        <w:spacing w:line="360" w:lineRule="auto"/>
        <w:ind w:firstLine="480"/>
        <w:rPr>
          <w:rFonts w:hint="eastAsia" w:cstheme="majorBidi"/>
          <w:b w:val="0"/>
          <w:bCs w:val="0"/>
          <w:kern w:val="44"/>
          <w:sz w:val="24"/>
          <w:szCs w:val="24"/>
          <w:lang w:val="en-US" w:eastAsia="zh-CN"/>
        </w:rPr>
      </w:pPr>
    </w:p>
    <w:p w14:paraId="62A1302F">
      <w:pPr>
        <w:spacing w:line="400" w:lineRule="exact"/>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kern w:val="0"/>
          <w:sz w:val="21"/>
          <w:szCs w:val="21"/>
          <w:highlight w:val="none"/>
          <w:lang w:val="en-US" w:eastAsia="zh-CN" w:bidi="ar-SA"/>
        </w:rPr>
        <w:t>表7 稳定性实验数据</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018"/>
        <w:gridCol w:w="2002"/>
        <w:gridCol w:w="2011"/>
        <w:gridCol w:w="1996"/>
        <w:tblGridChange w:id="3">
          <w:tblGrid>
            <w:gridCol w:w="1544"/>
            <w:gridCol w:w="2018"/>
            <w:gridCol w:w="2002"/>
            <w:gridCol w:w="2011"/>
            <w:gridCol w:w="1996"/>
          </w:tblGrid>
        </w:tblGridChange>
      </w:tblGrid>
      <w:tr w14:paraId="35F9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44" w:type="dxa"/>
            <w:vAlign w:val="center"/>
          </w:tcPr>
          <w:p w14:paraId="2C29BF52">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验证单位</w:t>
            </w:r>
          </w:p>
        </w:tc>
        <w:tc>
          <w:tcPr>
            <w:tcW w:w="2018" w:type="dxa"/>
            <w:vAlign w:val="center"/>
          </w:tcPr>
          <w:p w14:paraId="6FA62BC6">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国标检验</w:t>
            </w:r>
          </w:p>
        </w:tc>
        <w:tc>
          <w:tcPr>
            <w:tcW w:w="2002" w:type="dxa"/>
            <w:vAlign w:val="center"/>
          </w:tcPr>
          <w:p w14:paraId="3682D87E">
            <w:pPr>
              <w:spacing w:line="240" w:lineRule="auto"/>
              <w:jc w:val="center"/>
              <w:rPr>
                <w:rFonts w:hint="default" w:cstheme="majorBidi"/>
                <w:b w:val="0"/>
                <w:bCs w:val="0"/>
                <w:kern w:val="44"/>
                <w:vertAlign w:val="baseline"/>
                <w:lang w:val="en-US" w:eastAsia="zh-CN"/>
              </w:rPr>
            </w:pPr>
            <w:r>
              <w:rPr>
                <w:rFonts w:hint="eastAsia" w:cs="Times New Roman"/>
                <w:b w:val="0"/>
                <w:bCs w:val="0"/>
                <w:color w:val="auto"/>
                <w:kern w:val="2"/>
                <w:sz w:val="21"/>
                <w:szCs w:val="21"/>
                <w:lang w:val="en-US" w:eastAsia="zh-CN" w:bidi="ar-SA"/>
              </w:rPr>
              <w:t>中铝洛铜</w:t>
            </w:r>
          </w:p>
        </w:tc>
        <w:tc>
          <w:tcPr>
            <w:tcW w:w="2011" w:type="dxa"/>
            <w:vAlign w:val="center"/>
          </w:tcPr>
          <w:p w14:paraId="403F2C7F">
            <w:pPr>
              <w:spacing w:line="240" w:lineRule="auto"/>
              <w:jc w:val="center"/>
              <w:rPr>
                <w:rFonts w:hint="default" w:cstheme="majorBidi"/>
                <w:b w:val="0"/>
                <w:bCs w:val="0"/>
                <w:kern w:val="44"/>
                <w:vertAlign w:val="baseline"/>
                <w:lang w:val="en-US" w:eastAsia="zh-CN"/>
              </w:rPr>
            </w:pPr>
            <w:r>
              <w:rPr>
                <w:rFonts w:hint="eastAsia"/>
                <w:sz w:val="21"/>
                <w:szCs w:val="21"/>
                <w:lang w:val="en-US" w:eastAsia="zh-CN"/>
              </w:rPr>
              <w:t>酒泉钢铁</w:t>
            </w:r>
          </w:p>
        </w:tc>
        <w:tc>
          <w:tcPr>
            <w:tcW w:w="1996" w:type="dxa"/>
            <w:shd w:val="clear" w:color="auto" w:fill="auto"/>
            <w:vAlign w:val="center"/>
          </w:tcPr>
          <w:p w14:paraId="7860A77A">
            <w:pPr>
              <w:widowControl/>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
              </w:rPr>
              <w:t>中铝材料应用研究院有限公司</w:t>
            </w:r>
          </w:p>
        </w:tc>
      </w:tr>
      <w:tr w14:paraId="0101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44" w:type="dxa"/>
            <w:shd w:val="clear" w:color="auto" w:fill="auto"/>
            <w:vAlign w:val="center"/>
          </w:tcPr>
          <w:p w14:paraId="53C25E1B">
            <w:pPr>
              <w:spacing w:line="240" w:lineRule="auto"/>
              <w:jc w:val="center"/>
              <w:rPr>
                <w:rFonts w:hint="eastAsia" w:ascii="Times New Roman" w:hAnsi="Times New Roman" w:eastAsia="宋体" w:cstheme="majorBidi"/>
                <w:b w:val="0"/>
                <w:bCs w:val="0"/>
                <w:kern w:val="44"/>
                <w:sz w:val="21"/>
                <w:szCs w:val="24"/>
                <w:vertAlign w:val="baseline"/>
                <w:lang w:val="en-US" w:eastAsia="zh-CN" w:bidi="ar-SA"/>
              </w:rPr>
            </w:pPr>
            <w:r>
              <w:rPr>
                <w:rFonts w:hint="eastAsia" w:cstheme="majorBidi"/>
                <w:b w:val="0"/>
                <w:bCs w:val="0"/>
                <w:kern w:val="44"/>
                <w:vertAlign w:val="baseline"/>
                <w:lang w:val="en-US" w:eastAsia="zh-CN"/>
              </w:rPr>
              <w:t>标样</w:t>
            </w:r>
          </w:p>
        </w:tc>
        <w:tc>
          <w:tcPr>
            <w:tcW w:w="2018" w:type="dxa"/>
            <w:shd w:val="clear" w:color="auto" w:fill="auto"/>
            <w:vAlign w:val="center"/>
          </w:tcPr>
          <w:p w14:paraId="3BB6BDEA">
            <w:pPr>
              <w:keepNext w:val="0"/>
              <w:keepLines w:val="0"/>
              <w:widowControl/>
              <w:suppressLineNumbers w:val="0"/>
              <w:jc w:val="left"/>
              <w:rPr>
                <w:rFonts w:hint="eastAsia" w:ascii="Times New Roman" w:hAnsi="Times New Roman" w:eastAsia="宋体" w:cstheme="majorBidi"/>
                <w:b w:val="0"/>
                <w:bCs w:val="0"/>
                <w:kern w:val="44"/>
                <w:sz w:val="21"/>
                <w:szCs w:val="24"/>
                <w:vertAlign w:val="baseline"/>
                <w:lang w:val="en-US" w:eastAsia="zh-CN" w:bidi="ar-SA"/>
              </w:rPr>
            </w:pPr>
            <w:r>
              <w:rPr>
                <w:rFonts w:hint="default" w:ascii="Times New Roman" w:hAnsi="Times New Roman" w:eastAsia="宋体" w:cs="Times New Roman"/>
                <w:color w:val="000000"/>
                <w:kern w:val="0"/>
                <w:sz w:val="19"/>
                <w:szCs w:val="19"/>
                <w:lang w:val="en-US" w:eastAsia="zh-CN" w:bidi="ar"/>
              </w:rPr>
              <w:t>GBW(E)020057~GBW (E)020063</w:t>
            </w:r>
          </w:p>
        </w:tc>
        <w:tc>
          <w:tcPr>
            <w:tcW w:w="2002" w:type="dxa"/>
            <w:vAlign w:val="center"/>
          </w:tcPr>
          <w:p w14:paraId="23860D11">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GSB 04-3765-2020、YSS024-2025</w:t>
            </w:r>
          </w:p>
        </w:tc>
        <w:tc>
          <w:tcPr>
            <w:tcW w:w="2011" w:type="dxa"/>
            <w:vAlign w:val="center"/>
          </w:tcPr>
          <w:p w14:paraId="56631E11">
            <w:pPr>
              <w:spacing w:line="240" w:lineRule="auto"/>
              <w:jc w:val="center"/>
              <w:rPr>
                <w:rFonts w:hint="default" w:cstheme="majorBidi"/>
                <w:b w:val="0"/>
                <w:bCs w:val="0"/>
                <w:kern w:val="44"/>
                <w:vertAlign w:val="baseline"/>
                <w:lang w:val="en-US" w:eastAsia="zh-CN"/>
              </w:rPr>
            </w:pPr>
            <w:r>
              <w:rPr>
                <w:rFonts w:hint="eastAsia" w:ascii="Times New Roman" w:hAnsi="Times New Roman" w:eastAsia="宋体" w:cs="Times New Roman"/>
                <w:color w:val="000000"/>
                <w:kern w:val="0"/>
                <w:sz w:val="19"/>
                <w:szCs w:val="19"/>
                <w:lang w:val="en-US" w:eastAsia="zh-CN" w:bidi="ar"/>
              </w:rPr>
              <w:t>GSB 04-3227-2014、220F-09232011-SUS-F</w:t>
            </w:r>
          </w:p>
        </w:tc>
        <w:tc>
          <w:tcPr>
            <w:tcW w:w="1996" w:type="dxa"/>
            <w:shd w:val="clear" w:color="auto" w:fill="auto"/>
            <w:vAlign w:val="center"/>
          </w:tcPr>
          <w:p w14:paraId="4EB47534">
            <w:pPr>
              <w:keepNext w:val="0"/>
              <w:keepLines w:val="0"/>
              <w:widowControl/>
              <w:suppressLineNumbers w:val="0"/>
              <w:jc w:val="center"/>
              <w:rPr>
                <w:rFonts w:hint="eastAsia" w:ascii="Times New Roman" w:hAnsi="Times New Roman" w:eastAsia="宋体" w:cs="Times New Roman"/>
                <w:color w:val="000000"/>
                <w:kern w:val="0"/>
                <w:sz w:val="19"/>
                <w:szCs w:val="19"/>
                <w:lang w:val="en-US" w:eastAsia="zh-CN" w:bidi="ar"/>
              </w:rPr>
            </w:pPr>
            <w:r>
              <w:rPr>
                <w:rFonts w:hint="eastAsia" w:ascii="Times New Roman" w:hAnsi="Times New Roman" w:eastAsia="宋体" w:cs="Times New Roman"/>
                <w:color w:val="000000"/>
                <w:kern w:val="0"/>
                <w:sz w:val="19"/>
                <w:szCs w:val="19"/>
                <w:lang w:val="en-US" w:eastAsia="zh-CN" w:bidi="ar"/>
              </w:rPr>
              <w:t>GSB-04-1054-1999</w:t>
            </w:r>
          </w:p>
        </w:tc>
      </w:tr>
      <w:tr w14:paraId="4AFB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544" w:type="dxa"/>
            <w:vAlign w:val="center"/>
          </w:tcPr>
          <w:p w14:paraId="6A540D29">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元素</w:t>
            </w:r>
          </w:p>
        </w:tc>
        <w:tc>
          <w:tcPr>
            <w:tcW w:w="2018" w:type="dxa"/>
            <w:vAlign w:val="center"/>
          </w:tcPr>
          <w:p w14:paraId="3A83879B">
            <w:pPr>
              <w:spacing w:line="240" w:lineRule="auto"/>
              <w:jc w:val="center"/>
              <w:rPr>
                <w:rFonts w:hint="eastAsia" w:eastAsia="宋体" w:cstheme="majorBidi"/>
                <w:b w:val="0"/>
                <w:bCs w:val="0"/>
                <w:kern w:val="44"/>
                <w:vertAlign w:val="baseline"/>
                <w:lang w:val="en-US" w:eastAsia="zh-CN"/>
              </w:rPr>
            </w:pPr>
            <w:r>
              <w:rPr>
                <w:rFonts w:hint="eastAsia" w:eastAsia="宋体" w:cstheme="majorBidi"/>
                <w:b w:val="0"/>
                <w:bCs w:val="0"/>
                <w:kern w:val="44"/>
                <w:vertAlign w:val="baseline"/>
                <w:lang w:val="en-US" w:eastAsia="zh-CN"/>
              </w:rPr>
              <w:t>Si、Fe、Mg、Cu、Mn、Ti、Ni、Zn、V、Sn、Cr</w:t>
            </w:r>
          </w:p>
        </w:tc>
        <w:tc>
          <w:tcPr>
            <w:tcW w:w="2002" w:type="dxa"/>
            <w:vAlign w:val="center"/>
          </w:tcPr>
          <w:p w14:paraId="7E705171">
            <w:pPr>
              <w:spacing w:line="240" w:lineRule="auto"/>
              <w:jc w:val="center"/>
              <w:rPr>
                <w:rFonts w:hint="default" w:cstheme="majorBidi"/>
                <w:b w:val="0"/>
                <w:bCs w:val="0"/>
                <w:kern w:val="44"/>
                <w:vertAlign w:val="baseline"/>
                <w:lang w:val="en-US" w:eastAsia="zh-CN"/>
              </w:rPr>
            </w:pPr>
            <w:r>
              <w:rPr>
                <w:rFonts w:hint="default" w:cstheme="majorBidi"/>
                <w:b w:val="0"/>
                <w:bCs w:val="0"/>
                <w:kern w:val="44"/>
                <w:vertAlign w:val="baseline"/>
                <w:lang w:val="en-US" w:eastAsia="zh-CN"/>
              </w:rPr>
              <w:t xml:space="preserve">Pb、Fe、Bi、Sb、As、Sn、Ni、Zn、P、S、Ag、Si、Mn、Cd、Co、Cr、Se、Te、Mg、Al、Be、Zr、Ti   </w:t>
            </w:r>
          </w:p>
        </w:tc>
        <w:tc>
          <w:tcPr>
            <w:tcW w:w="2011" w:type="dxa"/>
            <w:vAlign w:val="center"/>
          </w:tcPr>
          <w:p w14:paraId="5F276854">
            <w:pPr>
              <w:spacing w:line="240" w:lineRule="auto"/>
              <w:jc w:val="center"/>
              <w:rPr>
                <w:rFonts w:hint="default" w:cstheme="majorBidi"/>
                <w:b w:val="0"/>
                <w:bCs w:val="0"/>
                <w:kern w:val="44"/>
                <w:vertAlign w:val="baseline"/>
                <w:lang w:val="en-US" w:eastAsia="zh-CN"/>
              </w:rPr>
            </w:pPr>
            <w:r>
              <w:rPr>
                <w:rFonts w:hint="default" w:cstheme="majorBidi"/>
                <w:b w:val="0"/>
                <w:bCs w:val="0"/>
                <w:kern w:val="44"/>
                <w:vertAlign w:val="baseline"/>
                <w:lang w:val="en-US" w:eastAsia="zh-CN"/>
              </w:rPr>
              <w:t>Si、Fe、Cu、Mn、Mg、Zn、Ti、Ga</w:t>
            </w:r>
            <w:r>
              <w:rPr>
                <w:rFonts w:hint="eastAsia" w:cstheme="majorBidi"/>
                <w:b w:val="0"/>
                <w:bCs w:val="0"/>
                <w:kern w:val="44"/>
                <w:vertAlign w:val="baseline"/>
                <w:lang w:val="en-US" w:eastAsia="zh-CN"/>
              </w:rPr>
              <w:t xml:space="preserve"> </w:t>
            </w:r>
          </w:p>
        </w:tc>
        <w:tc>
          <w:tcPr>
            <w:tcW w:w="1996" w:type="dxa"/>
            <w:shd w:val="clear" w:color="auto" w:fill="auto"/>
            <w:vAlign w:val="center"/>
          </w:tcPr>
          <w:p w14:paraId="4F469115">
            <w:pPr>
              <w:spacing w:line="240" w:lineRule="auto"/>
              <w:jc w:val="center"/>
              <w:rPr>
                <w:rFonts w:hint="default" w:ascii="Times New Roman" w:hAnsi="Times New Roman" w:eastAsia="宋体" w:cstheme="majorBidi"/>
                <w:b w:val="0"/>
                <w:bCs w:val="0"/>
                <w:kern w:val="44"/>
                <w:sz w:val="21"/>
                <w:szCs w:val="24"/>
                <w:vertAlign w:val="baseline"/>
                <w:lang w:val="en-US" w:eastAsia="zh-CN" w:bidi="ar-SA"/>
              </w:rPr>
            </w:pPr>
            <w:r>
              <w:rPr>
                <w:rFonts w:hint="eastAsia" w:eastAsia="宋体" w:cstheme="majorBidi"/>
                <w:b w:val="0"/>
                <w:bCs w:val="0"/>
                <w:kern w:val="44"/>
                <w:vertAlign w:val="baseline"/>
                <w:lang w:val="en-US" w:eastAsia="zh-CN"/>
              </w:rPr>
              <w:t>Fe、</w:t>
            </w:r>
            <w:r>
              <w:rPr>
                <w:rFonts w:hint="eastAsia" w:cstheme="majorBidi"/>
                <w:b w:val="0"/>
                <w:bCs w:val="0"/>
                <w:kern w:val="44"/>
                <w:vertAlign w:val="baseline"/>
                <w:lang w:val="en-US" w:eastAsia="zh-CN"/>
              </w:rPr>
              <w:t>Cu</w:t>
            </w:r>
            <w:r>
              <w:rPr>
                <w:rFonts w:hint="eastAsia" w:eastAsia="宋体" w:cstheme="majorBidi"/>
                <w:b w:val="0"/>
                <w:bCs w:val="0"/>
                <w:kern w:val="44"/>
                <w:vertAlign w:val="baseline"/>
                <w:lang w:val="en-US" w:eastAsia="zh-CN"/>
              </w:rPr>
              <w:t>、Mg、Mn、</w:t>
            </w:r>
            <w:r>
              <w:rPr>
                <w:rFonts w:hint="eastAsia" w:cstheme="majorBidi"/>
                <w:b w:val="0"/>
                <w:bCs w:val="0"/>
                <w:kern w:val="44"/>
                <w:vertAlign w:val="baseline"/>
                <w:lang w:val="en-US" w:eastAsia="zh-CN"/>
              </w:rPr>
              <w:t>Ti</w:t>
            </w:r>
            <w:r>
              <w:rPr>
                <w:rFonts w:hint="eastAsia" w:eastAsia="宋体" w:cstheme="majorBidi"/>
                <w:b w:val="0"/>
                <w:bCs w:val="0"/>
                <w:kern w:val="44"/>
                <w:vertAlign w:val="baseline"/>
                <w:lang w:val="en-US" w:eastAsia="zh-CN"/>
              </w:rPr>
              <w:t>、Ni、Zn</w:t>
            </w:r>
          </w:p>
        </w:tc>
      </w:tr>
      <w:tr w14:paraId="6B8D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44" w:type="dxa"/>
            <w:vAlign w:val="center"/>
          </w:tcPr>
          <w:p w14:paraId="25043329">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最大稳定性</w:t>
            </w:r>
          </w:p>
        </w:tc>
        <w:tc>
          <w:tcPr>
            <w:tcW w:w="2018" w:type="dxa"/>
            <w:vAlign w:val="center"/>
          </w:tcPr>
          <w:p w14:paraId="65819D05">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2.4%</w:t>
            </w:r>
          </w:p>
        </w:tc>
        <w:tc>
          <w:tcPr>
            <w:tcW w:w="2002" w:type="dxa"/>
            <w:vAlign w:val="center"/>
          </w:tcPr>
          <w:p w14:paraId="5D0AE2C4">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3.3%</w:t>
            </w:r>
          </w:p>
        </w:tc>
        <w:tc>
          <w:tcPr>
            <w:tcW w:w="2011" w:type="dxa"/>
            <w:vAlign w:val="center"/>
          </w:tcPr>
          <w:p w14:paraId="445DFE62">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3.4%</w:t>
            </w:r>
          </w:p>
        </w:tc>
        <w:tc>
          <w:tcPr>
            <w:tcW w:w="1996" w:type="dxa"/>
            <w:shd w:val="clear" w:color="auto" w:fill="auto"/>
            <w:vAlign w:val="center"/>
          </w:tcPr>
          <w:p w14:paraId="54CD0290">
            <w:pPr>
              <w:spacing w:line="240" w:lineRule="auto"/>
              <w:jc w:val="center"/>
              <w:rPr>
                <w:rFonts w:hint="eastAsia" w:ascii="Times New Roman" w:hAnsi="Times New Roman" w:eastAsia="宋体" w:cstheme="majorBidi"/>
                <w:b w:val="0"/>
                <w:bCs w:val="0"/>
                <w:kern w:val="44"/>
                <w:sz w:val="21"/>
                <w:szCs w:val="24"/>
                <w:vertAlign w:val="baseline"/>
                <w:lang w:val="en-US" w:eastAsia="zh-CN" w:bidi="ar-SA"/>
              </w:rPr>
            </w:pPr>
            <w:r>
              <w:rPr>
                <w:rFonts w:hint="eastAsia" w:cstheme="majorBidi"/>
                <w:b w:val="0"/>
                <w:bCs w:val="0"/>
                <w:kern w:val="44"/>
                <w:vertAlign w:val="baseline"/>
                <w:lang w:val="en-US" w:eastAsia="zh-CN"/>
              </w:rPr>
              <w:t>4.9%</w:t>
            </w:r>
          </w:p>
        </w:tc>
      </w:tr>
      <w:tr w14:paraId="00F7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Align w:val="center"/>
          </w:tcPr>
          <w:p w14:paraId="0AAA2A8C">
            <w:pPr>
              <w:spacing w:line="240" w:lineRule="auto"/>
              <w:jc w:val="center"/>
              <w:rPr>
                <w:rFonts w:hint="default" w:cstheme="majorBidi"/>
                <w:b w:val="0"/>
                <w:bCs w:val="0"/>
                <w:kern w:val="44"/>
                <w:vertAlign w:val="baseline"/>
                <w:lang w:val="en-US" w:eastAsia="zh-CN"/>
              </w:rPr>
            </w:pPr>
            <w:r>
              <w:rPr>
                <w:rFonts w:hint="eastAsia" w:cstheme="majorBidi"/>
                <w:b w:val="0"/>
                <w:bCs w:val="0"/>
                <w:kern w:val="44"/>
                <w:vertAlign w:val="baseline"/>
                <w:lang w:val="en-US" w:eastAsia="zh-CN"/>
              </w:rPr>
              <w:t>确定的稳定性指标</w:t>
            </w:r>
          </w:p>
        </w:tc>
        <w:tc>
          <w:tcPr>
            <w:tcW w:w="8027" w:type="dxa"/>
            <w:gridSpan w:val="4"/>
            <w:vAlign w:val="center"/>
          </w:tcPr>
          <w:p w14:paraId="08904222">
            <w:pPr>
              <w:spacing w:line="24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sz w:val="24"/>
                <w:szCs w:val="24"/>
                <w:lang w:val="en-US" w:eastAsia="zh-CN"/>
              </w:rPr>
              <w:t>5 %</w:t>
            </w:r>
          </w:p>
        </w:tc>
      </w:tr>
    </w:tbl>
    <w:p w14:paraId="78AC17DA">
      <w:pPr>
        <w:spacing w:line="400" w:lineRule="exact"/>
        <w:jc w:val="center"/>
        <w:rPr>
          <w:rFonts w:hint="eastAsia" w:ascii="黑体" w:hAnsi="黑体" w:eastAsia="黑体" w:cs="黑体"/>
          <w:kern w:val="0"/>
          <w:sz w:val="21"/>
          <w:szCs w:val="21"/>
          <w:highlight w:val="none"/>
          <w:lang w:val="en-US" w:eastAsia="zh-CN" w:bidi="ar-SA"/>
        </w:rPr>
      </w:pPr>
    </w:p>
    <w:p w14:paraId="160736D5">
      <w:pPr>
        <w:pStyle w:val="4"/>
        <w:spacing w:before="156" w:after="156"/>
        <w:rPr>
          <w:b w:val="0"/>
          <w:bCs w:val="0"/>
          <w:sz w:val="24"/>
          <w:szCs w:val="24"/>
        </w:rPr>
      </w:pPr>
      <w:r>
        <w:rPr>
          <w:rFonts w:hint="eastAsia"/>
          <w:b w:val="0"/>
          <w:bCs w:val="0"/>
          <w:sz w:val="24"/>
          <w:szCs w:val="24"/>
        </w:rPr>
        <w:t>5 校准条件</w:t>
      </w:r>
      <w:bookmarkEnd w:id="41"/>
      <w:bookmarkStart w:id="42" w:name="_Toc500258942"/>
      <w:bookmarkStart w:id="43" w:name="_Toc193860214"/>
      <w:bookmarkStart w:id="44" w:name="_Toc193860033"/>
      <w:bookmarkStart w:id="45" w:name="_Toc193860183"/>
    </w:p>
    <w:p w14:paraId="6C496608">
      <w:pPr>
        <w:spacing w:line="360" w:lineRule="auto"/>
        <w:rPr>
          <w:rFonts w:hint="eastAsia" w:ascii="黑体" w:hAnsi="黑体" w:eastAsia="黑体" w:cs="黑体"/>
          <w:kern w:val="44"/>
          <w:sz w:val="24"/>
          <w:szCs w:val="24"/>
        </w:rPr>
      </w:pPr>
      <w:bookmarkStart w:id="46" w:name="_Toc533963948"/>
      <w:bookmarkStart w:id="47" w:name="_Toc161838411"/>
      <w:r>
        <w:rPr>
          <w:rFonts w:hint="eastAsia" w:ascii="黑体" w:hAnsi="黑体" w:eastAsia="黑体" w:cs="黑体"/>
          <w:kern w:val="44"/>
          <w:sz w:val="24"/>
          <w:szCs w:val="24"/>
        </w:rPr>
        <w:t>5.1 环境条件</w:t>
      </w:r>
      <w:bookmarkEnd w:id="46"/>
      <w:bookmarkEnd w:id="47"/>
    </w:p>
    <w:p w14:paraId="32C478F6">
      <w:pPr>
        <w:spacing w:line="360" w:lineRule="auto"/>
        <w:ind w:firstLine="480" w:firstLineChars="200"/>
        <w:rPr>
          <w:rFonts w:hint="eastAsia" w:eastAsiaTheme="minorEastAsia"/>
          <w:b w:val="0"/>
          <w:bCs w:val="0"/>
          <w:sz w:val="24"/>
          <w:szCs w:val="24"/>
        </w:rPr>
      </w:pPr>
      <w:r>
        <w:rPr>
          <w:rFonts w:hint="eastAsia" w:eastAsiaTheme="minorEastAsia"/>
          <w:b w:val="0"/>
          <w:bCs w:val="0"/>
          <w:sz w:val="24"/>
          <w:szCs w:val="24"/>
        </w:rPr>
        <w:t>仪器应在（15~30）℃、相对湿度不大于80%的条件下校准。校准环境周围无腐蚀性介质，附近无影响实验结果的振源。</w:t>
      </w:r>
    </w:p>
    <w:p w14:paraId="74E6F067">
      <w:pPr>
        <w:spacing w:line="360" w:lineRule="auto"/>
        <w:ind w:firstLine="480" w:firstLineChars="200"/>
        <w:rPr>
          <w:rFonts w:hint="default" w:eastAsiaTheme="minorEastAsia"/>
          <w:b w:val="0"/>
          <w:bCs w:val="0"/>
          <w:sz w:val="24"/>
          <w:szCs w:val="24"/>
          <w:lang w:val="en-US" w:eastAsia="zh-CN"/>
        </w:rPr>
      </w:pPr>
      <w:r>
        <w:rPr>
          <w:rFonts w:hint="eastAsia" w:eastAsiaTheme="minorEastAsia"/>
          <w:b w:val="0"/>
          <w:bCs w:val="0"/>
          <w:sz w:val="24"/>
          <w:szCs w:val="24"/>
          <w:lang w:val="en-US" w:eastAsia="zh-CN"/>
        </w:rPr>
        <w:t>上述环境条件可以</w:t>
      </w:r>
    </w:p>
    <w:p w14:paraId="30FFABA1">
      <w:pPr>
        <w:numPr>
          <w:ilvl w:val="0"/>
          <w:numId w:val="13"/>
        </w:numPr>
        <w:spacing w:line="324" w:lineRule="auto"/>
        <w:ind w:firstLine="480" w:firstLineChars="200"/>
        <w:outlineLvl w:val="1"/>
        <w:rPr>
          <w:rFonts w:hint="eastAsia"/>
          <w:sz w:val="24"/>
          <w:szCs w:val="24"/>
        </w:rPr>
      </w:pPr>
      <w:r>
        <w:rPr>
          <w:rFonts w:hint="eastAsia"/>
          <w:sz w:val="24"/>
          <w:szCs w:val="24"/>
          <w:lang w:val="en-US" w:eastAsia="zh-CN"/>
        </w:rPr>
        <w:t>满足市场上90%以上的仪器制造商规定的环境条件</w:t>
      </w:r>
      <w:r>
        <w:rPr>
          <w:rFonts w:hint="eastAsia"/>
          <w:sz w:val="24"/>
          <w:szCs w:val="24"/>
        </w:rPr>
        <w:t>。</w:t>
      </w:r>
    </w:p>
    <w:p w14:paraId="0AB9CC9B">
      <w:pPr>
        <w:numPr>
          <w:ilvl w:val="0"/>
          <w:numId w:val="13"/>
        </w:numPr>
        <w:spacing w:line="324" w:lineRule="auto"/>
        <w:ind w:firstLine="480" w:firstLineChars="200"/>
        <w:outlineLvl w:val="1"/>
        <w:rPr>
          <w:rFonts w:hint="eastAsia" w:eastAsiaTheme="minorEastAsia"/>
          <w:b w:val="0"/>
          <w:bCs w:val="0"/>
          <w:sz w:val="24"/>
          <w:szCs w:val="24"/>
        </w:rPr>
      </w:pPr>
      <w:r>
        <w:rPr>
          <w:rFonts w:hint="eastAsia"/>
          <w:sz w:val="24"/>
          <w:szCs w:val="24"/>
          <w:lang w:val="en-US" w:eastAsia="zh-CN"/>
        </w:rPr>
        <w:t>GB/T 41404-2022条款8.1.1中对试验要求进行了说明，即环境温度</w:t>
      </w:r>
      <w:r>
        <w:rPr>
          <w:rFonts w:hint="eastAsia"/>
          <w:sz w:val="24"/>
          <w:szCs w:val="24"/>
        </w:rPr>
        <w:t>（</w:t>
      </w:r>
      <w:r>
        <w:rPr>
          <w:rFonts w:hint="eastAsia"/>
          <w:sz w:val="24"/>
          <w:szCs w:val="24"/>
          <w:lang w:val="en-US" w:eastAsia="zh-CN"/>
        </w:rPr>
        <w:t>15~30</w:t>
      </w:r>
      <w:r>
        <w:rPr>
          <w:rFonts w:hint="eastAsia"/>
          <w:sz w:val="24"/>
          <w:szCs w:val="24"/>
        </w:rPr>
        <w:t>）℃</w:t>
      </w:r>
      <w:r>
        <w:rPr>
          <w:rFonts w:hint="eastAsia"/>
          <w:sz w:val="24"/>
          <w:szCs w:val="24"/>
          <w:lang w:eastAsia="zh-CN"/>
        </w:rPr>
        <w:t>，</w:t>
      </w:r>
      <w:r>
        <w:rPr>
          <w:rFonts w:hint="eastAsia"/>
          <w:sz w:val="24"/>
          <w:szCs w:val="24"/>
          <w:lang w:val="en-US" w:eastAsia="zh-CN"/>
        </w:rPr>
        <w:t>相对湿度小于80%。</w:t>
      </w:r>
    </w:p>
    <w:p w14:paraId="6CA6B9C5">
      <w:pPr>
        <w:numPr>
          <w:ilvl w:val="0"/>
          <w:numId w:val="13"/>
        </w:numPr>
        <w:spacing w:line="324" w:lineRule="auto"/>
        <w:ind w:firstLine="480" w:firstLineChars="200"/>
        <w:outlineLvl w:val="1"/>
        <w:rPr>
          <w:rFonts w:hint="eastAsia" w:eastAsiaTheme="minorEastAsia"/>
          <w:b w:val="0"/>
          <w:bCs w:val="0"/>
          <w:sz w:val="24"/>
          <w:szCs w:val="24"/>
        </w:rPr>
      </w:pPr>
      <w:r>
        <w:rPr>
          <w:rFonts w:hint="eastAsia"/>
          <w:sz w:val="24"/>
          <w:szCs w:val="24"/>
          <w:lang w:val="en-US" w:eastAsia="zh-CN"/>
        </w:rPr>
        <w:t>上述试验标准中规定的环境条件是针对试验过程的要求，</w:t>
      </w:r>
      <w:r>
        <w:rPr>
          <w:rFonts w:hint="eastAsia" w:eastAsiaTheme="minorEastAsia"/>
          <w:b w:val="0"/>
          <w:bCs w:val="0"/>
          <w:kern w:val="0"/>
          <w:sz w:val="24"/>
          <w:szCs w:val="24"/>
          <w:lang w:val="en-US" w:eastAsia="zh-CN"/>
        </w:rPr>
        <w:t>光谱仪的校准通常在实验室现场进行</w:t>
      </w:r>
      <w:r>
        <w:rPr>
          <w:rFonts w:hint="eastAsia"/>
          <w:sz w:val="24"/>
          <w:szCs w:val="24"/>
          <w:lang w:val="en-US" w:eastAsia="zh-CN"/>
        </w:rPr>
        <w:t>，所以环境条件只要满足仪器的使用条件即可。</w:t>
      </w:r>
    </w:p>
    <w:p w14:paraId="18CD4457">
      <w:pPr>
        <w:spacing w:line="360" w:lineRule="auto"/>
        <w:rPr>
          <w:rFonts w:hint="eastAsia" w:ascii="黑体" w:hAnsi="黑体" w:eastAsia="黑体" w:cs="黑体"/>
          <w:kern w:val="44"/>
          <w:sz w:val="24"/>
          <w:szCs w:val="24"/>
        </w:rPr>
      </w:pPr>
      <w:bookmarkStart w:id="48" w:name="_Toc533963949"/>
      <w:bookmarkStart w:id="49" w:name="_Toc161838412"/>
      <w:r>
        <w:rPr>
          <w:rFonts w:hint="eastAsia" w:ascii="黑体" w:hAnsi="黑体" w:eastAsia="黑体" w:cs="黑体"/>
          <w:kern w:val="44"/>
          <w:sz w:val="24"/>
          <w:szCs w:val="24"/>
        </w:rPr>
        <w:t>5.2</w:t>
      </w:r>
      <w:bookmarkEnd w:id="48"/>
      <w:r>
        <w:rPr>
          <w:rFonts w:hint="eastAsia" w:ascii="黑体" w:hAnsi="黑体" w:eastAsia="黑体" w:cs="黑体"/>
          <w:kern w:val="44"/>
          <w:sz w:val="24"/>
          <w:szCs w:val="24"/>
        </w:rPr>
        <w:t xml:space="preserve"> 测量标准</w:t>
      </w:r>
      <w:bookmarkEnd w:id="49"/>
    </w:p>
    <w:p w14:paraId="58D13D58">
      <w:pPr>
        <w:numPr>
          <w:ilvl w:val="-1"/>
          <w:numId w:val="0"/>
        </w:numPr>
        <w:spacing w:line="324" w:lineRule="auto"/>
        <w:ind w:firstLine="480" w:firstLineChars="200"/>
        <w:outlineLvl w:val="1"/>
        <w:rPr>
          <w:rFonts w:hint="eastAsia"/>
          <w:kern w:val="2"/>
          <w:sz w:val="24"/>
        </w:rPr>
      </w:pPr>
      <w:r>
        <w:rPr>
          <w:rFonts w:hint="eastAsia"/>
          <w:bCs w:val="0"/>
          <w:color w:val="auto"/>
          <w:sz w:val="24"/>
        </w:rPr>
        <w:t>测量标准的技术要求应符合</w:t>
      </w:r>
      <w:r>
        <w:rPr>
          <w:rFonts w:hint="eastAsia"/>
          <w:bCs w:val="0"/>
          <w:color w:val="auto"/>
          <w:sz w:val="24"/>
          <w:lang w:val="en-US" w:eastAsia="zh-CN"/>
        </w:rPr>
        <w:t>正文中5.2</w:t>
      </w:r>
      <w:r>
        <w:rPr>
          <w:rFonts w:hint="eastAsia"/>
          <w:bCs w:val="0"/>
          <w:color w:val="auto"/>
          <w:sz w:val="24"/>
        </w:rPr>
        <w:t>的规定</w:t>
      </w:r>
      <w:r>
        <w:rPr>
          <w:rFonts w:hint="eastAsia"/>
          <w:kern w:val="2"/>
          <w:sz w:val="24"/>
        </w:rPr>
        <w:t>。</w:t>
      </w:r>
    </w:p>
    <w:p w14:paraId="2582DF3F">
      <w:pPr>
        <w:numPr>
          <w:ilvl w:val="-1"/>
          <w:numId w:val="0"/>
        </w:numPr>
        <w:spacing w:line="324" w:lineRule="auto"/>
        <w:ind w:firstLine="480" w:firstLineChars="200"/>
        <w:outlineLvl w:val="1"/>
        <w:rPr>
          <w:rFonts w:hint="eastAsia" w:eastAsia="宋体"/>
          <w:sz w:val="24"/>
          <w:szCs w:val="24"/>
          <w:lang w:val="en-US" w:eastAsia="zh-CN"/>
        </w:rPr>
      </w:pPr>
      <w:r>
        <w:rPr>
          <w:rFonts w:hint="eastAsia" w:eastAsia="宋体" w:cs="Times New Roman"/>
          <w:b w:val="0"/>
          <w:bCs w:val="0"/>
          <w:sz w:val="24"/>
          <w:szCs w:val="24"/>
          <w:lang w:val="en-US" w:eastAsia="zh-CN"/>
        </w:rPr>
        <w:t>在实际使用中，</w:t>
      </w:r>
      <w:r>
        <w:rPr>
          <w:rFonts w:hint="eastAsia"/>
          <w:kern w:val="2"/>
          <w:sz w:val="24"/>
          <w:szCs w:val="24"/>
          <w:lang w:val="en-US" w:eastAsia="zh-CN"/>
        </w:rPr>
        <w:t>为保证计量溯源性，测量标准需使用有证标准物质或标准样品，并尽可能覆盖有色金属的范围，</w:t>
      </w:r>
      <w:r>
        <w:rPr>
          <w:rFonts w:hint="eastAsia"/>
          <w:sz w:val="24"/>
          <w:szCs w:val="24"/>
          <w:lang w:val="en-US" w:eastAsia="zh-CN"/>
        </w:rPr>
        <w:t>根据实际的使用情况与校准方法的要求，选用相应的基体标准物质</w:t>
      </w:r>
      <w:r>
        <w:rPr>
          <w:rFonts w:hint="eastAsia"/>
          <w:kern w:val="2"/>
          <w:sz w:val="24"/>
          <w:szCs w:val="24"/>
          <w:lang w:val="en-US" w:eastAsia="zh-CN"/>
        </w:rPr>
        <w:t>或标准样品</w:t>
      </w:r>
      <w:r>
        <w:rPr>
          <w:rFonts w:hint="eastAsia"/>
          <w:sz w:val="24"/>
          <w:szCs w:val="24"/>
        </w:rPr>
        <w:t>。</w:t>
      </w:r>
      <w:r>
        <w:rPr>
          <w:rFonts w:hint="eastAsia"/>
          <w:sz w:val="24"/>
          <w:szCs w:val="24"/>
          <w:lang w:val="en-US" w:eastAsia="zh-CN"/>
        </w:rPr>
        <w:t>正文中表2给出了</w:t>
      </w:r>
      <w:r>
        <w:rPr>
          <w:rFonts w:hint="eastAsia" w:ascii="Times New Roman" w:hAnsi="Times New Roman" w:eastAsia="宋体" w:cs="Times New Roman"/>
          <w:b w:val="0"/>
          <w:bCs w:val="0"/>
          <w:color w:val="auto"/>
          <w:sz w:val="24"/>
          <w:szCs w:val="24"/>
          <w:lang w:val="en-US" w:eastAsia="zh-CN"/>
        </w:rPr>
        <w:t>推荐的标准物质</w:t>
      </w:r>
      <w:r>
        <w:rPr>
          <w:rFonts w:hint="eastAsia" w:ascii="Times New Roman" w:hAnsi="Times New Roman" w:cs="Times New Roman"/>
          <w:b w:val="0"/>
          <w:bCs w:val="0"/>
          <w:color w:val="auto"/>
          <w:sz w:val="24"/>
          <w:szCs w:val="24"/>
          <w:lang w:val="en-US" w:eastAsia="zh-CN"/>
        </w:rPr>
        <w:t>，在实际操作中，</w:t>
      </w:r>
      <w:r>
        <w:rPr>
          <w:rFonts w:hint="eastAsia" w:ascii="Times New Roman" w:hAnsi="Times New Roman" w:eastAsia="宋体" w:cs="Times New Roman"/>
          <w:b w:val="0"/>
          <w:bCs w:val="0"/>
          <w:color w:val="auto"/>
          <w:sz w:val="24"/>
          <w:szCs w:val="24"/>
          <w:lang w:val="en-US" w:eastAsia="zh-CN"/>
        </w:rPr>
        <w:t>也可依据测量要求选择，不限表</w:t>
      </w:r>
      <w:r>
        <w:rPr>
          <w:rFonts w:hint="eastAsia" w:ascii="Times New Roman" w:hAnsi="Times New Roman"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lang w:val="en-US" w:eastAsia="zh-CN"/>
        </w:rPr>
        <w:t>。</w:t>
      </w:r>
    </w:p>
    <w:bookmarkEnd w:id="42"/>
    <w:bookmarkEnd w:id="43"/>
    <w:bookmarkEnd w:id="44"/>
    <w:bookmarkEnd w:id="45"/>
    <w:p w14:paraId="1DA18AC2">
      <w:pPr>
        <w:pStyle w:val="4"/>
        <w:spacing w:before="156" w:after="156"/>
        <w:rPr>
          <w:rFonts w:hint="eastAsia"/>
          <w:b w:val="0"/>
          <w:bCs w:val="0"/>
          <w:sz w:val="24"/>
          <w:szCs w:val="24"/>
        </w:rPr>
      </w:pPr>
      <w:bookmarkStart w:id="50" w:name="_Toc193860216"/>
      <w:bookmarkStart w:id="51" w:name="_Toc500258944"/>
      <w:bookmarkStart w:id="52" w:name="_Toc193619058"/>
      <w:bookmarkStart w:id="53" w:name="_Toc193618955"/>
      <w:bookmarkStart w:id="54" w:name="_Toc2741_WPSOffice_Level1"/>
      <w:bookmarkStart w:id="55" w:name="_Toc193860185"/>
      <w:bookmarkStart w:id="56" w:name="_Toc193860035"/>
      <w:bookmarkStart w:id="57" w:name="_Toc193619100"/>
      <w:r>
        <w:rPr>
          <w:rFonts w:hint="eastAsia"/>
          <w:b w:val="0"/>
          <w:bCs w:val="0"/>
          <w:sz w:val="24"/>
          <w:szCs w:val="24"/>
        </w:rPr>
        <w:t>6 校准项目和校准方法</w:t>
      </w:r>
      <w:bookmarkEnd w:id="50"/>
      <w:bookmarkEnd w:id="51"/>
      <w:bookmarkEnd w:id="52"/>
      <w:bookmarkEnd w:id="53"/>
      <w:bookmarkEnd w:id="54"/>
      <w:bookmarkEnd w:id="55"/>
      <w:bookmarkEnd w:id="56"/>
      <w:bookmarkEnd w:id="57"/>
    </w:p>
    <w:p w14:paraId="3A4DFCA0">
      <w:pPr>
        <w:spacing w:line="360" w:lineRule="auto"/>
        <w:ind w:firstLine="480" w:firstLineChars="200"/>
        <w:rPr>
          <w:rFonts w:hint="eastAsia" w:eastAsiaTheme="minorEastAsia"/>
          <w:b w:val="0"/>
          <w:bCs w:val="0"/>
          <w:kern w:val="0"/>
          <w:sz w:val="24"/>
          <w:szCs w:val="24"/>
        </w:rPr>
      </w:pPr>
      <w:bookmarkStart w:id="58" w:name="_Toc500258945"/>
      <w:bookmarkStart w:id="59" w:name="_Toc22718_WPSOffice_Level2"/>
      <w:r>
        <w:rPr>
          <w:rFonts w:hint="eastAsia"/>
          <w:b w:val="0"/>
          <w:bCs w:val="0"/>
          <w:kern w:val="0"/>
          <w:sz w:val="24"/>
          <w:szCs w:val="24"/>
        </w:rPr>
        <w:t>校准项目包含</w:t>
      </w:r>
      <w:r>
        <w:rPr>
          <w:rFonts w:hint="eastAsia"/>
          <w:b w:val="0"/>
          <w:bCs w:val="0"/>
          <w:sz w:val="24"/>
          <w:szCs w:val="24"/>
          <w:lang w:val="en-US" w:eastAsia="zh-CN"/>
        </w:rPr>
        <w:t>检出限、</w:t>
      </w:r>
      <w:r>
        <w:rPr>
          <w:b w:val="0"/>
          <w:bCs w:val="0"/>
          <w:sz w:val="24"/>
          <w:szCs w:val="24"/>
        </w:rPr>
        <w:t>示值误差</w:t>
      </w:r>
      <w:r>
        <w:rPr>
          <w:rFonts w:hint="eastAsia"/>
          <w:b w:val="0"/>
          <w:bCs w:val="0"/>
          <w:sz w:val="24"/>
          <w:szCs w:val="24"/>
        </w:rPr>
        <w:t>、</w:t>
      </w:r>
      <w:r>
        <w:rPr>
          <w:b w:val="0"/>
          <w:bCs w:val="0"/>
          <w:sz w:val="24"/>
          <w:szCs w:val="24"/>
        </w:rPr>
        <w:t>重复性</w:t>
      </w:r>
      <w:r>
        <w:rPr>
          <w:rFonts w:hint="eastAsia" w:eastAsiaTheme="minorEastAsia"/>
          <w:b w:val="0"/>
          <w:bCs w:val="0"/>
          <w:kern w:val="0"/>
          <w:sz w:val="24"/>
          <w:szCs w:val="24"/>
        </w:rPr>
        <w:t>以及</w:t>
      </w:r>
      <w:r>
        <w:rPr>
          <w:rFonts w:hint="eastAsia" w:eastAsiaTheme="minorEastAsia"/>
          <w:b w:val="0"/>
          <w:bCs w:val="0"/>
          <w:kern w:val="0"/>
          <w:sz w:val="24"/>
          <w:szCs w:val="24"/>
          <w:lang w:val="en-US" w:eastAsia="zh-CN"/>
        </w:rPr>
        <w:t>稳定性</w:t>
      </w:r>
      <w:r>
        <w:rPr>
          <w:rFonts w:hint="eastAsia" w:eastAsiaTheme="minorEastAsia"/>
          <w:b w:val="0"/>
          <w:bCs w:val="0"/>
          <w:kern w:val="0"/>
          <w:sz w:val="24"/>
          <w:szCs w:val="24"/>
        </w:rPr>
        <w:t>具体的校准方法。</w:t>
      </w:r>
    </w:p>
    <w:p w14:paraId="6BD21360">
      <w:pPr>
        <w:spacing w:line="360" w:lineRule="auto"/>
        <w:ind w:firstLine="480" w:firstLineChars="200"/>
        <w:rPr>
          <w:rFonts w:hint="eastAsia" w:eastAsia="宋体"/>
          <w:b w:val="0"/>
          <w:bCs w:val="0"/>
          <w:kern w:val="2"/>
          <w:sz w:val="24"/>
          <w:szCs w:val="24"/>
          <w:highlight w:val="none"/>
          <w:lang w:val="en-US" w:eastAsia="zh-CN"/>
        </w:rPr>
      </w:pPr>
      <w:r>
        <w:rPr>
          <w:rFonts w:hint="eastAsia"/>
          <w:b w:val="0"/>
          <w:bCs w:val="0"/>
          <w:sz w:val="24"/>
          <w:szCs w:val="24"/>
        </w:rPr>
        <w:t>有色金属材料分析用火花放电原子发射光谱仪</w:t>
      </w:r>
      <w:r>
        <w:rPr>
          <w:rFonts w:hint="eastAsia"/>
          <w:b w:val="0"/>
          <w:bCs w:val="0"/>
          <w:sz w:val="24"/>
          <w:szCs w:val="24"/>
          <w:lang w:val="en-US" w:eastAsia="zh-CN"/>
        </w:rPr>
        <w:t>检出限</w:t>
      </w:r>
      <w:r>
        <w:rPr>
          <w:rFonts w:hint="eastAsia" w:eastAsia="宋体"/>
          <w:b w:val="0"/>
          <w:bCs w:val="0"/>
          <w:kern w:val="2"/>
          <w:sz w:val="24"/>
          <w:szCs w:val="24"/>
          <w:lang w:val="en-US" w:eastAsia="zh-CN"/>
        </w:rPr>
        <w:t>校准方法是依据JJG768发射光谱仪检定规程，</w:t>
      </w:r>
      <w:r>
        <w:rPr>
          <w:rFonts w:hint="eastAsia" w:eastAsia="宋体"/>
          <w:b w:val="0"/>
          <w:bCs w:val="0"/>
          <w:kern w:val="2"/>
          <w:sz w:val="24"/>
          <w:szCs w:val="24"/>
          <w:highlight w:val="none"/>
          <w:lang w:val="en-US" w:eastAsia="zh-CN"/>
        </w:rPr>
        <w:t>对检出限的校准方法进行编写。在预审会议中，</w:t>
      </w:r>
      <w:r>
        <w:rPr>
          <w:rFonts w:hint="eastAsia" w:ascii="Times New Roman" w:hAnsi="Times New Roman" w:eastAsia="宋体" w:cs="Times New Roman"/>
          <w:b w:val="0"/>
          <w:bCs w:val="0"/>
          <w:kern w:val="2"/>
          <w:sz w:val="24"/>
          <w:szCs w:val="24"/>
          <w:lang w:val="en-US" w:eastAsia="zh-CN"/>
        </w:rPr>
        <w:t>经专家讨论，并结合</w:t>
      </w:r>
      <w:r>
        <w:rPr>
          <w:rFonts w:hint="eastAsia" w:cs="Times New Roman"/>
          <w:b w:val="0"/>
          <w:bCs w:val="0"/>
          <w:kern w:val="2"/>
          <w:sz w:val="24"/>
          <w:szCs w:val="24"/>
          <w:lang w:val="en-US" w:eastAsia="zh-CN"/>
        </w:rPr>
        <w:t>国标（北京）检验认证有限公司、中铝洛阳铜加工有限公司、酒泉钢铁（集团）有限责任公司检验检测中心</w:t>
      </w:r>
      <w:r>
        <w:rPr>
          <w:rFonts w:hint="eastAsia"/>
          <w:sz w:val="24"/>
          <w:szCs w:val="24"/>
          <w:lang w:val="en-US" w:eastAsia="zh-CN"/>
        </w:rPr>
        <w:t>、</w:t>
      </w:r>
      <w:r>
        <w:rPr>
          <w:rFonts w:hint="eastAsia" w:ascii="Times New Roman" w:hAnsi="Times New Roman" w:cs="Times New Roman"/>
          <w:kern w:val="2"/>
          <w:sz w:val="24"/>
          <w:szCs w:val="24"/>
        </w:rPr>
        <w:t>中铝材料应用研究院有限公司</w:t>
      </w:r>
      <w:r>
        <w:rPr>
          <w:rFonts w:hint="eastAsia" w:ascii="Times New Roman" w:hAnsi="Times New Roman" w:eastAsia="宋体" w:cs="Times New Roman"/>
          <w:b w:val="0"/>
          <w:bCs w:val="0"/>
          <w:kern w:val="2"/>
          <w:sz w:val="24"/>
          <w:szCs w:val="24"/>
          <w:lang w:val="en-US" w:eastAsia="zh-CN"/>
        </w:rPr>
        <w:t>的验证报告，</w:t>
      </w:r>
      <w:r>
        <w:rPr>
          <w:rFonts w:hint="eastAsia" w:ascii="Times New Roman" w:hAnsi="Times New Roman" w:cs="Times New Roman"/>
          <w:b w:val="0"/>
          <w:bCs w:val="0"/>
          <w:kern w:val="2"/>
          <w:sz w:val="24"/>
          <w:szCs w:val="24"/>
          <w:lang w:val="en-US" w:eastAsia="zh-CN"/>
        </w:rPr>
        <w:t>确认了检出限的</w:t>
      </w:r>
      <w:r>
        <w:rPr>
          <w:rFonts w:hint="eastAsia" w:ascii="Times New Roman" w:hAnsi="Times New Roman" w:eastAsia="宋体" w:cs="Times New Roman"/>
          <w:b w:val="0"/>
          <w:bCs w:val="0"/>
          <w:kern w:val="2"/>
          <w:sz w:val="24"/>
          <w:szCs w:val="24"/>
          <w:lang w:val="en-US" w:eastAsia="zh-CN"/>
        </w:rPr>
        <w:t>技术指标。</w:t>
      </w:r>
    </w:p>
    <w:p w14:paraId="023FEFA2">
      <w:pPr>
        <w:spacing w:line="360" w:lineRule="auto"/>
        <w:ind w:firstLine="480" w:firstLineChars="200"/>
        <w:rPr>
          <w:rFonts w:hint="eastAsia" w:ascii="Times New Roman" w:hAnsi="Times New Roman" w:eastAsia="宋体" w:cs="Times New Roman"/>
          <w:b w:val="0"/>
          <w:bCs w:val="0"/>
          <w:kern w:val="2"/>
          <w:sz w:val="24"/>
          <w:szCs w:val="24"/>
          <w:lang w:val="en-US" w:eastAsia="zh-CN"/>
        </w:rPr>
      </w:pPr>
      <w:r>
        <w:rPr>
          <w:rFonts w:hint="eastAsia" w:ascii="Times New Roman" w:hAnsi="Times New Roman" w:cs="Times New Roman"/>
          <w:b w:val="0"/>
          <w:bCs w:val="0"/>
          <w:sz w:val="24"/>
          <w:szCs w:val="24"/>
          <w:lang w:val="en-US" w:eastAsia="zh-CN"/>
        </w:rPr>
        <w:t>示值误差是反映</w:t>
      </w:r>
      <w:r>
        <w:rPr>
          <w:rFonts w:hint="eastAsia" w:ascii="Times New Roman" w:hAnsi="Times New Roman" w:cs="Times New Roman"/>
          <w:b w:val="0"/>
          <w:bCs w:val="0"/>
          <w:sz w:val="24"/>
          <w:szCs w:val="24"/>
        </w:rPr>
        <w:t>有色金属材料分析用火花放电原子发射光谱仪</w:t>
      </w:r>
      <w:r>
        <w:rPr>
          <w:rFonts w:hint="eastAsia" w:ascii="Times New Roman" w:hAnsi="Times New Roman" w:cs="Times New Roman"/>
          <w:b w:val="0"/>
          <w:bCs w:val="0"/>
          <w:sz w:val="24"/>
          <w:szCs w:val="24"/>
          <w:lang w:val="en-US" w:eastAsia="zh-CN"/>
        </w:rPr>
        <w:t>测量数据准确性的重要指</w:t>
      </w:r>
      <w:r>
        <w:rPr>
          <w:rFonts w:hint="default" w:ascii="Times New Roman" w:hAnsi="Times New Roman" w:cs="Times New Roman"/>
          <w:b w:val="0"/>
          <w:bCs w:val="0"/>
          <w:sz w:val="24"/>
          <w:szCs w:val="24"/>
          <w:lang w:val="en-US" w:eastAsia="zh-CN"/>
        </w:rPr>
        <w:t>标</w:t>
      </w:r>
      <w:r>
        <w:rPr>
          <w:rFonts w:hint="eastAsia"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lang w:val="en-US" w:eastAsia="zh-CN"/>
        </w:rPr>
        <w:t>它是试样的测量值和标准值的差值，是衡量</w:t>
      </w:r>
      <w:r>
        <w:rPr>
          <w:rFonts w:hint="eastAsia" w:ascii="Times New Roman" w:hAnsi="Times New Roman" w:cs="Times New Roman"/>
          <w:b w:val="0"/>
          <w:bCs w:val="0"/>
          <w:sz w:val="24"/>
          <w:szCs w:val="24"/>
        </w:rPr>
        <w:t>有色金属材料分析用火花放电原子发射光谱仪</w:t>
      </w:r>
      <w:r>
        <w:rPr>
          <w:rFonts w:hint="default" w:ascii="Times New Roman" w:hAnsi="Times New Roman" w:cs="Times New Roman"/>
          <w:b w:val="0"/>
          <w:bCs w:val="0"/>
          <w:sz w:val="24"/>
          <w:szCs w:val="24"/>
          <w:lang w:val="en-US" w:eastAsia="zh-CN"/>
        </w:rPr>
        <w:t>分析结果准确度的重要计量特性。</w:t>
      </w:r>
      <w:r>
        <w:rPr>
          <w:rFonts w:hint="eastAsia" w:ascii="Times New Roman" w:hAnsi="Times New Roman" w:eastAsia="宋体" w:cs="Times New Roman"/>
          <w:b w:val="0"/>
          <w:bCs w:val="0"/>
          <w:kern w:val="2"/>
          <w:sz w:val="24"/>
          <w:szCs w:val="24"/>
          <w:lang w:val="en-US" w:eastAsia="zh-CN"/>
        </w:rPr>
        <w:t>在预审会议中，经专家讨论，并结合</w:t>
      </w:r>
      <w:r>
        <w:rPr>
          <w:rFonts w:hint="eastAsia" w:ascii="Times New Roman" w:hAnsi="Times New Roman" w:cs="Times New Roman"/>
          <w:b w:val="0"/>
          <w:bCs w:val="0"/>
          <w:kern w:val="2"/>
          <w:sz w:val="24"/>
          <w:szCs w:val="24"/>
          <w:lang w:val="en-US" w:eastAsia="zh-CN"/>
        </w:rPr>
        <w:t>国标（北京）检验认证有限公司、</w:t>
      </w:r>
      <w:r>
        <w:rPr>
          <w:rFonts w:hint="eastAsia" w:cs="Times New Roman"/>
          <w:b w:val="0"/>
          <w:bCs w:val="0"/>
          <w:kern w:val="2"/>
          <w:sz w:val="24"/>
          <w:szCs w:val="24"/>
          <w:lang w:val="en-US" w:eastAsia="zh-CN"/>
        </w:rPr>
        <w:t>中铝洛阳铜加工有限公司</w:t>
      </w:r>
      <w:r>
        <w:rPr>
          <w:rFonts w:hint="eastAsia" w:ascii="Times New Roman" w:hAnsi="Times New Roman" w:cs="Times New Roman"/>
          <w:b w:val="0"/>
          <w:bCs w:val="0"/>
          <w:kern w:val="2"/>
          <w:sz w:val="24"/>
          <w:szCs w:val="24"/>
          <w:lang w:val="en-US" w:eastAsia="zh-CN"/>
        </w:rPr>
        <w:t>、酒泉钢铁（集团）有限责任公司检验检测中心</w:t>
      </w:r>
      <w:r>
        <w:rPr>
          <w:rFonts w:hint="eastAsia" w:ascii="Times New Roman" w:hAnsi="Times New Roman" w:cs="Times New Roman"/>
          <w:sz w:val="24"/>
          <w:szCs w:val="24"/>
          <w:lang w:val="en-US" w:eastAsia="zh-CN"/>
        </w:rPr>
        <w:t>、</w:t>
      </w:r>
      <w:r>
        <w:rPr>
          <w:rFonts w:hint="eastAsia" w:ascii="Times New Roman" w:hAnsi="Times New Roman" w:cs="Times New Roman"/>
          <w:kern w:val="2"/>
          <w:sz w:val="24"/>
          <w:szCs w:val="24"/>
        </w:rPr>
        <w:t>中铝材料应用研究院有限公司</w:t>
      </w:r>
      <w:r>
        <w:rPr>
          <w:rFonts w:hint="eastAsia" w:ascii="Times New Roman" w:hAnsi="Times New Roman" w:eastAsia="宋体" w:cs="Times New Roman"/>
          <w:b w:val="0"/>
          <w:bCs w:val="0"/>
          <w:kern w:val="2"/>
          <w:sz w:val="24"/>
          <w:szCs w:val="24"/>
          <w:lang w:val="en-US" w:eastAsia="zh-CN"/>
        </w:rPr>
        <w:t>的验证报告，</w:t>
      </w:r>
      <w:r>
        <w:rPr>
          <w:rFonts w:hint="eastAsia" w:ascii="Times New Roman" w:hAnsi="Times New Roman" w:cs="Times New Roman"/>
          <w:b w:val="0"/>
          <w:bCs w:val="0"/>
          <w:kern w:val="2"/>
          <w:sz w:val="24"/>
          <w:szCs w:val="24"/>
          <w:lang w:val="en-US" w:eastAsia="zh-CN"/>
        </w:rPr>
        <w:t>确认了示值误差的</w:t>
      </w:r>
      <w:r>
        <w:rPr>
          <w:rFonts w:hint="eastAsia" w:ascii="Times New Roman" w:hAnsi="Times New Roman" w:eastAsia="宋体" w:cs="Times New Roman"/>
          <w:b w:val="0"/>
          <w:bCs w:val="0"/>
          <w:kern w:val="2"/>
          <w:sz w:val="24"/>
          <w:szCs w:val="24"/>
          <w:lang w:val="en-US" w:eastAsia="zh-CN"/>
        </w:rPr>
        <w:t>技术指标。</w:t>
      </w:r>
    </w:p>
    <w:p w14:paraId="507A63CD">
      <w:pPr>
        <w:spacing w:line="360" w:lineRule="auto"/>
        <w:ind w:firstLine="480" w:firstLineChars="200"/>
        <w:rPr>
          <w:rFonts w:hint="eastAsia" w:ascii="Times New Roman" w:hAnsi="Times New Roman" w:eastAsia="宋体" w:cs="Times New Roman"/>
          <w:b w:val="0"/>
          <w:bCs w:val="0"/>
          <w:kern w:val="2"/>
          <w:sz w:val="24"/>
          <w:szCs w:val="24"/>
          <w:lang w:val="en-US" w:eastAsia="zh-CN"/>
        </w:rPr>
      </w:pPr>
      <w:r>
        <w:rPr>
          <w:rFonts w:hint="eastAsia"/>
          <w:b w:val="0"/>
          <w:bCs w:val="0"/>
          <w:sz w:val="24"/>
          <w:szCs w:val="24"/>
        </w:rPr>
        <w:t>有色金属材料分析用火花放电原子发射光谱仪</w:t>
      </w:r>
      <w:r>
        <w:rPr>
          <w:rFonts w:hint="eastAsia"/>
          <w:b w:val="0"/>
          <w:bCs w:val="0"/>
          <w:sz w:val="24"/>
          <w:szCs w:val="24"/>
          <w:lang w:val="en-US" w:eastAsia="zh-CN"/>
        </w:rPr>
        <w:t>重复性</w:t>
      </w:r>
      <w:r>
        <w:rPr>
          <w:rFonts w:hint="eastAsia" w:eastAsiaTheme="minorEastAsia"/>
          <w:b w:val="0"/>
          <w:bCs w:val="0"/>
          <w:kern w:val="0"/>
          <w:sz w:val="24"/>
          <w:szCs w:val="24"/>
          <w:lang w:val="en-US" w:eastAsia="zh-CN"/>
        </w:rPr>
        <w:t>校准方法是依据JJG768、GB/T 14203-2016等对重复性的要求进行编写。</w:t>
      </w:r>
      <w:r>
        <w:rPr>
          <w:rFonts w:hint="eastAsia" w:ascii="Times New Roman" w:hAnsi="Times New Roman" w:eastAsia="宋体" w:cs="Times New Roman"/>
          <w:b w:val="0"/>
          <w:bCs w:val="0"/>
          <w:kern w:val="2"/>
          <w:sz w:val="24"/>
          <w:szCs w:val="24"/>
          <w:lang w:val="en-US" w:eastAsia="zh-CN"/>
        </w:rPr>
        <w:t>在预审会议中，经专家讨论，并结合</w:t>
      </w:r>
      <w:r>
        <w:rPr>
          <w:rFonts w:hint="eastAsia" w:ascii="Times New Roman" w:hAnsi="Times New Roman" w:cs="Times New Roman"/>
          <w:b w:val="0"/>
          <w:bCs w:val="0"/>
          <w:kern w:val="2"/>
          <w:sz w:val="24"/>
          <w:szCs w:val="24"/>
          <w:lang w:val="en-US" w:eastAsia="zh-CN"/>
        </w:rPr>
        <w:t>国标（北京）检验认证有限公司、</w:t>
      </w:r>
      <w:r>
        <w:rPr>
          <w:rFonts w:hint="eastAsia" w:cs="Times New Roman"/>
          <w:b w:val="0"/>
          <w:bCs w:val="0"/>
          <w:kern w:val="2"/>
          <w:sz w:val="24"/>
          <w:szCs w:val="24"/>
          <w:lang w:val="en-US" w:eastAsia="zh-CN"/>
        </w:rPr>
        <w:t>中铝洛阳铜加工有限公司</w:t>
      </w:r>
      <w:r>
        <w:rPr>
          <w:rFonts w:hint="eastAsia" w:ascii="Times New Roman" w:hAnsi="Times New Roman" w:cs="Times New Roman"/>
          <w:b w:val="0"/>
          <w:bCs w:val="0"/>
          <w:kern w:val="2"/>
          <w:sz w:val="24"/>
          <w:szCs w:val="24"/>
          <w:lang w:val="en-US" w:eastAsia="zh-CN"/>
        </w:rPr>
        <w:t>、酒泉钢铁（集团）有限责任公司检验检测中心</w:t>
      </w:r>
      <w:r>
        <w:rPr>
          <w:rFonts w:hint="eastAsia" w:ascii="Times New Roman" w:hAnsi="Times New Roman" w:cs="Times New Roman"/>
          <w:sz w:val="24"/>
          <w:szCs w:val="24"/>
          <w:lang w:val="en-US" w:eastAsia="zh-CN"/>
        </w:rPr>
        <w:t>、</w:t>
      </w:r>
      <w:r>
        <w:rPr>
          <w:rFonts w:hint="eastAsia" w:ascii="Times New Roman" w:hAnsi="Times New Roman" w:cs="Times New Roman"/>
          <w:kern w:val="2"/>
          <w:sz w:val="24"/>
          <w:szCs w:val="24"/>
        </w:rPr>
        <w:t>中铝材料应用研究院有限公司</w:t>
      </w:r>
      <w:r>
        <w:rPr>
          <w:rFonts w:hint="eastAsia" w:ascii="Times New Roman" w:hAnsi="Times New Roman" w:eastAsia="宋体" w:cs="Times New Roman"/>
          <w:b w:val="0"/>
          <w:bCs w:val="0"/>
          <w:kern w:val="2"/>
          <w:sz w:val="24"/>
          <w:szCs w:val="24"/>
          <w:lang w:val="en-US" w:eastAsia="zh-CN"/>
        </w:rPr>
        <w:t>的验证报告，</w:t>
      </w:r>
      <w:r>
        <w:rPr>
          <w:rFonts w:hint="eastAsia" w:ascii="Times New Roman" w:hAnsi="Times New Roman" w:cs="Times New Roman"/>
          <w:b w:val="0"/>
          <w:bCs w:val="0"/>
          <w:kern w:val="2"/>
          <w:sz w:val="24"/>
          <w:szCs w:val="24"/>
          <w:lang w:val="en-US" w:eastAsia="zh-CN"/>
        </w:rPr>
        <w:t>确认了重复性的</w:t>
      </w:r>
      <w:r>
        <w:rPr>
          <w:rFonts w:hint="eastAsia" w:ascii="Times New Roman" w:hAnsi="Times New Roman" w:eastAsia="宋体" w:cs="Times New Roman"/>
          <w:b w:val="0"/>
          <w:bCs w:val="0"/>
          <w:kern w:val="2"/>
          <w:sz w:val="24"/>
          <w:szCs w:val="24"/>
          <w:lang w:val="en-US" w:eastAsia="zh-CN"/>
        </w:rPr>
        <w:t>技术指标。</w:t>
      </w:r>
    </w:p>
    <w:p w14:paraId="3C8D3C53">
      <w:pPr>
        <w:spacing w:line="360" w:lineRule="auto"/>
        <w:ind w:firstLine="480" w:firstLineChars="200"/>
        <w:rPr>
          <w:rFonts w:hint="eastAsia" w:ascii="Times New Roman" w:hAnsi="Times New Roman" w:eastAsia="宋体" w:cs="Times New Roman"/>
          <w:b w:val="0"/>
          <w:bCs w:val="0"/>
          <w:kern w:val="2"/>
          <w:sz w:val="24"/>
          <w:szCs w:val="24"/>
          <w:lang w:val="en-US" w:eastAsia="zh-CN"/>
        </w:rPr>
      </w:pPr>
      <w:r>
        <w:rPr>
          <w:rFonts w:hint="eastAsia"/>
          <w:b w:val="0"/>
          <w:bCs w:val="0"/>
          <w:sz w:val="24"/>
          <w:szCs w:val="24"/>
        </w:rPr>
        <w:t>有色金属材料分析用火花放电原子发射光谱仪</w:t>
      </w:r>
      <w:r>
        <w:rPr>
          <w:rFonts w:hint="eastAsia"/>
          <w:b w:val="0"/>
          <w:bCs w:val="0"/>
          <w:sz w:val="24"/>
          <w:szCs w:val="24"/>
          <w:lang w:val="en-US" w:eastAsia="zh-CN"/>
        </w:rPr>
        <w:t>重复性</w:t>
      </w:r>
      <w:r>
        <w:rPr>
          <w:rFonts w:hint="eastAsia" w:eastAsiaTheme="minorEastAsia"/>
          <w:b w:val="0"/>
          <w:bCs w:val="0"/>
          <w:kern w:val="0"/>
          <w:sz w:val="24"/>
          <w:szCs w:val="24"/>
          <w:lang w:val="en-US" w:eastAsia="zh-CN"/>
        </w:rPr>
        <w:t>校准方法是依据JJG768、GB/T 14203-2016等对重复性的要求进行编写。</w:t>
      </w:r>
      <w:r>
        <w:rPr>
          <w:rFonts w:hint="eastAsia" w:ascii="Times New Roman" w:hAnsi="Times New Roman" w:eastAsia="宋体" w:cs="Times New Roman"/>
          <w:b w:val="0"/>
          <w:bCs w:val="0"/>
          <w:kern w:val="2"/>
          <w:sz w:val="24"/>
          <w:szCs w:val="24"/>
          <w:lang w:val="en-US" w:eastAsia="zh-CN"/>
        </w:rPr>
        <w:t>在预审会议中，经专家讨论，并结合</w:t>
      </w:r>
      <w:r>
        <w:rPr>
          <w:rFonts w:hint="eastAsia" w:ascii="Times New Roman" w:hAnsi="Times New Roman" w:cs="Times New Roman"/>
          <w:b w:val="0"/>
          <w:bCs w:val="0"/>
          <w:kern w:val="2"/>
          <w:sz w:val="24"/>
          <w:szCs w:val="24"/>
          <w:lang w:val="en-US" w:eastAsia="zh-CN"/>
        </w:rPr>
        <w:t>国标（北京）检验认证有限公司、</w:t>
      </w:r>
      <w:r>
        <w:rPr>
          <w:rFonts w:hint="eastAsia" w:cs="Times New Roman"/>
          <w:b w:val="0"/>
          <w:bCs w:val="0"/>
          <w:kern w:val="2"/>
          <w:sz w:val="24"/>
          <w:szCs w:val="24"/>
          <w:lang w:val="en-US" w:eastAsia="zh-CN"/>
        </w:rPr>
        <w:t>中铝洛阳铜加工有限公司</w:t>
      </w:r>
      <w:r>
        <w:rPr>
          <w:rFonts w:hint="eastAsia" w:ascii="Times New Roman" w:hAnsi="Times New Roman" w:cs="Times New Roman"/>
          <w:b w:val="0"/>
          <w:bCs w:val="0"/>
          <w:kern w:val="2"/>
          <w:sz w:val="24"/>
          <w:szCs w:val="24"/>
          <w:lang w:val="en-US" w:eastAsia="zh-CN"/>
        </w:rPr>
        <w:t>、酒泉钢铁（集团）有限责任公司检验检测中心</w:t>
      </w:r>
      <w:r>
        <w:rPr>
          <w:rFonts w:hint="eastAsia" w:ascii="Times New Roman" w:hAnsi="Times New Roman" w:cs="Times New Roman"/>
          <w:sz w:val="24"/>
          <w:szCs w:val="24"/>
          <w:lang w:val="en-US" w:eastAsia="zh-CN"/>
        </w:rPr>
        <w:t>、</w:t>
      </w:r>
      <w:r>
        <w:rPr>
          <w:rFonts w:hint="eastAsia" w:ascii="Times New Roman" w:hAnsi="Times New Roman" w:cs="Times New Roman"/>
          <w:kern w:val="2"/>
          <w:sz w:val="24"/>
          <w:szCs w:val="24"/>
        </w:rPr>
        <w:t>中铝材料应用研究院有限公司</w:t>
      </w:r>
      <w:r>
        <w:rPr>
          <w:rFonts w:hint="eastAsia" w:ascii="Times New Roman" w:hAnsi="Times New Roman" w:eastAsia="宋体" w:cs="Times New Roman"/>
          <w:b w:val="0"/>
          <w:bCs w:val="0"/>
          <w:kern w:val="2"/>
          <w:sz w:val="24"/>
          <w:szCs w:val="24"/>
          <w:lang w:val="en-US" w:eastAsia="zh-CN"/>
        </w:rPr>
        <w:t>的验证报告，</w:t>
      </w:r>
      <w:r>
        <w:rPr>
          <w:rFonts w:hint="eastAsia" w:ascii="Times New Roman" w:hAnsi="Times New Roman" w:cs="Times New Roman"/>
          <w:b w:val="0"/>
          <w:bCs w:val="0"/>
          <w:kern w:val="2"/>
          <w:sz w:val="24"/>
          <w:szCs w:val="24"/>
          <w:lang w:val="en-US" w:eastAsia="zh-CN"/>
        </w:rPr>
        <w:t>确认了稳定性的</w:t>
      </w:r>
      <w:r>
        <w:rPr>
          <w:rFonts w:hint="eastAsia" w:ascii="Times New Roman" w:hAnsi="Times New Roman" w:eastAsia="宋体" w:cs="Times New Roman"/>
          <w:b w:val="0"/>
          <w:bCs w:val="0"/>
          <w:kern w:val="2"/>
          <w:sz w:val="24"/>
          <w:szCs w:val="24"/>
          <w:lang w:val="en-US" w:eastAsia="zh-CN"/>
        </w:rPr>
        <w:t>技术指标。</w:t>
      </w:r>
    </w:p>
    <w:bookmarkEnd w:id="58"/>
    <w:bookmarkEnd w:id="59"/>
    <w:p w14:paraId="20CB6028">
      <w:pPr>
        <w:pStyle w:val="4"/>
        <w:spacing w:before="156" w:after="156"/>
        <w:rPr>
          <w:b w:val="0"/>
          <w:bCs w:val="0"/>
          <w:sz w:val="24"/>
          <w:szCs w:val="24"/>
        </w:rPr>
      </w:pPr>
      <w:bookmarkStart w:id="60" w:name="_Toc193860038"/>
      <w:bookmarkStart w:id="61" w:name="_Toc193860188"/>
      <w:bookmarkStart w:id="62" w:name="_Toc193618956"/>
      <w:bookmarkStart w:id="63" w:name="_Toc193619059"/>
      <w:bookmarkStart w:id="64" w:name="_Toc193860219"/>
      <w:bookmarkStart w:id="65" w:name="_Toc193619101"/>
      <w:bookmarkStart w:id="66" w:name="_Toc500258947"/>
      <w:bookmarkStart w:id="67" w:name="_Toc25466_WPSOffice_Level1"/>
      <w:r>
        <w:rPr>
          <w:rFonts w:hint="eastAsia"/>
          <w:b w:val="0"/>
          <w:bCs w:val="0"/>
          <w:sz w:val="24"/>
          <w:szCs w:val="24"/>
        </w:rPr>
        <w:t>7 校准结果</w:t>
      </w:r>
      <w:bookmarkEnd w:id="60"/>
      <w:bookmarkEnd w:id="61"/>
      <w:bookmarkEnd w:id="62"/>
      <w:bookmarkEnd w:id="63"/>
      <w:bookmarkEnd w:id="64"/>
      <w:bookmarkEnd w:id="65"/>
      <w:r>
        <w:rPr>
          <w:rFonts w:hint="eastAsia"/>
          <w:b w:val="0"/>
          <w:bCs w:val="0"/>
          <w:sz w:val="24"/>
          <w:szCs w:val="24"/>
        </w:rPr>
        <w:t>表达</w:t>
      </w:r>
      <w:bookmarkEnd w:id="66"/>
      <w:bookmarkEnd w:id="67"/>
    </w:p>
    <w:p w14:paraId="51CF54D2">
      <w:pPr>
        <w:pStyle w:val="59"/>
        <w:spacing w:line="360" w:lineRule="auto"/>
        <w:ind w:firstLine="42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根据实验室环境要求、校准项目校准结果、测量不确定度评定结果等，按照</w:t>
      </w:r>
      <w:r>
        <w:rPr>
          <w:rFonts w:hint="eastAsia" w:ascii="Times New Roman" w:hAnsi="Times New Roman" w:eastAsiaTheme="minorEastAsia"/>
          <w:b w:val="0"/>
          <w:bCs w:val="0"/>
          <w:kern w:val="2"/>
          <w:sz w:val="24"/>
          <w:szCs w:val="24"/>
          <w:lang w:val="en-US" w:eastAsia="zh-CN"/>
        </w:rPr>
        <w:t>JJF 1071-2010</w:t>
      </w:r>
      <w:r>
        <w:rPr>
          <w:rFonts w:hint="eastAsia" w:ascii="Times New Roman" w:hAnsi="Times New Roman" w:eastAsiaTheme="minorEastAsia"/>
          <w:b w:val="0"/>
          <w:bCs w:val="0"/>
          <w:kern w:val="2"/>
          <w:sz w:val="24"/>
          <w:szCs w:val="24"/>
        </w:rPr>
        <w:t>推荐的校准报告格式，出具校准证书。</w:t>
      </w:r>
    </w:p>
    <w:p w14:paraId="0813B1C4">
      <w:pPr>
        <w:pStyle w:val="4"/>
        <w:spacing w:before="156" w:after="156"/>
        <w:rPr>
          <w:b w:val="0"/>
          <w:bCs w:val="0"/>
          <w:sz w:val="24"/>
          <w:szCs w:val="24"/>
        </w:rPr>
      </w:pPr>
      <w:bookmarkStart w:id="68" w:name="_Toc14803_WPSOffice_Level1"/>
      <w:bookmarkStart w:id="69" w:name="_Toc193860040"/>
      <w:bookmarkStart w:id="70" w:name="_Toc193860189"/>
      <w:bookmarkStart w:id="71" w:name="_Toc193860220"/>
      <w:bookmarkStart w:id="72" w:name="_Toc5529"/>
      <w:bookmarkStart w:id="73" w:name="_Toc193860041"/>
      <w:r>
        <w:rPr>
          <w:rFonts w:hint="eastAsia"/>
          <w:b w:val="0"/>
          <w:bCs w:val="0"/>
          <w:sz w:val="24"/>
          <w:szCs w:val="24"/>
        </w:rPr>
        <w:t>8 复校</w:t>
      </w:r>
      <w:bookmarkEnd w:id="68"/>
      <w:bookmarkEnd w:id="69"/>
      <w:bookmarkEnd w:id="70"/>
      <w:bookmarkEnd w:id="71"/>
      <w:bookmarkEnd w:id="72"/>
      <w:r>
        <w:rPr>
          <w:rFonts w:hint="eastAsia"/>
          <w:b w:val="0"/>
          <w:bCs w:val="0"/>
          <w:sz w:val="24"/>
          <w:szCs w:val="24"/>
        </w:rPr>
        <w:t>时间间隔</w:t>
      </w:r>
    </w:p>
    <w:bookmarkEnd w:id="73"/>
    <w:p w14:paraId="6CCF1CC2">
      <w:pPr>
        <w:pStyle w:val="59"/>
        <w:spacing w:line="360" w:lineRule="auto"/>
        <w:ind w:firstLine="420"/>
        <w:rPr>
          <w:rFonts w:hint="default"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复校时间间隔的长短取决于其使用情况，使用单位可根据实际使用情况自主决定复校的时间，建议复校时间间隔为</w:t>
      </w:r>
      <w:r>
        <w:rPr>
          <w:rFonts w:hint="eastAsia" w:ascii="Times New Roman" w:hAnsi="Times New Roman" w:eastAsiaTheme="minorEastAsia"/>
          <w:b w:val="0"/>
          <w:bCs w:val="0"/>
          <w:kern w:val="2"/>
          <w:sz w:val="24"/>
          <w:szCs w:val="24"/>
          <w:lang w:val="en-US" w:eastAsia="zh-CN"/>
        </w:rPr>
        <w:t>12个月</w:t>
      </w:r>
      <w:r>
        <w:rPr>
          <w:rFonts w:hint="eastAsia" w:ascii="Times New Roman" w:hAnsi="Times New Roman" w:eastAsiaTheme="minorEastAsia"/>
          <w:b w:val="0"/>
          <w:bCs w:val="0"/>
          <w:kern w:val="2"/>
          <w:sz w:val="24"/>
          <w:szCs w:val="24"/>
          <w:lang w:eastAsia="zh-CN"/>
        </w:rPr>
        <w:t>，</w:t>
      </w:r>
      <w:r>
        <w:rPr>
          <w:rFonts w:hint="eastAsia" w:ascii="Times New Roman" w:hAnsi="Times New Roman" w:eastAsiaTheme="minorEastAsia"/>
          <w:b w:val="0"/>
          <w:bCs w:val="0"/>
          <w:kern w:val="2"/>
          <w:sz w:val="24"/>
          <w:szCs w:val="24"/>
          <w:highlight w:val="none"/>
        </w:rPr>
        <w:t>在使用过程中</w:t>
      </w:r>
      <w:r>
        <w:rPr>
          <w:rFonts w:hint="eastAsia" w:ascii="Times New Roman" w:hAnsi="Times New Roman" w:eastAsiaTheme="minorEastAsia"/>
          <w:b w:val="0"/>
          <w:bCs w:val="0"/>
          <w:kern w:val="2"/>
          <w:sz w:val="24"/>
          <w:szCs w:val="24"/>
          <w:highlight w:val="none"/>
          <w:lang w:val="en-US" w:eastAsia="zh-CN"/>
        </w:rPr>
        <w:t>仪器</w:t>
      </w:r>
      <w:r>
        <w:rPr>
          <w:rFonts w:hint="eastAsia" w:ascii="Times New Roman" w:hAnsi="Times New Roman" w:eastAsiaTheme="minorEastAsia"/>
          <w:b w:val="0"/>
          <w:bCs w:val="0"/>
          <w:kern w:val="2"/>
          <w:sz w:val="24"/>
          <w:szCs w:val="24"/>
          <w:highlight w:val="none"/>
        </w:rPr>
        <w:t>经</w:t>
      </w:r>
      <w:r>
        <w:rPr>
          <w:rFonts w:hint="eastAsia" w:ascii="Times New Roman" w:hAnsi="Times New Roman" w:eastAsiaTheme="minorEastAsia"/>
          <w:b w:val="0"/>
          <w:bCs w:val="0"/>
          <w:kern w:val="2"/>
          <w:sz w:val="24"/>
          <w:szCs w:val="24"/>
        </w:rPr>
        <w:t>过修理、更换重要部件的应重新校准。</w:t>
      </w:r>
    </w:p>
    <w:p w14:paraId="07668B45">
      <w:pPr>
        <w:pStyle w:val="4"/>
        <w:spacing w:before="156" w:after="156"/>
        <w:rPr>
          <w:b w:val="0"/>
          <w:bCs w:val="0"/>
          <w:sz w:val="24"/>
          <w:szCs w:val="24"/>
        </w:rPr>
      </w:pPr>
      <w:r>
        <w:rPr>
          <w:rFonts w:hint="eastAsia"/>
          <w:b w:val="0"/>
          <w:bCs w:val="0"/>
          <w:sz w:val="24"/>
          <w:szCs w:val="24"/>
        </w:rPr>
        <w:t>9附录</w:t>
      </w:r>
    </w:p>
    <w:p w14:paraId="2E83D7CB">
      <w:pPr>
        <w:pStyle w:val="59"/>
        <w:spacing w:line="360" w:lineRule="auto"/>
        <w:ind w:firstLine="420"/>
        <w:rPr>
          <w:rFonts w:ascii="Times New Roman" w:hAnsi="Times New Roman" w:eastAsiaTheme="minorEastAsia"/>
          <w:b w:val="0"/>
          <w:bCs w:val="0"/>
          <w:kern w:val="2"/>
          <w:sz w:val="24"/>
          <w:szCs w:val="24"/>
        </w:rPr>
      </w:pPr>
      <w:r>
        <w:rPr>
          <w:rFonts w:hint="eastAsia" w:ascii="Times New Roman" w:hAnsi="Times New Roman" w:eastAsiaTheme="minorEastAsia"/>
          <w:b w:val="0"/>
          <w:bCs w:val="0"/>
          <w:kern w:val="2"/>
          <w:sz w:val="24"/>
          <w:szCs w:val="24"/>
        </w:rPr>
        <w:t>附录主要包含校准原始记录参考格式、校准证书内页参考格式、示值误差测量不确定度评定示例。</w:t>
      </w:r>
    </w:p>
    <w:p w14:paraId="23184B3A">
      <w:pPr>
        <w:adjustRightInd w:val="0"/>
        <w:snapToGrid w:val="0"/>
        <w:spacing w:line="360" w:lineRule="auto"/>
        <w:ind w:firstLine="480" w:firstLineChars="200"/>
        <w:rPr>
          <w:b w:val="0"/>
          <w:bCs w:val="0"/>
          <w:sz w:val="24"/>
          <w:szCs w:val="24"/>
        </w:rPr>
      </w:pPr>
      <w:r>
        <w:rPr>
          <w:rFonts w:hint="eastAsia"/>
          <w:b w:val="0"/>
          <w:bCs w:val="0"/>
          <w:sz w:val="24"/>
          <w:szCs w:val="24"/>
          <w:lang w:val="en-US" w:eastAsia="zh-CN"/>
        </w:rPr>
        <w:t>本规范</w:t>
      </w:r>
      <w:r>
        <w:rPr>
          <w:rFonts w:hint="eastAsia"/>
          <w:b w:val="0"/>
          <w:bCs w:val="0"/>
          <w:sz w:val="24"/>
          <w:szCs w:val="24"/>
        </w:rPr>
        <w:t>设置了</w:t>
      </w:r>
      <w:r>
        <w:rPr>
          <w:b w:val="0"/>
          <w:bCs w:val="0"/>
          <w:sz w:val="24"/>
          <w:szCs w:val="24"/>
        </w:rPr>
        <w:t>3</w:t>
      </w:r>
      <w:r>
        <w:rPr>
          <w:rFonts w:hint="eastAsia"/>
          <w:b w:val="0"/>
          <w:bCs w:val="0"/>
          <w:sz w:val="24"/>
          <w:szCs w:val="24"/>
        </w:rPr>
        <w:t>个附录，便于校准时参考和规范化。</w:t>
      </w:r>
    </w:p>
    <w:p w14:paraId="4A83E3E7">
      <w:pPr>
        <w:adjustRightInd w:val="0"/>
        <w:snapToGrid w:val="0"/>
        <w:spacing w:line="360" w:lineRule="auto"/>
        <w:ind w:firstLine="480" w:firstLineChars="200"/>
        <w:rPr>
          <w:b w:val="0"/>
          <w:bCs w:val="0"/>
          <w:sz w:val="24"/>
          <w:szCs w:val="24"/>
        </w:rPr>
      </w:pPr>
      <w:r>
        <w:rPr>
          <w:rFonts w:hint="eastAsia"/>
          <w:b w:val="0"/>
          <w:bCs w:val="0"/>
          <w:sz w:val="24"/>
          <w:szCs w:val="24"/>
        </w:rPr>
        <w:t>附录A 有色金属材料分析用火花放电原子发射光谱仪校准记录参考格式</w:t>
      </w:r>
    </w:p>
    <w:p w14:paraId="0A8963F5">
      <w:pPr>
        <w:adjustRightInd w:val="0"/>
        <w:snapToGrid w:val="0"/>
        <w:spacing w:line="360" w:lineRule="auto"/>
        <w:ind w:firstLine="480" w:firstLineChars="200"/>
        <w:rPr>
          <w:b w:val="0"/>
          <w:bCs w:val="0"/>
          <w:sz w:val="24"/>
          <w:szCs w:val="24"/>
        </w:rPr>
      </w:pPr>
      <w:r>
        <w:rPr>
          <w:rFonts w:hint="eastAsia"/>
          <w:b w:val="0"/>
          <w:bCs w:val="0"/>
          <w:sz w:val="24"/>
          <w:szCs w:val="24"/>
        </w:rPr>
        <w:t>附录B 有色金属材料分析用火花放电原子发射光谱仪校准证书内页参考格式</w:t>
      </w:r>
    </w:p>
    <w:p w14:paraId="3C5E1556">
      <w:pPr>
        <w:adjustRightInd w:val="0"/>
        <w:snapToGrid w:val="0"/>
        <w:spacing w:line="360" w:lineRule="auto"/>
        <w:ind w:firstLine="480" w:firstLineChars="200"/>
        <w:rPr>
          <w:b w:val="0"/>
          <w:bCs w:val="0"/>
          <w:sz w:val="24"/>
          <w:szCs w:val="24"/>
        </w:rPr>
      </w:pPr>
      <w:r>
        <w:rPr>
          <w:rFonts w:hint="eastAsia"/>
          <w:b w:val="0"/>
          <w:bCs w:val="0"/>
          <w:sz w:val="24"/>
          <w:szCs w:val="24"/>
        </w:rPr>
        <w:t>附录C 有色金属材料分析用火花放电原子发射光谱仪示值误差测量不确定度评定示例</w:t>
      </w:r>
    </w:p>
    <w:bookmarkEnd w:id="1"/>
    <w:bookmarkEnd w:id="19"/>
    <w:p w14:paraId="162FAECD">
      <w:pPr>
        <w:pStyle w:val="2"/>
        <w:spacing w:before="156" w:after="156"/>
        <w:rPr>
          <w:rFonts w:hint="eastAsia"/>
          <w:b w:val="0"/>
          <w:bCs w:val="0"/>
        </w:rPr>
      </w:pPr>
      <w:bookmarkStart w:id="74" w:name="_Toc464728965"/>
      <w:r>
        <w:rPr>
          <w:rFonts w:hint="eastAsia"/>
          <w:b w:val="0"/>
          <w:bCs w:val="0"/>
        </w:rPr>
        <w:t>三、实践检测情况</w:t>
      </w:r>
    </w:p>
    <w:p w14:paraId="16136252">
      <w:pPr>
        <w:adjustRightInd w:val="0"/>
        <w:spacing w:line="360" w:lineRule="auto"/>
        <w:ind w:firstLine="480" w:firstLineChars="200"/>
        <w:rPr>
          <w:rFonts w:hint="eastAsia"/>
          <w:b w:val="0"/>
          <w:bCs w:val="0"/>
          <w:sz w:val="24"/>
          <w:szCs w:val="24"/>
        </w:rPr>
      </w:pPr>
      <w:r>
        <w:rPr>
          <w:rFonts w:hint="eastAsia"/>
          <w:sz w:val="24"/>
          <w:szCs w:val="24"/>
          <w:lang w:val="en-US" w:eastAsia="zh-CN"/>
        </w:rPr>
        <w:t>国标（北京）检验认证有限公司、铝洛阳铜业检测技术有限公司、酒泉钢铁（集团）有限责任公司检验检测中心、</w:t>
      </w:r>
      <w:r>
        <w:rPr>
          <w:rFonts w:hint="eastAsia" w:ascii="Times New Roman" w:hAnsi="Times New Roman" w:cs="Times New Roman"/>
          <w:kern w:val="2"/>
          <w:sz w:val="24"/>
          <w:szCs w:val="24"/>
        </w:rPr>
        <w:t>中铝材料应用研究院有限公司</w:t>
      </w:r>
      <w:r>
        <w:rPr>
          <w:rFonts w:hint="eastAsia"/>
          <w:b w:val="0"/>
          <w:bCs w:val="0"/>
          <w:sz w:val="24"/>
          <w:szCs w:val="24"/>
        </w:rPr>
        <w:t>根据本</w:t>
      </w:r>
      <w:r>
        <w:rPr>
          <w:rFonts w:hint="eastAsia"/>
          <w:b w:val="0"/>
          <w:bCs w:val="0"/>
          <w:sz w:val="24"/>
          <w:szCs w:val="24"/>
          <w:lang w:val="en-US" w:eastAsia="zh-CN"/>
        </w:rPr>
        <w:t>规范</w:t>
      </w:r>
      <w:r>
        <w:rPr>
          <w:rFonts w:hint="eastAsia"/>
          <w:b w:val="0"/>
          <w:bCs w:val="0"/>
          <w:sz w:val="24"/>
          <w:szCs w:val="24"/>
          <w:lang w:val="en-US" w:eastAsia="zh-CN"/>
        </w:rPr>
        <w:t>的校准项目</w:t>
      </w:r>
      <w:r>
        <w:rPr>
          <w:rFonts w:hint="eastAsia"/>
          <w:b w:val="0"/>
          <w:bCs w:val="0"/>
          <w:sz w:val="24"/>
          <w:szCs w:val="24"/>
        </w:rPr>
        <w:t>进行了全计量特性的校准，内容详见校准报告。</w:t>
      </w:r>
    </w:p>
    <w:p w14:paraId="7AA329CC">
      <w:pPr>
        <w:pStyle w:val="2"/>
        <w:spacing w:before="156" w:after="156"/>
        <w:rPr>
          <w:b w:val="0"/>
          <w:bCs w:val="0"/>
        </w:rPr>
      </w:pPr>
      <w:r>
        <w:rPr>
          <w:rFonts w:hint="eastAsia"/>
          <w:b w:val="0"/>
          <w:bCs w:val="0"/>
          <w:lang w:val="en-US" w:eastAsia="zh-CN"/>
        </w:rPr>
        <w:t>四</w:t>
      </w:r>
      <w:r>
        <w:rPr>
          <w:rFonts w:hint="eastAsia"/>
          <w:b w:val="0"/>
          <w:bCs w:val="0"/>
        </w:rPr>
        <w:t>、规范水平分析</w:t>
      </w:r>
      <w:bookmarkEnd w:id="74"/>
    </w:p>
    <w:p w14:paraId="47AD13F6">
      <w:pPr>
        <w:adjustRightInd w:val="0"/>
        <w:spacing w:line="360" w:lineRule="auto"/>
        <w:ind w:firstLine="480" w:firstLineChars="200"/>
        <w:rPr>
          <w:rFonts w:hint="eastAsia" w:ascii="宋体" w:hAnsi="宋体"/>
          <w:b w:val="0"/>
          <w:bCs w:val="0"/>
          <w:sz w:val="24"/>
          <w:szCs w:val="24"/>
        </w:rPr>
      </w:pPr>
      <w:r>
        <w:rPr>
          <w:rFonts w:hint="eastAsia" w:ascii="宋体" w:hAnsi="宋体"/>
          <w:b w:val="0"/>
          <w:bCs w:val="0"/>
          <w:sz w:val="24"/>
          <w:szCs w:val="24"/>
        </w:rPr>
        <w:t>目前国外没有相关技术规范，本规范水平达到国</w:t>
      </w:r>
      <w:r>
        <w:rPr>
          <w:rFonts w:hint="eastAsia" w:ascii="宋体" w:hAnsi="宋体"/>
          <w:b w:val="0"/>
          <w:bCs w:val="0"/>
          <w:sz w:val="24"/>
          <w:szCs w:val="24"/>
          <w:lang w:val="en-US" w:eastAsia="zh-CN"/>
        </w:rPr>
        <w:t>内</w:t>
      </w:r>
      <w:r>
        <w:rPr>
          <w:rFonts w:hint="eastAsia" w:ascii="宋体" w:hAnsi="宋体"/>
          <w:b w:val="0"/>
          <w:bCs w:val="0"/>
          <w:sz w:val="24"/>
          <w:szCs w:val="24"/>
        </w:rPr>
        <w:t>先进水平。</w:t>
      </w:r>
      <w:r>
        <w:rPr>
          <w:rFonts w:hint="eastAsia"/>
          <w:b w:val="0"/>
          <w:bCs w:val="0"/>
          <w:sz w:val="24"/>
          <w:szCs w:val="24"/>
        </w:rPr>
        <w:t>本</w:t>
      </w:r>
      <w:r>
        <w:rPr>
          <w:rFonts w:hint="eastAsia"/>
          <w:b w:val="0"/>
          <w:bCs w:val="0"/>
          <w:sz w:val="24"/>
          <w:szCs w:val="24"/>
          <w:lang w:eastAsia="zh-CN"/>
        </w:rPr>
        <w:t>规范</w:t>
      </w:r>
      <w:r>
        <w:rPr>
          <w:rFonts w:hint="eastAsia"/>
          <w:b w:val="0"/>
          <w:bCs w:val="0"/>
          <w:sz w:val="24"/>
          <w:szCs w:val="24"/>
        </w:rPr>
        <w:t>的制定填补了有色金属行业有色金属材料分析用火花放电原子发射光谱仪的校准空白，属于国内首创，水平达到国内领先。</w:t>
      </w:r>
    </w:p>
    <w:p w14:paraId="25294A3D">
      <w:pPr>
        <w:pStyle w:val="2"/>
        <w:spacing w:before="156" w:after="156"/>
        <w:rPr>
          <w:b w:val="0"/>
          <w:bCs w:val="0"/>
        </w:rPr>
      </w:pPr>
      <w:r>
        <w:rPr>
          <w:rFonts w:hint="eastAsia"/>
          <w:b w:val="0"/>
          <w:bCs w:val="0"/>
        </w:rPr>
        <w:t>五、与有关的现行法律、法规和强制性国家标准的关系</w:t>
      </w:r>
    </w:p>
    <w:p w14:paraId="4BF94920">
      <w:pPr>
        <w:pStyle w:val="59"/>
        <w:spacing w:line="300" w:lineRule="auto"/>
        <w:ind w:firstLine="0"/>
        <w:rPr>
          <w:b w:val="0"/>
          <w:bCs w:val="0"/>
          <w:sz w:val="24"/>
          <w:szCs w:val="24"/>
        </w:rPr>
      </w:pPr>
      <w:r>
        <w:rPr>
          <w:rFonts w:hint="eastAsia"/>
          <w:b w:val="0"/>
          <w:bCs w:val="0"/>
          <w:sz w:val="24"/>
          <w:szCs w:val="24"/>
        </w:rPr>
        <w:t>本规范所引用的规程</w:t>
      </w:r>
      <w:r>
        <w:rPr>
          <w:rFonts w:hint="eastAsia"/>
          <w:b w:val="0"/>
          <w:bCs w:val="0"/>
          <w:sz w:val="24"/>
          <w:szCs w:val="24"/>
          <w:lang w:eastAsia="zh-CN"/>
        </w:rPr>
        <w:t>、</w:t>
      </w:r>
      <w:r>
        <w:rPr>
          <w:rFonts w:hint="eastAsia"/>
          <w:b w:val="0"/>
          <w:bCs w:val="0"/>
          <w:sz w:val="24"/>
          <w:szCs w:val="24"/>
        </w:rPr>
        <w:t>规范</w:t>
      </w:r>
      <w:r>
        <w:rPr>
          <w:rFonts w:hint="eastAsia"/>
          <w:b w:val="0"/>
          <w:bCs w:val="0"/>
          <w:sz w:val="24"/>
          <w:szCs w:val="24"/>
          <w:lang w:val="en-US" w:eastAsia="zh-CN"/>
        </w:rPr>
        <w:t>及标准</w:t>
      </w:r>
      <w:r>
        <w:rPr>
          <w:rFonts w:hint="eastAsia"/>
          <w:b w:val="0"/>
          <w:bCs w:val="0"/>
          <w:sz w:val="24"/>
          <w:szCs w:val="24"/>
        </w:rPr>
        <w:t>均为我国现行有效的计量规程及规范，是本规范的一部分，引用这些</w:t>
      </w:r>
      <w:r>
        <w:rPr>
          <w:rFonts w:hint="eastAsia"/>
          <w:b w:val="0"/>
          <w:bCs w:val="0"/>
          <w:sz w:val="24"/>
          <w:szCs w:val="24"/>
          <w:lang w:val="en-US" w:eastAsia="zh-CN"/>
        </w:rPr>
        <w:t>文件</w:t>
      </w:r>
      <w:r>
        <w:rPr>
          <w:rFonts w:hint="eastAsia"/>
          <w:b w:val="0"/>
          <w:bCs w:val="0"/>
          <w:sz w:val="24"/>
          <w:szCs w:val="24"/>
        </w:rPr>
        <w:t>后，使本规范的要求与现行的相关法律、法规、规章及相关规程规范的关系不矛盾、不冲突，相互关系协调。</w:t>
      </w:r>
    </w:p>
    <w:p w14:paraId="167DC1A0">
      <w:pPr>
        <w:pStyle w:val="2"/>
        <w:spacing w:before="156" w:after="156"/>
        <w:rPr>
          <w:b w:val="0"/>
          <w:bCs w:val="0"/>
        </w:rPr>
      </w:pPr>
      <w:bookmarkStart w:id="75" w:name="_Toc464728973"/>
      <w:r>
        <w:rPr>
          <w:rFonts w:hint="eastAsia"/>
          <w:b w:val="0"/>
          <w:bCs w:val="0"/>
        </w:rPr>
        <w:t>六、规范中涉及的专利或知识产权说明</w:t>
      </w:r>
      <w:bookmarkEnd w:id="75"/>
    </w:p>
    <w:p w14:paraId="54E002EC">
      <w:pPr>
        <w:pStyle w:val="59"/>
        <w:spacing w:line="300" w:lineRule="auto"/>
        <w:ind w:firstLineChars="0"/>
        <w:contextualSpacing/>
        <w:rPr>
          <w:rFonts w:hint="eastAsia" w:eastAsia="宋体"/>
          <w:b w:val="0"/>
          <w:bCs w:val="0"/>
          <w:sz w:val="24"/>
          <w:szCs w:val="24"/>
          <w:lang w:eastAsia="zh-CN"/>
        </w:rPr>
      </w:pPr>
      <w:bookmarkStart w:id="76" w:name="_Toc464728974"/>
      <w:r>
        <w:rPr>
          <w:rFonts w:hint="eastAsia"/>
          <w:b w:val="0"/>
          <w:bCs w:val="0"/>
          <w:sz w:val="24"/>
          <w:szCs w:val="24"/>
        </w:rPr>
        <w:t>无</w:t>
      </w:r>
      <w:r>
        <w:rPr>
          <w:rFonts w:hint="eastAsia"/>
          <w:b w:val="0"/>
          <w:bCs w:val="0"/>
          <w:sz w:val="24"/>
          <w:szCs w:val="24"/>
          <w:lang w:eastAsia="zh-CN"/>
        </w:rPr>
        <w:t>。</w:t>
      </w:r>
    </w:p>
    <w:p w14:paraId="7D8DB3BE">
      <w:pPr>
        <w:pStyle w:val="2"/>
        <w:spacing w:before="156" w:after="156"/>
        <w:rPr>
          <w:b w:val="0"/>
          <w:bCs w:val="0"/>
        </w:rPr>
      </w:pPr>
      <w:r>
        <w:rPr>
          <w:rFonts w:hint="eastAsia"/>
          <w:b w:val="0"/>
          <w:bCs w:val="0"/>
        </w:rPr>
        <w:t>七、重大分歧意见的处理经过和依据</w:t>
      </w:r>
      <w:bookmarkEnd w:id="76"/>
    </w:p>
    <w:p w14:paraId="17CCC10A">
      <w:pPr>
        <w:pStyle w:val="59"/>
        <w:spacing w:line="300" w:lineRule="auto"/>
        <w:ind w:firstLine="420"/>
        <w:contextualSpacing/>
        <w:rPr>
          <w:rFonts w:hint="eastAsia" w:eastAsia="宋体"/>
          <w:b w:val="0"/>
          <w:bCs w:val="0"/>
          <w:sz w:val="24"/>
          <w:szCs w:val="24"/>
          <w:lang w:eastAsia="zh-CN"/>
        </w:rPr>
      </w:pPr>
      <w:r>
        <w:rPr>
          <w:rFonts w:hint="eastAsia"/>
          <w:b w:val="0"/>
          <w:bCs w:val="0"/>
          <w:sz w:val="24"/>
          <w:szCs w:val="24"/>
        </w:rPr>
        <w:t>无</w:t>
      </w:r>
      <w:r>
        <w:rPr>
          <w:rFonts w:hint="eastAsia"/>
          <w:b w:val="0"/>
          <w:bCs w:val="0"/>
          <w:sz w:val="24"/>
          <w:szCs w:val="24"/>
          <w:lang w:eastAsia="zh-CN"/>
        </w:rPr>
        <w:t>。</w:t>
      </w:r>
    </w:p>
    <w:p w14:paraId="54A64974">
      <w:pPr>
        <w:pStyle w:val="2"/>
        <w:spacing w:before="156" w:after="156"/>
        <w:rPr>
          <w:b w:val="0"/>
          <w:bCs w:val="0"/>
        </w:rPr>
      </w:pPr>
      <w:bookmarkStart w:id="77" w:name="_Toc464728976"/>
      <w:r>
        <w:rPr>
          <w:rFonts w:hint="eastAsia"/>
          <w:b w:val="0"/>
          <w:bCs w:val="0"/>
          <w:lang w:val="en-US" w:eastAsia="zh-CN"/>
        </w:rPr>
        <w:t>八</w:t>
      </w:r>
      <w:r>
        <w:rPr>
          <w:rFonts w:hint="eastAsia"/>
          <w:b w:val="0"/>
          <w:bCs w:val="0"/>
        </w:rPr>
        <w:t>、贯彻规范的要求和措施建议</w:t>
      </w:r>
      <w:bookmarkEnd w:id="77"/>
    </w:p>
    <w:p w14:paraId="1B58E1C8">
      <w:pPr>
        <w:pStyle w:val="59"/>
        <w:spacing w:line="300" w:lineRule="auto"/>
        <w:ind w:firstLine="420"/>
        <w:contextualSpacing/>
        <w:rPr>
          <w:b w:val="0"/>
          <w:bCs w:val="0"/>
          <w:sz w:val="24"/>
          <w:szCs w:val="24"/>
        </w:rPr>
      </w:pPr>
      <w:r>
        <w:rPr>
          <w:rFonts w:hint="eastAsia"/>
          <w:b w:val="0"/>
          <w:bCs w:val="0"/>
          <w:sz w:val="24"/>
          <w:szCs w:val="24"/>
        </w:rPr>
        <w:t>本规范发布后，中国有色金属行业协会和有色金属行业计量技术委员会应加强本规范的宣传力度，以促进我国企业的技术进步和产品质量上档次，提高我国产品在国际国内市场的竞争能力。</w:t>
      </w:r>
    </w:p>
    <w:p w14:paraId="30254EEA">
      <w:pPr>
        <w:pStyle w:val="2"/>
        <w:spacing w:before="156" w:after="156"/>
        <w:rPr>
          <w:b w:val="0"/>
          <w:bCs w:val="0"/>
        </w:rPr>
      </w:pPr>
      <w:bookmarkStart w:id="78" w:name="_Toc464728977"/>
      <w:r>
        <w:rPr>
          <w:rFonts w:hint="eastAsia"/>
          <w:b w:val="0"/>
          <w:bCs w:val="0"/>
          <w:lang w:val="en-US" w:eastAsia="zh-CN"/>
        </w:rPr>
        <w:t>九</w:t>
      </w:r>
      <w:r>
        <w:rPr>
          <w:rFonts w:hint="eastAsia"/>
          <w:b w:val="0"/>
          <w:bCs w:val="0"/>
        </w:rPr>
        <w:t>、废止现行有关规范的建议</w:t>
      </w:r>
      <w:bookmarkEnd w:id="78"/>
    </w:p>
    <w:p w14:paraId="39E87E15">
      <w:pPr>
        <w:pStyle w:val="59"/>
        <w:spacing w:line="300" w:lineRule="auto"/>
        <w:ind w:firstLine="420"/>
        <w:contextualSpacing/>
        <w:rPr>
          <w:rFonts w:hint="eastAsia"/>
          <w:b w:val="0"/>
          <w:bCs w:val="0"/>
          <w:sz w:val="24"/>
          <w:szCs w:val="24"/>
        </w:rPr>
      </w:pPr>
      <w:r>
        <w:rPr>
          <w:rFonts w:hint="eastAsia"/>
          <w:b w:val="0"/>
          <w:bCs w:val="0"/>
          <w:sz w:val="24"/>
          <w:szCs w:val="24"/>
        </w:rPr>
        <w:t>无。</w:t>
      </w:r>
    </w:p>
    <w:p w14:paraId="348B930C">
      <w:pPr>
        <w:pStyle w:val="2"/>
        <w:spacing w:before="156" w:after="156"/>
        <w:rPr>
          <w:rFonts w:hint="eastAsia"/>
          <w:b w:val="0"/>
          <w:bCs w:val="0"/>
        </w:rPr>
      </w:pPr>
      <w:r>
        <w:rPr>
          <w:rFonts w:hint="eastAsia"/>
          <w:b w:val="0"/>
          <w:bCs w:val="0"/>
          <w:lang w:val="en-US" w:eastAsia="zh-CN"/>
        </w:rPr>
        <w:t>十</w:t>
      </w:r>
      <w:r>
        <w:rPr>
          <w:rFonts w:hint="eastAsia"/>
          <w:b w:val="0"/>
          <w:bCs w:val="0"/>
        </w:rPr>
        <w:t>、</w:t>
      </w:r>
      <w:bookmarkStart w:id="79" w:name="_Toc464728978"/>
      <w:r>
        <w:rPr>
          <w:rFonts w:hint="eastAsia"/>
          <w:b w:val="0"/>
          <w:bCs w:val="0"/>
        </w:rPr>
        <w:t>产业化情况、推广应用论证和预期达到的经济效果</w:t>
      </w:r>
      <w:bookmarkEnd w:id="79"/>
    </w:p>
    <w:p w14:paraId="6FBF4B3B">
      <w:pPr>
        <w:pStyle w:val="59"/>
        <w:spacing w:line="300" w:lineRule="auto"/>
        <w:ind w:firstLine="420"/>
        <w:contextualSpacing/>
        <w:rPr>
          <w:rFonts w:hint="eastAsia" w:ascii="Times New Roman" w:hAnsi="Times New Roman" w:cs="Times New Roman"/>
          <w:b w:val="0"/>
          <w:bCs w:val="0"/>
          <w:sz w:val="24"/>
          <w:szCs w:val="24"/>
        </w:rPr>
      </w:pPr>
      <w:r>
        <w:rPr>
          <w:rFonts w:hint="eastAsia" w:cs="Times New Roman"/>
          <w:b w:val="0"/>
          <w:bCs w:val="0"/>
          <w:sz w:val="24"/>
          <w:szCs w:val="24"/>
          <w:lang w:val="en-US" w:eastAsia="zh-CN"/>
        </w:rPr>
        <w:t>本</w:t>
      </w:r>
      <w:r>
        <w:rPr>
          <w:rFonts w:hint="eastAsia" w:cs="Times New Roman"/>
          <w:b w:val="0"/>
          <w:bCs w:val="0"/>
          <w:sz w:val="24"/>
          <w:szCs w:val="24"/>
        </w:rPr>
        <w:t>规范</w:t>
      </w:r>
      <w:r>
        <w:rPr>
          <w:rFonts w:hint="eastAsia" w:cs="Times New Roman"/>
          <w:b w:val="0"/>
          <w:bCs w:val="0"/>
          <w:sz w:val="24"/>
          <w:szCs w:val="24"/>
          <w:lang w:val="en-US" w:eastAsia="zh-CN"/>
        </w:rPr>
        <w:t>发布后，能</w:t>
      </w:r>
      <w:r>
        <w:rPr>
          <w:rFonts w:hint="eastAsia" w:cs="Times New Roman"/>
          <w:b w:val="0"/>
          <w:bCs w:val="0"/>
          <w:sz w:val="24"/>
          <w:szCs w:val="24"/>
        </w:rPr>
        <w:t>解决有色金属材料分析用火花放电原子发射光谱仪校准方法不统一、校准方法差异化、计量标准技术指标不明确、校准点的选择不统一、有色金属材料分析用火花放电原子发射光谱仪的校准方法未规定等问题，弥补有色金属材料分析用火花放电原子发射光谱仪校准的空白，为保证有色金属材料分析用火花放电原子发射光谱仪测试结果的准确可靠提供保证，有利于</w:t>
      </w:r>
      <w:r>
        <w:rPr>
          <w:rFonts w:hint="eastAsia" w:cs="Times New Roman"/>
          <w:b w:val="0"/>
          <w:bCs w:val="0"/>
          <w:sz w:val="24"/>
          <w:szCs w:val="24"/>
          <w:lang w:val="en-US" w:eastAsia="zh-CN"/>
        </w:rPr>
        <w:t>有色金属</w:t>
      </w:r>
      <w:r>
        <w:rPr>
          <w:rFonts w:hint="eastAsia" w:cs="Times New Roman"/>
          <w:b w:val="0"/>
          <w:bCs w:val="0"/>
          <w:sz w:val="24"/>
          <w:szCs w:val="24"/>
        </w:rPr>
        <w:t>加工企业产品质量提升和设备运行使用稳定性的提高，为我国高端装备制造、在原材料及航空工业制造能力和水平起着重要的助推作用。</w:t>
      </w:r>
    </w:p>
    <w:p w14:paraId="56F595F0">
      <w:pPr>
        <w:pStyle w:val="2"/>
        <w:spacing w:before="156" w:after="156"/>
        <w:rPr>
          <w:b w:val="0"/>
          <w:bCs w:val="0"/>
        </w:rPr>
      </w:pPr>
      <w:r>
        <w:rPr>
          <w:rFonts w:hint="eastAsia"/>
          <w:b w:val="0"/>
          <w:bCs w:val="0"/>
        </w:rPr>
        <w:t>十</w:t>
      </w:r>
      <w:r>
        <w:rPr>
          <w:rFonts w:hint="eastAsia"/>
          <w:b w:val="0"/>
          <w:bCs w:val="0"/>
          <w:lang w:val="en-US" w:eastAsia="zh-CN"/>
        </w:rPr>
        <w:t>一</w:t>
      </w:r>
      <w:r>
        <w:rPr>
          <w:rFonts w:hint="eastAsia"/>
          <w:b w:val="0"/>
          <w:bCs w:val="0"/>
        </w:rPr>
        <w:t>、其他应予说明的事项</w:t>
      </w:r>
    </w:p>
    <w:p w14:paraId="5513842A">
      <w:pPr>
        <w:pStyle w:val="59"/>
        <w:spacing w:line="300" w:lineRule="auto"/>
        <w:ind w:firstLineChars="0"/>
        <w:contextualSpacing/>
        <w:rPr>
          <w:rFonts w:hint="eastAsia"/>
          <w:b w:val="0"/>
          <w:bCs w:val="0"/>
          <w:sz w:val="24"/>
          <w:szCs w:val="24"/>
        </w:rPr>
      </w:pPr>
      <w:r>
        <w:rPr>
          <w:rFonts w:hint="eastAsia"/>
          <w:b w:val="0"/>
          <w:bCs w:val="0"/>
          <w:sz w:val="24"/>
          <w:szCs w:val="24"/>
        </w:rPr>
        <w:t>无。</w:t>
      </w:r>
    </w:p>
    <w:p w14:paraId="5BAC7404">
      <w:pPr>
        <w:pStyle w:val="59"/>
        <w:spacing w:line="300" w:lineRule="auto"/>
        <w:ind w:firstLineChars="0"/>
        <w:contextualSpacing/>
        <w:rPr>
          <w:rFonts w:hint="eastAsia"/>
          <w:b w:val="0"/>
          <w:bCs w:val="0"/>
          <w:szCs w:val="21"/>
        </w:rPr>
      </w:pPr>
    </w:p>
    <w:p w14:paraId="053C011A">
      <w:pPr>
        <w:pStyle w:val="59"/>
        <w:spacing w:line="300" w:lineRule="auto"/>
        <w:ind w:firstLineChars="0"/>
        <w:contextualSpacing/>
        <w:jc w:val="right"/>
        <w:rPr>
          <w:rFonts w:ascii="Times New Roman" w:hAnsi="Times New Roman" w:eastAsia="黑体"/>
          <w:b w:val="0"/>
          <w:bCs w:val="0"/>
        </w:rPr>
      </w:pPr>
      <w:r>
        <w:rPr>
          <w:rFonts w:ascii="Times New Roman" w:hAnsi="Times New Roman" w:eastAsia="黑体"/>
          <w:b w:val="0"/>
          <w:bCs w:val="0"/>
        </w:rPr>
        <w:t xml:space="preserve"> </w:t>
      </w:r>
    </w:p>
    <w:p w14:paraId="32741746">
      <w:pPr>
        <w:pStyle w:val="59"/>
        <w:spacing w:line="300" w:lineRule="auto"/>
        <w:ind w:firstLineChars="0"/>
        <w:contextualSpacing/>
        <w:jc w:val="right"/>
        <w:rPr>
          <w:rFonts w:ascii="Times New Roman" w:hAnsi="Times New Roman" w:eastAsia="黑体"/>
          <w:b w:val="0"/>
          <w:bCs w:val="0"/>
          <w:sz w:val="24"/>
          <w:szCs w:val="24"/>
        </w:rPr>
      </w:pPr>
    </w:p>
    <w:p w14:paraId="617FCDFA">
      <w:pPr>
        <w:pStyle w:val="59"/>
        <w:spacing w:line="300" w:lineRule="auto"/>
        <w:ind w:firstLineChars="0"/>
        <w:contextualSpacing/>
        <w:jc w:val="right"/>
        <w:rPr>
          <w:rFonts w:ascii="Times New Roman" w:hAnsi="Times New Roman" w:eastAsia="方正行楷简体"/>
          <w:b w:val="0"/>
          <w:bCs w:val="0"/>
          <w:sz w:val="24"/>
          <w:szCs w:val="24"/>
        </w:rPr>
      </w:pPr>
      <w:r>
        <w:rPr>
          <w:rFonts w:ascii="Times New Roman" w:hAnsi="Times New Roman" w:eastAsia="方正行楷简体"/>
          <w:b w:val="0"/>
          <w:bCs w:val="0"/>
          <w:sz w:val="24"/>
          <w:szCs w:val="24"/>
        </w:rPr>
        <w:t>《</w:t>
      </w:r>
      <w:r>
        <w:rPr>
          <w:rFonts w:hint="eastAsia" w:ascii="Times New Roman" w:hAnsi="Times New Roman" w:eastAsia="方正行楷简体"/>
          <w:b w:val="0"/>
          <w:bCs w:val="0"/>
          <w:sz w:val="24"/>
          <w:szCs w:val="24"/>
        </w:rPr>
        <w:t>有色金属材料分析用火花放电原子发射光谱仪</w:t>
      </w:r>
      <w:r>
        <w:rPr>
          <w:rFonts w:ascii="Times New Roman" w:hAnsi="Times New Roman"/>
          <w:b w:val="0"/>
          <w:bCs w:val="0"/>
          <w:sz w:val="24"/>
          <w:szCs w:val="24"/>
        </w:rPr>
        <w:t>校准规范</w:t>
      </w:r>
      <w:r>
        <w:rPr>
          <w:rFonts w:ascii="Times New Roman" w:hAnsi="Times New Roman" w:eastAsia="方正行楷简体"/>
          <w:b w:val="0"/>
          <w:bCs w:val="0"/>
          <w:sz w:val="24"/>
          <w:szCs w:val="24"/>
        </w:rPr>
        <w:t xml:space="preserve">》编制组  </w:t>
      </w:r>
    </w:p>
    <w:p w14:paraId="62FF3414">
      <w:pPr>
        <w:pStyle w:val="59"/>
        <w:spacing w:line="300" w:lineRule="auto"/>
        <w:ind w:firstLineChars="0"/>
        <w:contextualSpacing/>
        <w:jc w:val="right"/>
        <w:rPr>
          <w:b w:val="0"/>
          <w:bCs w:val="0"/>
          <w:sz w:val="24"/>
          <w:szCs w:val="24"/>
        </w:rPr>
      </w:pPr>
      <w:r>
        <w:rPr>
          <w:rFonts w:ascii="Times New Roman" w:hAnsi="Times New Roman" w:eastAsia="方正行楷简体"/>
          <w:b w:val="0"/>
          <w:bCs w:val="0"/>
          <w:sz w:val="24"/>
          <w:szCs w:val="24"/>
        </w:rPr>
        <w:t>202</w:t>
      </w:r>
      <w:r>
        <w:rPr>
          <w:rFonts w:hint="eastAsia" w:ascii="Times New Roman" w:hAnsi="Times New Roman" w:eastAsia="方正行楷简体"/>
          <w:b w:val="0"/>
          <w:bCs w:val="0"/>
          <w:sz w:val="24"/>
          <w:szCs w:val="24"/>
          <w:lang w:val="en-US" w:eastAsia="zh-CN"/>
        </w:rPr>
        <w:t>5</w:t>
      </w:r>
      <w:r>
        <w:rPr>
          <w:rFonts w:ascii="Times New Roman" w:hAnsi="Times New Roman" w:eastAsia="方正行楷简体"/>
          <w:b w:val="0"/>
          <w:bCs w:val="0"/>
          <w:sz w:val="24"/>
          <w:szCs w:val="24"/>
        </w:rPr>
        <w:t>年</w:t>
      </w:r>
      <w:r>
        <w:rPr>
          <w:rFonts w:hint="eastAsia" w:ascii="Times New Roman" w:hAnsi="Times New Roman" w:eastAsia="方正行楷简体"/>
          <w:b w:val="0"/>
          <w:bCs w:val="0"/>
          <w:sz w:val="24"/>
          <w:szCs w:val="24"/>
          <w:lang w:val="en-US" w:eastAsia="zh-CN"/>
        </w:rPr>
        <w:t>11</w:t>
      </w:r>
      <w:r>
        <w:rPr>
          <w:rFonts w:ascii="Times New Roman" w:hAnsi="Times New Roman" w:eastAsia="方正行楷简体"/>
          <w:b w:val="0"/>
          <w:bCs w:val="0"/>
          <w:sz w:val="24"/>
          <w:szCs w:val="24"/>
        </w:rPr>
        <w:t>月</w:t>
      </w:r>
      <w:r>
        <w:rPr>
          <w:rFonts w:hint="eastAsia" w:ascii="Times New Roman" w:hAnsi="Times New Roman" w:eastAsia="方正行楷简体"/>
          <w:b w:val="0"/>
          <w:bCs w:val="0"/>
          <w:sz w:val="24"/>
          <w:szCs w:val="24"/>
          <w:lang w:val="en-US" w:eastAsia="zh-CN"/>
        </w:rPr>
        <w:t>20</w:t>
      </w:r>
      <w:r>
        <w:rPr>
          <w:rFonts w:ascii="Times New Roman" w:hAnsi="Times New Roman" w:eastAsia="方正行楷简体"/>
          <w:b w:val="0"/>
          <w:bCs w:val="0"/>
          <w:sz w:val="24"/>
          <w:szCs w:val="24"/>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03B6">
    <w:pPr>
      <w:pStyle w:val="74"/>
      <w:jc w:val="center"/>
      <w:rPr>
        <w:rStyle w:val="46"/>
      </w:rPr>
    </w:pPr>
    <w:r>
      <w:fldChar w:fldCharType="begin"/>
    </w:r>
    <w:r>
      <w:rPr>
        <w:rStyle w:val="46"/>
      </w:rPr>
      <w:instrText xml:space="preserve">PAGE  </w:instrText>
    </w:r>
    <w:r>
      <w:fldChar w:fldCharType="separate"/>
    </w:r>
    <w:r>
      <w:rPr>
        <w:rStyle w:val="46"/>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3C842">
    <w:pPr>
      <w:pStyle w:val="31"/>
      <w:jc w:val="both"/>
    </w:pPr>
  </w:p>
  <w:p w14:paraId="4A90730C">
    <w:pPr>
      <w:pStyle w:val="31"/>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B392">
    <w:pPr>
      <w:pStyle w:val="6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9EA53"/>
    <w:multiLevelType w:val="singleLevel"/>
    <w:tmpl w:val="9E39EA53"/>
    <w:lvl w:ilvl="0" w:tentative="0">
      <w:start w:val="4"/>
      <w:numFmt w:val="decimal"/>
      <w:lvlText w:val="%1."/>
      <w:lvlJc w:val="left"/>
      <w:pPr>
        <w:tabs>
          <w:tab w:val="left" w:pos="312"/>
        </w:tabs>
      </w:pPr>
    </w:lvl>
  </w:abstractNum>
  <w:abstractNum w:abstractNumId="1">
    <w:nsid w:val="E84E47BF"/>
    <w:multiLevelType w:val="singleLevel"/>
    <w:tmpl w:val="E84E47BF"/>
    <w:lvl w:ilvl="0" w:tentative="0">
      <w:start w:val="1"/>
      <w:numFmt w:val="decimal"/>
      <w:suff w:val="nothing"/>
      <w:lvlText w:val="%1）"/>
      <w:lvlJc w:val="left"/>
    </w:lvl>
  </w:abstractNum>
  <w:abstractNum w:abstractNumId="2">
    <w:nsid w:val="00000007"/>
    <w:multiLevelType w:val="multilevel"/>
    <w:tmpl w:val="00000007"/>
    <w:lvl w:ilvl="0" w:tentative="0">
      <w:start w:val="1"/>
      <w:numFmt w:val="none"/>
      <w:pStyle w:val="81"/>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none"/>
      <w:pStyle w:val="10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1"/>
      <w:numFmt w:val="none"/>
      <w:pStyle w:val="9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9"/>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17"/>
      <w:suff w:val="nothing"/>
      <w:lvlText w:val="%1%2.%3.%4.%5　"/>
      <w:lvlJc w:val="left"/>
      <w:pPr>
        <w:ind w:left="0" w:firstLine="0"/>
      </w:pPr>
      <w:rPr>
        <w:rFonts w:hint="eastAsia" w:ascii="黑体" w:hAnsi="Times New Roman" w:eastAsia="黑体"/>
        <w:b w:val="0"/>
        <w:i w:val="0"/>
        <w:sz w:val="21"/>
      </w:rPr>
    </w:lvl>
    <w:lvl w:ilvl="5" w:tentative="0">
      <w:start w:val="1"/>
      <w:numFmt w:val="decimal"/>
      <w:pStyle w:val="111"/>
      <w:suff w:val="nothing"/>
      <w:lvlText w:val="%1%2.%3.%4.%5.%6　"/>
      <w:lvlJc w:val="left"/>
      <w:pPr>
        <w:ind w:left="0" w:firstLine="0"/>
      </w:pPr>
      <w:rPr>
        <w:rFonts w:hint="eastAsia" w:ascii="黑体" w:hAnsi="Times New Roman" w:eastAsia="黑体"/>
        <w:b w:val="0"/>
        <w:i w:val="0"/>
        <w:sz w:val="21"/>
      </w:rPr>
    </w:lvl>
    <w:lvl w:ilvl="6" w:tentative="0">
      <w:start w:val="1"/>
      <w:numFmt w:val="decimal"/>
      <w:pStyle w:val="8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4"/>
    <w:multiLevelType w:val="multilevel"/>
    <w:tmpl w:val="00000014"/>
    <w:lvl w:ilvl="0" w:tentative="0">
      <w:start w:val="1"/>
      <w:numFmt w:val="none"/>
      <w:pStyle w:val="1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5"/>
    <w:multiLevelType w:val="multilevel"/>
    <w:tmpl w:val="00000015"/>
    <w:lvl w:ilvl="0" w:tentative="0">
      <w:start w:val="1"/>
      <w:numFmt w:val="upperLetter"/>
      <w:pStyle w:val="66"/>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80"/>
      <w:lvlText w:val="（%2）"/>
      <w:lvlJc w:val="left"/>
      <w:pPr>
        <w:ind w:left="0" w:firstLine="0"/>
      </w:pPr>
      <w:rPr>
        <w:rFonts w:hint="default"/>
        <w:b w:val="0"/>
        <w:i w:val="0"/>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02"/>
      <w:suff w:val="nothing"/>
      <w:lvlText w:val="%1.%2.%3.%4.%5　"/>
      <w:lvlJc w:val="left"/>
      <w:pPr>
        <w:ind w:left="0" w:firstLine="0"/>
      </w:pPr>
      <w:rPr>
        <w:rFonts w:hint="eastAsia" w:ascii="黑体" w:hAnsi="Times New Roman" w:eastAsia="黑体"/>
        <w:b w:val="0"/>
        <w:i w:val="0"/>
        <w:sz w:val="21"/>
      </w:rPr>
    </w:lvl>
    <w:lvl w:ilvl="5" w:tentative="0">
      <w:start w:val="1"/>
      <w:numFmt w:val="decimal"/>
      <w:pStyle w:val="101"/>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9"/>
    <w:multiLevelType w:val="multilevel"/>
    <w:tmpl w:val="00000019"/>
    <w:lvl w:ilvl="0" w:tentative="0">
      <w:start w:val="1"/>
      <w:numFmt w:val="decimal"/>
      <w:pStyle w:val="108"/>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9">
    <w:nsid w:val="00000022"/>
    <w:multiLevelType w:val="multilevel"/>
    <w:tmpl w:val="00000022"/>
    <w:lvl w:ilvl="0" w:tentative="0">
      <w:start w:val="1"/>
      <w:numFmt w:val="decimal"/>
      <w:pStyle w:val="91"/>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25"/>
    <w:multiLevelType w:val="multilevel"/>
    <w:tmpl w:val="00000025"/>
    <w:lvl w:ilvl="0" w:tentative="0">
      <w:start w:val="1"/>
      <w:numFmt w:val="none"/>
      <w:pStyle w:val="67"/>
      <w:suff w:val="nothing"/>
      <w:lvlText w:val="%1"/>
      <w:lvlJc w:val="left"/>
      <w:pPr>
        <w:ind w:left="0" w:firstLine="0"/>
      </w:pPr>
      <w:rPr>
        <w:rFonts w:hint="default" w:ascii="Times New Roman" w:hAnsi="Times New Roman"/>
        <w:b/>
        <w:i w:val="0"/>
        <w:sz w:val="21"/>
      </w:rPr>
    </w:lvl>
    <w:lvl w:ilvl="1" w:tentative="0">
      <w:start w:val="1"/>
      <w:numFmt w:val="decimal"/>
      <w:pStyle w:val="62"/>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284"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27"/>
    <w:multiLevelType w:val="multilevel"/>
    <w:tmpl w:val="00000027"/>
    <w:lvl w:ilvl="0" w:tentative="0">
      <w:start w:val="1"/>
      <w:numFmt w:val="none"/>
      <w:pStyle w:val="7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9D2325A"/>
    <w:multiLevelType w:val="multilevel"/>
    <w:tmpl w:val="49D2325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7"/>
  </w:num>
  <w:num w:numId="3">
    <w:abstractNumId w:val="11"/>
  </w:num>
  <w:num w:numId="4">
    <w:abstractNumId w:val="2"/>
  </w:num>
  <w:num w:numId="5">
    <w:abstractNumId w:val="5"/>
  </w:num>
  <w:num w:numId="6">
    <w:abstractNumId w:val="9"/>
  </w:num>
  <w:num w:numId="7">
    <w:abstractNumId w:val="4"/>
  </w:num>
  <w:num w:numId="8">
    <w:abstractNumId w:val="8"/>
  </w:num>
  <w:num w:numId="9">
    <w:abstractNumId w:val="3"/>
  </w:num>
  <w:num w:numId="10">
    <w:abstractNumId w:val="6"/>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2F703B0"/>
    <w:rsid w:val="04731467"/>
    <w:rsid w:val="05697E9D"/>
    <w:rsid w:val="05F125DB"/>
    <w:rsid w:val="05FC2B85"/>
    <w:rsid w:val="06716757"/>
    <w:rsid w:val="07DC0ED5"/>
    <w:rsid w:val="0904785D"/>
    <w:rsid w:val="093A0DF0"/>
    <w:rsid w:val="09573966"/>
    <w:rsid w:val="0A781AE7"/>
    <w:rsid w:val="0CB9457A"/>
    <w:rsid w:val="0CCA0314"/>
    <w:rsid w:val="0D8022CA"/>
    <w:rsid w:val="0E6513CA"/>
    <w:rsid w:val="0E6C44E7"/>
    <w:rsid w:val="0E833DCE"/>
    <w:rsid w:val="0ECF1708"/>
    <w:rsid w:val="11471F43"/>
    <w:rsid w:val="12486EC1"/>
    <w:rsid w:val="13877F6B"/>
    <w:rsid w:val="13B1031D"/>
    <w:rsid w:val="14317D7D"/>
    <w:rsid w:val="1451679A"/>
    <w:rsid w:val="14FE0CE9"/>
    <w:rsid w:val="158E7867"/>
    <w:rsid w:val="165F37C1"/>
    <w:rsid w:val="16A67923"/>
    <w:rsid w:val="174C2AB4"/>
    <w:rsid w:val="17E64F25"/>
    <w:rsid w:val="1B167875"/>
    <w:rsid w:val="1BF8725D"/>
    <w:rsid w:val="1C0E1375"/>
    <w:rsid w:val="1C2F1FCD"/>
    <w:rsid w:val="1C803B53"/>
    <w:rsid w:val="1E713A82"/>
    <w:rsid w:val="1F5A1A25"/>
    <w:rsid w:val="1F714057"/>
    <w:rsid w:val="1FAB00D4"/>
    <w:rsid w:val="208E75B3"/>
    <w:rsid w:val="218A16C9"/>
    <w:rsid w:val="21BE3478"/>
    <w:rsid w:val="21D04080"/>
    <w:rsid w:val="22423DCF"/>
    <w:rsid w:val="225C10E7"/>
    <w:rsid w:val="230F0F67"/>
    <w:rsid w:val="23A74BBD"/>
    <w:rsid w:val="23D43A72"/>
    <w:rsid w:val="26275EBD"/>
    <w:rsid w:val="277C51D7"/>
    <w:rsid w:val="27BD3A55"/>
    <w:rsid w:val="287A29E1"/>
    <w:rsid w:val="28A00A66"/>
    <w:rsid w:val="29846CB3"/>
    <w:rsid w:val="29E46257"/>
    <w:rsid w:val="2A4110A1"/>
    <w:rsid w:val="2A636980"/>
    <w:rsid w:val="2AB85E2C"/>
    <w:rsid w:val="2B09268A"/>
    <w:rsid w:val="2C147130"/>
    <w:rsid w:val="2C281A12"/>
    <w:rsid w:val="2E1A1CB3"/>
    <w:rsid w:val="2E772BB0"/>
    <w:rsid w:val="2F656952"/>
    <w:rsid w:val="2FBE527A"/>
    <w:rsid w:val="31B57A58"/>
    <w:rsid w:val="325F3B1A"/>
    <w:rsid w:val="34745E77"/>
    <w:rsid w:val="34CD5E22"/>
    <w:rsid w:val="36AE69D8"/>
    <w:rsid w:val="38B6063A"/>
    <w:rsid w:val="39E61637"/>
    <w:rsid w:val="39E63C45"/>
    <w:rsid w:val="3A910669"/>
    <w:rsid w:val="3BFA1058"/>
    <w:rsid w:val="3BFE63B4"/>
    <w:rsid w:val="3EBA5BC3"/>
    <w:rsid w:val="3FE25D82"/>
    <w:rsid w:val="405D59F2"/>
    <w:rsid w:val="41E81277"/>
    <w:rsid w:val="420E5348"/>
    <w:rsid w:val="425F603B"/>
    <w:rsid w:val="4286740D"/>
    <w:rsid w:val="434902B9"/>
    <w:rsid w:val="43A67182"/>
    <w:rsid w:val="44100726"/>
    <w:rsid w:val="44347A9B"/>
    <w:rsid w:val="44CE02A0"/>
    <w:rsid w:val="456D3D97"/>
    <w:rsid w:val="45E87405"/>
    <w:rsid w:val="46474D73"/>
    <w:rsid w:val="465C4787"/>
    <w:rsid w:val="46C17B97"/>
    <w:rsid w:val="473A498E"/>
    <w:rsid w:val="47552183"/>
    <w:rsid w:val="47942471"/>
    <w:rsid w:val="48211129"/>
    <w:rsid w:val="48BE5C4B"/>
    <w:rsid w:val="49214E6F"/>
    <w:rsid w:val="49A26661"/>
    <w:rsid w:val="4AE6291D"/>
    <w:rsid w:val="4AEA403C"/>
    <w:rsid w:val="4B8C5809"/>
    <w:rsid w:val="4B933E1A"/>
    <w:rsid w:val="4D432356"/>
    <w:rsid w:val="4E3430C7"/>
    <w:rsid w:val="4F852040"/>
    <w:rsid w:val="4FA7278A"/>
    <w:rsid w:val="50011CA3"/>
    <w:rsid w:val="50C040DF"/>
    <w:rsid w:val="51051BD9"/>
    <w:rsid w:val="51442F7B"/>
    <w:rsid w:val="51B74CE3"/>
    <w:rsid w:val="524338B7"/>
    <w:rsid w:val="52A97DDB"/>
    <w:rsid w:val="52EB1E52"/>
    <w:rsid w:val="53FB7053"/>
    <w:rsid w:val="55152B55"/>
    <w:rsid w:val="56154CA2"/>
    <w:rsid w:val="56A00E5A"/>
    <w:rsid w:val="57676F98"/>
    <w:rsid w:val="579905E2"/>
    <w:rsid w:val="590A235B"/>
    <w:rsid w:val="5A931503"/>
    <w:rsid w:val="5A971C98"/>
    <w:rsid w:val="5AA30A71"/>
    <w:rsid w:val="5AC42DA1"/>
    <w:rsid w:val="5AFA5C95"/>
    <w:rsid w:val="5CDE078E"/>
    <w:rsid w:val="5DC655CC"/>
    <w:rsid w:val="5E6B5987"/>
    <w:rsid w:val="5F776EED"/>
    <w:rsid w:val="5FBE2776"/>
    <w:rsid w:val="6040432E"/>
    <w:rsid w:val="605176D9"/>
    <w:rsid w:val="61690122"/>
    <w:rsid w:val="61F95193"/>
    <w:rsid w:val="628F5A13"/>
    <w:rsid w:val="629B36F3"/>
    <w:rsid w:val="63F828E6"/>
    <w:rsid w:val="64425C09"/>
    <w:rsid w:val="654D6460"/>
    <w:rsid w:val="65E148CE"/>
    <w:rsid w:val="6760797E"/>
    <w:rsid w:val="685F0A40"/>
    <w:rsid w:val="694F496D"/>
    <w:rsid w:val="69BC4907"/>
    <w:rsid w:val="6AB57C02"/>
    <w:rsid w:val="6AE574EF"/>
    <w:rsid w:val="6AF7022D"/>
    <w:rsid w:val="6B27051F"/>
    <w:rsid w:val="6B753BDA"/>
    <w:rsid w:val="6B770841"/>
    <w:rsid w:val="6BC67FDC"/>
    <w:rsid w:val="6D281A14"/>
    <w:rsid w:val="6E082CA1"/>
    <w:rsid w:val="6E8A0C2B"/>
    <w:rsid w:val="6E9A1846"/>
    <w:rsid w:val="6EF60757"/>
    <w:rsid w:val="70757340"/>
    <w:rsid w:val="70A61265"/>
    <w:rsid w:val="70FA146A"/>
    <w:rsid w:val="710228B1"/>
    <w:rsid w:val="73A7009A"/>
    <w:rsid w:val="73B95B2E"/>
    <w:rsid w:val="74130018"/>
    <w:rsid w:val="74D35BFF"/>
    <w:rsid w:val="77CE2BEC"/>
    <w:rsid w:val="78504552"/>
    <w:rsid w:val="78931FA4"/>
    <w:rsid w:val="78CE2872"/>
    <w:rsid w:val="78DB44BD"/>
    <w:rsid w:val="795C2ECE"/>
    <w:rsid w:val="7AC757F1"/>
    <w:rsid w:val="7B207CB9"/>
    <w:rsid w:val="7D700DB4"/>
    <w:rsid w:val="7E9243B8"/>
    <w:rsid w:val="7F700A48"/>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4">
    <w:name w:val="Default Paragraph Font"/>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9"/>
    <w:autoRedefine/>
    <w:qFormat/>
    <w:uiPriority w:val="0"/>
    <w:pPr>
      <w:jc w:val="left"/>
    </w:pPr>
  </w:style>
  <w:style w:type="paragraph" w:styleId="21">
    <w:name w:val="Body Text"/>
    <w:basedOn w:val="1"/>
    <w:next w:val="22"/>
    <w:link w:val="284"/>
    <w:autoRedefine/>
    <w:qFormat/>
    <w:uiPriority w:val="0"/>
    <w:pPr>
      <w:spacing w:after="120"/>
    </w:pPr>
  </w:style>
  <w:style w:type="paragraph" w:styleId="22">
    <w:name w:val="List Paragraph"/>
    <w:basedOn w:val="1"/>
    <w:next w:val="1"/>
    <w:qFormat/>
    <w:uiPriority w:val="34"/>
    <w:pPr>
      <w:ind w:firstLine="420" w:firstLineChars="200"/>
    </w:pPr>
  </w:style>
  <w:style w:type="paragraph" w:styleId="23">
    <w:name w:val="Body Text Indent"/>
    <w:basedOn w:val="1"/>
    <w:link w:val="287"/>
    <w:autoRedefine/>
    <w:qFormat/>
    <w:uiPriority w:val="0"/>
    <w:pPr>
      <w:spacing w:line="360" w:lineRule="exact"/>
      <w:ind w:left="420" w:firstLine="480"/>
    </w:pPr>
    <w:rPr>
      <w:sz w:val="24"/>
      <w:szCs w:val="20"/>
    </w:rPr>
  </w:style>
  <w:style w:type="paragraph" w:styleId="24">
    <w:name w:val="HTML Address"/>
    <w:basedOn w:val="1"/>
    <w:autoRedefine/>
    <w:qFormat/>
    <w:uiPriority w:val="0"/>
    <w:rPr>
      <w:i/>
      <w:iCs/>
    </w:rPr>
  </w:style>
  <w:style w:type="paragraph" w:styleId="25">
    <w:name w:val="Plain Text"/>
    <w:basedOn w:val="1"/>
    <w:link w:val="281"/>
    <w:qFormat/>
    <w:uiPriority w:val="99"/>
    <w:rPr>
      <w:rFonts w:ascii="宋体" w:hAnsi="Courier New"/>
      <w:szCs w:val="21"/>
    </w:rPr>
  </w:style>
  <w:style w:type="paragraph" w:styleId="26">
    <w:name w:val="toc 8"/>
    <w:basedOn w:val="11"/>
    <w:next w:val="1"/>
    <w:autoRedefine/>
    <w:qFormat/>
    <w:uiPriority w:val="0"/>
  </w:style>
  <w:style w:type="paragraph" w:styleId="27">
    <w:name w:val="Date"/>
    <w:basedOn w:val="1"/>
    <w:next w:val="1"/>
    <w:link w:val="293"/>
    <w:autoRedefine/>
    <w:qFormat/>
    <w:uiPriority w:val="99"/>
    <w:pPr>
      <w:ind w:left="100" w:leftChars="2500"/>
    </w:pPr>
    <w:rPr>
      <w:sz w:val="24"/>
      <w:szCs w:val="20"/>
    </w:rPr>
  </w:style>
  <w:style w:type="paragraph" w:styleId="28">
    <w:name w:val="Body Text Indent 2"/>
    <w:basedOn w:val="1"/>
    <w:link w:val="292"/>
    <w:autoRedefine/>
    <w:qFormat/>
    <w:uiPriority w:val="0"/>
    <w:pPr>
      <w:spacing w:after="120" w:line="480" w:lineRule="auto"/>
      <w:ind w:left="420" w:leftChars="200"/>
    </w:pPr>
  </w:style>
  <w:style w:type="paragraph" w:styleId="29">
    <w:name w:val="endnote text"/>
    <w:basedOn w:val="1"/>
    <w:autoRedefine/>
    <w:qFormat/>
    <w:uiPriority w:val="0"/>
    <w:pPr>
      <w:snapToGrid w:val="0"/>
    </w:pPr>
  </w:style>
  <w:style w:type="paragraph" w:styleId="30">
    <w:name w:val="Balloon Text"/>
    <w:basedOn w:val="1"/>
    <w:link w:val="283"/>
    <w:qFormat/>
    <w:uiPriority w:val="0"/>
    <w:rPr>
      <w:sz w:val="18"/>
      <w:szCs w:val="18"/>
    </w:rPr>
  </w:style>
  <w:style w:type="paragraph" w:styleId="31">
    <w:name w:val="footer"/>
    <w:basedOn w:val="1"/>
    <w:link w:val="286"/>
    <w:qFormat/>
    <w:uiPriority w:val="0"/>
    <w:pPr>
      <w:tabs>
        <w:tab w:val="center" w:pos="4153"/>
        <w:tab w:val="right" w:pos="8306"/>
      </w:tabs>
      <w:snapToGrid w:val="0"/>
      <w:ind w:right="210" w:rightChars="100"/>
      <w:jc w:val="right"/>
    </w:pPr>
    <w:rPr>
      <w:sz w:val="18"/>
      <w:szCs w:val="18"/>
    </w:rPr>
  </w:style>
  <w:style w:type="paragraph" w:styleId="32">
    <w:name w:val="header"/>
    <w:basedOn w:val="1"/>
    <w:link w:val="291"/>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footnote text"/>
    <w:basedOn w:val="1"/>
    <w:link w:val="309"/>
    <w:autoRedefine/>
    <w:qFormat/>
    <w:uiPriority w:val="0"/>
    <w:pPr>
      <w:snapToGrid w:val="0"/>
      <w:jc w:val="left"/>
    </w:pPr>
    <w:rPr>
      <w:sz w:val="18"/>
      <w:szCs w:val="18"/>
    </w:rPr>
  </w:style>
  <w:style w:type="paragraph" w:styleId="34">
    <w:name w:val="Body Text Indent 3"/>
    <w:basedOn w:val="1"/>
    <w:qFormat/>
    <w:uiPriority w:val="0"/>
    <w:pPr>
      <w:widowControl/>
      <w:spacing w:line="360" w:lineRule="auto"/>
      <w:ind w:firstLine="420"/>
    </w:pPr>
    <w:rPr>
      <w:rFonts w:hAnsi="宋体"/>
      <w:sz w:val="18"/>
    </w:rPr>
  </w:style>
  <w:style w:type="paragraph" w:styleId="35">
    <w:name w:val="toc 9"/>
    <w:basedOn w:val="26"/>
    <w:next w:val="1"/>
    <w:qFormat/>
    <w:uiPriority w:val="0"/>
  </w:style>
  <w:style w:type="paragraph" w:styleId="36">
    <w:name w:val="Body Text 2"/>
    <w:basedOn w:val="1"/>
    <w:link w:val="323"/>
    <w:autoRedefine/>
    <w:qFormat/>
    <w:uiPriority w:val="99"/>
    <w:pPr>
      <w:spacing w:after="120" w:line="480" w:lineRule="auto"/>
    </w:pPr>
  </w:style>
  <w:style w:type="paragraph" w:styleId="37">
    <w:name w:val="HTML Preformatted"/>
    <w:basedOn w:val="1"/>
    <w:qFormat/>
    <w:uiPriority w:val="0"/>
    <w:rPr>
      <w:rFonts w:ascii="Courier New" w:hAnsi="Courier New" w:cs="Courier New"/>
      <w:sz w:val="20"/>
      <w:szCs w:val="20"/>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308"/>
    <w:qFormat/>
    <w:uiPriority w:val="0"/>
    <w:pPr>
      <w:spacing w:before="240" w:after="60"/>
      <w:jc w:val="center"/>
      <w:outlineLvl w:val="0"/>
    </w:pPr>
    <w:rPr>
      <w:rFonts w:ascii="Arial" w:hAnsi="Arial" w:cs="Arial"/>
      <w:b/>
      <w:bCs/>
      <w:sz w:val="32"/>
      <w:szCs w:val="32"/>
    </w:rPr>
  </w:style>
  <w:style w:type="paragraph" w:styleId="40">
    <w:name w:val="annotation subject"/>
    <w:basedOn w:val="20"/>
    <w:next w:val="20"/>
    <w:link w:val="290"/>
    <w:qFormat/>
    <w:uiPriority w:val="0"/>
    <w:rPr>
      <w:b/>
      <w:bCs/>
    </w:rPr>
  </w:style>
  <w:style w:type="paragraph" w:styleId="41">
    <w:name w:val="Body Text First Indent"/>
    <w:basedOn w:val="21"/>
    <w:autoRedefine/>
    <w:qFormat/>
    <w:uiPriority w:val="0"/>
    <w:pPr>
      <w:ind w:firstLine="420"/>
    </w:pPr>
    <w:rPr>
      <w:szCs w:val="20"/>
    </w:rPr>
  </w:style>
  <w:style w:type="table" w:styleId="43">
    <w:name w:val="Table Grid"/>
    <w:basedOn w:val="4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5">
    <w:name w:val="Strong"/>
    <w:qFormat/>
    <w:uiPriority w:val="22"/>
    <w:rPr>
      <w:b/>
      <w:bCs/>
    </w:rPr>
  </w:style>
  <w:style w:type="character" w:styleId="46">
    <w:name w:val="page number"/>
    <w:qFormat/>
    <w:uiPriority w:val="0"/>
    <w:rPr>
      <w:rFonts w:ascii="Times New Roman" w:hAnsi="Times New Roman" w:eastAsia="宋体"/>
      <w:sz w:val="18"/>
    </w:rPr>
  </w:style>
  <w:style w:type="character" w:styleId="47">
    <w:name w:val="FollowedHyperlink"/>
    <w:unhideWhenUsed/>
    <w:qFormat/>
    <w:uiPriority w:val="0"/>
    <w:rPr>
      <w:color w:val="800080"/>
      <w:u w:val="single"/>
    </w:rPr>
  </w:style>
  <w:style w:type="character" w:styleId="48">
    <w:name w:val="HTML Definition"/>
    <w:qFormat/>
    <w:uiPriority w:val="0"/>
    <w:rPr>
      <w:i/>
      <w:iCs/>
    </w:rPr>
  </w:style>
  <w:style w:type="character" w:styleId="49">
    <w:name w:val="HTML Typewriter"/>
    <w:qFormat/>
    <w:uiPriority w:val="0"/>
    <w:rPr>
      <w:rFonts w:ascii="Courier New" w:hAnsi="Courier New"/>
      <w:sz w:val="20"/>
      <w:szCs w:val="20"/>
    </w:rPr>
  </w:style>
  <w:style w:type="character" w:styleId="50">
    <w:name w:val="HTML Acronym"/>
    <w:basedOn w:val="44"/>
    <w:qFormat/>
    <w:uiPriority w:val="0"/>
  </w:style>
  <w:style w:type="character" w:styleId="51">
    <w:name w:val="HTML Variable"/>
    <w:qFormat/>
    <w:uiPriority w:val="0"/>
    <w:rPr>
      <w:i/>
      <w:iCs/>
    </w:rPr>
  </w:style>
  <w:style w:type="character" w:styleId="52">
    <w:name w:val="Hyperlink"/>
    <w:basedOn w:val="44"/>
    <w:qFormat/>
    <w:uiPriority w:val="99"/>
    <w:rPr>
      <w:rFonts w:ascii="Times New Roman" w:hAnsi="Times New Roman" w:eastAsia="宋体"/>
      <w:color w:val="auto"/>
      <w:spacing w:val="0"/>
      <w:w w:val="100"/>
      <w:position w:val="0"/>
      <w:sz w:val="21"/>
      <w:u w:val="none"/>
    </w:rPr>
  </w:style>
  <w:style w:type="character" w:styleId="53">
    <w:name w:val="HTML Code"/>
    <w:qFormat/>
    <w:uiPriority w:val="0"/>
    <w:rPr>
      <w:rFonts w:ascii="Courier New" w:hAnsi="Courier New"/>
      <w:sz w:val="20"/>
      <w:szCs w:val="20"/>
    </w:rPr>
  </w:style>
  <w:style w:type="character" w:styleId="54">
    <w:name w:val="annotation reference"/>
    <w:qFormat/>
    <w:uiPriority w:val="0"/>
    <w:rPr>
      <w:sz w:val="21"/>
      <w:szCs w:val="21"/>
    </w:rPr>
  </w:style>
  <w:style w:type="character" w:styleId="55">
    <w:name w:val="HTML Cite"/>
    <w:qFormat/>
    <w:uiPriority w:val="0"/>
    <w:rPr>
      <w:i/>
      <w:iCs/>
    </w:rPr>
  </w:style>
  <w:style w:type="character" w:styleId="56">
    <w:name w:val="footnote reference"/>
    <w:qFormat/>
    <w:uiPriority w:val="0"/>
    <w:rPr>
      <w:vertAlign w:val="superscript"/>
    </w:rPr>
  </w:style>
  <w:style w:type="character" w:styleId="57">
    <w:name w:val="HTML Keyboard"/>
    <w:qFormat/>
    <w:uiPriority w:val="0"/>
    <w:rPr>
      <w:rFonts w:ascii="Courier New" w:hAnsi="Courier New"/>
      <w:sz w:val="20"/>
      <w:szCs w:val="20"/>
    </w:rPr>
  </w:style>
  <w:style w:type="character" w:styleId="58">
    <w:name w:val="HTML Sample"/>
    <w:qFormat/>
    <w:uiPriority w:val="0"/>
    <w:rPr>
      <w:rFonts w:ascii="Courier New" w:hAnsi="Courier New"/>
    </w:rPr>
  </w:style>
  <w:style w:type="paragraph" w:customStyle="1" w:styleId="59">
    <w:name w:val="段"/>
    <w:link w:val="276"/>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60">
    <w:name w:val="二级条标题"/>
    <w:basedOn w:val="61"/>
    <w:next w:val="59"/>
    <w:link w:val="278"/>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1">
    <w:name w:val="一级条标题"/>
    <w:basedOn w:val="62"/>
    <w:next w:val="59"/>
    <w:link w:val="280"/>
    <w:qFormat/>
    <w:uiPriority w:val="0"/>
    <w:pPr>
      <w:numPr>
        <w:ilvl w:val="2"/>
      </w:numPr>
      <w:spacing w:beforeLines="0" w:afterLines="0" w:line="300" w:lineRule="auto"/>
      <w:outlineLvl w:val="2"/>
    </w:pPr>
    <w:rPr>
      <w:color w:val="FF0000"/>
      <w:spacing w:val="-4"/>
      <w:szCs w:val="24"/>
    </w:rPr>
  </w:style>
  <w:style w:type="paragraph" w:customStyle="1" w:styleId="62">
    <w:name w:val="章标题"/>
    <w:next w:val="59"/>
    <w:link w:val="279"/>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4">
    <w:name w:val="封面标准号2"/>
    <w:basedOn w:val="65"/>
    <w:qFormat/>
    <w:uiPriority w:val="0"/>
    <w:pPr>
      <w:adjustRightInd w:val="0"/>
      <w:spacing w:before="357" w:line="280" w:lineRule="exact"/>
    </w:pPr>
  </w:style>
  <w:style w:type="paragraph" w:customStyle="1" w:styleId="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6">
    <w:name w:val="附录标识"/>
    <w:basedOn w:val="67"/>
    <w:link w:val="301"/>
    <w:qFormat/>
    <w:uiPriority w:val="0"/>
    <w:pPr>
      <w:numPr>
        <w:ilvl w:val="0"/>
        <w:numId w:val="2"/>
      </w:numPr>
      <w:tabs>
        <w:tab w:val="left" w:pos="6405"/>
      </w:tabs>
      <w:spacing w:after="200"/>
    </w:pPr>
    <w:rPr>
      <w:sz w:val="21"/>
    </w:rPr>
  </w:style>
  <w:style w:type="paragraph" w:customStyle="1" w:styleId="6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发布部门"/>
    <w:next w:val="59"/>
    <w:qFormat/>
    <w:uiPriority w:val="0"/>
    <w:pPr>
      <w:jc w:val="center"/>
    </w:pPr>
    <w:rPr>
      <w:rFonts w:ascii="宋体" w:hAnsi="Times New Roman" w:eastAsia="宋体" w:cs="Times New Roman"/>
      <w:b/>
      <w:spacing w:val="20"/>
      <w:w w:val="135"/>
      <w:sz w:val="36"/>
      <w:lang w:val="en-US" w:eastAsia="zh-CN" w:bidi="ar-SA"/>
    </w:rPr>
  </w:style>
  <w:style w:type="paragraph" w:customStyle="1" w:styleId="7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1">
    <w:name w:val="四级条标题"/>
    <w:basedOn w:val="72"/>
    <w:next w:val="59"/>
    <w:qFormat/>
    <w:uiPriority w:val="0"/>
    <w:pPr>
      <w:numPr>
        <w:ilvl w:val="5"/>
      </w:numPr>
      <w:outlineLvl w:val="5"/>
    </w:pPr>
  </w:style>
  <w:style w:type="paragraph" w:customStyle="1" w:styleId="72">
    <w:name w:val="三级条标题"/>
    <w:basedOn w:val="60"/>
    <w:next w:val="59"/>
    <w:link w:val="282"/>
    <w:qFormat/>
    <w:uiPriority w:val="0"/>
    <w:pPr>
      <w:numPr>
        <w:ilvl w:val="4"/>
      </w:numPr>
      <w:outlineLvl w:val="4"/>
    </w:pPr>
  </w:style>
  <w:style w:type="paragraph" w:customStyle="1" w:styleId="73">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5">
    <w:name w:val="参考文献、索引标题"/>
    <w:basedOn w:val="67"/>
    <w:next w:val="1"/>
    <w:qFormat/>
    <w:uiPriority w:val="0"/>
    <w:pPr>
      <w:numPr>
        <w:numId w:val="0"/>
      </w:numPr>
      <w:spacing w:after="200"/>
    </w:pPr>
    <w:rPr>
      <w:sz w:val="21"/>
    </w:rPr>
  </w:style>
  <w:style w:type="paragraph" w:customStyle="1" w:styleId="7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实施日期"/>
    <w:basedOn w:val="78"/>
    <w:qFormat/>
    <w:uiPriority w:val="0"/>
    <w:pPr>
      <w:jc w:val="right"/>
    </w:pPr>
  </w:style>
  <w:style w:type="paragraph" w:customStyle="1" w:styleId="78">
    <w:name w:val="发布日期"/>
    <w:qFormat/>
    <w:uiPriority w:val="0"/>
    <w:rPr>
      <w:rFonts w:ascii="Times New Roman" w:hAnsi="Times New Roman" w:eastAsia="黑体" w:cs="Times New Roman"/>
      <w:sz w:val="28"/>
      <w:lang w:val="en-US" w:eastAsia="zh-CN" w:bidi="ar-SA"/>
    </w:rPr>
  </w:style>
  <w:style w:type="paragraph" w:customStyle="1" w:styleId="79">
    <w:name w:val="条文脚注"/>
    <w:basedOn w:val="33"/>
    <w:qFormat/>
    <w:uiPriority w:val="0"/>
    <w:pPr>
      <w:ind w:left="780" w:leftChars="200" w:hanging="360" w:hangingChars="200"/>
      <w:jc w:val="both"/>
    </w:pPr>
    <w:rPr>
      <w:rFonts w:ascii="宋体"/>
    </w:rPr>
  </w:style>
  <w:style w:type="paragraph" w:customStyle="1" w:styleId="80">
    <w:name w:val="附录章标题"/>
    <w:next w:val="59"/>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图表脚注"/>
    <w:next w:val="59"/>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4">
    <w:name w:val="五级无标题条"/>
    <w:basedOn w:val="1"/>
    <w:qFormat/>
    <w:uiPriority w:val="0"/>
    <w:pPr>
      <w:numPr>
        <w:ilvl w:val="6"/>
        <w:numId w:val="5"/>
      </w:numPr>
    </w:pPr>
  </w:style>
  <w:style w:type="paragraph" w:customStyle="1" w:styleId="8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6">
    <w:name w:val="Char"/>
    <w:basedOn w:val="1"/>
    <w:qFormat/>
    <w:uiPriority w:val="0"/>
    <w:pPr>
      <w:widowControl/>
      <w:spacing w:after="160" w:line="240" w:lineRule="exact"/>
      <w:jc w:val="left"/>
    </w:pPr>
  </w:style>
  <w:style w:type="paragraph" w:customStyle="1" w:styleId="87">
    <w:name w:val="无标题条"/>
    <w:next w:val="59"/>
    <w:qFormat/>
    <w:uiPriority w:val="0"/>
    <w:pPr>
      <w:jc w:val="both"/>
    </w:pPr>
    <w:rPr>
      <w:rFonts w:ascii="Times New Roman" w:hAnsi="Times New Roman" w:eastAsia="宋体" w:cs="Times New Roman"/>
      <w:sz w:val="21"/>
      <w:lang w:val="en-US" w:eastAsia="zh-CN" w:bidi="ar-SA"/>
    </w:rPr>
  </w:style>
  <w:style w:type="paragraph" w:customStyle="1" w:styleId="88">
    <w:name w:val="五级条标题"/>
    <w:basedOn w:val="71"/>
    <w:next w:val="59"/>
    <w:qFormat/>
    <w:uiPriority w:val="0"/>
    <w:pPr>
      <w:numPr>
        <w:ilvl w:val="6"/>
      </w:numPr>
      <w:outlineLvl w:val="6"/>
    </w:pPr>
  </w:style>
  <w:style w:type="paragraph" w:customStyle="1" w:styleId="89">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9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1">
    <w:name w:val="正文图标题"/>
    <w:next w:val="59"/>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2">
    <w:name w:val="注："/>
    <w:next w:val="59"/>
    <w:link w:val="285"/>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4">
    <w:name w:val="标准书眉_偶数页"/>
    <w:basedOn w:val="90"/>
    <w:next w:val="1"/>
    <w:qFormat/>
    <w:uiPriority w:val="0"/>
    <w:pPr>
      <w:jc w:val="left"/>
    </w:pPr>
  </w:style>
  <w:style w:type="paragraph" w:customStyle="1" w:styleId="95">
    <w:name w:val="二级无标题条"/>
    <w:basedOn w:val="1"/>
    <w:qFormat/>
    <w:uiPriority w:val="0"/>
    <w:pPr>
      <w:numPr>
        <w:ilvl w:val="3"/>
        <w:numId w:val="5"/>
      </w:numPr>
    </w:pPr>
  </w:style>
  <w:style w:type="paragraph" w:customStyle="1" w:styleId="96">
    <w:name w:val="附录表标题"/>
    <w:next w:val="59"/>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五级条标题"/>
    <w:basedOn w:val="101"/>
    <w:next w:val="59"/>
    <w:qFormat/>
    <w:uiPriority w:val="0"/>
    <w:pPr>
      <w:numPr>
        <w:ilvl w:val="6"/>
      </w:numPr>
      <w:outlineLvl w:val="6"/>
    </w:pPr>
  </w:style>
  <w:style w:type="paragraph" w:customStyle="1" w:styleId="101">
    <w:name w:val="附录四级条标题"/>
    <w:basedOn w:val="102"/>
    <w:next w:val="59"/>
    <w:qFormat/>
    <w:uiPriority w:val="0"/>
    <w:pPr>
      <w:numPr>
        <w:ilvl w:val="5"/>
      </w:numPr>
      <w:outlineLvl w:val="5"/>
    </w:pPr>
  </w:style>
  <w:style w:type="paragraph" w:customStyle="1" w:styleId="102">
    <w:name w:val="附录三级条标题"/>
    <w:basedOn w:val="103"/>
    <w:next w:val="59"/>
    <w:qFormat/>
    <w:uiPriority w:val="0"/>
    <w:pPr>
      <w:numPr>
        <w:ilvl w:val="4"/>
      </w:numPr>
      <w:outlineLvl w:val="4"/>
    </w:pPr>
  </w:style>
  <w:style w:type="paragraph" w:customStyle="1" w:styleId="103">
    <w:name w:val="附录二级条标题"/>
    <w:basedOn w:val="104"/>
    <w:next w:val="59"/>
    <w:qFormat/>
    <w:uiPriority w:val="0"/>
    <w:pPr>
      <w:numPr>
        <w:ilvl w:val="3"/>
      </w:numPr>
      <w:outlineLvl w:val="3"/>
    </w:pPr>
  </w:style>
  <w:style w:type="paragraph" w:customStyle="1" w:styleId="104">
    <w:name w:val="附录一级条标题"/>
    <w:basedOn w:val="80"/>
    <w:next w:val="59"/>
    <w:qFormat/>
    <w:uiPriority w:val="0"/>
    <w:pPr>
      <w:numPr>
        <w:ilvl w:val="2"/>
      </w:numPr>
      <w:autoSpaceDN w:val="0"/>
      <w:spacing w:beforeLines="0" w:afterLines="0"/>
      <w:outlineLvl w:val="2"/>
    </w:pPr>
  </w:style>
  <w:style w:type="paragraph" w:customStyle="1" w:styleId="10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6">
    <w:name w:val="附录图标题"/>
    <w:next w:val="59"/>
    <w:qFormat/>
    <w:uiPriority w:val="0"/>
    <w:pPr>
      <w:jc w:val="center"/>
    </w:pPr>
    <w:rPr>
      <w:rFonts w:ascii="黑体" w:hAnsi="Times New Roman" w:eastAsia="黑体" w:cs="Times New Roman"/>
      <w:sz w:val="21"/>
      <w:lang w:val="en-US" w:eastAsia="zh-CN" w:bidi="ar-SA"/>
    </w:rPr>
  </w:style>
  <w:style w:type="paragraph" w:customStyle="1" w:styleId="10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8">
    <w:name w:val="正文表标题"/>
    <w:next w:val="59"/>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9">
    <w:name w:val="示例"/>
    <w:next w:val="59"/>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10">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1">
    <w:name w:val="四级无标题条"/>
    <w:basedOn w:val="1"/>
    <w:qFormat/>
    <w:uiPriority w:val="0"/>
    <w:pPr>
      <w:numPr>
        <w:ilvl w:val="5"/>
        <w:numId w:val="5"/>
      </w:numPr>
    </w:pPr>
  </w:style>
  <w:style w:type="paragraph" w:customStyle="1" w:styleId="112">
    <w:name w:val="目次、标准名称标题"/>
    <w:basedOn w:val="67"/>
    <w:next w:val="59"/>
    <w:qFormat/>
    <w:uiPriority w:val="0"/>
    <w:pPr>
      <w:numPr>
        <w:numId w:val="0"/>
      </w:numPr>
      <w:spacing w:line="460" w:lineRule="exact"/>
    </w:p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5">
    <w:name w:val="其他发布部门"/>
    <w:basedOn w:val="69"/>
    <w:qFormat/>
    <w:uiPriority w:val="0"/>
    <w:pPr>
      <w:spacing w:line="0" w:lineRule="atLeast"/>
    </w:pPr>
    <w:rPr>
      <w:rFonts w:ascii="黑体" w:eastAsia="黑体"/>
      <w:b w:val="0"/>
    </w:rPr>
  </w:style>
  <w:style w:type="paragraph" w:customStyle="1" w:styleId="116">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7">
    <w:name w:val="三级无标题条"/>
    <w:basedOn w:val="1"/>
    <w:qFormat/>
    <w:uiPriority w:val="0"/>
    <w:pPr>
      <w:numPr>
        <w:ilvl w:val="4"/>
        <w:numId w:val="5"/>
      </w:numPr>
    </w:pPr>
  </w:style>
  <w:style w:type="paragraph" w:customStyle="1" w:styleId="11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9">
    <w:name w:val="一级无标题条"/>
    <w:basedOn w:val="1"/>
    <w:qFormat/>
    <w:uiPriority w:val="0"/>
    <w:pPr>
      <w:numPr>
        <w:ilvl w:val="2"/>
        <w:numId w:val="5"/>
      </w:numPr>
    </w:pPr>
  </w:style>
  <w:style w:type="paragraph" w:customStyle="1" w:styleId="120">
    <w:name w:val="封面标准代替信息"/>
    <w:basedOn w:val="64"/>
    <w:qFormat/>
    <w:uiPriority w:val="0"/>
    <w:pPr>
      <w:spacing w:before="57"/>
    </w:pPr>
    <w:rPr>
      <w:rFonts w:ascii="宋体"/>
      <w:sz w:val="21"/>
    </w:rPr>
  </w:style>
  <w:style w:type="paragraph" w:customStyle="1" w:styleId="121">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2">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b/>
      <w:bCs/>
      <w:kern w:val="0"/>
      <w:sz w:val="20"/>
      <w:szCs w:val="20"/>
    </w:rPr>
  </w:style>
  <w:style w:type="paragraph" w:customStyle="1" w:styleId="125">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9">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30">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5">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5">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7">
    <w:name w:val="c封面标准名称"/>
    <w:basedOn w:val="1"/>
    <w:qFormat/>
    <w:uiPriority w:val="0"/>
    <w:pPr>
      <w:adjustRightInd w:val="0"/>
      <w:jc w:val="center"/>
    </w:pPr>
    <w:rPr>
      <w:rFonts w:eastAsia="黑体"/>
      <w:kern w:val="0"/>
      <w:sz w:val="52"/>
      <w:szCs w:val="20"/>
    </w:rPr>
  </w:style>
  <w:style w:type="paragraph" w:customStyle="1" w:styleId="148">
    <w:name w:val="样式2"/>
    <w:basedOn w:val="72"/>
    <w:qFormat/>
    <w:uiPriority w:val="0"/>
    <w:pPr>
      <w:numPr>
        <w:numId w:val="0"/>
      </w:numPr>
      <w:spacing w:line="240" w:lineRule="auto"/>
      <w:ind w:left="454"/>
    </w:pPr>
    <w:rPr>
      <w:color w:val="auto"/>
      <w:spacing w:val="0"/>
      <w:szCs w:val="20"/>
    </w:rPr>
  </w:style>
  <w:style w:type="paragraph" w:customStyle="1" w:styleId="149">
    <w:name w:val="列出段落1"/>
    <w:basedOn w:val="1"/>
    <w:qFormat/>
    <w:uiPriority w:val="34"/>
    <w:pPr>
      <w:ind w:firstLine="420" w:firstLineChars="200"/>
    </w:pPr>
    <w:rPr>
      <w:rFonts w:ascii="Calibri" w:hAnsi="Calibri"/>
      <w:szCs w:val="22"/>
    </w:rPr>
  </w:style>
  <w:style w:type="paragraph" w:customStyle="1" w:styleId="150">
    <w:name w:val="图表脚注说明"/>
    <w:basedOn w:val="1"/>
    <w:qFormat/>
    <w:uiPriority w:val="0"/>
    <w:rPr>
      <w:rFonts w:ascii="宋体"/>
      <w:sz w:val="18"/>
      <w:szCs w:val="18"/>
    </w:rPr>
  </w:style>
  <w:style w:type="paragraph" w:customStyle="1" w:styleId="151">
    <w:name w:val="Char11"/>
    <w:basedOn w:val="1"/>
    <w:qFormat/>
    <w:uiPriority w:val="0"/>
    <w:pPr>
      <w:widowControl/>
      <w:spacing w:after="160" w:line="240" w:lineRule="exact"/>
      <w:jc w:val="left"/>
    </w:pPr>
  </w:style>
  <w:style w:type="paragraph" w:customStyle="1" w:styleId="152">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3">
    <w:name w:val="列出段落11"/>
    <w:basedOn w:val="1"/>
    <w:qFormat/>
    <w:uiPriority w:val="34"/>
    <w:pPr>
      <w:ind w:firstLine="420" w:firstLineChars="200"/>
    </w:pPr>
    <w:rPr>
      <w:sz w:val="24"/>
    </w:rPr>
  </w:style>
  <w:style w:type="paragraph" w:customStyle="1" w:styleId="154">
    <w:name w:val="Char1 Char Char Char"/>
    <w:basedOn w:val="1"/>
    <w:qFormat/>
    <w:uiPriority w:val="0"/>
    <w:rPr>
      <w:szCs w:val="20"/>
    </w:rPr>
  </w:style>
  <w:style w:type="paragraph" w:customStyle="1" w:styleId="155">
    <w:name w:val="Char1"/>
    <w:basedOn w:val="1"/>
    <w:qFormat/>
    <w:uiPriority w:val="0"/>
    <w:pPr>
      <w:widowControl/>
      <w:spacing w:after="160" w:line="240" w:lineRule="exact"/>
      <w:jc w:val="left"/>
    </w:pPr>
  </w:style>
  <w:style w:type="paragraph" w:customStyle="1" w:styleId="156">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7">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9">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6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1">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2">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3">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9">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0">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1">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2">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3">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4">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5">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6">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7">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8">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0">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5">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7">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8">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9">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0">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1">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2">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3">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4">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5">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8">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9">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1">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2">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3">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4">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5">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6">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7">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8">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9">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0">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1">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2">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3">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4">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5">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6">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7">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8">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9">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1">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2">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3">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4">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5">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6">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8">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9">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30">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1">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2">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3">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4">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5">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7">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8">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9">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0">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2">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3">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4">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5">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6">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7">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8">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9">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0">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2">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4">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5">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6">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9">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1">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3">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4">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6">
    <w:name w:val="Char2"/>
    <w:basedOn w:val="1"/>
    <w:qFormat/>
    <w:uiPriority w:val="0"/>
    <w:pPr>
      <w:widowControl/>
      <w:spacing w:after="160" w:line="240" w:lineRule="exact"/>
      <w:jc w:val="left"/>
    </w:pPr>
  </w:style>
  <w:style w:type="paragraph" w:customStyle="1" w:styleId="267">
    <w:name w:val="正文1"/>
    <w:qFormat/>
    <w:uiPriority w:val="0"/>
    <w:pPr>
      <w:jc w:val="both"/>
    </w:pPr>
    <w:rPr>
      <w:rFonts w:ascii="Calibri" w:hAnsi="Calibri" w:eastAsia="宋体" w:cs="Calibri"/>
      <w:kern w:val="2"/>
      <w:sz w:val="21"/>
      <w:szCs w:val="21"/>
      <w:lang w:val="en-US" w:eastAsia="zh-CN" w:bidi="ar-SA"/>
    </w:rPr>
  </w:style>
  <w:style w:type="paragraph" w:customStyle="1" w:styleId="268">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p0"/>
    <w:basedOn w:val="1"/>
    <w:autoRedefine/>
    <w:qFormat/>
    <w:uiPriority w:val="0"/>
    <w:pPr>
      <w:widowControl/>
      <w:jc w:val="left"/>
    </w:pPr>
    <w:rPr>
      <w:kern w:val="0"/>
      <w:szCs w:val="21"/>
    </w:rPr>
  </w:style>
  <w:style w:type="paragraph" w:customStyle="1" w:styleId="270">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1">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4">
    <w:name w:val="发布"/>
    <w:qFormat/>
    <w:uiPriority w:val="0"/>
    <w:rPr>
      <w:rFonts w:ascii="黑体" w:eastAsia="黑体"/>
      <w:spacing w:val="22"/>
      <w:w w:val="100"/>
      <w:position w:val="3"/>
      <w:sz w:val="28"/>
    </w:rPr>
  </w:style>
  <w:style w:type="character" w:customStyle="1" w:styleId="275">
    <w:name w:val="个人答复风格"/>
    <w:qFormat/>
    <w:uiPriority w:val="0"/>
    <w:rPr>
      <w:rFonts w:ascii="Arial" w:hAnsi="Arial" w:eastAsia="宋体" w:cs="Arial"/>
      <w:color w:val="auto"/>
      <w:sz w:val="20"/>
    </w:rPr>
  </w:style>
  <w:style w:type="character" w:customStyle="1" w:styleId="276">
    <w:name w:val="段 Char"/>
    <w:link w:val="59"/>
    <w:qFormat/>
    <w:uiPriority w:val="0"/>
    <w:rPr>
      <w:rFonts w:ascii="宋体" w:hAnsi="宋体" w:eastAsia="宋体"/>
      <w:sz w:val="21"/>
      <w:lang w:val="en-US" w:eastAsia="zh-CN" w:bidi="ar-SA"/>
    </w:rPr>
  </w:style>
  <w:style w:type="character" w:customStyle="1" w:styleId="277">
    <w:name w:val="个人撰写风格"/>
    <w:qFormat/>
    <w:uiPriority w:val="0"/>
    <w:rPr>
      <w:rFonts w:ascii="Arial" w:hAnsi="Arial" w:eastAsia="宋体" w:cs="Arial"/>
      <w:color w:val="auto"/>
      <w:sz w:val="20"/>
    </w:rPr>
  </w:style>
  <w:style w:type="character" w:customStyle="1" w:styleId="278">
    <w:name w:val="二级条标题 Char"/>
    <w:link w:val="60"/>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9">
    <w:name w:val="章标题 Char"/>
    <w:link w:val="62"/>
    <w:qFormat/>
    <w:uiPriority w:val="0"/>
    <w:rPr>
      <w:rFonts w:ascii="黑体" w:hAnsi="Times New Roman" w:eastAsia="黑体" w:cs="Times New Roman"/>
      <w:sz w:val="21"/>
    </w:rPr>
  </w:style>
  <w:style w:type="character" w:customStyle="1" w:styleId="280">
    <w:name w:val="一级条标题 Char"/>
    <w:link w:val="61"/>
    <w:qFormat/>
    <w:uiPriority w:val="0"/>
    <w:rPr>
      <w:rFonts w:ascii="黑体" w:hAnsi="Times New Roman" w:eastAsia="黑体" w:cs="Times New Roman"/>
      <w:color w:val="FF0000"/>
      <w:spacing w:val="-4"/>
      <w:sz w:val="21"/>
      <w:szCs w:val="24"/>
    </w:rPr>
  </w:style>
  <w:style w:type="character" w:customStyle="1" w:styleId="281">
    <w:name w:val="纯文本 Char"/>
    <w:link w:val="25"/>
    <w:qFormat/>
    <w:uiPriority w:val="99"/>
    <w:rPr>
      <w:rFonts w:ascii="宋体" w:hAnsi="Courier New" w:cs="Courier New"/>
      <w:kern w:val="2"/>
      <w:sz w:val="21"/>
      <w:szCs w:val="21"/>
    </w:rPr>
  </w:style>
  <w:style w:type="character" w:customStyle="1" w:styleId="282">
    <w:name w:val="三级条标题 Char"/>
    <w:link w:val="72"/>
    <w:qFormat/>
    <w:uiPriority w:val="0"/>
    <w:rPr>
      <w:rFonts w:ascii="黑体" w:eastAsia="黑体"/>
      <w:color w:val="FF0000"/>
      <w:spacing w:val="-4"/>
      <w:sz w:val="21"/>
      <w:szCs w:val="24"/>
    </w:rPr>
  </w:style>
  <w:style w:type="character" w:customStyle="1" w:styleId="283">
    <w:name w:val="批注框文本 Char"/>
    <w:link w:val="30"/>
    <w:qFormat/>
    <w:uiPriority w:val="0"/>
    <w:rPr>
      <w:kern w:val="2"/>
      <w:sz w:val="18"/>
      <w:szCs w:val="18"/>
    </w:rPr>
  </w:style>
  <w:style w:type="character" w:customStyle="1" w:styleId="284">
    <w:name w:val="正文文本 Char"/>
    <w:link w:val="21"/>
    <w:qFormat/>
    <w:uiPriority w:val="0"/>
    <w:rPr>
      <w:kern w:val="2"/>
      <w:sz w:val="21"/>
      <w:szCs w:val="24"/>
    </w:rPr>
  </w:style>
  <w:style w:type="character" w:customStyle="1" w:styleId="285">
    <w:name w:val="注： Char"/>
    <w:link w:val="92"/>
    <w:qFormat/>
    <w:uiPriority w:val="0"/>
    <w:rPr>
      <w:rFonts w:ascii="宋体"/>
      <w:sz w:val="18"/>
    </w:rPr>
  </w:style>
  <w:style w:type="character" w:customStyle="1" w:styleId="286">
    <w:name w:val="页脚 Char"/>
    <w:link w:val="31"/>
    <w:qFormat/>
    <w:uiPriority w:val="99"/>
    <w:rPr>
      <w:kern w:val="2"/>
      <w:sz w:val="18"/>
      <w:szCs w:val="18"/>
    </w:rPr>
  </w:style>
  <w:style w:type="character" w:customStyle="1" w:styleId="287">
    <w:name w:val="正文文本缩进 Char"/>
    <w:link w:val="23"/>
    <w:qFormat/>
    <w:uiPriority w:val="0"/>
    <w:rPr>
      <w:kern w:val="2"/>
      <w:sz w:val="24"/>
    </w:rPr>
  </w:style>
  <w:style w:type="character" w:customStyle="1" w:styleId="288">
    <w:name w:val="表中文字"/>
    <w:qFormat/>
    <w:uiPriority w:val="0"/>
    <w:rPr>
      <w:rFonts w:ascii="宋体" w:eastAsia="宋体"/>
      <w:sz w:val="18"/>
    </w:rPr>
  </w:style>
  <w:style w:type="character" w:customStyle="1" w:styleId="289">
    <w:name w:val="批注文字 Char"/>
    <w:link w:val="20"/>
    <w:qFormat/>
    <w:uiPriority w:val="0"/>
    <w:rPr>
      <w:kern w:val="2"/>
      <w:sz w:val="21"/>
      <w:szCs w:val="24"/>
    </w:rPr>
  </w:style>
  <w:style w:type="character" w:customStyle="1" w:styleId="290">
    <w:name w:val="批注主题 Char"/>
    <w:link w:val="40"/>
    <w:qFormat/>
    <w:uiPriority w:val="0"/>
    <w:rPr>
      <w:b/>
      <w:bCs/>
      <w:kern w:val="2"/>
      <w:sz w:val="21"/>
      <w:szCs w:val="24"/>
    </w:rPr>
  </w:style>
  <w:style w:type="character" w:customStyle="1" w:styleId="291">
    <w:name w:val="页眉 Char"/>
    <w:link w:val="32"/>
    <w:qFormat/>
    <w:uiPriority w:val="99"/>
    <w:rPr>
      <w:kern w:val="2"/>
      <w:sz w:val="18"/>
      <w:szCs w:val="18"/>
    </w:rPr>
  </w:style>
  <w:style w:type="character" w:customStyle="1" w:styleId="292">
    <w:name w:val="正文文本缩进 2 Char"/>
    <w:link w:val="28"/>
    <w:qFormat/>
    <w:uiPriority w:val="0"/>
    <w:rPr>
      <w:kern w:val="2"/>
      <w:sz w:val="21"/>
      <w:szCs w:val="24"/>
    </w:rPr>
  </w:style>
  <w:style w:type="character" w:customStyle="1" w:styleId="293">
    <w:name w:val="日期 Char"/>
    <w:link w:val="27"/>
    <w:qFormat/>
    <w:uiPriority w:val="99"/>
    <w:rPr>
      <w:kern w:val="2"/>
      <w:sz w:val="24"/>
    </w:rPr>
  </w:style>
  <w:style w:type="character" w:customStyle="1" w:styleId="294">
    <w:name w:val="访问过的超链接1"/>
    <w:qFormat/>
    <w:uiPriority w:val="99"/>
    <w:rPr>
      <w:color w:val="800080"/>
      <w:u w:val="single"/>
    </w:rPr>
  </w:style>
  <w:style w:type="character" w:customStyle="1" w:styleId="295">
    <w:name w:val="段 Char Char Char Char"/>
    <w:qFormat/>
    <w:uiPriority w:val="0"/>
    <w:rPr>
      <w:rFonts w:ascii="宋体"/>
      <w:sz w:val="21"/>
      <w:lang w:val="en-US" w:eastAsia="zh-CN" w:bidi="ar-SA"/>
    </w:rPr>
  </w:style>
  <w:style w:type="character" w:customStyle="1" w:styleId="296">
    <w:name w:val="章标题 Char Char"/>
    <w:qFormat/>
    <w:uiPriority w:val="0"/>
    <w:rPr>
      <w:rFonts w:ascii="黑体" w:eastAsia="黑体"/>
      <w:sz w:val="21"/>
      <w:lang w:val="en-US" w:eastAsia="zh-CN" w:bidi="ar-SA"/>
    </w:rPr>
  </w:style>
  <w:style w:type="character" w:customStyle="1" w:styleId="297">
    <w:name w:val="正文文本缩进 Char1"/>
    <w:qFormat/>
    <w:uiPriority w:val="0"/>
    <w:rPr>
      <w:kern w:val="2"/>
      <w:sz w:val="21"/>
      <w:szCs w:val="24"/>
    </w:rPr>
  </w:style>
  <w:style w:type="character" w:customStyle="1" w:styleId="298">
    <w:name w:val="font21"/>
    <w:qFormat/>
    <w:uiPriority w:val="0"/>
    <w:rPr>
      <w:rFonts w:hint="eastAsia" w:ascii="宋体" w:hAnsi="宋体" w:eastAsia="宋体" w:cs="宋体"/>
      <w:b/>
      <w:color w:val="FF0000"/>
      <w:sz w:val="21"/>
      <w:szCs w:val="21"/>
      <w:u w:val="none"/>
    </w:rPr>
  </w:style>
  <w:style w:type="character" w:customStyle="1" w:styleId="299">
    <w:name w:val="font41"/>
    <w:qFormat/>
    <w:uiPriority w:val="0"/>
    <w:rPr>
      <w:rFonts w:hint="eastAsia" w:ascii="宋体" w:hAnsi="宋体" w:eastAsia="宋体" w:cs="宋体"/>
      <w:b/>
      <w:color w:val="FF0000"/>
      <w:sz w:val="21"/>
      <w:szCs w:val="21"/>
      <w:u w:val="none"/>
    </w:rPr>
  </w:style>
  <w:style w:type="character" w:customStyle="1" w:styleId="300">
    <w:name w:val="font01"/>
    <w:qFormat/>
    <w:uiPriority w:val="0"/>
    <w:rPr>
      <w:rFonts w:hint="eastAsia" w:ascii="宋体" w:hAnsi="宋体" w:eastAsia="宋体"/>
      <w:color w:val="000000"/>
      <w:sz w:val="24"/>
      <w:szCs w:val="24"/>
      <w:u w:val="none"/>
    </w:rPr>
  </w:style>
  <w:style w:type="character" w:customStyle="1" w:styleId="301">
    <w:name w:val="附录标识 Char"/>
    <w:link w:val="66"/>
    <w:qFormat/>
    <w:uiPriority w:val="0"/>
    <w:rPr>
      <w:sz w:val="21"/>
    </w:rPr>
  </w:style>
  <w:style w:type="character" w:customStyle="1" w:styleId="302">
    <w:name w:val="font31"/>
    <w:qFormat/>
    <w:uiPriority w:val="0"/>
    <w:rPr>
      <w:rFonts w:hint="eastAsia" w:ascii="宋体" w:hAnsi="宋体" w:eastAsia="宋体" w:cs="宋体"/>
      <w:color w:val="000000"/>
      <w:sz w:val="22"/>
      <w:szCs w:val="22"/>
      <w:u w:val="none"/>
    </w:r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4"/>
    <w:autoRedefine/>
    <w:qFormat/>
    <w:uiPriority w:val="0"/>
    <w:rPr>
      <w:rFonts w:hint="eastAsia" w:ascii="宋体" w:hAnsi="宋体" w:eastAsia="宋体"/>
      <w:color w:val="000000"/>
      <w:sz w:val="24"/>
      <w:szCs w:val="24"/>
    </w:rPr>
  </w:style>
  <w:style w:type="character" w:customStyle="1" w:styleId="305">
    <w:name w:val="标题 1 Char"/>
    <w:basedOn w:val="44"/>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4"/>
    <w:link w:val="3"/>
    <w:autoRedefine/>
    <w:qFormat/>
    <w:uiPriority w:val="0"/>
    <w:rPr>
      <w:rFonts w:ascii="Arial" w:hAnsi="Arial" w:eastAsia="黑体" w:cs="Times New Roman"/>
      <w:b/>
      <w:bCs/>
      <w:kern w:val="2"/>
      <w:sz w:val="24"/>
      <w:szCs w:val="32"/>
    </w:rPr>
  </w:style>
  <w:style w:type="character" w:customStyle="1" w:styleId="307">
    <w:name w:val="标题 3 Char"/>
    <w:basedOn w:val="44"/>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9"/>
    <w:autoRedefine/>
    <w:qFormat/>
    <w:uiPriority w:val="0"/>
    <w:rPr>
      <w:rFonts w:ascii="Arial" w:hAnsi="Arial" w:eastAsia="宋体" w:cs="Arial"/>
      <w:b/>
      <w:bCs/>
      <w:kern w:val="2"/>
      <w:sz w:val="32"/>
      <w:szCs w:val="32"/>
    </w:rPr>
  </w:style>
  <w:style w:type="character" w:customStyle="1" w:styleId="309">
    <w:name w:val="脚注文本 Char"/>
    <w:link w:val="33"/>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4"/>
    <w:autoRedefine/>
    <w:semiHidden/>
    <w:qFormat/>
    <w:uiPriority w:val="99"/>
    <w:rPr>
      <w:rFonts w:ascii="Calibri" w:hAnsi="Calibri" w:eastAsia="宋体" w:cs="Times New Roman"/>
      <w:sz w:val="18"/>
      <w:szCs w:val="18"/>
    </w:rPr>
  </w:style>
  <w:style w:type="character" w:customStyle="1" w:styleId="312">
    <w:name w:val="脚注文本 Char1"/>
    <w:basedOn w:val="44"/>
    <w:autoRedefine/>
    <w:semiHidden/>
    <w:qFormat/>
    <w:uiPriority w:val="99"/>
    <w:rPr>
      <w:rFonts w:ascii="Calibri" w:hAnsi="Calibri" w:eastAsia="宋体" w:cs="Times New Roman"/>
      <w:sz w:val="18"/>
      <w:szCs w:val="18"/>
    </w:rPr>
  </w:style>
  <w:style w:type="character" w:customStyle="1" w:styleId="313">
    <w:name w:val="标题 Char1"/>
    <w:basedOn w:val="44"/>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3"/>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2"/>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4"/>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4"/>
    <w:link w:val="36"/>
    <w:autoRedefine/>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6207-3DD0-4153-9C8F-0D63332378C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16</Pages>
  <Words>5413</Words>
  <Characters>5661</Characters>
  <Lines>40</Lines>
  <Paragraphs>11</Paragraphs>
  <TotalTime>14</TotalTime>
  <ScaleCrop>false</ScaleCrop>
  <LinksUpToDate>false</LinksUpToDate>
  <CharactersWithSpaces>5674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hong</cp:lastModifiedBy>
  <cp:lastPrinted>2016-10-20T04:13:00Z</cp:lastPrinted>
  <dcterms:modified xsi:type="dcterms:W3CDTF">2025-11-19T01:58:57Z</dcterms:modified>
  <dc:title>标准名称</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BEA198F11D4649419FF5903560A644A5_13</vt:lpwstr>
  </property>
  <property fmtid="{D5CDD505-2E9C-101B-9397-08002B2CF9AE}" pid="4" name="KSOTemplateDocerSaveRecord">
    <vt:lpwstr>eyJoZGlkIjoiMzEwNTM5NzYwMDRjMzkwZTVkZjY2ODkwMGIxNGU0OTUiLCJ1c2VySWQiOiI2OTk2MTQ2MjYifQ==</vt:lpwstr>
  </property>
</Properties>
</file>