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6513A">
      <w:pPr>
        <w:pStyle w:val="98"/>
        <w:jc w:val="center"/>
        <w:rPr>
          <w:rFonts w:ascii="黑体" w:hAnsi="黑体" w:eastAsia="黑体"/>
          <w:b w:val="0"/>
          <w:bCs w:val="0"/>
          <w:sz w:val="24"/>
          <w:szCs w:val="24"/>
        </w:rPr>
      </w:pPr>
      <w:bookmarkStart w:id="0" w:name="_Toc464728891"/>
      <w:bookmarkStart w:id="1" w:name="SectionMark4"/>
    </w:p>
    <w:p w14:paraId="261607E6">
      <w:pPr>
        <w:pStyle w:val="98"/>
        <w:jc w:val="center"/>
        <w:rPr>
          <w:rFonts w:ascii="黑体" w:hAnsi="黑体" w:eastAsia="黑体"/>
          <w:b w:val="0"/>
          <w:bCs w:val="0"/>
          <w:sz w:val="24"/>
          <w:szCs w:val="24"/>
        </w:rPr>
      </w:pPr>
    </w:p>
    <w:p w14:paraId="5CCD06B1">
      <w:pPr>
        <w:pStyle w:val="98"/>
        <w:jc w:val="center"/>
        <w:rPr>
          <w:rFonts w:ascii="黑体" w:hAnsi="黑体" w:eastAsia="黑体"/>
          <w:b w:val="0"/>
          <w:bCs w:val="0"/>
          <w:sz w:val="24"/>
          <w:szCs w:val="24"/>
        </w:rPr>
      </w:pPr>
    </w:p>
    <w:p w14:paraId="23A4CA42">
      <w:pPr>
        <w:pStyle w:val="98"/>
        <w:jc w:val="center"/>
        <w:rPr>
          <w:rFonts w:ascii="黑体" w:hAnsi="黑体" w:eastAsia="黑体"/>
          <w:b w:val="0"/>
          <w:bCs w:val="0"/>
          <w:sz w:val="24"/>
          <w:szCs w:val="24"/>
        </w:rPr>
      </w:pPr>
    </w:p>
    <w:p w14:paraId="1CEAA560">
      <w:pPr>
        <w:pStyle w:val="98"/>
        <w:jc w:val="center"/>
        <w:rPr>
          <w:rFonts w:ascii="黑体" w:hAnsi="黑体" w:eastAsia="黑体"/>
          <w:b w:val="0"/>
          <w:bCs w:val="0"/>
          <w:sz w:val="24"/>
          <w:szCs w:val="24"/>
        </w:rPr>
      </w:pPr>
    </w:p>
    <w:p w14:paraId="1E5655C1">
      <w:pPr>
        <w:pStyle w:val="98"/>
        <w:jc w:val="center"/>
        <w:rPr>
          <w:rFonts w:ascii="黑体" w:hAnsi="黑体" w:eastAsia="黑体"/>
          <w:b w:val="0"/>
          <w:bCs w:val="0"/>
          <w:sz w:val="24"/>
          <w:szCs w:val="24"/>
        </w:rPr>
      </w:pPr>
    </w:p>
    <w:p w14:paraId="365DF92E">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3BF3227D">
                            <w:pPr>
                              <w:pStyle w:val="75"/>
                              <w:rPr>
                                <w:rFonts w:hint="default" w:hAnsi="黑体" w:cs="黑体"/>
                                <w:sz w:val="44"/>
                                <w:szCs w:val="44"/>
                                <w:lang w:val="en-US"/>
                              </w:rPr>
                            </w:pPr>
                            <w:bookmarkStart w:id="73" w:name="_Hlk23687263"/>
                            <w:r>
                              <w:rPr>
                                <w:rFonts w:hint="eastAsia" w:hAnsi="黑体" w:cs="黑体"/>
                                <w:sz w:val="44"/>
                                <w:szCs w:val="44"/>
                              </w:rPr>
                              <w:t>JJF（有色金属）</w:t>
                            </w:r>
                            <w:r>
                              <w:rPr>
                                <w:rFonts w:hAnsi="黑体" w:cs="黑体"/>
                                <w:sz w:val="44"/>
                                <w:szCs w:val="44"/>
                              </w:rPr>
                              <w:t>0</w:t>
                            </w:r>
                            <w:r>
                              <w:rPr>
                                <w:rFonts w:hint="eastAsia" w:hAnsi="黑体" w:cs="黑体"/>
                                <w:sz w:val="44"/>
                                <w:szCs w:val="44"/>
                                <w:lang w:val="en-US" w:eastAsia="zh-CN"/>
                              </w:rPr>
                              <w:t>15</w:t>
                            </w:r>
                            <w:r>
                              <w:rPr>
                                <w:rFonts w:hAnsi="黑体" w:cs="黑体"/>
                                <w:sz w:val="44"/>
                                <w:szCs w:val="44"/>
                              </w:rPr>
                              <w:t>—20</w:t>
                            </w:r>
                            <w:r>
                              <w:rPr>
                                <w:rFonts w:hint="eastAsia" w:hAnsi="黑体" w:cs="黑体"/>
                                <w:sz w:val="44"/>
                                <w:szCs w:val="44"/>
                                <w:lang w:val="en-US" w:eastAsia="zh-CN"/>
                              </w:rPr>
                              <w:t>24</w:t>
                            </w:r>
                          </w:p>
                          <w:bookmarkEnd w:id="73"/>
                          <w:p w14:paraId="31637253">
                            <w:pPr>
                              <w:pStyle w:val="75"/>
                              <w:rPr>
                                <w:rFonts w:hint="eastAsia" w:hAnsi="黑体" w:cs="黑体"/>
                                <w:szCs w:val="52"/>
                              </w:rPr>
                            </w:pPr>
                            <w:r>
                              <w:rPr>
                                <w:rFonts w:hint="eastAsia" w:hAnsi="黑体" w:cs="黑体"/>
                                <w:szCs w:val="52"/>
                              </w:rPr>
                              <w:t>铝合金阳极氧化膜及有机聚合物膜用</w:t>
                            </w:r>
                          </w:p>
                          <w:p w14:paraId="011E22CF">
                            <w:pPr>
                              <w:pStyle w:val="75"/>
                              <w:rPr>
                                <w:rFonts w:hAnsi="黑体" w:cs="黑体"/>
                                <w:szCs w:val="52"/>
                              </w:rPr>
                            </w:pPr>
                            <w:r>
                              <w:rPr>
                                <w:rFonts w:hint="eastAsia" w:hAnsi="黑体" w:cs="黑体"/>
                                <w:szCs w:val="52"/>
                              </w:rPr>
                              <w:t>落砂试验机校准规范</w:t>
                            </w:r>
                          </w:p>
                          <w:p w14:paraId="72F6B995">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3BF3227D">
                      <w:pPr>
                        <w:pStyle w:val="75"/>
                        <w:rPr>
                          <w:rFonts w:hint="default" w:hAnsi="黑体" w:cs="黑体"/>
                          <w:sz w:val="44"/>
                          <w:szCs w:val="44"/>
                          <w:lang w:val="en-US"/>
                        </w:rPr>
                      </w:pPr>
                      <w:bookmarkStart w:id="73" w:name="_Hlk23687263"/>
                      <w:r>
                        <w:rPr>
                          <w:rFonts w:hint="eastAsia" w:hAnsi="黑体" w:cs="黑体"/>
                          <w:sz w:val="44"/>
                          <w:szCs w:val="44"/>
                        </w:rPr>
                        <w:t>JJF（有色金属）</w:t>
                      </w:r>
                      <w:r>
                        <w:rPr>
                          <w:rFonts w:hAnsi="黑体" w:cs="黑体"/>
                          <w:sz w:val="44"/>
                          <w:szCs w:val="44"/>
                        </w:rPr>
                        <w:t>0</w:t>
                      </w:r>
                      <w:r>
                        <w:rPr>
                          <w:rFonts w:hint="eastAsia" w:hAnsi="黑体" w:cs="黑体"/>
                          <w:sz w:val="44"/>
                          <w:szCs w:val="44"/>
                          <w:lang w:val="en-US" w:eastAsia="zh-CN"/>
                        </w:rPr>
                        <w:t>15</w:t>
                      </w:r>
                      <w:r>
                        <w:rPr>
                          <w:rFonts w:hAnsi="黑体" w:cs="黑体"/>
                          <w:sz w:val="44"/>
                          <w:szCs w:val="44"/>
                        </w:rPr>
                        <w:t>—20</w:t>
                      </w:r>
                      <w:r>
                        <w:rPr>
                          <w:rFonts w:hint="eastAsia" w:hAnsi="黑体" w:cs="黑体"/>
                          <w:sz w:val="44"/>
                          <w:szCs w:val="44"/>
                          <w:lang w:val="en-US" w:eastAsia="zh-CN"/>
                        </w:rPr>
                        <w:t>24</w:t>
                      </w:r>
                    </w:p>
                    <w:bookmarkEnd w:id="73"/>
                    <w:p w14:paraId="31637253">
                      <w:pPr>
                        <w:pStyle w:val="75"/>
                        <w:rPr>
                          <w:rFonts w:hint="eastAsia" w:hAnsi="黑体" w:cs="黑体"/>
                          <w:szCs w:val="52"/>
                        </w:rPr>
                      </w:pPr>
                      <w:r>
                        <w:rPr>
                          <w:rFonts w:hint="eastAsia" w:hAnsi="黑体" w:cs="黑体"/>
                          <w:szCs w:val="52"/>
                        </w:rPr>
                        <w:t>铝合金阳极氧化膜及有机聚合物膜用</w:t>
                      </w:r>
                    </w:p>
                    <w:p w14:paraId="011E22CF">
                      <w:pPr>
                        <w:pStyle w:val="75"/>
                        <w:rPr>
                          <w:rFonts w:hAnsi="黑体" w:cs="黑体"/>
                          <w:szCs w:val="52"/>
                        </w:rPr>
                      </w:pPr>
                      <w:r>
                        <w:rPr>
                          <w:rFonts w:hint="eastAsia" w:hAnsi="黑体" w:cs="黑体"/>
                          <w:szCs w:val="52"/>
                        </w:rPr>
                        <w:t>落砂试验机校准规范</w:t>
                      </w:r>
                    </w:p>
                    <w:p w14:paraId="72F6B995">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657F1709">
      <w:pPr>
        <w:pStyle w:val="98"/>
        <w:jc w:val="center"/>
        <w:rPr>
          <w:rFonts w:ascii="黑体" w:hAnsi="黑体" w:eastAsia="黑体"/>
          <w:b w:val="0"/>
          <w:bCs w:val="0"/>
          <w:sz w:val="24"/>
          <w:szCs w:val="24"/>
        </w:rPr>
      </w:pPr>
    </w:p>
    <w:p w14:paraId="5B12077C">
      <w:pPr>
        <w:pStyle w:val="98"/>
        <w:jc w:val="center"/>
        <w:rPr>
          <w:rFonts w:ascii="黑体" w:hAnsi="黑体" w:eastAsia="黑体"/>
          <w:b w:val="0"/>
          <w:bCs w:val="0"/>
          <w:sz w:val="24"/>
          <w:szCs w:val="24"/>
        </w:rPr>
      </w:pPr>
    </w:p>
    <w:p w14:paraId="4B6D4267">
      <w:pPr>
        <w:pStyle w:val="98"/>
        <w:jc w:val="center"/>
        <w:rPr>
          <w:rFonts w:ascii="黑体" w:hAnsi="黑体" w:eastAsia="黑体"/>
          <w:b w:val="0"/>
          <w:bCs w:val="0"/>
          <w:sz w:val="24"/>
          <w:szCs w:val="24"/>
        </w:rPr>
      </w:pPr>
    </w:p>
    <w:p w14:paraId="5CEE8E5D">
      <w:pPr>
        <w:pStyle w:val="98"/>
        <w:jc w:val="center"/>
        <w:rPr>
          <w:rFonts w:ascii="黑体" w:hAnsi="黑体" w:eastAsia="黑体"/>
          <w:b w:val="0"/>
          <w:bCs w:val="0"/>
          <w:sz w:val="24"/>
          <w:szCs w:val="24"/>
        </w:rPr>
      </w:pPr>
    </w:p>
    <w:p w14:paraId="520DE93F">
      <w:pPr>
        <w:pStyle w:val="98"/>
        <w:jc w:val="center"/>
        <w:rPr>
          <w:rFonts w:ascii="黑体" w:hAnsi="黑体" w:eastAsia="黑体"/>
          <w:b w:val="0"/>
          <w:bCs w:val="0"/>
          <w:sz w:val="24"/>
          <w:szCs w:val="24"/>
        </w:rPr>
      </w:pPr>
    </w:p>
    <w:p w14:paraId="4DC0BF17">
      <w:pPr>
        <w:pStyle w:val="98"/>
        <w:jc w:val="center"/>
        <w:rPr>
          <w:rFonts w:ascii="黑体" w:hAnsi="黑体" w:eastAsia="黑体"/>
          <w:b w:val="0"/>
          <w:bCs w:val="0"/>
          <w:sz w:val="24"/>
          <w:szCs w:val="24"/>
        </w:rPr>
      </w:pPr>
    </w:p>
    <w:p w14:paraId="4A8606C4">
      <w:pPr>
        <w:pStyle w:val="98"/>
        <w:jc w:val="center"/>
        <w:rPr>
          <w:rFonts w:ascii="黑体" w:hAnsi="黑体" w:eastAsia="黑体"/>
          <w:b w:val="0"/>
          <w:bCs w:val="0"/>
          <w:sz w:val="24"/>
          <w:szCs w:val="24"/>
        </w:rPr>
      </w:pPr>
    </w:p>
    <w:p w14:paraId="426E253B">
      <w:pPr>
        <w:pStyle w:val="98"/>
        <w:jc w:val="center"/>
        <w:rPr>
          <w:rFonts w:ascii="黑体" w:hAnsi="黑体" w:eastAsia="黑体"/>
          <w:b w:val="0"/>
          <w:bCs w:val="0"/>
          <w:sz w:val="24"/>
          <w:szCs w:val="24"/>
        </w:rPr>
      </w:pPr>
    </w:p>
    <w:p w14:paraId="7AF395CF">
      <w:pPr>
        <w:pStyle w:val="98"/>
        <w:jc w:val="center"/>
        <w:rPr>
          <w:rFonts w:ascii="黑体" w:hAnsi="黑体" w:eastAsia="黑体"/>
          <w:b w:val="0"/>
          <w:bCs w:val="0"/>
          <w:sz w:val="24"/>
          <w:szCs w:val="24"/>
        </w:rPr>
      </w:pPr>
    </w:p>
    <w:p w14:paraId="7E7C99B0">
      <w:pPr>
        <w:pStyle w:val="98"/>
        <w:jc w:val="center"/>
        <w:rPr>
          <w:rFonts w:ascii="黑体" w:hAnsi="黑体" w:eastAsia="黑体"/>
          <w:b w:val="0"/>
          <w:bCs w:val="0"/>
          <w:sz w:val="24"/>
          <w:szCs w:val="24"/>
        </w:rPr>
      </w:pPr>
    </w:p>
    <w:p w14:paraId="44A9AD4F">
      <w:pPr>
        <w:pStyle w:val="98"/>
        <w:jc w:val="center"/>
        <w:rPr>
          <w:rFonts w:ascii="黑体" w:hAnsi="黑体" w:eastAsia="黑体"/>
          <w:b w:val="0"/>
          <w:bCs w:val="0"/>
          <w:sz w:val="24"/>
          <w:szCs w:val="24"/>
        </w:rPr>
      </w:pPr>
    </w:p>
    <w:p w14:paraId="02AC33B4">
      <w:pPr>
        <w:pStyle w:val="98"/>
        <w:jc w:val="center"/>
        <w:rPr>
          <w:rFonts w:ascii="黑体" w:hAnsi="黑体" w:eastAsia="黑体"/>
          <w:b w:val="0"/>
          <w:bCs w:val="0"/>
          <w:sz w:val="24"/>
          <w:szCs w:val="24"/>
        </w:rPr>
      </w:pPr>
    </w:p>
    <w:p w14:paraId="6C0AC297">
      <w:pPr>
        <w:pStyle w:val="98"/>
        <w:jc w:val="center"/>
        <w:rPr>
          <w:rFonts w:ascii="黑体" w:hAnsi="黑体" w:eastAsia="黑体"/>
          <w:b w:val="0"/>
          <w:bCs w:val="0"/>
          <w:sz w:val="24"/>
          <w:szCs w:val="24"/>
        </w:rPr>
      </w:pPr>
    </w:p>
    <w:p w14:paraId="6ED72D46">
      <w:pPr>
        <w:pStyle w:val="98"/>
        <w:jc w:val="center"/>
        <w:rPr>
          <w:rFonts w:ascii="黑体" w:hAnsi="黑体" w:eastAsia="黑体"/>
          <w:b w:val="0"/>
          <w:bCs w:val="0"/>
          <w:sz w:val="24"/>
          <w:szCs w:val="24"/>
        </w:rPr>
      </w:pPr>
    </w:p>
    <w:p w14:paraId="4D140896">
      <w:pPr>
        <w:pStyle w:val="98"/>
        <w:jc w:val="center"/>
        <w:rPr>
          <w:rFonts w:ascii="黑体" w:hAnsi="黑体" w:eastAsia="黑体"/>
          <w:b w:val="0"/>
          <w:bCs w:val="0"/>
          <w:sz w:val="24"/>
          <w:szCs w:val="24"/>
        </w:rPr>
      </w:pPr>
    </w:p>
    <w:p w14:paraId="276BDB7B">
      <w:pPr>
        <w:pStyle w:val="98"/>
        <w:jc w:val="center"/>
        <w:rPr>
          <w:rFonts w:ascii="黑体" w:hAnsi="黑体" w:eastAsia="黑体"/>
          <w:b w:val="0"/>
          <w:bCs w:val="0"/>
          <w:sz w:val="24"/>
          <w:szCs w:val="24"/>
        </w:rPr>
      </w:pPr>
    </w:p>
    <w:p w14:paraId="55981809">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6D583F56">
                            <w:pPr>
                              <w:pStyle w:val="67"/>
                              <w:spacing w:before="600"/>
                              <w:rPr>
                                <w:rFonts w:ascii="黑体" w:hAnsi="黑体" w:eastAsia="黑体"/>
                                <w:sz w:val="36"/>
                                <w:szCs w:val="36"/>
                              </w:rPr>
                            </w:pPr>
                            <w:r>
                              <w:rPr>
                                <w:rFonts w:hint="eastAsia" w:ascii="黑体" w:hAnsi="黑体" w:eastAsia="黑体"/>
                                <w:sz w:val="36"/>
                                <w:szCs w:val="36"/>
                                <w:lang w:val="en-US" w:eastAsia="zh-CN"/>
                              </w:rPr>
                              <w:t>送审</w:t>
                            </w:r>
                            <w:r>
                              <w:rPr>
                                <w:rFonts w:hint="eastAsia" w:ascii="黑体" w:hAnsi="黑体" w:eastAsia="黑体"/>
                                <w:sz w:val="36"/>
                                <w:szCs w:val="36"/>
                              </w:rPr>
                              <w:t>稿</w:t>
                            </w:r>
                          </w:p>
                          <w:p w14:paraId="15A726FB">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5</w:t>
                            </w:r>
                            <w:r>
                              <w:rPr>
                                <w:rFonts w:hint="eastAsia" w:ascii="黑体" w:hAnsi="黑体" w:eastAsia="黑体"/>
                                <w:sz w:val="36"/>
                                <w:szCs w:val="36"/>
                              </w:rPr>
                              <w:t>-</w:t>
                            </w:r>
                            <w:r>
                              <w:rPr>
                                <w:rFonts w:hint="eastAsia" w:ascii="黑体" w:hAnsi="黑体" w:eastAsia="黑体"/>
                                <w:sz w:val="36"/>
                                <w:szCs w:val="36"/>
                                <w:lang w:val="en-US" w:eastAsia="zh-CN"/>
                              </w:rPr>
                              <w:t>11</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6D583F56">
                      <w:pPr>
                        <w:pStyle w:val="67"/>
                        <w:spacing w:before="600"/>
                        <w:rPr>
                          <w:rFonts w:ascii="黑体" w:hAnsi="黑体" w:eastAsia="黑体"/>
                          <w:sz w:val="36"/>
                          <w:szCs w:val="36"/>
                        </w:rPr>
                      </w:pPr>
                      <w:r>
                        <w:rPr>
                          <w:rFonts w:hint="eastAsia" w:ascii="黑体" w:hAnsi="黑体" w:eastAsia="黑体"/>
                          <w:sz w:val="36"/>
                          <w:szCs w:val="36"/>
                          <w:lang w:val="en-US" w:eastAsia="zh-CN"/>
                        </w:rPr>
                        <w:t>送审</w:t>
                      </w:r>
                      <w:r>
                        <w:rPr>
                          <w:rFonts w:hint="eastAsia" w:ascii="黑体" w:hAnsi="黑体" w:eastAsia="黑体"/>
                          <w:sz w:val="36"/>
                          <w:szCs w:val="36"/>
                        </w:rPr>
                        <w:t>稿</w:t>
                      </w:r>
                    </w:p>
                    <w:p w14:paraId="15A726FB">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5</w:t>
                      </w:r>
                      <w:r>
                        <w:rPr>
                          <w:rFonts w:hint="eastAsia" w:ascii="黑体" w:hAnsi="黑体" w:eastAsia="黑体"/>
                          <w:sz w:val="36"/>
                          <w:szCs w:val="36"/>
                        </w:rPr>
                        <w:t>-</w:t>
                      </w:r>
                      <w:r>
                        <w:rPr>
                          <w:rFonts w:hint="eastAsia" w:ascii="黑体" w:hAnsi="黑体" w:eastAsia="黑体"/>
                          <w:sz w:val="36"/>
                          <w:szCs w:val="36"/>
                          <w:lang w:val="en-US" w:eastAsia="zh-CN"/>
                        </w:rPr>
                        <w:t>11</w:t>
                      </w:r>
                    </w:p>
                  </w:txbxContent>
                </v:textbox>
                <w10:anchorlock/>
              </v:rect>
            </w:pict>
          </mc:Fallback>
        </mc:AlternateContent>
      </w:r>
    </w:p>
    <w:p w14:paraId="60A4B863">
      <w:pPr>
        <w:pStyle w:val="98"/>
        <w:jc w:val="center"/>
        <w:rPr>
          <w:rFonts w:ascii="黑体" w:hAnsi="黑体" w:eastAsia="黑体"/>
          <w:b w:val="0"/>
          <w:bCs w:val="0"/>
          <w:sz w:val="24"/>
          <w:szCs w:val="24"/>
        </w:rPr>
      </w:pPr>
    </w:p>
    <w:p w14:paraId="5485B151">
      <w:pPr>
        <w:pStyle w:val="98"/>
        <w:jc w:val="center"/>
        <w:rPr>
          <w:rFonts w:ascii="黑体" w:hAnsi="黑体" w:eastAsia="黑体"/>
          <w:b w:val="0"/>
          <w:bCs w:val="0"/>
          <w:sz w:val="24"/>
          <w:szCs w:val="24"/>
        </w:rPr>
      </w:pPr>
    </w:p>
    <w:p w14:paraId="6EAE2478">
      <w:pPr>
        <w:pStyle w:val="98"/>
        <w:jc w:val="center"/>
        <w:rPr>
          <w:rFonts w:ascii="黑体" w:hAnsi="黑体" w:eastAsia="黑体"/>
          <w:b w:val="0"/>
          <w:bCs w:val="0"/>
          <w:sz w:val="24"/>
          <w:szCs w:val="24"/>
        </w:rPr>
      </w:pPr>
    </w:p>
    <w:p w14:paraId="51704646">
      <w:pPr>
        <w:pStyle w:val="98"/>
        <w:jc w:val="center"/>
        <w:rPr>
          <w:rFonts w:ascii="黑体" w:hAnsi="黑体" w:eastAsia="黑体"/>
          <w:b w:val="0"/>
          <w:bCs w:val="0"/>
          <w:sz w:val="24"/>
          <w:szCs w:val="24"/>
        </w:rPr>
      </w:pPr>
    </w:p>
    <w:p w14:paraId="7E453036">
      <w:pPr>
        <w:pStyle w:val="98"/>
        <w:jc w:val="center"/>
        <w:rPr>
          <w:rFonts w:ascii="黑体" w:hAnsi="黑体" w:eastAsia="黑体"/>
          <w:b w:val="0"/>
          <w:bCs w:val="0"/>
          <w:sz w:val="24"/>
          <w:szCs w:val="24"/>
        </w:rPr>
      </w:pPr>
    </w:p>
    <w:p w14:paraId="642EA6C2">
      <w:pPr>
        <w:pStyle w:val="98"/>
        <w:jc w:val="center"/>
        <w:rPr>
          <w:rFonts w:ascii="黑体" w:hAnsi="黑体" w:eastAsia="黑体"/>
          <w:b w:val="0"/>
          <w:bCs w:val="0"/>
          <w:sz w:val="24"/>
          <w:szCs w:val="24"/>
        </w:rPr>
      </w:pPr>
    </w:p>
    <w:p w14:paraId="0082894A">
      <w:pPr>
        <w:pStyle w:val="98"/>
        <w:jc w:val="center"/>
        <w:rPr>
          <w:rFonts w:ascii="黑体" w:hAnsi="黑体" w:eastAsia="黑体"/>
          <w:b w:val="0"/>
          <w:bCs w:val="0"/>
          <w:sz w:val="24"/>
          <w:szCs w:val="24"/>
        </w:rPr>
      </w:pPr>
    </w:p>
    <w:p w14:paraId="0709B332">
      <w:pPr>
        <w:pStyle w:val="98"/>
        <w:jc w:val="center"/>
        <w:rPr>
          <w:rFonts w:ascii="黑体" w:hAnsi="黑体" w:eastAsia="黑体"/>
          <w:b w:val="0"/>
          <w:bCs w:val="0"/>
          <w:sz w:val="24"/>
          <w:szCs w:val="24"/>
        </w:rPr>
      </w:pPr>
    </w:p>
    <w:p w14:paraId="5258344D">
      <w:pPr>
        <w:pStyle w:val="98"/>
        <w:jc w:val="center"/>
        <w:rPr>
          <w:rFonts w:ascii="黑体" w:hAnsi="黑体" w:eastAsia="黑体"/>
          <w:b w:val="0"/>
          <w:bCs w:val="0"/>
          <w:sz w:val="24"/>
          <w:szCs w:val="24"/>
        </w:rPr>
      </w:pPr>
    </w:p>
    <w:p w14:paraId="660B44CE">
      <w:pPr>
        <w:pStyle w:val="98"/>
        <w:jc w:val="center"/>
        <w:rPr>
          <w:rFonts w:ascii="黑体" w:hAnsi="黑体" w:eastAsia="黑体"/>
          <w:b w:val="0"/>
          <w:bCs w:val="0"/>
          <w:sz w:val="24"/>
          <w:szCs w:val="24"/>
        </w:rPr>
      </w:pPr>
    </w:p>
    <w:p w14:paraId="29D1196A">
      <w:pPr>
        <w:pStyle w:val="98"/>
        <w:jc w:val="center"/>
        <w:rPr>
          <w:rFonts w:ascii="黑体" w:hAnsi="黑体" w:eastAsia="黑体"/>
          <w:b w:val="0"/>
          <w:bCs w:val="0"/>
          <w:sz w:val="24"/>
          <w:szCs w:val="24"/>
        </w:rPr>
      </w:pPr>
    </w:p>
    <w:p w14:paraId="60223242">
      <w:pPr>
        <w:pStyle w:val="98"/>
        <w:jc w:val="center"/>
        <w:rPr>
          <w:rFonts w:ascii="黑体" w:hAnsi="黑体" w:eastAsia="黑体"/>
          <w:b w:val="0"/>
          <w:bCs w:val="0"/>
          <w:sz w:val="24"/>
          <w:szCs w:val="24"/>
        </w:rPr>
      </w:pPr>
    </w:p>
    <w:p w14:paraId="7AAF4CC4">
      <w:pPr>
        <w:pStyle w:val="98"/>
        <w:jc w:val="center"/>
        <w:rPr>
          <w:rFonts w:ascii="黑体" w:hAnsi="黑体" w:eastAsia="黑体"/>
          <w:b w:val="0"/>
          <w:bCs w:val="0"/>
          <w:sz w:val="24"/>
          <w:szCs w:val="24"/>
        </w:rPr>
      </w:pPr>
    </w:p>
    <w:p w14:paraId="75E989CA">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6DE6D594">
                            <w:pPr>
                              <w:jc w:val="center"/>
                              <w:rPr>
                                <w:rFonts w:hint="eastAsia" w:ascii="宋体" w:hAnsi="宋体" w:cs="宋体"/>
                                <w:spacing w:val="58"/>
                                <w:w w:val="120"/>
                                <w:sz w:val="28"/>
                                <w:szCs w:val="28"/>
                              </w:rPr>
                            </w:pPr>
                            <w:r>
                              <w:rPr>
                                <w:rFonts w:hint="eastAsia" w:ascii="宋体" w:hAnsi="宋体" w:cs="宋体"/>
                                <w:spacing w:val="58"/>
                                <w:w w:val="120"/>
                                <w:sz w:val="28"/>
                                <w:szCs w:val="28"/>
                              </w:rPr>
                              <w:t>铝合金阳极氧化膜及有机聚合物膜用</w:t>
                            </w:r>
                          </w:p>
                          <w:p w14:paraId="47B6C924">
                            <w:pPr>
                              <w:jc w:val="center"/>
                              <w:rPr>
                                <w:rFonts w:ascii="宋体" w:hAnsi="宋体" w:cs="宋体"/>
                                <w:spacing w:val="58"/>
                                <w:w w:val="120"/>
                                <w:sz w:val="28"/>
                                <w:szCs w:val="28"/>
                              </w:rPr>
                            </w:pPr>
                            <w:r>
                              <w:rPr>
                                <w:rFonts w:hint="eastAsia" w:ascii="宋体" w:hAnsi="宋体" w:cs="宋体"/>
                                <w:spacing w:val="58"/>
                                <w:w w:val="120"/>
                                <w:sz w:val="28"/>
                                <w:szCs w:val="28"/>
                              </w:rPr>
                              <w:t>落砂试验机校准规范</w:t>
                            </w:r>
                          </w:p>
                          <w:p w14:paraId="06143CAA">
                            <w:pPr>
                              <w:jc w:val="center"/>
                              <w:rPr>
                                <w:rFonts w:ascii="宋体" w:hAnsi="宋体" w:cs="宋体"/>
                                <w:sz w:val="28"/>
                                <w:szCs w:val="28"/>
                              </w:rPr>
                            </w:pPr>
                            <w:r>
                              <w:rPr>
                                <w:rFonts w:hint="eastAsia" w:ascii="宋体" w:hAnsi="宋体" w:cs="宋体"/>
                                <w:spacing w:val="58"/>
                                <w:w w:val="120"/>
                                <w:sz w:val="28"/>
                                <w:szCs w:val="28"/>
                              </w:rPr>
                              <w:t>编制组</w:t>
                            </w:r>
                          </w:p>
                          <w:p w14:paraId="703B9137">
                            <w:pPr>
                              <w:pStyle w:val="114"/>
                              <w:rPr>
                                <w:rFonts w:hint="default" w:ascii="宋体" w:hAnsi="宋体" w:eastAsia="宋体" w:cs="宋体"/>
                                <w:sz w:val="28"/>
                                <w:szCs w:val="28"/>
                                <w:lang w:val="en-US"/>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广东省科学院工业分析检测中心</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6DE6D594">
                      <w:pPr>
                        <w:jc w:val="center"/>
                        <w:rPr>
                          <w:rFonts w:hint="eastAsia" w:ascii="宋体" w:hAnsi="宋体" w:cs="宋体"/>
                          <w:spacing w:val="58"/>
                          <w:w w:val="120"/>
                          <w:sz w:val="28"/>
                          <w:szCs w:val="28"/>
                        </w:rPr>
                      </w:pPr>
                      <w:r>
                        <w:rPr>
                          <w:rFonts w:hint="eastAsia" w:ascii="宋体" w:hAnsi="宋体" w:cs="宋体"/>
                          <w:spacing w:val="58"/>
                          <w:w w:val="120"/>
                          <w:sz w:val="28"/>
                          <w:szCs w:val="28"/>
                        </w:rPr>
                        <w:t>铝合金阳极氧化膜及有机聚合物膜用</w:t>
                      </w:r>
                    </w:p>
                    <w:p w14:paraId="47B6C924">
                      <w:pPr>
                        <w:jc w:val="center"/>
                        <w:rPr>
                          <w:rFonts w:ascii="宋体" w:hAnsi="宋体" w:cs="宋体"/>
                          <w:spacing w:val="58"/>
                          <w:w w:val="120"/>
                          <w:sz w:val="28"/>
                          <w:szCs w:val="28"/>
                        </w:rPr>
                      </w:pPr>
                      <w:r>
                        <w:rPr>
                          <w:rFonts w:hint="eastAsia" w:ascii="宋体" w:hAnsi="宋体" w:cs="宋体"/>
                          <w:spacing w:val="58"/>
                          <w:w w:val="120"/>
                          <w:sz w:val="28"/>
                          <w:szCs w:val="28"/>
                        </w:rPr>
                        <w:t>落砂试验机校准规范</w:t>
                      </w:r>
                    </w:p>
                    <w:p w14:paraId="06143CAA">
                      <w:pPr>
                        <w:jc w:val="center"/>
                        <w:rPr>
                          <w:rFonts w:ascii="宋体" w:hAnsi="宋体" w:cs="宋体"/>
                          <w:sz w:val="28"/>
                          <w:szCs w:val="28"/>
                        </w:rPr>
                      </w:pPr>
                      <w:r>
                        <w:rPr>
                          <w:rFonts w:hint="eastAsia" w:ascii="宋体" w:hAnsi="宋体" w:cs="宋体"/>
                          <w:spacing w:val="58"/>
                          <w:w w:val="120"/>
                          <w:sz w:val="28"/>
                          <w:szCs w:val="28"/>
                        </w:rPr>
                        <w:t>编制组</w:t>
                      </w:r>
                    </w:p>
                    <w:p w14:paraId="703B9137">
                      <w:pPr>
                        <w:pStyle w:val="114"/>
                        <w:rPr>
                          <w:rFonts w:hint="default" w:ascii="宋体" w:hAnsi="宋体" w:eastAsia="宋体" w:cs="宋体"/>
                          <w:sz w:val="28"/>
                          <w:szCs w:val="28"/>
                          <w:lang w:val="en-US"/>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广东省科学院工业分析检测中心</w:t>
                      </w:r>
                    </w:p>
                  </w:txbxContent>
                </v:textbox>
                <w10:anchorlock/>
              </v:rect>
            </w:pict>
          </mc:Fallback>
        </mc:AlternateContent>
      </w:r>
    </w:p>
    <w:p w14:paraId="08C76235">
      <w:pPr>
        <w:pStyle w:val="98"/>
        <w:jc w:val="center"/>
        <w:rPr>
          <w:rFonts w:ascii="黑体" w:hAnsi="黑体" w:eastAsia="黑体"/>
          <w:b w:val="0"/>
          <w:bCs w:val="0"/>
          <w:sz w:val="24"/>
          <w:szCs w:val="24"/>
        </w:rPr>
      </w:pPr>
    </w:p>
    <w:p w14:paraId="207D3399">
      <w:pPr>
        <w:pStyle w:val="98"/>
        <w:jc w:val="center"/>
        <w:rPr>
          <w:rFonts w:ascii="黑体" w:hAnsi="黑体" w:eastAsia="黑体"/>
          <w:b w:val="0"/>
          <w:bCs w:val="0"/>
          <w:sz w:val="24"/>
          <w:szCs w:val="24"/>
        </w:rPr>
      </w:pPr>
    </w:p>
    <w:p w14:paraId="2A2979CC">
      <w:pPr>
        <w:pStyle w:val="98"/>
        <w:jc w:val="center"/>
        <w:rPr>
          <w:rFonts w:ascii="黑体" w:hAnsi="黑体" w:eastAsia="黑体"/>
          <w:b w:val="0"/>
          <w:bCs w:val="0"/>
          <w:sz w:val="24"/>
          <w:szCs w:val="24"/>
        </w:rPr>
      </w:pPr>
    </w:p>
    <w:p w14:paraId="1C6E7CC3">
      <w:pPr>
        <w:pStyle w:val="98"/>
        <w:jc w:val="center"/>
        <w:rPr>
          <w:rFonts w:ascii="黑体" w:hAnsi="黑体" w:eastAsia="黑体"/>
          <w:b w:val="0"/>
          <w:bCs w:val="0"/>
          <w:sz w:val="24"/>
          <w:szCs w:val="24"/>
        </w:rPr>
      </w:pPr>
    </w:p>
    <w:p w14:paraId="1F92AC1C">
      <w:pPr>
        <w:pStyle w:val="98"/>
        <w:jc w:val="center"/>
        <w:rPr>
          <w:rFonts w:ascii="黑体" w:hAnsi="黑体" w:eastAsia="黑体"/>
          <w:b w:val="0"/>
          <w:bCs w:val="0"/>
          <w:sz w:val="24"/>
          <w:szCs w:val="24"/>
        </w:rPr>
      </w:pPr>
    </w:p>
    <w:p w14:paraId="0C6A8990">
      <w:pPr>
        <w:pStyle w:val="98"/>
        <w:jc w:val="center"/>
        <w:rPr>
          <w:rFonts w:ascii="黑体" w:hAnsi="黑体" w:eastAsia="黑体"/>
          <w:b w:val="0"/>
          <w:bCs w:val="0"/>
          <w:sz w:val="24"/>
          <w:szCs w:val="24"/>
        </w:rPr>
      </w:pPr>
    </w:p>
    <w:p w14:paraId="6F63AF80">
      <w:pPr>
        <w:pStyle w:val="98"/>
        <w:jc w:val="center"/>
        <w:rPr>
          <w:rFonts w:ascii="黑体" w:hAnsi="黑体" w:eastAsia="黑体"/>
          <w:b w:val="0"/>
          <w:bCs w:val="0"/>
          <w:sz w:val="24"/>
          <w:szCs w:val="24"/>
        </w:rPr>
      </w:pPr>
    </w:p>
    <w:p w14:paraId="4518B1F7">
      <w:pPr>
        <w:pStyle w:val="2"/>
        <w:spacing w:before="156" w:after="156"/>
        <w:rPr>
          <w:b w:val="0"/>
          <w:bCs w:val="0"/>
        </w:rPr>
      </w:pPr>
      <w:r>
        <w:rPr>
          <w:rFonts w:hint="eastAsia"/>
          <w:b w:val="0"/>
          <w:bCs w:val="0"/>
        </w:rPr>
        <w:t>一、工作简况</w:t>
      </w:r>
      <w:bookmarkEnd w:id="0"/>
      <w:bookmarkStart w:id="2" w:name="_Toc464728896"/>
    </w:p>
    <w:p w14:paraId="75FBB674">
      <w:pPr>
        <w:pStyle w:val="3"/>
        <w:spacing w:before="156" w:after="156"/>
        <w:rPr>
          <w:b w:val="0"/>
          <w:bCs w:val="0"/>
        </w:rPr>
      </w:pPr>
      <w:r>
        <w:rPr>
          <w:rFonts w:hint="eastAsia"/>
          <w:b w:val="0"/>
          <w:bCs w:val="0"/>
        </w:rPr>
        <w:t>1.立项目的</w:t>
      </w:r>
    </w:p>
    <w:p w14:paraId="0D7E6401">
      <w:pPr>
        <w:pStyle w:val="35"/>
        <w:spacing w:after="0"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铝合金阳极氧化膜及有机聚合物膜用落砂试验机主要用于用于铝表面的阳极氧化膜、阳极氧化电泳涂漆复合膜以及有机聚合物喷涂膜的耐磨性能</w:t>
      </w:r>
      <w:r>
        <w:rPr>
          <w:rFonts w:hint="eastAsia" w:ascii="宋体" w:hAnsi="宋体" w:eastAsia="宋体" w:cs="宋体"/>
          <w:color w:val="auto"/>
          <w:szCs w:val="21"/>
          <w:lang w:val="en-US" w:eastAsia="zh-CN"/>
        </w:rPr>
        <w:t>测试。</w:t>
      </w:r>
      <w:r>
        <w:rPr>
          <w:rFonts w:hint="eastAsia" w:ascii="宋体" w:hAnsi="宋体" w:cs="宋体"/>
          <w:color w:val="auto"/>
          <w:szCs w:val="21"/>
          <w:lang w:val="en-US" w:eastAsia="zh-CN"/>
        </w:rPr>
        <w:t>其</w:t>
      </w:r>
      <w:r>
        <w:rPr>
          <w:rFonts w:hint="eastAsia" w:ascii="宋体" w:hAnsi="宋体" w:eastAsia="宋体" w:cs="宋体"/>
          <w:color w:val="auto"/>
          <w:szCs w:val="21"/>
          <w:lang w:val="en-US" w:eastAsia="zh-CN"/>
        </w:rPr>
        <w:t>工作原理是通过选用规定的磨料，在规定的高度自由下落冲刷试样表面，直至磨穿膜层，以落砂时间和下落磨料质量或体积来评定膜层的耐磨性能。</w:t>
      </w:r>
      <w:r>
        <w:rPr>
          <w:rFonts w:hint="eastAsia" w:ascii="宋体" w:hAnsi="宋体" w:eastAsia="宋体" w:cs="宋体"/>
          <w:color w:val="auto"/>
          <w:szCs w:val="21"/>
        </w:rPr>
        <w:t>为</w:t>
      </w:r>
      <w:r>
        <w:rPr>
          <w:rFonts w:hint="eastAsia" w:ascii="宋体" w:hAnsi="宋体" w:eastAsia="宋体" w:cs="宋体"/>
          <w:color w:val="auto"/>
          <w:szCs w:val="21"/>
          <w:lang w:val="en-US" w:eastAsia="zh-CN"/>
        </w:rPr>
        <w:t>保证测试结果的</w:t>
      </w:r>
      <w:r>
        <w:rPr>
          <w:rFonts w:hint="eastAsia" w:ascii="宋体" w:hAnsi="宋体" w:eastAsia="宋体" w:cs="宋体"/>
          <w:color w:val="auto"/>
          <w:szCs w:val="21"/>
        </w:rPr>
        <w:t>准确可靠，需要对其进行</w:t>
      </w:r>
      <w:r>
        <w:rPr>
          <w:rFonts w:hint="eastAsia" w:ascii="宋体" w:hAnsi="宋体" w:eastAsia="宋体" w:cs="宋体"/>
          <w:color w:val="auto"/>
          <w:szCs w:val="21"/>
          <w:lang w:val="en-US" w:eastAsia="zh-CN"/>
        </w:rPr>
        <w:t>校准</w:t>
      </w:r>
      <w:r>
        <w:rPr>
          <w:rFonts w:hint="eastAsia" w:ascii="宋体" w:hAnsi="宋体" w:eastAsia="宋体" w:cs="宋体"/>
          <w:color w:val="auto"/>
          <w:szCs w:val="21"/>
        </w:rPr>
        <w:t>，保证其量值准确、可靠、有源可溯。</w:t>
      </w:r>
    </w:p>
    <w:p w14:paraId="72EEEBFF">
      <w:pPr>
        <w:pStyle w:val="35"/>
        <w:spacing w:after="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本</w:t>
      </w:r>
      <w:r>
        <w:rPr>
          <w:rFonts w:hint="eastAsia" w:ascii="宋体" w:hAnsi="宋体" w:eastAsia="宋体" w:cs="宋体"/>
          <w:color w:val="auto"/>
          <w:szCs w:val="21"/>
        </w:rPr>
        <w:t>规范</w:t>
      </w:r>
      <w:r>
        <w:rPr>
          <w:rFonts w:hint="eastAsia" w:ascii="宋体" w:hAnsi="宋体" w:eastAsia="宋体" w:cs="宋体"/>
          <w:color w:val="auto"/>
          <w:szCs w:val="21"/>
          <w:lang w:val="en-US" w:eastAsia="zh-CN"/>
        </w:rPr>
        <w:t>重点</w:t>
      </w:r>
      <w:r>
        <w:rPr>
          <w:rFonts w:hint="eastAsia" w:ascii="宋体" w:hAnsi="宋体" w:eastAsia="宋体" w:cs="宋体"/>
          <w:color w:val="auto"/>
          <w:szCs w:val="21"/>
        </w:rPr>
        <w:t>解决</w:t>
      </w:r>
      <w:r>
        <w:rPr>
          <w:rFonts w:hint="eastAsia" w:ascii="宋体" w:hAnsi="宋体" w:eastAsia="宋体" w:cs="宋体"/>
          <w:color w:val="auto"/>
          <w:szCs w:val="21"/>
          <w:lang w:val="en-US" w:eastAsia="zh-CN"/>
        </w:rPr>
        <w:t>了</w:t>
      </w:r>
      <w:r>
        <w:rPr>
          <w:rFonts w:hint="eastAsia" w:ascii="宋体" w:hAnsi="宋体" w:eastAsia="宋体" w:cs="宋体"/>
          <w:color w:val="auto"/>
          <w:szCs w:val="21"/>
        </w:rPr>
        <w:t>铝合金阳极氧化膜及有机聚合物膜用落砂试验机</w:t>
      </w:r>
      <w:r>
        <w:rPr>
          <w:rFonts w:hint="eastAsia" w:ascii="宋体" w:hAnsi="宋体" w:eastAsia="宋体" w:cs="宋体"/>
          <w:color w:val="auto"/>
          <w:szCs w:val="21"/>
          <w:lang w:val="en-US" w:eastAsia="zh-CN"/>
        </w:rPr>
        <w:t>计量特性不明确、校准项目不齐全、</w:t>
      </w:r>
      <w:r>
        <w:rPr>
          <w:rFonts w:hint="eastAsia" w:ascii="宋体" w:hAnsi="宋体" w:eastAsia="宋体" w:cs="宋体"/>
          <w:color w:val="auto"/>
          <w:szCs w:val="21"/>
        </w:rPr>
        <w:t>校准方法不统一等问题，弥补铝合金阳极氧化膜及有机聚合物膜用落砂试验机校准</w:t>
      </w:r>
      <w:r>
        <w:rPr>
          <w:rFonts w:hint="eastAsia" w:ascii="宋体" w:hAnsi="宋体" w:eastAsia="宋体" w:cs="宋体"/>
          <w:color w:val="auto"/>
          <w:szCs w:val="21"/>
          <w:lang w:val="en-US" w:eastAsia="zh-CN"/>
        </w:rPr>
        <w:t>规范</w:t>
      </w:r>
      <w:r>
        <w:rPr>
          <w:rFonts w:hint="eastAsia" w:ascii="宋体" w:hAnsi="宋体" w:eastAsia="宋体" w:cs="宋体"/>
          <w:color w:val="auto"/>
          <w:szCs w:val="21"/>
        </w:rPr>
        <w:t>的空白，</w:t>
      </w:r>
      <w:r>
        <w:rPr>
          <w:rFonts w:hint="eastAsia" w:ascii="宋体" w:hAnsi="宋体" w:eastAsia="宋体" w:cs="宋体"/>
          <w:color w:val="auto"/>
          <w:szCs w:val="21"/>
          <w:lang w:val="en-US" w:eastAsia="zh-CN"/>
        </w:rPr>
        <w:t>进一步提高了</w:t>
      </w:r>
      <w:r>
        <w:rPr>
          <w:rFonts w:hint="eastAsia" w:ascii="宋体" w:hAnsi="宋体" w:eastAsia="宋体" w:cs="宋体"/>
          <w:color w:val="auto"/>
          <w:szCs w:val="21"/>
        </w:rPr>
        <w:t>铝合金阳极氧化膜及有机聚合物膜</w:t>
      </w:r>
      <w:r>
        <w:rPr>
          <w:rFonts w:hint="eastAsia" w:ascii="宋体" w:hAnsi="宋体" w:eastAsia="宋体" w:cs="宋体"/>
          <w:color w:val="auto"/>
          <w:szCs w:val="21"/>
          <w:lang w:val="en-US" w:eastAsia="zh-CN"/>
        </w:rPr>
        <w:t>耐磨性能</w:t>
      </w:r>
      <w:r>
        <w:rPr>
          <w:rFonts w:hint="eastAsia" w:ascii="宋体" w:hAnsi="宋体" w:eastAsia="宋体" w:cs="宋体"/>
          <w:color w:val="auto"/>
          <w:szCs w:val="21"/>
        </w:rPr>
        <w:t>测试结果的准确性。</w:t>
      </w:r>
    </w:p>
    <w:p w14:paraId="33748486">
      <w:pPr>
        <w:pStyle w:val="3"/>
        <w:spacing w:before="156" w:after="156"/>
        <w:rPr>
          <w:b w:val="0"/>
          <w:bCs w:val="0"/>
        </w:rPr>
      </w:pPr>
      <w:r>
        <w:rPr>
          <w:rFonts w:hint="eastAsia"/>
          <w:b w:val="0"/>
          <w:bCs w:val="0"/>
        </w:rPr>
        <w:t>2.任务来源</w:t>
      </w:r>
      <w:bookmarkEnd w:id="2"/>
    </w:p>
    <w:p w14:paraId="36825DE0">
      <w:pPr>
        <w:pStyle w:val="35"/>
        <w:spacing w:after="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根据工业和信息化部《关于印发</w:t>
      </w:r>
      <w:r>
        <w:rPr>
          <w:rFonts w:hint="eastAsia" w:ascii="宋体" w:hAnsi="宋体" w:cs="宋体"/>
          <w:color w:val="auto"/>
          <w:szCs w:val="21"/>
          <w:lang w:val="en-US" w:eastAsia="zh-CN"/>
        </w:rPr>
        <w:t>2024</w:t>
      </w:r>
      <w:r>
        <w:rPr>
          <w:rFonts w:hint="eastAsia" w:ascii="宋体" w:hAnsi="宋体" w:eastAsia="宋体" w:cs="宋体"/>
          <w:color w:val="auto"/>
          <w:szCs w:val="21"/>
        </w:rPr>
        <w:t>年行业计量技术规范制修订计划的通知》（工信厅科函［</w:t>
      </w:r>
      <w:r>
        <w:rPr>
          <w:rFonts w:hint="eastAsia" w:ascii="宋体" w:hAnsi="宋体" w:cs="宋体"/>
          <w:color w:val="auto"/>
          <w:szCs w:val="21"/>
          <w:lang w:val="en-US" w:eastAsia="zh-CN"/>
        </w:rPr>
        <w:t>2024</w:t>
      </w:r>
      <w:r>
        <w:rPr>
          <w:rFonts w:hint="eastAsia" w:ascii="宋体" w:hAnsi="宋体" w:eastAsia="宋体" w:cs="宋体"/>
          <w:color w:val="auto"/>
          <w:szCs w:val="21"/>
        </w:rPr>
        <w:t>］</w:t>
      </w:r>
      <w:r>
        <w:rPr>
          <w:rFonts w:hint="eastAsia" w:ascii="宋体" w:hAnsi="宋体" w:cs="宋体"/>
          <w:color w:val="auto"/>
          <w:szCs w:val="21"/>
          <w:lang w:val="en-US" w:eastAsia="zh-CN"/>
        </w:rPr>
        <w:t>602</w:t>
      </w:r>
      <w:r>
        <w:rPr>
          <w:rFonts w:hint="eastAsia" w:ascii="宋体" w:hAnsi="宋体" w:eastAsia="宋体" w:cs="宋体"/>
          <w:color w:val="auto"/>
          <w:szCs w:val="21"/>
        </w:rPr>
        <w:t>号）文的要求，行业计量技术规范《</w:t>
      </w:r>
      <w:r>
        <w:rPr>
          <w:rFonts w:hint="eastAsia" w:hAnsi="宋体"/>
          <w:b w:val="0"/>
          <w:bCs w:val="0"/>
          <w:szCs w:val="21"/>
        </w:rPr>
        <w:t>铝合金阳极氧化膜及有机聚合物膜用落砂试验机</w:t>
      </w:r>
      <w:r>
        <w:rPr>
          <w:rFonts w:hint="eastAsia" w:ascii="宋体" w:hAnsi="宋体" w:eastAsia="宋体" w:cs="宋体"/>
          <w:color w:val="auto"/>
          <w:szCs w:val="21"/>
        </w:rPr>
        <w:t>校准规范》由广东省</w:t>
      </w:r>
      <w:r>
        <w:rPr>
          <w:rFonts w:hint="eastAsia" w:ascii="宋体" w:hAnsi="宋体" w:eastAsia="宋体" w:cs="宋体"/>
          <w:color w:val="auto"/>
          <w:szCs w:val="21"/>
          <w:lang w:val="en-US" w:eastAsia="zh-CN"/>
        </w:rPr>
        <w:t>科学院</w:t>
      </w:r>
      <w:r>
        <w:rPr>
          <w:rFonts w:hint="eastAsia" w:ascii="宋体" w:hAnsi="宋体" w:eastAsia="宋体" w:cs="宋体"/>
          <w:color w:val="auto"/>
          <w:szCs w:val="21"/>
        </w:rPr>
        <w:t>工业分析检测中心负责起草。该项目计划编号为JJF</w:t>
      </w:r>
      <w:r>
        <w:rPr>
          <w:rFonts w:hint="eastAsia" w:ascii="宋体" w:hAnsi="宋体" w:eastAsia="宋体" w:cs="宋体"/>
          <w:color w:val="auto"/>
          <w:szCs w:val="21"/>
          <w:lang w:val="en-US" w:eastAsia="zh-CN"/>
        </w:rPr>
        <w:t>Z</w:t>
      </w:r>
      <w:r>
        <w:rPr>
          <w:rFonts w:hint="eastAsia" w:ascii="宋体" w:hAnsi="宋体" w:eastAsia="宋体" w:cs="宋体"/>
          <w:color w:val="auto"/>
          <w:szCs w:val="21"/>
        </w:rPr>
        <w:t>（有色金属）0</w:t>
      </w:r>
      <w:r>
        <w:rPr>
          <w:rFonts w:hint="eastAsia" w:ascii="宋体" w:hAnsi="宋体" w:cs="宋体"/>
          <w:color w:val="auto"/>
          <w:szCs w:val="21"/>
          <w:lang w:val="en-US" w:eastAsia="zh-CN"/>
        </w:rPr>
        <w:t>15</w:t>
      </w:r>
      <w:r>
        <w:rPr>
          <w:rFonts w:hint="eastAsia" w:ascii="宋体" w:hAnsi="宋体" w:eastAsia="宋体" w:cs="宋体"/>
          <w:color w:val="auto"/>
          <w:szCs w:val="21"/>
          <w:lang w:val="en-US" w:eastAsia="zh-CN"/>
        </w:rPr>
        <w:t>-</w:t>
      </w:r>
      <w:r>
        <w:rPr>
          <w:rFonts w:hint="eastAsia" w:ascii="宋体" w:hAnsi="宋体" w:eastAsia="宋体" w:cs="宋体"/>
          <w:color w:val="auto"/>
          <w:szCs w:val="21"/>
        </w:rPr>
        <w:t>20</w:t>
      </w:r>
      <w:r>
        <w:rPr>
          <w:rFonts w:hint="eastAsia" w:ascii="宋体" w:hAnsi="宋体" w:cs="宋体"/>
          <w:color w:val="auto"/>
          <w:szCs w:val="21"/>
          <w:lang w:val="en-US" w:eastAsia="zh-CN"/>
        </w:rPr>
        <w:t>24</w:t>
      </w:r>
      <w:r>
        <w:rPr>
          <w:rFonts w:hint="eastAsia" w:ascii="宋体" w:hAnsi="宋体" w:eastAsia="宋体" w:cs="宋体"/>
          <w:color w:val="auto"/>
          <w:szCs w:val="21"/>
        </w:rPr>
        <w:t>。按计划要求，本技术规范应于202</w:t>
      </w:r>
      <w:r>
        <w:rPr>
          <w:rFonts w:hint="eastAsia" w:ascii="宋体" w:hAnsi="宋体" w:cs="宋体"/>
          <w:color w:val="auto"/>
          <w:szCs w:val="21"/>
          <w:lang w:val="en-US" w:eastAsia="zh-CN"/>
        </w:rPr>
        <w:t>5</w:t>
      </w:r>
      <w:r>
        <w:rPr>
          <w:rFonts w:hint="eastAsia" w:ascii="宋体" w:hAnsi="宋体" w:eastAsia="宋体" w:cs="宋体"/>
          <w:color w:val="auto"/>
          <w:szCs w:val="21"/>
        </w:rPr>
        <w:t>年完成。</w:t>
      </w:r>
    </w:p>
    <w:p w14:paraId="7285DE43">
      <w:pPr>
        <w:pStyle w:val="3"/>
        <w:spacing w:before="156" w:after="156"/>
        <w:rPr>
          <w:b w:val="0"/>
          <w:bCs w:val="0"/>
        </w:rPr>
      </w:pPr>
      <w:r>
        <w:rPr>
          <w:rFonts w:hint="eastAsia"/>
          <w:b w:val="0"/>
          <w:bCs w:val="0"/>
        </w:rPr>
        <w:t>3.项目编制组单位简况</w:t>
      </w:r>
    </w:p>
    <w:p w14:paraId="5C80AFEB">
      <w:pPr>
        <w:pStyle w:val="4"/>
        <w:spacing w:before="156" w:after="156"/>
        <w:rPr>
          <w:b w:val="0"/>
          <w:bCs w:val="0"/>
        </w:rPr>
      </w:pPr>
      <w:r>
        <w:rPr>
          <w:rFonts w:hint="eastAsia"/>
          <w:b w:val="0"/>
          <w:bCs w:val="0"/>
        </w:rPr>
        <w:t>3.1</w:t>
      </w:r>
      <w:r>
        <w:rPr>
          <w:rFonts w:hint="eastAsia"/>
          <w:b w:val="0"/>
          <w:bCs w:val="0"/>
          <w:lang w:val="en-US" w:eastAsia="zh-CN"/>
        </w:rPr>
        <w:t xml:space="preserve"> </w:t>
      </w:r>
      <w:r>
        <w:rPr>
          <w:rFonts w:hint="eastAsia"/>
          <w:b w:val="0"/>
          <w:bCs w:val="0"/>
        </w:rPr>
        <w:t>编制组成员单位</w:t>
      </w:r>
    </w:p>
    <w:p w14:paraId="40014D57">
      <w:pPr>
        <w:widowControl/>
        <w:autoSpaceDE w:val="0"/>
        <w:autoSpaceDN w:val="0"/>
        <w:spacing w:line="360" w:lineRule="auto"/>
        <w:ind w:firstLine="420" w:firstLineChars="200"/>
        <w:rPr>
          <w:rFonts w:hint="eastAsia" w:eastAsia="宋体"/>
          <w:b w:val="0"/>
          <w:bCs w:val="0"/>
          <w:szCs w:val="21"/>
          <w:lang w:val="en-US" w:eastAsia="zh-CN"/>
        </w:rPr>
      </w:pPr>
      <w:bookmarkStart w:id="3" w:name="_Toc464728900"/>
      <w:bookmarkStart w:id="4" w:name="_Toc462884344"/>
      <w:r>
        <w:rPr>
          <w:rFonts w:hint="eastAsia"/>
          <w:b w:val="0"/>
          <w:bCs w:val="0"/>
          <w:szCs w:val="21"/>
        </w:rPr>
        <w:t>本规范的编制组单位为：广东省科学院工业分析检测中心、有色金属技术经济研究院有限责任公司、天津艾隆科技开发有限公司、广州计量检测技术研究院、广船国际有限公司、西安汉唐分析检测有限公司、东北轻合金有限责任公司、西南铝业(集团)有限责任公司、国标(北京)检验认证有限公司、广东坚美铝型材厂(集团)有限公司、广东广铝铝型材有限公司</w:t>
      </w:r>
      <w:r>
        <w:rPr>
          <w:rFonts w:hint="eastAsia"/>
          <w:b w:val="0"/>
          <w:bCs w:val="0"/>
          <w:szCs w:val="21"/>
          <w:lang w:eastAsia="zh-CN"/>
        </w:rPr>
        <w:t>、</w:t>
      </w:r>
      <w:r>
        <w:rPr>
          <w:rFonts w:hint="eastAsia"/>
          <w:b w:val="0"/>
          <w:bCs w:val="0"/>
          <w:szCs w:val="21"/>
          <w:lang w:val="en-US" w:eastAsia="zh-CN"/>
        </w:rPr>
        <w:t>广东伟业铝厂集团有限公司</w:t>
      </w:r>
      <w:r>
        <w:rPr>
          <w:rFonts w:hint="eastAsia"/>
          <w:b w:val="0"/>
          <w:bCs w:val="0"/>
          <w:szCs w:val="21"/>
          <w:lang w:eastAsia="zh-CN"/>
        </w:rPr>
        <w:t>。</w:t>
      </w:r>
    </w:p>
    <w:p w14:paraId="7D4F1A94">
      <w:pPr>
        <w:pStyle w:val="4"/>
        <w:spacing w:before="156" w:after="156"/>
        <w:rPr>
          <w:b w:val="0"/>
          <w:bCs w:val="0"/>
        </w:rPr>
      </w:pPr>
      <w:r>
        <w:rPr>
          <w:rFonts w:hint="eastAsia"/>
          <w:b w:val="0"/>
          <w:bCs w:val="0"/>
        </w:rPr>
        <w:t>3.2 主编单位简介</w:t>
      </w:r>
    </w:p>
    <w:bookmarkEnd w:id="3"/>
    <w:bookmarkEnd w:id="4"/>
    <w:p w14:paraId="094F7A36">
      <w:pPr>
        <w:spacing w:line="360" w:lineRule="auto"/>
        <w:ind w:firstLine="420" w:firstLineChars="200"/>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广东省科学院工业分析检测中心始建于 1971 年，是独立法人事业单位。先后隶属于广州有色金属研究院、广东省工业技术研究院，2015 年 12 月成为广东省科学院属下单位。中心现有员工 160 多人，副高以上职称人数占比超 30%，组建了专业化队伍。是国家市场监督管理总局批准的资质认定实验室（CMA）、中国合格评定国家认可委员会批准的检测和校准实验室（CNAS）。运营管理着多个中心和站点，如中国有色金属工业华南产品质量监督检验中心等。中心主要从事矿产资源、金属材料、化工产品等的检验检测、分析评价和计量校准等服务，业务覆盖航空航天、轨道交通、新能源等重要领域。同时开展软件测评、标准制修订等工作，致力于成为集多种服务为一体的综合性机构，为社会经济发展提供有力支撑。</w:t>
      </w:r>
    </w:p>
    <w:p w14:paraId="1BFEC3A0">
      <w:pPr>
        <w:spacing w:line="360" w:lineRule="auto"/>
        <w:ind w:firstLine="420" w:firstLineChars="200"/>
        <w:rPr>
          <w:rFonts w:hint="eastAsia"/>
          <w:b w:val="0"/>
          <w:bCs w:val="0"/>
          <w:szCs w:val="21"/>
        </w:rPr>
      </w:pPr>
      <w:r>
        <w:rPr>
          <w:rFonts w:hint="eastAsia"/>
          <w:b w:val="0"/>
          <w:bCs w:val="0"/>
          <w:szCs w:val="21"/>
          <w:lang w:val="en-US" w:eastAsia="zh-CN"/>
        </w:rPr>
        <w:t>该</w:t>
      </w:r>
      <w:r>
        <w:rPr>
          <w:rFonts w:hint="eastAsia"/>
          <w:b w:val="0"/>
          <w:bCs w:val="0"/>
          <w:szCs w:val="21"/>
        </w:rPr>
        <w:t>单位</w:t>
      </w:r>
      <w:r>
        <w:rPr>
          <w:rFonts w:hint="eastAsia"/>
          <w:b w:val="0"/>
          <w:bCs w:val="0"/>
          <w:szCs w:val="21"/>
          <w:lang w:val="en-US" w:eastAsia="zh-CN"/>
        </w:rPr>
        <w:t>主要负责本规范的起草工作</w:t>
      </w:r>
      <w:r>
        <w:rPr>
          <w:rFonts w:hint="eastAsia"/>
          <w:b w:val="0"/>
          <w:bCs w:val="0"/>
          <w:szCs w:val="21"/>
          <w:lang w:eastAsia="zh-CN"/>
        </w:rPr>
        <w:t>，</w:t>
      </w:r>
      <w:r>
        <w:rPr>
          <w:rFonts w:hint="eastAsia"/>
          <w:b w:val="0"/>
          <w:bCs w:val="0"/>
          <w:szCs w:val="21"/>
          <w:lang w:val="en-US" w:eastAsia="zh-CN"/>
        </w:rPr>
        <w:t>成立编制组并根据委员会的工作安排组织编制组成员单位开展相关校准工作</w:t>
      </w:r>
      <w:r>
        <w:rPr>
          <w:rFonts w:hint="eastAsia"/>
          <w:b w:val="0"/>
          <w:bCs w:val="0"/>
          <w:szCs w:val="21"/>
        </w:rPr>
        <w:t>，组织</w:t>
      </w:r>
      <w:r>
        <w:rPr>
          <w:rFonts w:hint="eastAsia"/>
          <w:b w:val="0"/>
          <w:bCs w:val="0"/>
          <w:szCs w:val="21"/>
          <w:lang w:val="en-US" w:eastAsia="zh-CN"/>
        </w:rPr>
        <w:t>各</w:t>
      </w:r>
      <w:r>
        <w:rPr>
          <w:rFonts w:hint="eastAsia"/>
          <w:b w:val="0"/>
          <w:bCs w:val="0"/>
          <w:szCs w:val="21"/>
        </w:rPr>
        <w:t>单位对规范的《征求意见稿》</w:t>
      </w:r>
      <w:r>
        <w:rPr>
          <w:rFonts w:hint="eastAsia"/>
          <w:b w:val="0"/>
          <w:bCs w:val="0"/>
          <w:szCs w:val="21"/>
          <w:lang w:eastAsia="zh-CN"/>
        </w:rPr>
        <w:t>、《</w:t>
      </w:r>
      <w:r>
        <w:rPr>
          <w:rFonts w:hint="eastAsia"/>
          <w:b w:val="0"/>
          <w:bCs w:val="0"/>
          <w:szCs w:val="21"/>
          <w:lang w:val="en-US" w:eastAsia="zh-CN"/>
        </w:rPr>
        <w:t>预审稿</w:t>
      </w:r>
      <w:r>
        <w:rPr>
          <w:rFonts w:hint="eastAsia"/>
          <w:b w:val="0"/>
          <w:bCs w:val="0"/>
          <w:szCs w:val="21"/>
          <w:lang w:eastAsia="zh-CN"/>
        </w:rPr>
        <w:t>》</w:t>
      </w:r>
      <w:r>
        <w:rPr>
          <w:rFonts w:hint="eastAsia"/>
          <w:b w:val="0"/>
          <w:bCs w:val="0"/>
          <w:szCs w:val="21"/>
          <w:lang w:val="en-US" w:eastAsia="zh-CN"/>
        </w:rPr>
        <w:t>及《送审稿》</w:t>
      </w:r>
      <w:r>
        <w:rPr>
          <w:rFonts w:hint="eastAsia"/>
          <w:b w:val="0"/>
          <w:bCs w:val="0"/>
          <w:szCs w:val="21"/>
        </w:rPr>
        <w:t>进行认真的讨论，</w:t>
      </w:r>
      <w:r>
        <w:rPr>
          <w:rFonts w:hint="eastAsia"/>
          <w:b w:val="0"/>
          <w:bCs w:val="0"/>
          <w:szCs w:val="21"/>
          <w:lang w:val="en-US" w:eastAsia="zh-CN"/>
        </w:rPr>
        <w:t>并就</w:t>
      </w:r>
      <w:r>
        <w:rPr>
          <w:rFonts w:hint="eastAsia"/>
          <w:b w:val="0"/>
          <w:bCs w:val="0"/>
          <w:szCs w:val="21"/>
        </w:rPr>
        <w:t>提出的意见和建议</w:t>
      </w:r>
      <w:r>
        <w:rPr>
          <w:rFonts w:hint="eastAsia"/>
          <w:b w:val="0"/>
          <w:bCs w:val="0"/>
          <w:szCs w:val="21"/>
          <w:lang w:val="en-US" w:eastAsia="zh-CN"/>
        </w:rPr>
        <w:t>进行反馈和修改</w:t>
      </w:r>
      <w:r>
        <w:rPr>
          <w:rFonts w:hint="eastAsia"/>
          <w:b w:val="0"/>
          <w:bCs w:val="0"/>
          <w:szCs w:val="21"/>
        </w:rPr>
        <w:t>，在编制组中发挥</w:t>
      </w:r>
      <w:r>
        <w:rPr>
          <w:rFonts w:hint="eastAsia"/>
          <w:b w:val="0"/>
          <w:bCs w:val="0"/>
          <w:szCs w:val="21"/>
          <w:lang w:val="en-US" w:eastAsia="zh-CN"/>
        </w:rPr>
        <w:t>主要带头</w:t>
      </w:r>
      <w:r>
        <w:rPr>
          <w:rFonts w:hint="eastAsia"/>
          <w:b w:val="0"/>
          <w:bCs w:val="0"/>
          <w:szCs w:val="21"/>
        </w:rPr>
        <w:t>作用。</w:t>
      </w:r>
    </w:p>
    <w:p w14:paraId="6220CB61">
      <w:pPr>
        <w:pStyle w:val="60"/>
        <w:numPr>
          <w:ilvl w:val="0"/>
          <w:numId w:val="0"/>
        </w:numPr>
        <w:spacing w:before="156" w:beforeLines="50" w:after="156" w:afterLines="50"/>
        <w:rPr>
          <w:b w:val="0"/>
          <w:bCs w:val="0"/>
          <w:color w:val="auto"/>
        </w:rPr>
      </w:pPr>
      <w:bookmarkStart w:id="5" w:name="_Toc464728901"/>
      <w:bookmarkStart w:id="6" w:name="_Toc462884345"/>
      <w:r>
        <w:rPr>
          <w:rFonts w:hint="eastAsia"/>
          <w:b w:val="0"/>
          <w:bCs w:val="0"/>
          <w:color w:val="auto"/>
        </w:rPr>
        <w:t>3.3</w:t>
      </w:r>
      <w:r>
        <w:rPr>
          <w:rFonts w:hint="eastAsia"/>
          <w:b w:val="0"/>
          <w:bCs w:val="0"/>
          <w:color w:val="auto"/>
          <w:lang w:val="en-US" w:eastAsia="zh-CN"/>
        </w:rPr>
        <w:t xml:space="preserve"> </w:t>
      </w:r>
      <w:r>
        <w:rPr>
          <w:rFonts w:hint="eastAsia"/>
          <w:b w:val="0"/>
          <w:bCs w:val="0"/>
          <w:color w:val="auto"/>
        </w:rPr>
        <w:t>成员单位简介</w:t>
      </w:r>
      <w:bookmarkEnd w:id="5"/>
      <w:bookmarkEnd w:id="6"/>
    </w:p>
    <w:p w14:paraId="13CD49DB">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3.3.1</w:t>
      </w:r>
      <w:r>
        <w:rPr>
          <w:rFonts w:hint="eastAsia" w:ascii="Times New Roman"/>
          <w:b w:val="0"/>
          <w:bCs w:val="0"/>
        </w:rPr>
        <w:t xml:space="preserve">  </w:t>
      </w:r>
      <w:r>
        <w:rPr>
          <w:rFonts w:hint="eastAsia"/>
          <w:b w:val="0"/>
          <w:bCs w:val="0"/>
          <w:szCs w:val="21"/>
          <w:lang w:val="en-US" w:eastAsia="zh-CN"/>
        </w:rPr>
        <w:t>有色金属技术经济研究院有限责任公司</w:t>
      </w:r>
    </w:p>
    <w:p w14:paraId="7929ED75">
      <w:pPr>
        <w:spacing w:line="360" w:lineRule="auto"/>
        <w:ind w:firstLine="420" w:firstLineChars="200"/>
        <w:contextualSpacing/>
        <w:jc w:val="both"/>
        <w:rPr>
          <w:rFonts w:hint="default" w:asciiTheme="minorEastAsia" w:hAnsiTheme="minorEastAsia" w:eastAsiaTheme="minorEastAsia" w:cstheme="minorEastAsia"/>
          <w:szCs w:val="21"/>
        </w:rPr>
      </w:pPr>
      <w:r>
        <w:rPr>
          <w:rFonts w:hint="default" w:asciiTheme="minorEastAsia" w:hAnsiTheme="minorEastAsia" w:eastAsiaTheme="minorEastAsia" w:cstheme="minorEastAsia"/>
          <w:szCs w:val="21"/>
          <w:lang w:val="en-US" w:eastAsia="zh-CN"/>
        </w:rPr>
        <w:t>有色金属技术经济研究院有限责任公司成立于 1983 年，前身为 “中国有色金属总公司技术经济研究中心”，是中央所属 242 家转制科研院所之一，现隶属于中国有色金属工业协会。作为国家和北京市高新技术企业，拥有博士后科研工作站。公司主要从事有色金属行业的产业发展战略研究与规划、市场信息服务与咨询、标准质量研究与专利查新等业务，是 “中国有色金属工业信息中心” 和 “中国有色金属工业标准计量质量研究所”。旗下有北京安泰科信息股份有限公司等多个机构，在信息咨询、贸易投资等领域实力雄厚。公司承担着多个分会秘书处工作，在行业内具有重要影响力，为政府、企业等提供了全方位的服务，推动着有色金属行业的发展。</w:t>
      </w:r>
    </w:p>
    <w:p w14:paraId="0E19BB5F">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2</w:t>
      </w:r>
      <w:r>
        <w:rPr>
          <w:rFonts w:hint="eastAsia" w:ascii="Times New Roman"/>
          <w:b w:val="0"/>
          <w:bCs w:val="0"/>
        </w:rPr>
        <w:t xml:space="preserve">  </w:t>
      </w:r>
      <w:r>
        <w:rPr>
          <w:rFonts w:hint="eastAsia"/>
          <w:b w:val="0"/>
          <w:bCs w:val="0"/>
          <w:szCs w:val="21"/>
        </w:rPr>
        <w:t>天津艾隆科技开发有限公司</w:t>
      </w:r>
    </w:p>
    <w:p w14:paraId="1B49FB84">
      <w:pPr>
        <w:spacing w:line="360" w:lineRule="auto"/>
        <w:ind w:firstLine="420" w:firstLineChars="200"/>
        <w:contextualSpacing/>
        <w:jc w:val="both"/>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天津艾隆科技开发有限公司是我国铝合金建筑型材用丙烯酸电泳涂料的主要供货厂家之一，成立于2003年，是在天津滨海经济开发区注册的一家拥有高新技术及人才的独资企业，主要生产、销售铝型材专用阳极电泳涂料。公司现在拥有外籍专家4名，高级工程师6名，工程师及技术人员12名。用于涂料的生产、分析及检测的原装进口或国产生产设备、检测仪器共23台套。以综合的技术实力为各地的铝型材厂提供品质技术支持和服务。</w:t>
      </w:r>
    </w:p>
    <w:p w14:paraId="18374AD4">
      <w:pPr>
        <w:pStyle w:val="59"/>
        <w:numPr>
          <w:ilvl w:val="0"/>
          <w:numId w:val="0"/>
        </w:numPr>
        <w:spacing w:before="156" w:beforeLines="50" w:after="156" w:afterLines="50"/>
        <w:contextualSpacing/>
        <w:rPr>
          <w:rFonts w:hint="eastAsia"/>
          <w:b w:val="0"/>
          <w:bCs w:val="0"/>
          <w:lang w:val="en-US" w:eastAsia="zh-CN"/>
        </w:rPr>
      </w:pPr>
      <w:r>
        <w:rPr>
          <w:rFonts w:hint="eastAsia"/>
          <w:b w:val="0"/>
          <w:bCs w:val="0"/>
          <w:lang w:val="en-US" w:eastAsia="zh-CN"/>
        </w:rPr>
        <w:t xml:space="preserve">3.3.3  </w:t>
      </w:r>
      <w:r>
        <w:rPr>
          <w:rFonts w:hint="eastAsia"/>
          <w:b w:val="0"/>
          <w:bCs w:val="0"/>
          <w:szCs w:val="21"/>
        </w:rPr>
        <w:t>广州计量检测技术研究院</w:t>
      </w:r>
    </w:p>
    <w:p w14:paraId="25EF93CC">
      <w:pPr>
        <w:spacing w:line="360" w:lineRule="auto"/>
        <w:ind w:firstLine="420" w:firstLineChars="200"/>
        <w:contextualSpacing/>
        <w:jc w:val="both"/>
        <w:rPr>
          <w:rFonts w:hint="eastAsia"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广州计量检测技术研究院始建于 1936 年，重组于 1950 年，是广州地区由政府授权的公益性、综合性国家法定计量检定机构。其承担着多项重要职能，包括研究、建立、保存广州市最高社会公用计量标准，承担量值传递任务，开展强制检定、进口计量器具检定等工作，还承担产品质量监督检验、仲裁检验等任务。经批准，广东省与广州市眼镜产品质量监督检验站、广州市计量器具产品质量监督检验站也挂靠在此。该院目前已建立社会公用计量标准 500 余项，通过 CNAS 认可的校准和检测项目 1500 余项，获得资质认定近 300 项，拥有国家有证标准物质 80 余项。同时建有多个公共科技服务平台，每年为近 2 万家客户提供各类计量检测服务，为地方经济建设和社会发展发挥着重要的技术支撑和基础保障作用。</w:t>
      </w:r>
    </w:p>
    <w:p w14:paraId="3341A82E">
      <w:pPr>
        <w:pStyle w:val="59"/>
        <w:numPr>
          <w:ilvl w:val="0"/>
          <w:numId w:val="0"/>
        </w:numPr>
        <w:spacing w:before="156" w:beforeLines="50" w:after="156" w:afterLines="50"/>
        <w:contextualSpacing/>
        <w:rPr>
          <w:rFonts w:hint="default"/>
          <w:b w:val="0"/>
          <w:bCs w:val="0"/>
          <w:lang w:val="en-US" w:eastAsia="zh-CN"/>
        </w:rPr>
      </w:pPr>
      <w:r>
        <w:rPr>
          <w:rFonts w:hint="eastAsia"/>
          <w:b w:val="0"/>
          <w:bCs w:val="0"/>
          <w:lang w:val="en-US" w:eastAsia="zh-CN"/>
        </w:rPr>
        <w:t xml:space="preserve">3.3.4  </w:t>
      </w:r>
      <w:r>
        <w:rPr>
          <w:rFonts w:hint="eastAsia"/>
          <w:b w:val="0"/>
          <w:bCs w:val="0"/>
          <w:szCs w:val="21"/>
        </w:rPr>
        <w:t>广船国际有限公司</w:t>
      </w:r>
    </w:p>
    <w:p w14:paraId="4E08C76B">
      <w:pPr>
        <w:spacing w:line="360" w:lineRule="auto"/>
        <w:ind w:firstLine="420" w:firstLineChars="200"/>
        <w:contextualSpacing/>
        <w:jc w:val="both"/>
        <w:rPr>
          <w:rFonts w:hint="default" w:asciiTheme="minorEastAsia" w:hAnsiTheme="minorEastAsia" w:eastAsiaTheme="minorEastAsia" w:cstheme="minorEastAsia"/>
          <w:szCs w:val="21"/>
          <w:lang w:val="en-US" w:eastAsia="zh-CN"/>
        </w:rPr>
      </w:pPr>
      <w:bookmarkStart w:id="7" w:name="_Toc464728903"/>
      <w:bookmarkStart w:id="8" w:name="_Toc462884347"/>
      <w:r>
        <w:rPr>
          <w:rFonts w:hint="eastAsia" w:asciiTheme="minorEastAsia" w:hAnsiTheme="minorEastAsia" w:eastAsiaTheme="minorEastAsia" w:cstheme="minorEastAsia"/>
          <w:szCs w:val="21"/>
          <w:lang w:val="en-US" w:eastAsia="zh-CN"/>
        </w:rPr>
        <w:t>广船国际有限公司是中国船舶集团有限公司属下华南地区最大的综合舰船造修企业。公司历史可追溯到 1914 年的 “广南船坞”，1954 年建厂，1993 年上市，是中国首家造船上市公司。公司地处粤港澳大湾区几何中心的广州市南沙区，占地 309 万平方米，码头岸线资源丰富，造船和修船设施先进，年造船能力达 350 万载重吨，年承修能力达 300 余艘。作为国家高新技术企业，拥有国家认定的企业技术中心。业务以造船为核心，产品涵盖各类液货船、客滚船、汽车运输船、半潜船、极地船等，在多个细分市场处于世界领先水平，如豪华客滚船交付纪录和在手订单世界第一、汽车运输船在手订单世界第一等。公司坚持 “做强造船、放活非船” 的经营宗旨，致力于成为 “全球海洋装备与科技应用产业技术领先、服务卓越的一流船舶企业”。</w:t>
      </w:r>
    </w:p>
    <w:p w14:paraId="3FA0DEF3">
      <w:pPr>
        <w:pStyle w:val="59"/>
        <w:numPr>
          <w:ilvl w:val="0"/>
          <w:numId w:val="0"/>
        </w:numPr>
        <w:spacing w:before="156" w:beforeLines="50" w:after="156" w:afterLines="50"/>
        <w:contextualSpacing/>
        <w:rPr>
          <w:rFonts w:hint="eastAsia"/>
          <w:b w:val="0"/>
          <w:bCs w:val="0"/>
          <w:lang w:val="en-US" w:eastAsia="zh-CN"/>
        </w:rPr>
      </w:pPr>
      <w:r>
        <w:rPr>
          <w:rFonts w:hint="eastAsia"/>
          <w:b w:val="0"/>
          <w:bCs w:val="0"/>
          <w:lang w:val="en-US" w:eastAsia="zh-CN"/>
        </w:rPr>
        <w:t xml:space="preserve">3.3.5  </w:t>
      </w:r>
      <w:r>
        <w:rPr>
          <w:rFonts w:hint="eastAsia"/>
          <w:b w:val="0"/>
          <w:bCs w:val="0"/>
          <w:szCs w:val="21"/>
        </w:rPr>
        <w:t>西安汉唐分析检测有限公司</w:t>
      </w:r>
    </w:p>
    <w:p w14:paraId="2A10032B">
      <w:pPr>
        <w:spacing w:line="360" w:lineRule="auto"/>
        <w:ind w:firstLine="420" w:firstLineChars="200"/>
        <w:contextualSpacing/>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西安汉唐分析检测有限公司成立于2018年8月，是由西北有色金属研究院（集团）整合其分析检测资源组建的具有独立法律地位的检验检测机构。公司实验室可追溯于1965年，是我国较早开展有色金属材料分析检验检测与评价研究的专业机构之一。公司先后通过国家认证认可监督委员会(CMA)、中国合格评定国家认可委员会(CNAS)和国防科技工业实验室认可委员会(DILAC)认证，是国家工信部授权的“工业（稀有金属）产品质量控制和技术评价实验室”，也是陕西省科技厅授权的“陕西省有色金属分析检测与评价中心”、“核工业用金属材料检测与评价服务平台”、“稀有金属检测信息化管理及共享平台”、“陕西省稀有金属材料安全评估与失效分析平台”。</w:t>
      </w:r>
    </w:p>
    <w:p w14:paraId="4D1FB6C0">
      <w:pPr>
        <w:pStyle w:val="59"/>
        <w:numPr>
          <w:ilvl w:val="0"/>
          <w:numId w:val="0"/>
        </w:numPr>
        <w:spacing w:before="156" w:beforeLines="50" w:after="156" w:afterLines="50"/>
        <w:contextualSpacing/>
        <w:rPr>
          <w:rFonts w:hint="eastAsia"/>
          <w:b w:val="0"/>
          <w:bCs w:val="0"/>
          <w:lang w:val="en-US" w:eastAsia="zh-CN"/>
        </w:rPr>
      </w:pPr>
      <w:r>
        <w:rPr>
          <w:rFonts w:hint="eastAsia"/>
          <w:b w:val="0"/>
          <w:bCs w:val="0"/>
          <w:lang w:val="en-US" w:eastAsia="zh-CN"/>
        </w:rPr>
        <w:t xml:space="preserve">3.3.6  </w:t>
      </w:r>
      <w:r>
        <w:rPr>
          <w:rFonts w:hint="eastAsia"/>
          <w:b w:val="0"/>
          <w:bCs w:val="0"/>
          <w:szCs w:val="21"/>
        </w:rPr>
        <w:t>东北轻合金有限责任公司</w:t>
      </w:r>
    </w:p>
    <w:p w14:paraId="54C22C52">
      <w:pPr>
        <w:spacing w:line="360" w:lineRule="auto"/>
        <w:ind w:firstLine="420" w:firstLineChars="200"/>
        <w:contextualSpacing/>
        <w:jc w:val="both"/>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东北轻合金有限责任公司，前身为东北轻合金加工厂，是国家 “一五” 期间 156 项重点工程中的 2 项，1956 年正式投产，1998 年改制为国有独资有限责任公司。公司主要生产铝、镁及其合金板、带、箔、管、棒、型、线、粉材、锻件和深加工制品等，共有 18 大类、307 种合金、5771 个品种、23071 个规格。其产品广泛应用于航空、航天、原子能、电子、轻工等国民经济各个领域，在高新材料和国防军工领域每年承担着 60% 以上国防、军工等重点轻合金材料的生产和研发任务。公司是唯一一家主持一项和参与一项国家 “863” 计划的铝加工企业，拥有 “天鹅” 牌铝材等知名品牌，部分产品出口到欧美、日本、韩国等 24 个国家和地区。此外，公司通过了 ISO9002 国际质量体系认证，先后有 58 项产品 191 次获省级以上优质产品证书，还获得了 “第四批国家工业遗产” 等荣誉。</w:t>
      </w:r>
    </w:p>
    <w:p w14:paraId="307D399D">
      <w:pPr>
        <w:pStyle w:val="59"/>
        <w:numPr>
          <w:ilvl w:val="0"/>
          <w:numId w:val="0"/>
        </w:numPr>
        <w:spacing w:before="156" w:beforeLines="50" w:after="156" w:afterLines="50"/>
        <w:contextualSpacing/>
        <w:rPr>
          <w:rFonts w:hint="eastAsia"/>
          <w:b w:val="0"/>
          <w:bCs w:val="0"/>
          <w:lang w:val="en-US" w:eastAsia="zh-CN"/>
        </w:rPr>
      </w:pPr>
      <w:r>
        <w:rPr>
          <w:rFonts w:hint="eastAsia"/>
          <w:b w:val="0"/>
          <w:bCs w:val="0"/>
          <w:lang w:val="en-US" w:eastAsia="zh-CN"/>
        </w:rPr>
        <w:t>3.3.7  西南铝业（集团）有限责任公司</w:t>
      </w:r>
    </w:p>
    <w:p w14:paraId="70E3709E">
      <w:pPr>
        <w:spacing w:line="360" w:lineRule="auto"/>
        <w:ind w:firstLine="420" w:firstLineChars="200"/>
        <w:contextualSpacing/>
        <w:jc w:val="left"/>
        <w:rPr>
          <w:rFonts w:hint="eastAsia"/>
          <w:lang w:val="en-US" w:eastAsia="zh-CN"/>
        </w:rPr>
      </w:pPr>
      <w:r>
        <w:rPr>
          <w:rFonts w:hint="eastAsia" w:asciiTheme="minorEastAsia" w:hAnsiTheme="minorEastAsia" w:eastAsiaTheme="minorEastAsia" w:cstheme="minorEastAsia"/>
          <w:szCs w:val="21"/>
          <w:lang w:val="en-US" w:eastAsia="zh-CN"/>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经过50多年的建设发展,西南铝已成为我国综合实力最强的特大型铝加工企业之一,是我国航空航天和重点项目材料研发保障、高精尖铝材研发生产和出口的“核心基地”。现隶属于中国铝业集团有限公司。西南铝培养了中国工程院院士1人、两江学者1人、国家级技能大师1人、享受国务院政府特殊津贴专家30余人，建有院士工作站，拥有国家级企业技术中心，技术研发实力国内领先。率先开发出以地铁车辆用铝型材、易拉罐用铝板材、印刷用铝版基等为代表的大量高品质新型铝合金材料以及全铝家居系列产品，“西南铝”驰名商标已成为具有国际影响力的中国铝加工品牌。</w:t>
      </w:r>
    </w:p>
    <w:p w14:paraId="2F157D96">
      <w:pPr>
        <w:pStyle w:val="59"/>
        <w:numPr>
          <w:ilvl w:val="0"/>
          <w:numId w:val="0"/>
        </w:numPr>
        <w:spacing w:before="156" w:beforeLines="50" w:after="156" w:afterLines="50"/>
        <w:contextualSpacing/>
        <w:rPr>
          <w:rFonts w:hint="eastAsia"/>
          <w:b w:val="0"/>
          <w:bCs w:val="0"/>
          <w:lang w:val="en-US" w:eastAsia="zh-CN"/>
        </w:rPr>
      </w:pPr>
      <w:r>
        <w:rPr>
          <w:rFonts w:hint="eastAsia"/>
          <w:b w:val="0"/>
          <w:bCs w:val="0"/>
          <w:lang w:val="en-US" w:eastAsia="zh-CN"/>
        </w:rPr>
        <w:t xml:space="preserve">3.3.8  </w:t>
      </w:r>
      <w:r>
        <w:rPr>
          <w:rFonts w:hint="eastAsia"/>
          <w:b w:val="0"/>
          <w:bCs w:val="0"/>
          <w:szCs w:val="21"/>
        </w:rPr>
        <w:t>国标(北京)检验认证有限公司</w:t>
      </w:r>
    </w:p>
    <w:p w14:paraId="245084A7">
      <w:pPr>
        <w:spacing w:line="360" w:lineRule="auto"/>
        <w:ind w:firstLine="420" w:firstLineChars="200"/>
        <w:contextualSpacing/>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国标（北京）检验认证有限公司是我国有色行业的材料研究和材料检测的权威机构。该公司运行着国家有色金属质量监督检验中心，于1985年开始筹建并承担检验任务。1990年通过国家技术质量监督检验检疫总局的审查认可，2001年通过实验室“三合一”认可。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14:paraId="5160DBA8">
      <w:pPr>
        <w:pStyle w:val="59"/>
        <w:numPr>
          <w:ilvl w:val="0"/>
          <w:numId w:val="0"/>
        </w:numPr>
        <w:spacing w:before="156" w:beforeLines="50" w:after="156" w:afterLines="50"/>
        <w:contextualSpacing/>
        <w:rPr>
          <w:rFonts w:hint="eastAsia"/>
          <w:b w:val="0"/>
          <w:bCs w:val="0"/>
          <w:lang w:val="en-US" w:eastAsia="zh-CN"/>
        </w:rPr>
      </w:pPr>
      <w:r>
        <w:rPr>
          <w:rFonts w:hint="eastAsia"/>
          <w:b w:val="0"/>
          <w:bCs w:val="0"/>
          <w:lang w:val="en-US" w:eastAsia="zh-CN"/>
        </w:rPr>
        <w:t>3.3.9  广东坚美铝型材厂(集团)有限公司</w:t>
      </w:r>
    </w:p>
    <w:p w14:paraId="0BF0BD07">
      <w:pPr>
        <w:spacing w:line="360" w:lineRule="auto"/>
        <w:ind w:firstLine="420" w:firstLineChars="200"/>
        <w:contextualSpacing/>
        <w:jc w:val="left"/>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广东坚美铝型材厂（集团）有限公司成立于 1993 年，位于广东省佛山市南海区。是一家集铝合金建筑型材、工业材和铝合金门窗幕墙研究、设计、生产和销售于一体的行业龙头企业，年生产能力 60 万吨以上。公司拥有 4000 多名员工，其中高中级专业人员 200 多人。生产基地面积达 1200 亩，引进瑞士、加拿大、日本等国的先进质量检测设备及多条国际先进生产线。建立了国家企业技术中心、博士后科研工作站、国家认可实验室等研发创新平台。参与国家 “十一五” 至 “十四五” 科技支撑计划重点项目，制定国际、国家和行业标准 200 多项，拥有各类专利 1000 多件。凭借质量、品牌、创新和服务优势，产品覆盖全国 30 多个省市，远销全球 70 多个国家和地区，应用于人民大会堂、中央电视台新台址等众多国内外著名重点工程和标志性建筑。</w:t>
      </w:r>
    </w:p>
    <w:p w14:paraId="50E6547D">
      <w:pPr>
        <w:pStyle w:val="59"/>
        <w:numPr>
          <w:ilvl w:val="0"/>
          <w:numId w:val="0"/>
        </w:numPr>
        <w:spacing w:before="156" w:beforeLines="50" w:after="156" w:afterLines="50"/>
        <w:contextualSpacing/>
        <w:rPr>
          <w:rFonts w:hint="eastAsia"/>
          <w:b w:val="0"/>
          <w:bCs w:val="0"/>
          <w:lang w:val="en-US" w:eastAsia="zh-CN"/>
        </w:rPr>
      </w:pPr>
      <w:r>
        <w:rPr>
          <w:rFonts w:hint="eastAsia"/>
          <w:b w:val="0"/>
          <w:bCs w:val="0"/>
          <w:lang w:val="en-US" w:eastAsia="zh-CN"/>
        </w:rPr>
        <w:t>3.3.10  广东广铝铝型材有限公司</w:t>
      </w:r>
    </w:p>
    <w:p w14:paraId="20F49A59">
      <w:pPr>
        <w:spacing w:line="360" w:lineRule="auto"/>
        <w:ind w:firstLine="420" w:firstLineChars="200"/>
        <w:contextualSpacing/>
        <w:jc w:val="left"/>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广东广铝铝型材有限公司建于 1993 年，位于广州市白云区，是广铝集团旗下企业。公司具有铝全产业链，涵盖精深产品研发、生产加工、贸易销售以及铝质幕墙门窗生产与工程安装。拥有各种高精密机器，能生产涵盖社会大部分领域的铝型材。公司通过了 ISO9001 质量管理体系认证、ISO14001 环境管理体系认证、ISO45001 职业健康安全管理体系认证。广铝重视技术创新，拥有先进完备的科研实验室和大型检测中心，配备先进完善的检测设备。还与多所知名高校、科研机构及世界知名企业合作，成功研制出多种高新技术产品。公司先后获得中国驰名商标、国家重点新产品生产基地、中国节能型材创新企业十强、广东省名牌产品、广东省高新技术企业等多项荣誉。</w:t>
      </w:r>
    </w:p>
    <w:p w14:paraId="7C52F9A9">
      <w:pPr>
        <w:pStyle w:val="59"/>
        <w:numPr>
          <w:ilvl w:val="0"/>
          <w:numId w:val="0"/>
        </w:numPr>
        <w:spacing w:before="156" w:beforeLines="50" w:after="156" w:afterLines="50"/>
        <w:ind w:firstLineChars="200"/>
        <w:contextualSpacing/>
        <w:jc w:val="left"/>
        <w:rPr>
          <w:rFonts w:hint="eastAsia" w:asciiTheme="minorEastAsia" w:hAnsiTheme="minorEastAsia" w:eastAsiaTheme="minorEastAsia" w:cstheme="minorEastAsia"/>
          <w:szCs w:val="21"/>
          <w:lang w:val="en-US" w:eastAsia="zh-CN"/>
        </w:rPr>
      </w:pPr>
      <w:r>
        <w:rPr>
          <w:rFonts w:hint="eastAsia" w:ascii="黑体" w:hAnsi="黑体" w:eastAsia="黑体" w:cs="Times New Roman"/>
          <w:szCs w:val="24"/>
          <w:lang w:val="en-US" w:eastAsia="zh-CN"/>
        </w:rPr>
        <w:t>3.3.11 广东伟业铝厂集团有限公司</w:t>
      </w:r>
    </w:p>
    <w:p w14:paraId="6D728658">
      <w:pPr>
        <w:spacing w:line="360" w:lineRule="auto"/>
        <w:ind w:firstLine="420" w:firstLineChars="200"/>
        <w:contextualSpacing/>
        <w:jc w:val="left"/>
        <w:rPr>
          <w:rFonts w:hint="default" w:asciiTheme="minorEastAsia" w:hAnsiTheme="minorEastAsia" w:eastAsiaTheme="minorEastAsia" w:cstheme="minorEastAsia"/>
          <w:szCs w:val="21"/>
          <w:lang w:val="en-US" w:eastAsia="zh-CN"/>
        </w:rPr>
      </w:pPr>
      <w:r>
        <w:rPr>
          <w:rFonts w:hint="default" w:asciiTheme="minorEastAsia" w:hAnsiTheme="minorEastAsia" w:eastAsiaTheme="minorEastAsia" w:cstheme="minorEastAsia"/>
          <w:szCs w:val="21"/>
          <w:lang w:val="en-US" w:eastAsia="zh-CN"/>
        </w:rPr>
        <w:t>广东伟业铝厂集团有限公司是一家集研发、设计、生产铝型材和深加工制品安装及销售于一体的综合性大型龙头集团企业,也是国家高新技术企业，中国建筑铝型材十强企业；拥有广东和江苏三大生产科研基地，有600-7000吨挤压机65+6台及配套生产线,产能40万吨/年，生产各种铝合金异型材、板材、深加工工业材及门窗幕墙全铝家居产品等。集团总部在广东佛山市。有国家认可委认可的实验室，企业技术中心、工程技术研究开发中心等研发机构；有教授级高工6人,高级工程师、工程师等专业人员300多人，国家发明专利250多项，经济技术实力雄厚，持续创新发展和市场竞争力强劲。伟业集团公司十分重视国家标准、行业标准、团体标准等的制修订工作。如参加了GB/T12967.1-2020《阳极氧化膜及有机聚合物膜检测方法 第1部分：耐磨性测定》、YS/T730-2018《建筑用铝合金木纹型材》、GB/T4437.2-2017《铝及铝合金热挤压管》标准等近30项的制修订。并积极参加对本项标准的制修定工作,每次安排专业工程技术人员积极参加相关会议，研究讨论或测试实验，提出了有益意见，对本标准的制修定工作起到了骨干作用，作出了重要贡献。</w:t>
      </w:r>
    </w:p>
    <w:p w14:paraId="1CA26D8A">
      <w:pPr>
        <w:pStyle w:val="4"/>
        <w:spacing w:before="156" w:after="156"/>
        <w:rPr>
          <w:rFonts w:hint="default"/>
          <w:b w:val="0"/>
          <w:bCs w:val="0"/>
        </w:rPr>
      </w:pPr>
      <w:r>
        <w:rPr>
          <w:rFonts w:hint="eastAsia"/>
          <w:b w:val="0"/>
          <w:bCs w:val="0"/>
        </w:rPr>
        <w:t>3.</w:t>
      </w:r>
      <w:r>
        <w:rPr>
          <w:rFonts w:hint="eastAsia"/>
          <w:b w:val="0"/>
          <w:bCs w:val="0"/>
          <w:lang w:val="en-US" w:eastAsia="zh-CN"/>
        </w:rPr>
        <w:t xml:space="preserve">4 </w:t>
      </w:r>
      <w:r>
        <w:rPr>
          <w:rFonts w:hint="eastAsia"/>
          <w:b w:val="0"/>
          <w:bCs w:val="0"/>
          <w:lang w:eastAsia="zh-CN"/>
        </w:rPr>
        <w:t>各单位分工情况</w:t>
      </w:r>
    </w:p>
    <w:p w14:paraId="35305676">
      <w:pPr>
        <w:pStyle w:val="59"/>
        <w:numPr>
          <w:ilvl w:val="3"/>
          <w:numId w:val="0"/>
        </w:numPr>
        <w:spacing w:before="156" w:beforeLines="50" w:after="156" w:afterLines="50" w:line="360" w:lineRule="auto"/>
        <w:ind w:firstLine="396" w:firstLineChars="200"/>
        <w:contextualSpacing/>
        <w:rPr>
          <w:rFonts w:hint="default" w:ascii="宋体" w:hAnsi="宋体" w:eastAsia="宋体" w:cs="宋体"/>
          <w:b w:val="0"/>
          <w:bCs w:val="0"/>
          <w:color w:val="auto"/>
          <w:kern w:val="2"/>
          <w:sz w:val="21"/>
          <w:szCs w:val="21"/>
          <w:highlight w:val="none"/>
          <w:lang w:val="en-US" w:eastAsia="zh-CN"/>
        </w:rPr>
      </w:pPr>
      <w:r>
        <w:rPr>
          <w:rFonts w:hint="eastAsia" w:ascii="Times New Roman" w:hAnsi="Times New Roman" w:eastAsia="宋体" w:cs="Times New Roman"/>
          <w:sz w:val="21"/>
          <w:szCs w:val="21"/>
          <w:lang w:val="en-US" w:eastAsia="zh-CN"/>
        </w:rPr>
        <w:t>编制组依据各单位情况，对整个规范的起草进行了分工。</w:t>
      </w:r>
      <w:r>
        <w:rPr>
          <w:rFonts w:hint="default" w:ascii="Times New Roman" w:hAnsi="Times New Roman" w:eastAsia="宋体" w:cs="Times New Roman"/>
          <w:sz w:val="21"/>
          <w:szCs w:val="21"/>
          <w:lang w:val="en-US" w:eastAsia="zh-CN"/>
        </w:rPr>
        <w:t>广东省科学院工业分析检测中心</w:t>
      </w:r>
      <w:r>
        <w:rPr>
          <w:rFonts w:hint="default" w:ascii="宋体" w:hAnsi="宋体" w:eastAsia="宋体" w:cs="宋体"/>
          <w:b w:val="0"/>
          <w:bCs w:val="0"/>
          <w:color w:val="auto"/>
          <w:kern w:val="2"/>
          <w:sz w:val="21"/>
          <w:szCs w:val="21"/>
          <w:highlight w:val="none"/>
          <w:lang w:val="en-US" w:eastAsia="zh-CN"/>
        </w:rPr>
        <w:t>负责</w:t>
      </w:r>
      <w:r>
        <w:rPr>
          <w:rFonts w:hint="eastAsia" w:ascii="宋体" w:hAnsi="宋体" w:eastAsia="宋体" w:cs="宋体"/>
          <w:b w:val="0"/>
          <w:bCs w:val="0"/>
          <w:color w:val="auto"/>
          <w:kern w:val="2"/>
          <w:sz w:val="21"/>
          <w:szCs w:val="21"/>
          <w:highlight w:val="none"/>
          <w:lang w:val="en-US" w:eastAsia="zh-CN"/>
        </w:rPr>
        <w:t>资料的调研、</w:t>
      </w:r>
      <w:r>
        <w:rPr>
          <w:rFonts w:hint="default" w:ascii="宋体" w:hAnsi="宋体" w:eastAsia="宋体" w:cs="宋体"/>
          <w:b w:val="0"/>
          <w:bCs w:val="0"/>
          <w:color w:val="auto"/>
          <w:kern w:val="2"/>
          <w:sz w:val="21"/>
          <w:szCs w:val="21"/>
          <w:highlight w:val="none"/>
          <w:lang w:val="en-US" w:eastAsia="zh-CN"/>
        </w:rPr>
        <w:t>收集，完成</w:t>
      </w:r>
      <w:r>
        <w:rPr>
          <w:rFonts w:hint="eastAsia" w:ascii="宋体" w:hAnsi="宋体" w:eastAsia="宋体" w:cs="宋体"/>
          <w:b w:val="0"/>
          <w:bCs w:val="0"/>
          <w:color w:val="auto"/>
          <w:kern w:val="2"/>
          <w:sz w:val="21"/>
          <w:szCs w:val="21"/>
          <w:highlight w:val="none"/>
          <w:lang w:val="en-US" w:eastAsia="zh-CN"/>
        </w:rPr>
        <w:t>校准</w:t>
      </w:r>
      <w:r>
        <w:rPr>
          <w:rFonts w:hint="default" w:ascii="宋体" w:hAnsi="宋体" w:eastAsia="宋体" w:cs="宋体"/>
          <w:b w:val="0"/>
          <w:bCs w:val="0"/>
          <w:color w:val="auto"/>
          <w:kern w:val="2"/>
          <w:sz w:val="21"/>
          <w:szCs w:val="21"/>
          <w:highlight w:val="none"/>
          <w:lang w:val="en-US" w:eastAsia="zh-CN"/>
        </w:rPr>
        <w:t>方法研究工作，撰写</w:t>
      </w:r>
      <w:r>
        <w:rPr>
          <w:rFonts w:hint="eastAsia" w:ascii="宋体" w:hAnsi="宋体" w:eastAsia="宋体" w:cs="宋体"/>
          <w:b w:val="0"/>
          <w:bCs w:val="0"/>
          <w:color w:val="auto"/>
          <w:kern w:val="2"/>
          <w:sz w:val="21"/>
          <w:szCs w:val="21"/>
          <w:highlight w:val="none"/>
          <w:lang w:val="en-US" w:eastAsia="zh-CN"/>
        </w:rPr>
        <w:t>规范</w:t>
      </w:r>
      <w:r>
        <w:rPr>
          <w:rFonts w:hint="default" w:ascii="宋体" w:hAnsi="宋体" w:eastAsia="宋体" w:cs="宋体"/>
          <w:b w:val="0"/>
          <w:bCs w:val="0"/>
          <w:color w:val="auto"/>
          <w:kern w:val="2"/>
          <w:sz w:val="21"/>
          <w:szCs w:val="21"/>
          <w:highlight w:val="none"/>
          <w:lang w:val="en-US" w:eastAsia="zh-CN"/>
        </w:rPr>
        <w:t>文稿、编制说明</w:t>
      </w:r>
      <w:r>
        <w:rPr>
          <w:rFonts w:hint="eastAsia" w:ascii="宋体" w:hAnsi="宋体" w:eastAsia="宋体" w:cs="宋体"/>
          <w:b w:val="0"/>
          <w:bCs w:val="0"/>
          <w:color w:val="auto"/>
          <w:kern w:val="2"/>
          <w:sz w:val="21"/>
          <w:szCs w:val="21"/>
          <w:highlight w:val="none"/>
          <w:lang w:val="en-US" w:eastAsia="zh-CN"/>
        </w:rPr>
        <w:t>。有色金属技术经济研究院有限责任公司、天津艾隆科技开发有限公司、广州计量检测技术研究院、广船国际有限公司、西安汉唐分析检测有限公司、东北轻合金有限责任公司、西南铝业(集团)有限责任公司、国标(北京)检验认证有限公司、广东坚美铝型材厂(集团)有限公司、广东广铝铝型材有限公司、广东伟业铝厂集团有限公司</w:t>
      </w:r>
      <w:r>
        <w:rPr>
          <w:rFonts w:hint="eastAsia" w:ascii="Times New Roman" w:hAnsi="Times New Roman" w:eastAsia="宋体" w:cs="Times New Roman"/>
          <w:sz w:val="21"/>
          <w:szCs w:val="21"/>
          <w:lang w:val="en-US" w:eastAsia="zh-CN"/>
        </w:rPr>
        <w:t>对规范内容提出具体修改意见，</w:t>
      </w:r>
      <w:r>
        <w:rPr>
          <w:rFonts w:hint="default" w:ascii="宋体" w:hAnsi="宋体" w:eastAsia="宋体" w:cs="宋体"/>
          <w:b w:val="0"/>
          <w:bCs w:val="0"/>
          <w:color w:val="auto"/>
          <w:kern w:val="2"/>
          <w:sz w:val="21"/>
          <w:szCs w:val="21"/>
          <w:highlight w:val="none"/>
          <w:lang w:val="en-US" w:eastAsia="zh-CN"/>
        </w:rPr>
        <w:t>提供</w:t>
      </w:r>
      <w:r>
        <w:rPr>
          <w:rFonts w:hint="eastAsia" w:ascii="宋体" w:hAnsi="宋体" w:eastAsia="宋体" w:cs="宋体"/>
          <w:b w:val="0"/>
          <w:bCs w:val="0"/>
          <w:color w:val="auto"/>
          <w:kern w:val="2"/>
          <w:sz w:val="21"/>
          <w:szCs w:val="21"/>
          <w:highlight w:val="none"/>
          <w:lang w:val="en-US" w:eastAsia="zh-CN"/>
        </w:rPr>
        <w:t>对规范方法的验证工作及完成相应验证报告</w:t>
      </w:r>
      <w:r>
        <w:rPr>
          <w:rFonts w:hint="default" w:ascii="宋体" w:hAnsi="宋体" w:eastAsia="宋体" w:cs="宋体"/>
          <w:b w:val="0"/>
          <w:bCs w:val="0"/>
          <w:color w:val="auto"/>
          <w:kern w:val="2"/>
          <w:sz w:val="21"/>
          <w:szCs w:val="21"/>
          <w:highlight w:val="none"/>
          <w:lang w:val="en-US" w:eastAsia="zh-CN"/>
        </w:rPr>
        <w:t>，并对</w:t>
      </w:r>
      <w:r>
        <w:rPr>
          <w:rFonts w:hint="eastAsia" w:ascii="宋体" w:hAnsi="宋体" w:eastAsia="宋体" w:cs="宋体"/>
          <w:b w:val="0"/>
          <w:bCs w:val="0"/>
          <w:color w:val="auto"/>
          <w:kern w:val="2"/>
          <w:sz w:val="21"/>
          <w:szCs w:val="21"/>
          <w:highlight w:val="none"/>
          <w:lang w:val="en-US" w:eastAsia="zh-CN"/>
        </w:rPr>
        <w:t>规范</w:t>
      </w:r>
      <w:r>
        <w:rPr>
          <w:rFonts w:hint="default" w:ascii="宋体" w:hAnsi="宋体" w:eastAsia="宋体" w:cs="宋体"/>
          <w:b w:val="0"/>
          <w:bCs w:val="0"/>
          <w:color w:val="auto"/>
          <w:kern w:val="2"/>
          <w:sz w:val="21"/>
          <w:szCs w:val="21"/>
          <w:highlight w:val="none"/>
          <w:lang w:val="en-US" w:eastAsia="zh-CN"/>
        </w:rPr>
        <w:t>文稿等提出相应修改意见</w:t>
      </w:r>
      <w:r>
        <w:rPr>
          <w:rFonts w:hint="eastAsia" w:ascii="宋体" w:hAnsi="宋体" w:eastAsia="宋体" w:cs="宋体"/>
          <w:b w:val="0"/>
          <w:bCs w:val="0"/>
          <w:color w:val="auto"/>
          <w:kern w:val="2"/>
          <w:sz w:val="21"/>
          <w:szCs w:val="21"/>
          <w:highlight w:val="none"/>
          <w:lang w:val="en-US" w:eastAsia="zh-CN"/>
        </w:rPr>
        <w:t>，分工见表1。</w:t>
      </w:r>
    </w:p>
    <w:p w14:paraId="3820757B">
      <w:pPr>
        <w:pStyle w:val="58"/>
        <w:spacing w:line="360" w:lineRule="auto"/>
        <w:ind w:left="0" w:leftChars="0" w:firstLine="0" w:firstLineChars="0"/>
        <w:jc w:val="center"/>
        <w:rPr>
          <w:rFonts w:hint="eastAsia"/>
          <w:lang w:val="en-US" w:eastAsia="zh-CN"/>
        </w:rPr>
      </w:pPr>
      <w:r>
        <w:rPr>
          <w:rFonts w:hint="eastAsia"/>
          <w:lang w:val="en-US" w:eastAsia="zh-CN"/>
        </w:rPr>
        <w:t>表1 各单位分工表</w:t>
      </w:r>
      <w:bookmarkEnd w:id="7"/>
      <w:bookmarkEnd w:id="8"/>
      <w:bookmarkStart w:id="9" w:name="_Toc464728913"/>
      <w:bookmarkStart w:id="10" w:name="_Toc462884357"/>
    </w:p>
    <w:tbl>
      <w:tblPr>
        <w:tblStyle w:val="41"/>
        <w:tblpPr w:leftFromText="180" w:rightFromText="180" w:vertAnchor="text" w:horzAnchor="page" w:tblpX="1565" w:tblpY="4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7"/>
      </w:tblGrid>
      <w:tr w14:paraId="20D9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9" w:type="pct"/>
            <w:noWrap w:val="0"/>
            <w:vAlign w:val="center"/>
          </w:tcPr>
          <w:p w14:paraId="18B76DF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2500" w:type="pct"/>
            <w:noWrap w:val="0"/>
            <w:vAlign w:val="center"/>
          </w:tcPr>
          <w:p w14:paraId="14EE765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14:paraId="6186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center"/>
          </w:tcPr>
          <w:p w14:paraId="75333BB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eastAsia="宋体" w:cs="Times New Roman"/>
                <w:sz w:val="21"/>
                <w:szCs w:val="21"/>
                <w:lang w:val="en-US" w:eastAsia="zh-CN"/>
              </w:rPr>
              <w:t>广东省科学院工业分析检测中心</w:t>
            </w:r>
          </w:p>
        </w:tc>
        <w:tc>
          <w:tcPr>
            <w:tcW w:w="2500" w:type="pct"/>
            <w:noWrap w:val="0"/>
            <w:vAlign w:val="center"/>
          </w:tcPr>
          <w:p w14:paraId="4B9E7A4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14:paraId="70E5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noWrap w:val="0"/>
            <w:vAlign w:val="center"/>
          </w:tcPr>
          <w:p w14:paraId="66AC891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西南铝业（集团）有限责任公司</w:t>
            </w:r>
          </w:p>
        </w:tc>
        <w:tc>
          <w:tcPr>
            <w:tcW w:w="2500" w:type="pct"/>
            <w:shd w:val="clear" w:color="auto" w:fill="auto"/>
            <w:noWrap w:val="0"/>
            <w:vAlign w:val="center"/>
          </w:tcPr>
          <w:p w14:paraId="626F3B0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内容审阅并提出修改意见，规范一验工作</w:t>
            </w:r>
          </w:p>
        </w:tc>
      </w:tr>
      <w:tr w14:paraId="462A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noWrap w:val="0"/>
            <w:vAlign w:val="center"/>
          </w:tcPr>
          <w:p w14:paraId="23C49CB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highlight w:val="yellow"/>
                <w:lang w:val="en-US" w:eastAsia="zh-CN" w:bidi="ar-SA"/>
              </w:rPr>
            </w:pPr>
            <w:r>
              <w:rPr>
                <w:rFonts w:hint="eastAsia" w:ascii="宋体" w:hAnsi="宋体" w:eastAsia="宋体" w:cs="宋体"/>
                <w:b w:val="0"/>
                <w:bCs w:val="0"/>
                <w:color w:val="auto"/>
                <w:kern w:val="2"/>
                <w:sz w:val="21"/>
                <w:szCs w:val="21"/>
                <w:highlight w:val="none"/>
                <w:lang w:val="en-US" w:eastAsia="zh-CN"/>
              </w:rPr>
              <w:t>广州计量检测技术研究院</w:t>
            </w:r>
          </w:p>
        </w:tc>
        <w:tc>
          <w:tcPr>
            <w:tcW w:w="2500" w:type="pct"/>
            <w:shd w:val="clear" w:color="auto" w:fill="auto"/>
            <w:noWrap w:val="0"/>
            <w:vAlign w:val="center"/>
          </w:tcPr>
          <w:p w14:paraId="23BC6EE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highlight w:val="yellow"/>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内容审阅并提出修改意见，规范一验工作</w:t>
            </w:r>
          </w:p>
        </w:tc>
      </w:tr>
      <w:tr w14:paraId="31BC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noWrap w:val="0"/>
            <w:vAlign w:val="center"/>
          </w:tcPr>
          <w:p w14:paraId="32347EF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lang w:val="en-US" w:eastAsia="zh-CN" w:bidi="ar-SA"/>
              </w:rPr>
            </w:pPr>
            <w:r>
              <w:rPr>
                <w:rFonts w:hint="eastAsia" w:ascii="宋体" w:hAnsi="宋体" w:eastAsia="宋体" w:cs="宋体"/>
                <w:b w:val="0"/>
                <w:bCs w:val="0"/>
                <w:color w:val="auto"/>
                <w:kern w:val="2"/>
                <w:sz w:val="21"/>
                <w:szCs w:val="21"/>
                <w:highlight w:val="none"/>
                <w:lang w:val="en-US" w:eastAsia="zh-CN"/>
              </w:rPr>
              <w:t>国标(北京)检验认证有限公司</w:t>
            </w:r>
          </w:p>
        </w:tc>
        <w:tc>
          <w:tcPr>
            <w:tcW w:w="2500" w:type="pct"/>
            <w:shd w:val="clear" w:color="auto" w:fill="auto"/>
            <w:noWrap w:val="0"/>
            <w:vAlign w:val="center"/>
          </w:tcPr>
          <w:p w14:paraId="51F5354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内容审阅并提出修改意见，规范二验工作</w:t>
            </w:r>
          </w:p>
        </w:tc>
      </w:tr>
      <w:tr w14:paraId="0E8B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center"/>
          </w:tcPr>
          <w:p w14:paraId="0037D90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highlight w:val="none"/>
                <w:lang w:val="en-US" w:eastAsia="zh-CN"/>
              </w:rPr>
              <w:t>西安汉唐分析检测有限公司</w:t>
            </w:r>
          </w:p>
        </w:tc>
        <w:tc>
          <w:tcPr>
            <w:tcW w:w="2500" w:type="pct"/>
            <w:noWrap w:val="0"/>
            <w:vAlign w:val="center"/>
          </w:tcPr>
          <w:p w14:paraId="2BCC0D3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内容审阅并提出修改意见，完成验证工作</w:t>
            </w:r>
          </w:p>
        </w:tc>
      </w:tr>
      <w:tr w14:paraId="7D30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center"/>
          </w:tcPr>
          <w:p w14:paraId="091F678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lang w:val="en-US" w:eastAsia="zh-CN" w:bidi="ar-SA"/>
              </w:rPr>
            </w:pPr>
            <w:r>
              <w:rPr>
                <w:rFonts w:hint="eastAsia" w:ascii="宋体" w:hAnsi="宋体" w:eastAsia="宋体" w:cs="宋体"/>
                <w:b w:val="0"/>
                <w:bCs w:val="0"/>
                <w:color w:val="auto"/>
                <w:kern w:val="2"/>
                <w:sz w:val="21"/>
                <w:szCs w:val="21"/>
                <w:highlight w:val="none"/>
                <w:lang w:val="en-US" w:eastAsia="zh-CN"/>
              </w:rPr>
              <w:t>天津艾隆科技开发有限公司</w:t>
            </w:r>
          </w:p>
        </w:tc>
        <w:tc>
          <w:tcPr>
            <w:tcW w:w="2500" w:type="pct"/>
            <w:noWrap w:val="0"/>
            <w:vAlign w:val="center"/>
          </w:tcPr>
          <w:p w14:paraId="743C2DE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0C5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center"/>
          </w:tcPr>
          <w:p w14:paraId="3D5A3EB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广船国际有限公司</w:t>
            </w:r>
          </w:p>
        </w:tc>
        <w:tc>
          <w:tcPr>
            <w:tcW w:w="2500" w:type="pct"/>
            <w:noWrap w:val="0"/>
            <w:vAlign w:val="center"/>
          </w:tcPr>
          <w:p w14:paraId="2E92C7A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547B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center"/>
          </w:tcPr>
          <w:p w14:paraId="7593FC2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highlight w:val="none"/>
                <w:lang w:val="en-US" w:eastAsia="zh-CN"/>
              </w:rPr>
              <w:t>东北轻合金有限责任公司</w:t>
            </w:r>
          </w:p>
        </w:tc>
        <w:tc>
          <w:tcPr>
            <w:tcW w:w="2500" w:type="pct"/>
            <w:noWrap w:val="0"/>
            <w:vAlign w:val="center"/>
          </w:tcPr>
          <w:p w14:paraId="0AFD6C9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1584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center"/>
          </w:tcPr>
          <w:p w14:paraId="041DFD4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广东坚美铝型材厂(集团)有限公司</w:t>
            </w:r>
          </w:p>
        </w:tc>
        <w:tc>
          <w:tcPr>
            <w:tcW w:w="2500" w:type="pct"/>
            <w:noWrap w:val="0"/>
            <w:vAlign w:val="center"/>
          </w:tcPr>
          <w:p w14:paraId="674818A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510E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center"/>
          </w:tcPr>
          <w:p w14:paraId="1F225E2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广东广铝铝型材有限公司</w:t>
            </w:r>
          </w:p>
        </w:tc>
        <w:tc>
          <w:tcPr>
            <w:tcW w:w="2500" w:type="pct"/>
            <w:noWrap w:val="0"/>
            <w:vAlign w:val="center"/>
          </w:tcPr>
          <w:p w14:paraId="09B3825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5164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center"/>
          </w:tcPr>
          <w:p w14:paraId="02A16D4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广东伟业铝厂集团有限公司</w:t>
            </w:r>
          </w:p>
        </w:tc>
        <w:tc>
          <w:tcPr>
            <w:tcW w:w="2500" w:type="pct"/>
            <w:noWrap w:val="0"/>
            <w:vAlign w:val="center"/>
          </w:tcPr>
          <w:p w14:paraId="19163C9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18D8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noWrap w:val="0"/>
            <w:vAlign w:val="center"/>
          </w:tcPr>
          <w:p w14:paraId="55101D6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有色金属技术经济研究院有限责任公司</w:t>
            </w:r>
          </w:p>
        </w:tc>
        <w:tc>
          <w:tcPr>
            <w:tcW w:w="2500" w:type="pct"/>
            <w:noWrap w:val="0"/>
            <w:vAlign w:val="center"/>
          </w:tcPr>
          <w:p w14:paraId="7735219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协调管理实验方案讨论，内容审阅并提出修改意见</w:t>
            </w:r>
          </w:p>
        </w:tc>
      </w:tr>
    </w:tbl>
    <w:p w14:paraId="3126F503">
      <w:pPr>
        <w:pStyle w:val="3"/>
        <w:spacing w:before="156" w:after="156" w:line="360" w:lineRule="auto"/>
        <w:rPr>
          <w:rFonts w:hint="eastAsia"/>
          <w:b w:val="0"/>
          <w:bCs w:val="0"/>
        </w:rPr>
      </w:pPr>
      <w:r>
        <w:rPr>
          <w:rFonts w:hint="eastAsia"/>
          <w:b w:val="0"/>
          <w:bCs w:val="0"/>
        </w:rPr>
        <w:t>4.主要工作过程</w:t>
      </w:r>
      <w:bookmarkEnd w:id="9"/>
      <w:bookmarkEnd w:id="10"/>
    </w:p>
    <w:p w14:paraId="4E957C5B">
      <w:pPr>
        <w:spacing w:line="360" w:lineRule="auto"/>
        <w:ind w:firstLine="420" w:firstLineChars="200"/>
        <w:rPr>
          <w:rFonts w:hint="eastAsia" w:asciiTheme="minorEastAsia" w:hAnsiTheme="minorEastAsia" w:eastAsiaTheme="minorEastAsia" w:cstheme="minorEastAsia"/>
          <w:b w:val="0"/>
          <w:bCs w:val="0"/>
        </w:rPr>
      </w:pPr>
      <w:bookmarkStart w:id="11" w:name="_Hlk134448643"/>
      <w:r>
        <w:rPr>
          <w:rFonts w:hint="eastAsia"/>
          <w:b w:val="0"/>
          <w:bCs w:val="0"/>
          <w:lang w:val="en-US" w:eastAsia="zh-CN"/>
        </w:rPr>
        <w:t>广东省科学院工业分析检测中心</w:t>
      </w:r>
      <w:r>
        <w:rPr>
          <w:rFonts w:hint="eastAsia"/>
          <w:b w:val="0"/>
          <w:bCs w:val="0"/>
        </w:rPr>
        <w:t>接到有色金属行业计量技术委员会转发下达的制定任务后，成立了</w:t>
      </w:r>
      <w:r>
        <w:rPr>
          <w:rFonts w:hint="eastAsia" w:asciiTheme="minorEastAsia" w:hAnsiTheme="minorEastAsia" w:eastAsiaTheme="minorEastAsia" w:cstheme="minorEastAsia"/>
          <w:b w:val="0"/>
          <w:bCs w:val="0"/>
        </w:rPr>
        <w:t>计量规范编制组，对计量技术规范编写工作进行了部署和分工，制定了</w:t>
      </w:r>
      <w:r>
        <w:rPr>
          <w:rFonts w:hint="eastAsia" w:asciiTheme="minorEastAsia" w:hAnsiTheme="minorEastAsia" w:eastAsiaTheme="minorEastAsia" w:cstheme="minorEastAsia"/>
          <w:b w:val="0"/>
          <w:bCs w:val="0"/>
          <w:lang w:val="en-US" w:eastAsia="zh-CN"/>
        </w:rPr>
        <w:t>本规范的</w:t>
      </w:r>
      <w:r>
        <w:rPr>
          <w:rFonts w:hint="eastAsia" w:asciiTheme="minorEastAsia" w:hAnsiTheme="minorEastAsia" w:eastAsiaTheme="minorEastAsia" w:cstheme="minorEastAsia"/>
          <w:b w:val="0"/>
          <w:bCs w:val="0"/>
        </w:rPr>
        <w:t>制定原则及工作计划。本项目主要工作过程经过了以下几个阶段：</w:t>
      </w:r>
    </w:p>
    <w:p w14:paraId="4FB712F9">
      <w:pPr>
        <w:numPr>
          <w:ilvl w:val="0"/>
          <w:numId w:val="11"/>
        </w:numPr>
        <w:spacing w:line="360" w:lineRule="auto"/>
        <w:ind w:firstLine="420" w:firstLineChars="20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202</w:t>
      </w:r>
      <w:r>
        <w:rPr>
          <w:rFonts w:hint="eastAsia" w:asciiTheme="minorEastAsia" w:hAnsiTheme="minorEastAsia" w:eastAsiaTheme="minorEastAsia" w:cstheme="minorEastAsia"/>
          <w:b w:val="0"/>
          <w:bCs w:val="0"/>
          <w:lang w:val="en-US" w:eastAsia="zh-CN"/>
        </w:rPr>
        <w:t>4</w:t>
      </w:r>
      <w:r>
        <w:rPr>
          <w:rFonts w:hint="eastAsia" w:asciiTheme="minorEastAsia" w:hAnsiTheme="minorEastAsia" w:eastAsiaTheme="minorEastAsia" w:cstheme="minorEastAsia"/>
          <w:b w:val="0"/>
          <w:bCs w:val="0"/>
        </w:rPr>
        <w:t>年</w:t>
      </w:r>
      <w:r>
        <w:rPr>
          <w:rFonts w:hint="eastAsia" w:asciiTheme="minorEastAsia" w:hAnsiTheme="minorEastAsia" w:eastAsiaTheme="minorEastAsia" w:cstheme="minorEastAsia"/>
          <w:b w:val="0"/>
          <w:bCs w:val="0"/>
          <w:lang w:val="en-US" w:eastAsia="zh-CN"/>
        </w:rPr>
        <w:t>12</w:t>
      </w:r>
      <w:r>
        <w:rPr>
          <w:rFonts w:hint="eastAsia" w:asciiTheme="minorEastAsia" w:hAnsiTheme="minorEastAsia" w:eastAsiaTheme="minorEastAsia" w:cstheme="minorEastAsia"/>
          <w:b w:val="0"/>
          <w:bCs w:val="0"/>
        </w:rPr>
        <w:t>月成立了计量规范编制组，明确了编制组成员各自的工作内容和任务。</w:t>
      </w:r>
    </w:p>
    <w:p w14:paraId="2A55F720">
      <w:pPr>
        <w:numPr>
          <w:ilvl w:val="0"/>
          <w:numId w:val="12"/>
        </w:numPr>
        <w:spacing w:line="360" w:lineRule="auto"/>
        <w:ind w:firstLine="420" w:firstLineChars="200"/>
        <w:rPr>
          <w:rFonts w:hint="eastAsia" w:ascii="宋体" w:hAnsi="宋体" w:eastAsia="宋体" w:cs="宋体"/>
          <w:b w:val="0"/>
          <w:bCs w:val="0"/>
          <w:sz w:val="21"/>
          <w:szCs w:val="21"/>
          <w:highlight w:val="none"/>
          <w:lang w:eastAsia="zh-CN"/>
        </w:rPr>
      </w:pPr>
      <w:r>
        <w:rPr>
          <w:rFonts w:hint="eastAsia" w:asciiTheme="minorEastAsia" w:hAnsiTheme="minorEastAsia" w:eastAsiaTheme="minorEastAsia" w:cstheme="minorEastAsia"/>
          <w:b w:val="0"/>
          <w:bCs w:val="0"/>
        </w:rPr>
        <w:t>202</w:t>
      </w:r>
      <w:r>
        <w:rPr>
          <w:rFonts w:hint="eastAsia" w:asciiTheme="minorEastAsia" w:hAnsiTheme="minorEastAsia" w:eastAsiaTheme="minorEastAsia" w:cstheme="minorEastAsia"/>
          <w:b w:val="0"/>
          <w:bCs w:val="0"/>
          <w:lang w:val="en-US" w:eastAsia="zh-CN"/>
        </w:rPr>
        <w:t>5</w:t>
      </w:r>
      <w:r>
        <w:rPr>
          <w:rFonts w:hint="eastAsia" w:asciiTheme="minorEastAsia" w:hAnsiTheme="minorEastAsia" w:eastAsiaTheme="minorEastAsia" w:cstheme="minorEastAsia"/>
          <w:b w:val="0"/>
          <w:bCs w:val="0"/>
        </w:rPr>
        <w:t>年</w:t>
      </w:r>
      <w:r>
        <w:rPr>
          <w:rFonts w:hint="eastAsia" w:asciiTheme="minorEastAsia" w:hAnsiTheme="minorEastAsia" w:eastAsiaTheme="minorEastAsia" w:cstheme="minorEastAsia"/>
          <w:b w:val="0"/>
          <w:bCs w:val="0"/>
          <w:lang w:val="en-US" w:eastAsia="zh-CN"/>
        </w:rPr>
        <w:t>1</w:t>
      </w:r>
      <w:r>
        <w:rPr>
          <w:rFonts w:hint="eastAsia" w:asciiTheme="minorEastAsia" w:hAnsiTheme="minorEastAsia" w:eastAsiaTheme="minorEastAsia" w:cstheme="minorEastAsia"/>
          <w:b w:val="0"/>
          <w:bCs w:val="0"/>
        </w:rPr>
        <w:t>月～202</w:t>
      </w:r>
      <w:r>
        <w:rPr>
          <w:rFonts w:hint="eastAsia" w:asciiTheme="minorEastAsia" w:hAnsiTheme="minorEastAsia" w:eastAsiaTheme="minorEastAsia" w:cstheme="minorEastAsia"/>
          <w:b w:val="0"/>
          <w:bCs w:val="0"/>
          <w:lang w:val="en-US" w:eastAsia="zh-CN"/>
        </w:rPr>
        <w:t>5</w:t>
      </w:r>
      <w:r>
        <w:rPr>
          <w:rFonts w:hint="eastAsia" w:asciiTheme="minorEastAsia" w:hAnsiTheme="minorEastAsia" w:eastAsiaTheme="minorEastAsia" w:cstheme="minorEastAsia"/>
          <w:b w:val="0"/>
          <w:bCs w:val="0"/>
        </w:rPr>
        <w:t>年</w:t>
      </w:r>
      <w:r>
        <w:rPr>
          <w:rFonts w:hint="eastAsia" w:asciiTheme="minorEastAsia" w:hAnsiTheme="minorEastAsia" w:eastAsiaTheme="minorEastAsia" w:cstheme="minorEastAsia"/>
          <w:b w:val="0"/>
          <w:bCs w:val="0"/>
          <w:lang w:val="en-US" w:eastAsia="zh-CN"/>
        </w:rPr>
        <w:t>3</w:t>
      </w:r>
      <w:r>
        <w:rPr>
          <w:rFonts w:hint="eastAsia" w:asciiTheme="minorEastAsia" w:hAnsiTheme="minorEastAsia" w:eastAsiaTheme="minorEastAsia" w:cstheme="minorEastAsia"/>
          <w:b w:val="0"/>
          <w:bCs w:val="0"/>
        </w:rPr>
        <w:t>月</w:t>
      </w:r>
      <w:r>
        <w:rPr>
          <w:rFonts w:hint="eastAsia" w:asciiTheme="minorEastAsia" w:hAnsiTheme="minorEastAsia" w:eastAsiaTheme="minorEastAsia" w:cstheme="minorEastAsia"/>
          <w:b w:val="0"/>
          <w:bCs w:val="0"/>
          <w:lang w:eastAsia="zh-CN"/>
        </w:rPr>
        <w:t>，</w:t>
      </w:r>
      <w:r>
        <w:rPr>
          <w:rFonts w:hint="eastAsia" w:asciiTheme="minorEastAsia" w:hAnsiTheme="minorEastAsia" w:eastAsiaTheme="minorEastAsia" w:cstheme="minorEastAsia"/>
          <w:b w:val="0"/>
          <w:bCs w:val="0"/>
        </w:rPr>
        <w:t>编制组成员对</w:t>
      </w:r>
      <w:r>
        <w:rPr>
          <w:rFonts w:hint="eastAsia" w:asciiTheme="minorEastAsia" w:hAnsiTheme="minorEastAsia" w:eastAsiaTheme="minorEastAsia" w:cstheme="minorEastAsia"/>
          <w:b w:val="0"/>
          <w:bCs w:val="0"/>
          <w:lang w:eastAsia="zh-CN"/>
        </w:rPr>
        <w:t>《</w:t>
      </w:r>
      <w:r>
        <w:rPr>
          <w:rFonts w:hint="eastAsia" w:hAnsi="宋体"/>
          <w:b w:val="0"/>
          <w:bCs w:val="0"/>
          <w:szCs w:val="21"/>
        </w:rPr>
        <w:t>铝合金阳极氧化膜及有机聚合物膜用落砂试验机</w:t>
      </w:r>
      <w:r>
        <w:rPr>
          <w:rFonts w:hint="eastAsia" w:asciiTheme="minorEastAsia" w:hAnsiTheme="minorEastAsia" w:eastAsiaTheme="minorEastAsia" w:cstheme="minorEastAsia"/>
          <w:b w:val="0"/>
          <w:bCs w:val="0"/>
        </w:rPr>
        <w:t>校准规范</w:t>
      </w:r>
      <w:r>
        <w:rPr>
          <w:rFonts w:hint="eastAsia" w:asciiTheme="minorEastAsia" w:hAnsiTheme="minorEastAsia" w:eastAsiaTheme="minorEastAsia" w:cstheme="minorEastAsia"/>
          <w:b w:val="0"/>
          <w:bCs w:val="0"/>
          <w:lang w:eastAsia="zh-CN"/>
        </w:rPr>
        <w:t>》</w:t>
      </w:r>
      <w:r>
        <w:rPr>
          <w:rFonts w:hint="eastAsia" w:asciiTheme="minorEastAsia" w:hAnsiTheme="minorEastAsia" w:eastAsiaTheme="minorEastAsia" w:cstheme="minorEastAsia"/>
          <w:b w:val="0"/>
          <w:bCs w:val="0"/>
        </w:rPr>
        <w:t>中的计量特性及校准方法进行了讨论，确定了校准项目和方法，在202</w:t>
      </w:r>
      <w:r>
        <w:rPr>
          <w:rFonts w:hint="eastAsia" w:asciiTheme="minorEastAsia" w:hAnsiTheme="minorEastAsia" w:eastAsiaTheme="minorEastAsia" w:cstheme="minorEastAsia"/>
          <w:b w:val="0"/>
          <w:bCs w:val="0"/>
          <w:lang w:val="en-US" w:eastAsia="zh-CN"/>
        </w:rPr>
        <w:t>5</w:t>
      </w:r>
      <w:r>
        <w:rPr>
          <w:rFonts w:hint="eastAsia" w:asciiTheme="minorEastAsia" w:hAnsiTheme="minorEastAsia" w:eastAsiaTheme="minorEastAsia" w:cstheme="minorEastAsia"/>
          <w:b w:val="0"/>
          <w:bCs w:val="0"/>
        </w:rPr>
        <w:t>年</w:t>
      </w:r>
      <w:r>
        <w:rPr>
          <w:rFonts w:hint="eastAsia" w:asciiTheme="minorEastAsia" w:hAnsiTheme="minorEastAsia" w:eastAsiaTheme="minorEastAsia" w:cstheme="minorEastAsia"/>
          <w:b w:val="0"/>
          <w:bCs w:val="0"/>
          <w:lang w:val="en-US" w:eastAsia="zh-CN"/>
        </w:rPr>
        <w:t>3</w:t>
      </w:r>
      <w:r>
        <w:rPr>
          <w:rFonts w:hint="eastAsia" w:asciiTheme="minorEastAsia" w:hAnsiTheme="minorEastAsia" w:eastAsiaTheme="minorEastAsia" w:cstheme="minorEastAsia"/>
          <w:b w:val="0"/>
          <w:bCs w:val="0"/>
        </w:rPr>
        <w:t>月形成了计量规范讨论稿。</w:t>
      </w:r>
    </w:p>
    <w:p w14:paraId="6FBC0613">
      <w:pPr>
        <w:numPr>
          <w:ilvl w:val="0"/>
          <w:numId w:val="12"/>
        </w:numPr>
        <w:spacing w:line="360" w:lineRule="auto"/>
        <w:ind w:firstLine="420" w:firstLineChars="2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rPr>
        <w:t>202</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rPr>
        <w:t>年</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rPr>
        <w:t>月，在</w:t>
      </w:r>
      <w:r>
        <w:rPr>
          <w:rFonts w:hint="eastAsia" w:ascii="宋体" w:hAnsi="宋体" w:cs="宋体"/>
          <w:b w:val="0"/>
          <w:bCs w:val="0"/>
          <w:sz w:val="21"/>
          <w:szCs w:val="21"/>
          <w:lang w:val="en-US" w:eastAsia="zh-CN"/>
        </w:rPr>
        <w:t>广州</w:t>
      </w:r>
      <w:r>
        <w:rPr>
          <w:rFonts w:hint="eastAsia" w:ascii="宋体" w:hAnsi="宋体" w:eastAsia="宋体" w:cs="宋体"/>
          <w:b w:val="0"/>
          <w:bCs w:val="0"/>
          <w:sz w:val="21"/>
          <w:szCs w:val="21"/>
        </w:rPr>
        <w:t>市召开有色金属计量技术规范研讨会，会上对《</w:t>
      </w:r>
      <w:r>
        <w:rPr>
          <w:rFonts w:hint="eastAsia" w:hAnsi="宋体"/>
          <w:b w:val="0"/>
          <w:bCs w:val="0"/>
          <w:szCs w:val="21"/>
        </w:rPr>
        <w:t>铝合金阳极氧化膜及有机聚合物膜用落砂试验机</w:t>
      </w:r>
      <w:r>
        <w:rPr>
          <w:rFonts w:hint="eastAsia" w:asciiTheme="minorEastAsia" w:hAnsiTheme="minorEastAsia" w:eastAsiaTheme="minorEastAsia" w:cstheme="minorEastAsia"/>
          <w:b w:val="0"/>
          <w:bCs w:val="0"/>
        </w:rPr>
        <w:t>校准规范</w:t>
      </w:r>
      <w:r>
        <w:rPr>
          <w:rFonts w:hint="eastAsia" w:ascii="宋体" w:hAnsi="宋体" w:eastAsia="宋体" w:cs="宋体"/>
          <w:b w:val="0"/>
          <w:bCs w:val="0"/>
          <w:sz w:val="21"/>
          <w:szCs w:val="21"/>
        </w:rPr>
        <w:t>-讨论稿》进行了讨论，会上有来自不同单位的计量委员会委员、专家、代表</w:t>
      </w:r>
      <w:r>
        <w:rPr>
          <w:rFonts w:hint="eastAsia" w:ascii="宋体" w:hAnsi="宋体" w:eastAsia="宋体" w:cs="宋体"/>
          <w:b w:val="0"/>
          <w:bCs w:val="0"/>
          <w:sz w:val="21"/>
          <w:szCs w:val="21"/>
          <w:lang w:val="en-US" w:eastAsia="zh-CN"/>
        </w:rPr>
        <w:t>就讨论稿中的计量特性、校准项目、校准方法等内容</w:t>
      </w:r>
      <w:r>
        <w:rPr>
          <w:rFonts w:hint="eastAsia" w:ascii="宋体" w:hAnsi="宋体" w:eastAsia="宋体" w:cs="宋体"/>
          <w:b w:val="0"/>
          <w:bCs w:val="0"/>
          <w:sz w:val="21"/>
          <w:szCs w:val="21"/>
        </w:rPr>
        <w:t>提出了修改建议和意见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同时，</w:t>
      </w:r>
      <w:r>
        <w:rPr>
          <w:rFonts w:hint="eastAsia" w:ascii="宋体" w:hAnsi="宋体" w:eastAsia="宋体" w:cs="宋体"/>
          <w:b w:val="0"/>
          <w:bCs w:val="0"/>
          <w:sz w:val="21"/>
          <w:szCs w:val="21"/>
        </w:rPr>
        <w:t>会上确定了项目</w:t>
      </w:r>
      <w:r>
        <w:rPr>
          <w:rFonts w:hint="eastAsia" w:ascii="宋体" w:hAnsi="宋体" w:eastAsia="宋体" w:cs="宋体"/>
          <w:b w:val="0"/>
          <w:bCs w:val="0"/>
          <w:sz w:val="21"/>
          <w:szCs w:val="21"/>
          <w:lang w:val="en-US" w:eastAsia="zh-CN"/>
        </w:rPr>
        <w:t>的参编</w:t>
      </w:r>
      <w:r>
        <w:rPr>
          <w:rFonts w:hint="eastAsia" w:ascii="宋体" w:hAnsi="宋体" w:eastAsia="宋体" w:cs="宋体"/>
          <w:b w:val="0"/>
          <w:bCs w:val="0"/>
          <w:sz w:val="21"/>
          <w:szCs w:val="21"/>
        </w:rPr>
        <w:t>单位及一验、二验单位，明确了各项工作时间进度要求</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具体内容见表2</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修</w:t>
      </w:r>
      <w:r>
        <w:rPr>
          <w:rFonts w:hint="eastAsia" w:ascii="宋体" w:hAnsi="宋体" w:eastAsia="宋体" w:cs="宋体"/>
          <w:b w:val="0"/>
          <w:bCs w:val="0"/>
          <w:sz w:val="21"/>
          <w:szCs w:val="21"/>
          <w:highlight w:val="none"/>
        </w:rPr>
        <w:t>改</w:t>
      </w:r>
      <w:r>
        <w:rPr>
          <w:rFonts w:hint="eastAsia" w:ascii="宋体" w:hAnsi="宋体" w:eastAsia="宋体" w:cs="宋体"/>
          <w:b w:val="0"/>
          <w:bCs w:val="0"/>
          <w:sz w:val="21"/>
          <w:szCs w:val="21"/>
          <w:highlight w:val="none"/>
          <w:lang w:val="en-US" w:eastAsia="zh-CN"/>
        </w:rPr>
        <w:t>后</w:t>
      </w:r>
      <w:r>
        <w:rPr>
          <w:rFonts w:hint="eastAsia" w:ascii="宋体" w:hAnsi="宋体" w:eastAsia="宋体" w:cs="宋体"/>
          <w:b w:val="0"/>
          <w:bCs w:val="0"/>
          <w:sz w:val="21"/>
          <w:szCs w:val="21"/>
          <w:highlight w:val="none"/>
        </w:rPr>
        <w:t>形成</w:t>
      </w:r>
      <w:r>
        <w:rPr>
          <w:rFonts w:hint="eastAsia" w:ascii="宋体" w:hAnsi="宋体" w:eastAsia="宋体" w:cs="宋体"/>
          <w:b w:val="0"/>
          <w:bCs w:val="0"/>
          <w:sz w:val="21"/>
          <w:szCs w:val="21"/>
          <w:highlight w:val="none"/>
          <w:lang w:val="en-US" w:eastAsia="zh-CN"/>
        </w:rPr>
        <w:t>了</w:t>
      </w:r>
      <w:r>
        <w:rPr>
          <w:rFonts w:hint="eastAsia" w:ascii="宋体" w:hAnsi="宋体" w:eastAsia="宋体" w:cs="宋体"/>
          <w:b w:val="0"/>
          <w:bCs w:val="0"/>
          <w:sz w:val="21"/>
          <w:szCs w:val="21"/>
          <w:highlight w:val="none"/>
        </w:rPr>
        <w:t>《</w:t>
      </w:r>
      <w:r>
        <w:rPr>
          <w:rFonts w:hint="eastAsia" w:hAnsi="宋体"/>
          <w:b w:val="0"/>
          <w:bCs w:val="0"/>
          <w:szCs w:val="21"/>
        </w:rPr>
        <w:t>铝合金阳极氧化膜及有机聚合物膜用落砂试验机</w:t>
      </w:r>
      <w:r>
        <w:rPr>
          <w:rFonts w:hint="eastAsia" w:asciiTheme="minorEastAsia" w:hAnsiTheme="minorEastAsia" w:eastAsiaTheme="minorEastAsia" w:cstheme="minorEastAsia"/>
          <w:b w:val="0"/>
          <w:bCs w:val="0"/>
        </w:rPr>
        <w:t>校准规范</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highlight w:val="none"/>
        </w:rPr>
        <w:t>征求意见稿》</w:t>
      </w:r>
      <w:r>
        <w:rPr>
          <w:rFonts w:hint="eastAsia" w:ascii="宋体" w:hAnsi="宋体" w:eastAsia="宋体" w:cs="宋体"/>
          <w:b w:val="0"/>
          <w:bCs w:val="0"/>
          <w:sz w:val="21"/>
          <w:szCs w:val="21"/>
          <w:highlight w:val="none"/>
          <w:lang w:eastAsia="zh-CN"/>
        </w:rPr>
        <w:t>。</w:t>
      </w:r>
    </w:p>
    <w:p w14:paraId="0DCD1129">
      <w:pPr>
        <w:spacing w:line="360" w:lineRule="auto"/>
        <w:ind w:firstLine="210" w:firstLineChars="100"/>
        <w:jc w:val="center"/>
        <w:rPr>
          <w:rFonts w:hint="eastAsia" w:ascii="宋体" w:hAnsi="宋体" w:eastAsia="宋体" w:cs="宋体"/>
          <w:b w:val="0"/>
          <w:bCs w:val="0"/>
          <w:sz w:val="21"/>
          <w:szCs w:val="21"/>
        </w:rPr>
      </w:pPr>
      <w:r>
        <w:rPr>
          <w:rFonts w:hint="eastAsia" w:ascii="宋体" w:hAnsi="宋体" w:eastAsia="宋体" w:cs="宋体"/>
          <w:b w:val="0"/>
          <w:bCs w:val="0"/>
          <w:sz w:val="21"/>
          <w:szCs w:val="21"/>
          <w:highlight w:val="none"/>
        </w:rPr>
        <w:t>表</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 xml:space="preserve"> 《</w:t>
      </w:r>
      <w:r>
        <w:rPr>
          <w:rFonts w:hint="eastAsia" w:hAnsi="宋体"/>
          <w:b w:val="0"/>
          <w:bCs w:val="0"/>
          <w:szCs w:val="21"/>
        </w:rPr>
        <w:t>铝合金阳极氧化膜及有机聚合物膜用落砂试验机</w:t>
      </w:r>
      <w:r>
        <w:rPr>
          <w:rFonts w:hint="eastAsia" w:asciiTheme="minorEastAsia" w:hAnsiTheme="minorEastAsia" w:eastAsiaTheme="minorEastAsia" w:cstheme="minorEastAsia"/>
          <w:b w:val="0"/>
          <w:bCs w:val="0"/>
        </w:rPr>
        <w:t>校准规范</w:t>
      </w:r>
      <w:r>
        <w:rPr>
          <w:rFonts w:hint="eastAsia" w:ascii="宋体" w:hAnsi="宋体" w:eastAsia="宋体" w:cs="宋体"/>
          <w:b w:val="0"/>
          <w:bCs w:val="0"/>
          <w:sz w:val="21"/>
          <w:szCs w:val="21"/>
        </w:rPr>
        <w:t>-讨论稿》</w:t>
      </w:r>
      <w:r>
        <w:rPr>
          <w:rFonts w:hint="eastAsia" w:ascii="宋体" w:hAnsi="宋体" w:eastAsia="宋体" w:cs="宋体"/>
          <w:b w:val="0"/>
          <w:bCs w:val="0"/>
          <w:sz w:val="21"/>
          <w:szCs w:val="21"/>
          <w:lang w:val="en-US" w:eastAsia="zh-CN"/>
        </w:rPr>
        <w:t>工作安排</w:t>
      </w:r>
    </w:p>
    <w:tbl>
      <w:tblPr>
        <w:tblStyle w:val="41"/>
        <w:tblW w:w="4764" w:type="pct"/>
        <w:jc w:val="center"/>
        <w:tblLayout w:type="fixed"/>
        <w:tblCellMar>
          <w:top w:w="0" w:type="dxa"/>
          <w:left w:w="108" w:type="dxa"/>
          <w:bottom w:w="0" w:type="dxa"/>
          <w:right w:w="108" w:type="dxa"/>
        </w:tblCellMar>
      </w:tblPr>
      <w:tblGrid>
        <w:gridCol w:w="1864"/>
        <w:gridCol w:w="7257"/>
      </w:tblGrid>
      <w:tr w14:paraId="6C4C001E">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67166">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拟参与编制单位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5566732B">
            <w:pPr>
              <w:widowControl/>
              <w:spacing w:line="360" w:lineRule="auto"/>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color w:val="auto"/>
                <w:kern w:val="2"/>
                <w:sz w:val="21"/>
                <w:szCs w:val="21"/>
                <w:highlight w:val="none"/>
                <w:lang w:val="en-US" w:eastAsia="zh-CN"/>
              </w:rPr>
              <w:t>西南铝业（集团）有限责任公司</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广州计量检测技术研究院</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国标(北京)检验认证有限公司</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西安汉唐分析检测有限公司</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天津艾隆科技开发有限公司</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广船国际有限公司</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东北轻合金有限责任公司</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广东坚美铝型材厂(集团)有限公司</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广东广铝铝型材有限公司</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有色金属技术经济研究院有限责任公司</w:t>
            </w:r>
            <w:r>
              <w:rPr>
                <w:rFonts w:hint="eastAsia" w:ascii="宋体" w:hAnsi="宋体" w:cs="宋体"/>
                <w:b w:val="0"/>
                <w:bCs w:val="0"/>
                <w:color w:val="auto"/>
                <w:kern w:val="2"/>
                <w:sz w:val="21"/>
                <w:szCs w:val="21"/>
                <w:highlight w:val="none"/>
                <w:lang w:val="en-US" w:eastAsia="zh-CN"/>
              </w:rPr>
              <w:t>、广东伟业铝厂集团有限公司</w:t>
            </w:r>
          </w:p>
        </w:tc>
      </w:tr>
      <w:tr w14:paraId="6AAF695B">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9D188">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一验单位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1708EE69">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kern w:val="2"/>
                <w:sz w:val="21"/>
                <w:szCs w:val="21"/>
                <w:highlight w:val="none"/>
                <w:lang w:val="en-US" w:eastAsia="zh-CN"/>
              </w:rPr>
              <w:t>西南铝业（集团）有限责任公司</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广州计量检测技术研究院</w:t>
            </w:r>
          </w:p>
        </w:tc>
      </w:tr>
      <w:tr w14:paraId="651E6F15">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B13C8">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二验单位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6A7E4888">
            <w:pPr>
              <w:spacing w:line="360" w:lineRule="auto"/>
              <w:rPr>
                <w:rFonts w:hint="eastAsia" w:ascii="宋体" w:hAnsi="宋体" w:eastAsia="宋体" w:cs="宋体"/>
                <w:b w:val="0"/>
                <w:bCs w:val="0"/>
                <w:sz w:val="21"/>
                <w:szCs w:val="21"/>
                <w:highlight w:val="none"/>
              </w:rPr>
            </w:pPr>
            <w:r>
              <w:rPr>
                <w:rFonts w:hint="eastAsia" w:ascii="宋体" w:hAnsi="宋体" w:eastAsia="宋体" w:cs="宋体"/>
                <w:b w:val="0"/>
                <w:bCs w:val="0"/>
                <w:color w:val="auto"/>
                <w:kern w:val="2"/>
                <w:sz w:val="21"/>
                <w:szCs w:val="21"/>
                <w:highlight w:val="none"/>
                <w:lang w:val="en-US" w:eastAsia="zh-CN"/>
              </w:rPr>
              <w:t>国标(北京)检验认证有限公司</w:t>
            </w:r>
          </w:p>
        </w:tc>
      </w:tr>
      <w:tr w14:paraId="2D643FA7">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DC773">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时间节点安排</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5140D78B">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202</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rPr>
              <w:t>年</w:t>
            </w:r>
            <w:r>
              <w:rPr>
                <w:rFonts w:hint="eastAsia" w:ascii="宋体" w:hAnsi="宋体" w:cs="宋体"/>
                <w:b w:val="0"/>
                <w:bCs w:val="0"/>
                <w:sz w:val="21"/>
                <w:szCs w:val="21"/>
                <w:lang w:val="en-US" w:eastAsia="zh-CN"/>
              </w:rPr>
              <w:t>7</w:t>
            </w:r>
            <w:r>
              <w:rPr>
                <w:rFonts w:hint="eastAsia" w:ascii="宋体" w:hAnsi="宋体" w:eastAsia="宋体" w:cs="宋体"/>
                <w:b w:val="0"/>
                <w:bCs w:val="0"/>
                <w:sz w:val="21"/>
                <w:szCs w:val="21"/>
                <w:lang w:val="en-US" w:eastAsia="zh-CN"/>
              </w:rPr>
              <w:t>月完成试验验证，2025年</w:t>
            </w:r>
            <w:r>
              <w:rPr>
                <w:rFonts w:hint="eastAsia" w:ascii="宋体" w:hAnsi="宋体" w:cs="宋体"/>
                <w:b w:val="0"/>
                <w:bCs w:val="0"/>
                <w:sz w:val="21"/>
                <w:szCs w:val="21"/>
                <w:lang w:val="en-US" w:eastAsia="zh-CN"/>
              </w:rPr>
              <w:t>12</w:t>
            </w:r>
            <w:r>
              <w:rPr>
                <w:rFonts w:hint="eastAsia" w:ascii="宋体" w:hAnsi="宋体" w:eastAsia="宋体" w:cs="宋体"/>
                <w:b w:val="0"/>
                <w:bCs w:val="0"/>
                <w:sz w:val="21"/>
                <w:szCs w:val="21"/>
                <w:lang w:val="en-US" w:eastAsia="zh-CN"/>
              </w:rPr>
              <w:t>月</w:t>
            </w:r>
            <w:r>
              <w:rPr>
                <w:rFonts w:hint="eastAsia" w:ascii="宋体" w:hAnsi="宋体" w:eastAsia="宋体" w:cs="宋体"/>
                <w:b w:val="0"/>
                <w:bCs w:val="0"/>
                <w:sz w:val="21"/>
                <w:szCs w:val="21"/>
              </w:rPr>
              <w:t>完成规范报批</w:t>
            </w:r>
          </w:p>
        </w:tc>
      </w:tr>
    </w:tbl>
    <w:p w14:paraId="3CA7E378">
      <w:pPr>
        <w:numPr>
          <w:ilvl w:val="0"/>
          <w:numId w:val="12"/>
        </w:numPr>
        <w:spacing w:line="360" w:lineRule="auto"/>
        <w:ind w:firstLine="420" w:firstLineChars="200"/>
        <w:rPr>
          <w:rFonts w:hint="eastAsia" w:asciiTheme="minorEastAsia" w:hAnsiTheme="minorEastAsia" w:eastAsiaTheme="minorEastAsia" w:cstheme="minorEastAsia"/>
          <w:b w:val="0"/>
          <w:bCs w:val="0"/>
        </w:rPr>
      </w:pPr>
      <w:r>
        <w:rPr>
          <w:rFonts w:hint="eastAsia" w:ascii="宋体" w:hAnsi="宋体" w:eastAsia="宋体" w:cs="宋体"/>
          <w:b w:val="0"/>
          <w:bCs w:val="0"/>
          <w:sz w:val="21"/>
          <w:szCs w:val="21"/>
          <w:lang w:val="en-US" w:eastAsia="zh-CN"/>
        </w:rPr>
        <w:t>202</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年5月，中国有色金属工业协会发文《关于对</w:t>
      </w:r>
      <w:r>
        <w:rPr>
          <w:rFonts w:hint="eastAsia" w:ascii="宋体" w:hAnsi="宋体" w:cs="宋体"/>
          <w:b w:val="0"/>
          <w:bCs w:val="0"/>
          <w:sz w:val="21"/>
          <w:szCs w:val="21"/>
          <w:lang w:val="en-US" w:eastAsia="zh-CN"/>
        </w:rPr>
        <w:t>&lt;</w:t>
      </w:r>
      <w:r>
        <w:rPr>
          <w:rFonts w:hint="eastAsia" w:ascii="宋体" w:hAnsi="宋体" w:eastAsia="宋体" w:cs="宋体"/>
          <w:b w:val="0"/>
          <w:bCs w:val="0"/>
          <w:sz w:val="21"/>
          <w:szCs w:val="21"/>
          <w:lang w:val="en-US" w:eastAsia="zh-CN"/>
        </w:rPr>
        <w:t>气体吸附法比表面积分析仪校准规范</w:t>
      </w:r>
      <w:r>
        <w:rPr>
          <w:rFonts w:hint="eastAsia" w:ascii="宋体" w:hAnsi="宋体" w:cs="宋体"/>
          <w:b w:val="0"/>
          <w:bCs w:val="0"/>
          <w:sz w:val="21"/>
          <w:szCs w:val="21"/>
          <w:lang w:val="en-US" w:eastAsia="zh-CN"/>
        </w:rPr>
        <w:t>&gt;</w:t>
      </w:r>
      <w:r>
        <w:rPr>
          <w:rFonts w:hint="eastAsia" w:ascii="宋体" w:hAnsi="宋体" w:eastAsia="宋体" w:cs="宋体"/>
          <w:b w:val="0"/>
          <w:bCs w:val="0"/>
          <w:sz w:val="21"/>
          <w:szCs w:val="21"/>
          <w:lang w:val="en-US" w:eastAsia="zh-CN"/>
        </w:rPr>
        <w:t>等10项计量技术规范征求意见的函》（有色计量委字〔202</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4</w:t>
      </w:r>
      <w:r>
        <w:rPr>
          <w:rFonts w:hint="eastAsia" w:ascii="宋体" w:hAnsi="宋体" w:eastAsia="宋体" w:cs="宋体"/>
          <w:b w:val="0"/>
          <w:bCs w:val="0"/>
          <w:sz w:val="21"/>
          <w:szCs w:val="21"/>
          <w:lang w:val="en-US" w:eastAsia="zh-CN"/>
        </w:rPr>
        <w:t>号），向社会广泛征求意见。</w:t>
      </w:r>
    </w:p>
    <w:p w14:paraId="4D75B8B6">
      <w:pPr>
        <w:numPr>
          <w:ilvl w:val="0"/>
          <w:numId w:val="12"/>
        </w:numPr>
        <w:spacing w:line="360" w:lineRule="auto"/>
        <w:ind w:firstLine="420" w:firstLineChars="200"/>
        <w:rPr>
          <w:rFonts w:hint="eastAsia" w:asciiTheme="minorEastAsia" w:hAnsiTheme="minorEastAsia" w:eastAsiaTheme="minorEastAsia" w:cstheme="minorEastAsia"/>
          <w:b w:val="0"/>
          <w:bCs w:val="0"/>
        </w:rPr>
      </w:pPr>
      <w:r>
        <w:rPr>
          <w:rFonts w:hint="eastAsia" w:ascii="宋体" w:hAnsi="宋体" w:eastAsia="宋体" w:cs="宋体"/>
          <w:b w:val="0"/>
          <w:bCs w:val="0"/>
          <w:sz w:val="21"/>
          <w:szCs w:val="21"/>
          <w:highlight w:val="none"/>
          <w:lang w:val="en-US" w:eastAsia="zh-CN"/>
        </w:rPr>
        <w:t>202</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lang w:val="en-US" w:eastAsia="zh-CN"/>
        </w:rPr>
        <w:t>年</w:t>
      </w:r>
      <w:r>
        <w:rPr>
          <w:rFonts w:hint="eastAsia" w:ascii="宋体" w:hAnsi="宋体" w:cs="宋体"/>
          <w:b w:val="0"/>
          <w:bCs w:val="0"/>
          <w:sz w:val="21"/>
          <w:szCs w:val="21"/>
          <w:highlight w:val="none"/>
          <w:lang w:val="en-US" w:eastAsia="zh-CN"/>
        </w:rPr>
        <w:t>6</w:t>
      </w:r>
      <w:r>
        <w:rPr>
          <w:rFonts w:hint="eastAsia" w:ascii="宋体" w:hAnsi="宋体" w:eastAsia="宋体" w:cs="宋体"/>
          <w:b w:val="0"/>
          <w:bCs w:val="0"/>
          <w:sz w:val="21"/>
          <w:szCs w:val="21"/>
          <w:highlight w:val="none"/>
          <w:lang w:val="en-US" w:eastAsia="zh-CN"/>
        </w:rPr>
        <w:t>月在</w:t>
      </w:r>
      <w:r>
        <w:rPr>
          <w:rFonts w:hint="eastAsia" w:ascii="宋体" w:hAnsi="宋体" w:cs="宋体"/>
          <w:b w:val="0"/>
          <w:bCs w:val="0"/>
          <w:sz w:val="21"/>
          <w:szCs w:val="21"/>
          <w:lang w:val="en-US" w:eastAsia="zh-CN"/>
        </w:rPr>
        <w:t>石河子市</w:t>
      </w:r>
      <w:r>
        <w:rPr>
          <w:rFonts w:hint="eastAsia" w:ascii="宋体" w:hAnsi="宋体" w:eastAsia="宋体" w:cs="宋体"/>
          <w:b w:val="0"/>
          <w:bCs w:val="0"/>
          <w:sz w:val="21"/>
          <w:szCs w:val="21"/>
          <w:highlight w:val="none"/>
          <w:lang w:val="en-US" w:eastAsia="zh-CN"/>
        </w:rPr>
        <w:t>举行有色金属计量技术规范工作会，会上对《</w:t>
      </w:r>
      <w:r>
        <w:rPr>
          <w:rFonts w:hint="eastAsia" w:hAnsi="宋体"/>
          <w:b w:val="0"/>
          <w:bCs w:val="0"/>
          <w:szCs w:val="21"/>
        </w:rPr>
        <w:t>铝合金阳极氧化膜及有机聚合物膜用落砂试验机</w:t>
      </w:r>
      <w:r>
        <w:rPr>
          <w:rFonts w:hint="eastAsia" w:asciiTheme="minorEastAsia" w:hAnsiTheme="minorEastAsia" w:eastAsiaTheme="minorEastAsia" w:cstheme="minorEastAsia"/>
          <w:b w:val="0"/>
          <w:bCs w:val="0"/>
        </w:rPr>
        <w:t>校准规范</w:t>
      </w:r>
      <w:r>
        <w:rPr>
          <w:rFonts w:hint="eastAsia" w:ascii="宋体" w:hAnsi="宋体" w:eastAsia="宋体" w:cs="宋体"/>
          <w:b w:val="0"/>
          <w:bCs w:val="0"/>
          <w:sz w:val="21"/>
          <w:szCs w:val="21"/>
          <w:highlight w:val="none"/>
          <w:lang w:val="en-US" w:eastAsia="zh-CN"/>
        </w:rPr>
        <w:t>》进行了预审，会上有来自不同单位的计量委员会委员、专家、代表对《</w:t>
      </w:r>
      <w:r>
        <w:rPr>
          <w:rFonts w:hint="eastAsia" w:hAnsi="宋体"/>
          <w:b w:val="0"/>
          <w:bCs w:val="0"/>
          <w:szCs w:val="21"/>
        </w:rPr>
        <w:t>铝合金阳极氧化膜及有机聚合物膜用落砂试验机</w:t>
      </w:r>
      <w:r>
        <w:rPr>
          <w:rFonts w:hint="eastAsia" w:asciiTheme="minorEastAsia" w:hAnsiTheme="minorEastAsia" w:eastAsiaTheme="minorEastAsia" w:cstheme="minorEastAsia"/>
          <w:b w:val="0"/>
          <w:bCs w:val="0"/>
        </w:rPr>
        <w:t>校准规范</w:t>
      </w:r>
      <w:r>
        <w:rPr>
          <w:rFonts w:hint="eastAsia" w:ascii="宋体" w:hAnsi="宋体" w:eastAsia="宋体" w:cs="宋体"/>
          <w:b w:val="0"/>
          <w:bCs w:val="0"/>
          <w:sz w:val="21"/>
          <w:szCs w:val="21"/>
          <w:highlight w:val="none"/>
          <w:lang w:val="en-US" w:eastAsia="zh-CN"/>
        </w:rPr>
        <w:t>》提出了修改建议和意见。修改后形成《</w:t>
      </w:r>
      <w:r>
        <w:rPr>
          <w:rFonts w:hint="eastAsia" w:hAnsi="宋体"/>
          <w:b w:val="0"/>
          <w:bCs w:val="0"/>
          <w:szCs w:val="21"/>
        </w:rPr>
        <w:t>铝合金阳极氧化膜及有机聚合物膜用落砂试验机</w:t>
      </w:r>
      <w:r>
        <w:rPr>
          <w:rFonts w:hint="eastAsia" w:asciiTheme="minorEastAsia" w:hAnsiTheme="minorEastAsia" w:eastAsiaTheme="minorEastAsia" w:cstheme="minorEastAsia"/>
          <w:b w:val="0"/>
          <w:bCs w:val="0"/>
        </w:rPr>
        <w:t>校准规范</w:t>
      </w:r>
      <w:r>
        <w:rPr>
          <w:rFonts w:hint="eastAsia" w:ascii="宋体" w:hAnsi="宋体" w:eastAsia="宋体" w:cs="宋体"/>
          <w:b w:val="0"/>
          <w:bCs w:val="0"/>
          <w:sz w:val="21"/>
          <w:szCs w:val="21"/>
          <w:highlight w:val="none"/>
          <w:lang w:val="en-US" w:eastAsia="zh-CN"/>
        </w:rPr>
        <w:t>-送审稿》。</w:t>
      </w:r>
    </w:p>
    <w:p w14:paraId="6F9E8967">
      <w:pPr>
        <w:numPr>
          <w:ilvl w:val="0"/>
          <w:numId w:val="12"/>
        </w:numPr>
        <w:spacing w:line="360" w:lineRule="auto"/>
        <w:ind w:firstLine="420" w:firstLineChars="200"/>
        <w:rPr>
          <w:rFonts w:hint="eastAsia" w:asciiTheme="minorEastAsia" w:hAnsiTheme="minorEastAsia" w:eastAsiaTheme="minorEastAsia" w:cstheme="minorEastAsia"/>
          <w:b w:val="0"/>
          <w:bCs w:val="0"/>
        </w:rPr>
      </w:pPr>
      <w:r>
        <w:rPr>
          <w:rFonts w:hint="eastAsia" w:ascii="宋体" w:hAnsi="宋体" w:eastAsia="宋体" w:cs="宋体"/>
          <w:b w:val="0"/>
          <w:bCs w:val="0"/>
          <w:kern w:val="2"/>
          <w:sz w:val="21"/>
          <w:szCs w:val="21"/>
          <w:lang w:val="en-US" w:eastAsia="zh-CN" w:bidi="ar-SA"/>
        </w:rPr>
        <w:t>2025年</w:t>
      </w:r>
      <w:r>
        <w:rPr>
          <w:rFonts w:hint="eastAsia" w:ascii="宋体" w:hAnsi="宋体" w:cs="宋体"/>
          <w:b w:val="0"/>
          <w:bCs w:val="0"/>
          <w:kern w:val="2"/>
          <w:sz w:val="21"/>
          <w:szCs w:val="21"/>
          <w:lang w:val="en-US" w:eastAsia="zh-CN" w:bidi="ar-SA"/>
        </w:rPr>
        <w:t>12</w:t>
      </w:r>
      <w:r>
        <w:rPr>
          <w:rFonts w:hint="eastAsia" w:ascii="宋体" w:hAnsi="宋体" w:eastAsia="宋体" w:cs="宋体"/>
          <w:b w:val="0"/>
          <w:bCs w:val="0"/>
          <w:kern w:val="2"/>
          <w:sz w:val="21"/>
          <w:szCs w:val="21"/>
          <w:lang w:val="en-US" w:eastAsia="zh-CN" w:bidi="ar-SA"/>
        </w:rPr>
        <w:t>月</w:t>
      </w:r>
      <w:r>
        <w:rPr>
          <w:rFonts w:hint="eastAsia" w:ascii="宋体" w:hAnsi="宋体" w:cs="宋体"/>
          <w:b w:val="0"/>
          <w:bCs w:val="0"/>
          <w:kern w:val="2"/>
          <w:sz w:val="21"/>
          <w:szCs w:val="21"/>
          <w:lang w:val="en-US" w:eastAsia="zh-CN" w:bidi="ar-SA"/>
        </w:rPr>
        <w:t>将</w:t>
      </w:r>
      <w:r>
        <w:rPr>
          <w:rFonts w:hint="eastAsia" w:ascii="宋体" w:hAnsi="宋体" w:eastAsia="宋体" w:cs="宋体"/>
          <w:b w:val="0"/>
          <w:bCs w:val="0"/>
          <w:kern w:val="2"/>
          <w:sz w:val="21"/>
          <w:szCs w:val="21"/>
          <w:lang w:val="en-US" w:eastAsia="zh-CN" w:bidi="ar-SA"/>
        </w:rPr>
        <w:t>在</w:t>
      </w:r>
      <w:r>
        <w:rPr>
          <w:rFonts w:hint="eastAsia" w:ascii="宋体" w:hAnsi="宋体" w:cs="宋体"/>
          <w:b w:val="0"/>
          <w:bCs w:val="0"/>
          <w:kern w:val="2"/>
          <w:sz w:val="21"/>
          <w:szCs w:val="21"/>
          <w:lang w:val="en-US" w:eastAsia="zh-CN" w:bidi="ar-SA"/>
        </w:rPr>
        <w:t>厦门市</w:t>
      </w:r>
      <w:r>
        <w:rPr>
          <w:rFonts w:hint="eastAsia" w:ascii="宋体" w:hAnsi="宋体" w:eastAsia="宋体" w:cs="宋体"/>
          <w:b w:val="0"/>
          <w:bCs w:val="0"/>
          <w:kern w:val="2"/>
          <w:sz w:val="21"/>
          <w:szCs w:val="21"/>
          <w:lang w:val="en-US" w:eastAsia="zh-CN" w:bidi="ar-SA"/>
        </w:rPr>
        <w:t>举行有色金属计量技术规范</w:t>
      </w:r>
      <w:r>
        <w:rPr>
          <w:rFonts w:hint="eastAsia" w:ascii="宋体" w:hAnsi="宋体" w:cs="宋体"/>
          <w:b w:val="0"/>
          <w:bCs w:val="0"/>
          <w:kern w:val="2"/>
          <w:sz w:val="21"/>
          <w:szCs w:val="21"/>
          <w:lang w:val="en-US" w:eastAsia="zh-CN" w:bidi="ar-SA"/>
        </w:rPr>
        <w:t>工作</w:t>
      </w:r>
      <w:r>
        <w:rPr>
          <w:rFonts w:hint="eastAsia" w:ascii="宋体" w:hAnsi="宋体" w:eastAsia="宋体" w:cs="宋体"/>
          <w:b w:val="0"/>
          <w:bCs w:val="0"/>
          <w:kern w:val="2"/>
          <w:sz w:val="21"/>
          <w:szCs w:val="21"/>
          <w:lang w:val="en-US" w:eastAsia="zh-CN" w:bidi="ar-SA"/>
        </w:rPr>
        <w:t>会，会上</w:t>
      </w:r>
      <w:r>
        <w:rPr>
          <w:rFonts w:hint="eastAsia" w:ascii="宋体" w:hAnsi="宋体" w:cs="宋体"/>
          <w:b w:val="0"/>
          <w:bCs w:val="0"/>
          <w:kern w:val="2"/>
          <w:sz w:val="21"/>
          <w:szCs w:val="21"/>
          <w:lang w:val="en-US" w:eastAsia="zh-CN" w:bidi="ar-SA"/>
        </w:rPr>
        <w:t>将</w:t>
      </w:r>
      <w:r>
        <w:rPr>
          <w:rFonts w:hint="eastAsia" w:ascii="宋体" w:hAnsi="宋体" w:eastAsia="宋体" w:cs="宋体"/>
          <w:b w:val="0"/>
          <w:bCs w:val="0"/>
          <w:kern w:val="2"/>
          <w:sz w:val="21"/>
          <w:szCs w:val="21"/>
          <w:lang w:val="en-US" w:eastAsia="zh-CN" w:bidi="ar-SA"/>
        </w:rPr>
        <w:t>对《</w:t>
      </w:r>
      <w:r>
        <w:rPr>
          <w:rFonts w:hint="eastAsia" w:hAnsi="宋体"/>
          <w:b w:val="0"/>
          <w:bCs w:val="0"/>
          <w:szCs w:val="21"/>
        </w:rPr>
        <w:t>铝合金阳极氧化膜及有机聚合物膜用落砂试验机</w:t>
      </w:r>
      <w:r>
        <w:rPr>
          <w:rFonts w:hint="eastAsia" w:asciiTheme="minorEastAsia" w:hAnsiTheme="minorEastAsia" w:eastAsiaTheme="minorEastAsia" w:cstheme="minorEastAsia"/>
          <w:b w:val="0"/>
          <w:bCs w:val="0"/>
        </w:rPr>
        <w:t>校准规范</w:t>
      </w:r>
      <w:r>
        <w:rPr>
          <w:rFonts w:hint="eastAsia" w:ascii="宋体" w:hAnsi="宋体" w:eastAsia="宋体" w:cs="宋体"/>
          <w:b w:val="0"/>
          <w:bCs w:val="0"/>
          <w:kern w:val="2"/>
          <w:sz w:val="21"/>
          <w:szCs w:val="21"/>
          <w:lang w:val="en-US" w:eastAsia="zh-CN" w:bidi="ar-SA"/>
        </w:rPr>
        <w:t>》进行审定。</w:t>
      </w:r>
    </w:p>
    <w:bookmarkEnd w:id="11"/>
    <w:p w14:paraId="35C3C864">
      <w:pPr>
        <w:pStyle w:val="2"/>
        <w:spacing w:before="156" w:after="156" w:line="360" w:lineRule="auto"/>
        <w:rPr>
          <w:b w:val="0"/>
          <w:bCs w:val="0"/>
        </w:rPr>
      </w:pPr>
      <w:r>
        <w:rPr>
          <w:rFonts w:hint="eastAsia"/>
          <w:b w:val="0"/>
          <w:bCs w:val="0"/>
        </w:rPr>
        <w:t>二、编制原则和依据</w:t>
      </w:r>
    </w:p>
    <w:p w14:paraId="3F1A852F">
      <w:pPr>
        <w:pStyle w:val="3"/>
        <w:spacing w:before="156" w:after="156" w:line="360" w:lineRule="auto"/>
        <w:rPr>
          <w:b w:val="0"/>
          <w:bCs w:val="0"/>
        </w:rPr>
      </w:pPr>
      <w:bookmarkStart w:id="12" w:name="_Toc464728925"/>
      <w:r>
        <w:rPr>
          <w:rFonts w:hint="eastAsia"/>
          <w:b w:val="0"/>
          <w:bCs w:val="0"/>
        </w:rPr>
        <w:t>（一）编制原则</w:t>
      </w:r>
      <w:bookmarkEnd w:id="12"/>
    </w:p>
    <w:p w14:paraId="314F0F02">
      <w:pPr>
        <w:spacing w:line="360" w:lineRule="auto"/>
        <w:ind w:firstLine="420" w:firstLineChars="200"/>
        <w:rPr>
          <w:rFonts w:hint="eastAsia" w:asciiTheme="minorEastAsia" w:hAnsiTheme="minorEastAsia" w:eastAsiaTheme="minorEastAsia" w:cstheme="minorEastAsia"/>
          <w:b w:val="0"/>
          <w:bCs w:val="0"/>
          <w:szCs w:val="21"/>
        </w:rPr>
      </w:pPr>
      <w:bookmarkStart w:id="13" w:name="_Toc464728926"/>
      <w:r>
        <w:rPr>
          <w:rFonts w:hint="eastAsia" w:asciiTheme="minorEastAsia" w:hAnsiTheme="minorEastAsia" w:eastAsiaTheme="minorEastAsia" w:cstheme="minorEastAsia"/>
          <w:b w:val="0"/>
          <w:bCs w:val="0"/>
          <w:szCs w:val="21"/>
        </w:rPr>
        <w:t>JJF 1071《国家计量校准规范编写规则》、JJF 1001《通用计量术语及定义》和JJF 1059.1《测量不确定度评定与表示》共同构成支撑校准规范制修订工作的基础性系列规范。</w:t>
      </w:r>
    </w:p>
    <w:p w14:paraId="06E7540C">
      <w:pPr>
        <w:spacing w:line="360" w:lineRule="auto"/>
        <w:ind w:firstLine="420" w:firstLineChars="200"/>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本规范参考了GB/T 12967.1-2020</w:t>
      </w:r>
      <w:r>
        <w:rPr>
          <w:rFonts w:hint="eastAsia" w:asciiTheme="minorEastAsia" w:hAnsiTheme="minorEastAsia" w:eastAsiaTheme="minorEastAsia" w:cstheme="minorEastAsia"/>
          <w:b w:val="0"/>
          <w:bCs w:val="0"/>
          <w:szCs w:val="21"/>
          <w:lang w:eastAsia="zh-CN"/>
        </w:rPr>
        <w:t>《铝及铝合金阳极氧化膜及有机聚合物膜检测方法 第1部分：耐磨性的测定》</w:t>
      </w:r>
      <w:r>
        <w:rPr>
          <w:rFonts w:hint="eastAsia" w:asciiTheme="minorEastAsia" w:hAnsiTheme="minorEastAsia" w:eastAsiaTheme="minorEastAsia" w:cstheme="minorEastAsia"/>
          <w:b w:val="0"/>
          <w:bCs w:val="0"/>
          <w:szCs w:val="21"/>
        </w:rPr>
        <w:t>和YS/T 1186-2017</w:t>
      </w:r>
      <w:r>
        <w:rPr>
          <w:rFonts w:hint="eastAsia" w:asciiTheme="minorEastAsia" w:hAnsiTheme="minorEastAsia" w:eastAsiaTheme="minorEastAsia" w:cstheme="minorEastAsia"/>
          <w:b w:val="0"/>
          <w:bCs w:val="0"/>
          <w:szCs w:val="21"/>
          <w:lang w:eastAsia="zh-CN"/>
        </w:rPr>
        <w:t>《铝表面阳极氧化膜与有机聚合物膜耐磨性能测试用落砂试验仪》</w:t>
      </w:r>
      <w:r>
        <w:rPr>
          <w:rFonts w:hint="eastAsia" w:asciiTheme="minorEastAsia" w:hAnsiTheme="minorEastAsia" w:eastAsiaTheme="minorEastAsia" w:cstheme="minorEastAsia"/>
          <w:b w:val="0"/>
          <w:bCs w:val="0"/>
          <w:szCs w:val="21"/>
        </w:rPr>
        <w:t>的技术内容。</w:t>
      </w:r>
    </w:p>
    <w:p w14:paraId="30DE95D9">
      <w:pPr>
        <w:pStyle w:val="3"/>
        <w:spacing w:before="156" w:after="156" w:line="360" w:lineRule="auto"/>
        <w:rPr>
          <w:rFonts w:ascii="宋体" w:hAnsi="宋体"/>
          <w:b w:val="0"/>
          <w:bCs w:val="0"/>
        </w:rPr>
      </w:pPr>
      <w:r>
        <w:rPr>
          <w:rFonts w:hint="eastAsia"/>
          <w:b w:val="0"/>
          <w:bCs w:val="0"/>
        </w:rPr>
        <w:t>（二）确定主要内</w:t>
      </w:r>
      <w:bookmarkEnd w:id="13"/>
      <w:r>
        <w:rPr>
          <w:rFonts w:hint="eastAsia"/>
          <w:b w:val="0"/>
          <w:bCs w:val="0"/>
        </w:rPr>
        <w:t>容</w:t>
      </w:r>
    </w:p>
    <w:p w14:paraId="3099D9D4">
      <w:pPr>
        <w:pStyle w:val="4"/>
        <w:spacing w:before="156" w:after="156" w:line="360" w:lineRule="auto"/>
        <w:rPr>
          <w:b w:val="0"/>
          <w:bCs w:val="0"/>
        </w:rPr>
      </w:pPr>
      <w:bookmarkStart w:id="14" w:name="_Toc193860177"/>
      <w:bookmarkStart w:id="15" w:name="_Toc193860027"/>
      <w:bookmarkStart w:id="16" w:name="_Toc193860208"/>
      <w:bookmarkStart w:id="17" w:name="_Toc23837_WPSOffice_Level1"/>
      <w:bookmarkStart w:id="18" w:name="_Toc500258929"/>
      <w:bookmarkStart w:id="19" w:name="_Toc464728964"/>
      <w:r>
        <w:rPr>
          <w:rFonts w:hint="eastAsia"/>
          <w:b w:val="0"/>
          <w:bCs w:val="0"/>
        </w:rPr>
        <w:t>1</w:t>
      </w:r>
      <w:r>
        <w:rPr>
          <w:rFonts w:hint="eastAsia"/>
          <w:b w:val="0"/>
          <w:bCs w:val="0"/>
          <w:lang w:val="en-US" w:eastAsia="zh-CN"/>
        </w:rPr>
        <w:t xml:space="preserve"> </w:t>
      </w:r>
      <w:r>
        <w:rPr>
          <w:rFonts w:hint="eastAsia"/>
          <w:b w:val="0"/>
          <w:bCs w:val="0"/>
        </w:rPr>
        <w:t>范围</w:t>
      </w:r>
      <w:bookmarkEnd w:id="14"/>
      <w:bookmarkEnd w:id="15"/>
      <w:bookmarkEnd w:id="16"/>
      <w:bookmarkEnd w:id="17"/>
      <w:bookmarkEnd w:id="18"/>
    </w:p>
    <w:p w14:paraId="607BE654">
      <w:pPr>
        <w:spacing w:line="360" w:lineRule="auto"/>
        <w:ind w:firstLine="420" w:firstLineChars="200"/>
        <w:rPr>
          <w:rFonts w:hint="eastAsia" w:asciiTheme="minorEastAsia" w:hAnsiTheme="minorEastAsia" w:eastAsiaTheme="minorEastAsia" w:cstheme="minorEastAsia"/>
          <w:kern w:val="0"/>
          <w:szCs w:val="21"/>
        </w:rPr>
      </w:pPr>
      <w:bookmarkStart w:id="20" w:name="_Toc193860209"/>
      <w:bookmarkStart w:id="21" w:name="_Toc193860178"/>
      <w:bookmarkStart w:id="22" w:name="_Toc193860028"/>
      <w:bookmarkStart w:id="23" w:name="_Toc500258930"/>
      <w:bookmarkStart w:id="24" w:name="_Toc7848_WPSOffice_Level1"/>
      <w:r>
        <w:rPr>
          <w:rFonts w:hint="eastAsia" w:asciiTheme="minorEastAsia" w:hAnsiTheme="minorEastAsia" w:eastAsiaTheme="minorEastAsia" w:cstheme="minorEastAsia"/>
          <w:kern w:val="0"/>
          <w:szCs w:val="21"/>
        </w:rPr>
        <w:t>本规范适用于铝合金阳极氧化膜及有机聚合物膜用落砂试验机的校准。</w:t>
      </w:r>
    </w:p>
    <w:p w14:paraId="3E1EDF1F">
      <w:pPr>
        <w:pStyle w:val="58"/>
        <w:spacing w:line="360" w:lineRule="auto"/>
        <w:ind w:firstLine="316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铝合金阳极氧化膜及有机聚合物膜用落砂试验机（以下简称落砂试验机）用于铝表面的阳极氧化膜、阳极氧化电泳涂漆复合膜以及有机聚合物喷涂膜的耐磨性能</w:t>
      </w:r>
      <w:r>
        <w:rPr>
          <w:rFonts w:hint="eastAsia" w:asciiTheme="minorEastAsia" w:hAnsiTheme="minorEastAsia" w:eastAsiaTheme="minorEastAsia" w:cstheme="minorEastAsia"/>
          <w:szCs w:val="21"/>
          <w:lang w:val="en-US" w:eastAsia="zh-CN"/>
        </w:rPr>
        <w:t>测试。</w:t>
      </w:r>
    </w:p>
    <w:p w14:paraId="152DB701">
      <w:pPr>
        <w:pStyle w:val="4"/>
        <w:spacing w:before="156" w:after="156" w:line="360" w:lineRule="auto"/>
        <w:rPr>
          <w:b w:val="0"/>
          <w:bCs w:val="0"/>
        </w:rPr>
      </w:pPr>
      <w:r>
        <w:rPr>
          <w:rFonts w:hint="eastAsia"/>
          <w:b w:val="0"/>
          <w:bCs w:val="0"/>
        </w:rPr>
        <w:t>2 引用文</w:t>
      </w:r>
      <w:bookmarkEnd w:id="20"/>
      <w:bookmarkEnd w:id="21"/>
      <w:bookmarkEnd w:id="22"/>
      <w:r>
        <w:rPr>
          <w:rFonts w:hint="eastAsia"/>
          <w:b w:val="0"/>
          <w:bCs w:val="0"/>
        </w:rPr>
        <w:t>件</w:t>
      </w:r>
      <w:bookmarkEnd w:id="23"/>
      <w:bookmarkEnd w:id="24"/>
    </w:p>
    <w:p w14:paraId="440F3E60">
      <w:pPr>
        <w:spacing w:line="360" w:lineRule="auto"/>
        <w:ind w:firstLine="420" w:firstLineChars="200"/>
        <w:rPr>
          <w:rFonts w:hint="eastAsia" w:asciiTheme="minorEastAsia" w:hAnsiTheme="minorEastAsia" w:eastAsiaTheme="minorEastAsia" w:cstheme="minorEastAsia"/>
          <w:szCs w:val="21"/>
          <w:lang w:val="en-US" w:eastAsia="zh-CN"/>
        </w:rPr>
      </w:pPr>
      <w:bookmarkStart w:id="25" w:name="_Toc193860211"/>
      <w:bookmarkStart w:id="26" w:name="_Toc193619055"/>
      <w:bookmarkStart w:id="27" w:name="_Toc193860180"/>
      <w:bookmarkStart w:id="28" w:name="_Toc193618952"/>
      <w:bookmarkStart w:id="29" w:name="_Toc500258937"/>
      <w:bookmarkStart w:id="30" w:name="_Toc13054_WPSOffice_Level1"/>
      <w:bookmarkStart w:id="31" w:name="_Toc193619097"/>
      <w:bookmarkStart w:id="32" w:name="_Toc193860030"/>
      <w:r>
        <w:rPr>
          <w:rFonts w:hint="eastAsia" w:asciiTheme="minorEastAsia" w:hAnsiTheme="minorEastAsia" w:eastAsiaTheme="minorEastAsia" w:cstheme="minorEastAsia"/>
          <w:szCs w:val="21"/>
          <w:lang w:val="en-US" w:eastAsia="zh-CN"/>
        </w:rPr>
        <w:t>在磨料流量偏差的校准方法中，磨料应满足相关标准的规定，因此本规范引用了GB/T 17671《水泥胶砂强度检验方法（ISO法）》和GB/T 2480《普通磨料 碳化硅》。</w:t>
      </w:r>
    </w:p>
    <w:p w14:paraId="59CDD398">
      <w:pPr>
        <w:spacing w:line="360" w:lineRule="auto"/>
        <w:rPr>
          <w:rFonts w:hint="default" w:asciiTheme="minorEastAsia" w:hAnsiTheme="minorEastAsia" w:eastAsiaTheme="minorEastAsia" w:cstheme="minorEastAsia"/>
          <w:szCs w:val="21"/>
          <w:lang w:val="en-US" w:eastAsia="zh-CN"/>
        </w:rPr>
      </w:pPr>
      <w:r>
        <w:drawing>
          <wp:inline distT="0" distB="0" distL="114300" distR="114300">
            <wp:extent cx="5936615" cy="4991735"/>
            <wp:effectExtent l="0" t="0" r="6985"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936615" cy="4991735"/>
                    </a:xfrm>
                    <a:prstGeom prst="rect">
                      <a:avLst/>
                    </a:prstGeom>
                    <a:noFill/>
                    <a:ln>
                      <a:noFill/>
                    </a:ln>
                  </pic:spPr>
                </pic:pic>
              </a:graphicData>
            </a:graphic>
          </wp:inline>
        </w:drawing>
      </w:r>
    </w:p>
    <w:p w14:paraId="6EB93489">
      <w:pPr>
        <w:pStyle w:val="4"/>
        <w:spacing w:before="156" w:after="156" w:line="360" w:lineRule="auto"/>
        <w:rPr>
          <w:b w:val="0"/>
          <w:bCs w:val="0"/>
        </w:rPr>
      </w:pPr>
      <w:r>
        <w:rPr>
          <w:rFonts w:hint="eastAsia"/>
          <w:b w:val="0"/>
          <w:bCs w:val="0"/>
        </w:rPr>
        <w:t>3 概述</w:t>
      </w:r>
      <w:bookmarkEnd w:id="25"/>
      <w:bookmarkEnd w:id="26"/>
      <w:bookmarkEnd w:id="27"/>
      <w:bookmarkEnd w:id="28"/>
      <w:bookmarkEnd w:id="29"/>
      <w:bookmarkEnd w:id="30"/>
      <w:bookmarkEnd w:id="31"/>
      <w:bookmarkEnd w:id="32"/>
    </w:p>
    <w:p w14:paraId="2291AC32">
      <w:pPr>
        <w:spacing w:line="360" w:lineRule="auto"/>
        <w:ind w:firstLine="420" w:firstLineChars="200"/>
        <w:rPr>
          <w:rFonts w:hint="eastAsia" w:asciiTheme="minorEastAsia" w:hAnsiTheme="minorEastAsia" w:eastAsiaTheme="minorEastAsia" w:cstheme="minorEastAsia"/>
          <w:szCs w:val="21"/>
          <w:lang w:val="en-US" w:eastAsia="zh-CN"/>
        </w:rPr>
      </w:pPr>
      <w:bookmarkStart w:id="33" w:name="_Toc193619056"/>
      <w:bookmarkStart w:id="34" w:name="_Toc193619098"/>
      <w:bookmarkStart w:id="35" w:name="_Toc193618953"/>
      <w:bookmarkStart w:id="36" w:name="_Toc193860181"/>
      <w:bookmarkStart w:id="37" w:name="_Toc193860031"/>
      <w:bookmarkStart w:id="38" w:name="_Toc500258938"/>
      <w:bookmarkStart w:id="39" w:name="_Toc193860212"/>
      <w:bookmarkStart w:id="40" w:name="_Toc19851_WPSOffice_Level1"/>
      <w:r>
        <w:rPr>
          <w:rFonts w:hint="eastAsia" w:asciiTheme="minorEastAsia" w:hAnsiTheme="minorEastAsia" w:eastAsiaTheme="minorEastAsia" w:cstheme="minorEastAsia"/>
          <w:szCs w:val="21"/>
        </w:rPr>
        <w:t>落砂</w:t>
      </w:r>
      <w:r>
        <w:rPr>
          <w:rFonts w:hint="eastAsia" w:asciiTheme="minorEastAsia" w:hAnsiTheme="minorEastAsia" w:eastAsiaTheme="minorEastAsia" w:cstheme="minorEastAsia"/>
          <w:szCs w:val="21"/>
          <w:lang w:val="en-US" w:eastAsia="zh-CN"/>
        </w:rPr>
        <w:t>试验机的工作原理是通过选用规定的磨料，在规定的高度自由下落冲刷试样表面，直至磨穿膜层，以落砂时间和下落磨料质量或体积来评定膜层的耐磨性能。</w:t>
      </w:r>
    </w:p>
    <w:p w14:paraId="369425A6">
      <w:pPr>
        <w:spacing w:line="360" w:lineRule="auto"/>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根据适用的测试膜层种类和磨料类型，</w:t>
      </w:r>
      <w:r>
        <w:rPr>
          <w:rFonts w:hint="eastAsia" w:asciiTheme="minorEastAsia" w:hAnsiTheme="minorEastAsia" w:eastAsiaTheme="minorEastAsia" w:cstheme="minorEastAsia"/>
          <w:szCs w:val="21"/>
        </w:rPr>
        <w:t>落砂</w:t>
      </w:r>
      <w:r>
        <w:rPr>
          <w:rFonts w:hint="eastAsia" w:asciiTheme="minorEastAsia" w:hAnsiTheme="minorEastAsia" w:eastAsiaTheme="minorEastAsia" w:cstheme="minorEastAsia"/>
          <w:szCs w:val="21"/>
          <w:lang w:val="en-US" w:eastAsia="zh-CN"/>
        </w:rPr>
        <w:t>试验机可分为A型和B型。本规范分别介绍了A型、B型落砂试验机适用的测试膜层种类和磨料类型（见表2），给出了A型、B型落砂试验机的结构示意图，示意图出自</w:t>
      </w:r>
      <w:r>
        <w:rPr>
          <w:rFonts w:hint="eastAsia" w:asciiTheme="minorEastAsia" w:hAnsiTheme="minorEastAsia" w:eastAsiaTheme="minorEastAsia" w:cstheme="minorEastAsia"/>
          <w:b w:val="0"/>
          <w:bCs w:val="0"/>
          <w:szCs w:val="21"/>
        </w:rPr>
        <w:t>YS/T 1186-2017</w:t>
      </w:r>
      <w:r>
        <w:rPr>
          <w:rFonts w:hint="eastAsia" w:asciiTheme="minorEastAsia" w:hAnsiTheme="minorEastAsia" w:eastAsiaTheme="minorEastAsia" w:cstheme="minorEastAsia"/>
          <w:b w:val="0"/>
          <w:bCs w:val="0"/>
          <w:szCs w:val="21"/>
          <w:lang w:eastAsia="zh-CN"/>
        </w:rPr>
        <w:t>《铝表面阳极氧化膜与有机聚合物膜耐磨性能测试用落砂试验仪》</w:t>
      </w:r>
      <w:r>
        <w:rPr>
          <w:rFonts w:hint="eastAsia" w:asciiTheme="minorEastAsia" w:hAnsiTheme="minorEastAsia" w:eastAsiaTheme="minorEastAsia" w:cstheme="minorEastAsia"/>
          <w:szCs w:val="21"/>
          <w:lang w:val="en-US" w:eastAsia="zh-CN"/>
        </w:rPr>
        <w:t>。</w:t>
      </w:r>
    </w:p>
    <w:p w14:paraId="7E8C22AF">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表 2落砂试验机类型及其适用的测试膜层种类和磨料类型</w:t>
      </w:r>
    </w:p>
    <w:tbl>
      <w:tblPr>
        <w:tblStyle w:val="42"/>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253"/>
        <w:gridCol w:w="5062"/>
        <w:gridCol w:w="2254"/>
      </w:tblGrid>
      <w:tr w14:paraId="5D603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77" w:type="pct"/>
            <w:tcBorders>
              <w:tl2br w:val="nil"/>
              <w:tr2bl w:val="nil"/>
            </w:tcBorders>
            <w:noWrap w:val="0"/>
            <w:vAlign w:val="center"/>
          </w:tcPr>
          <w:p w14:paraId="3AF76886">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落砂试验机类型</w:t>
            </w:r>
          </w:p>
        </w:tc>
        <w:tc>
          <w:tcPr>
            <w:tcW w:w="2644" w:type="pct"/>
            <w:tcBorders>
              <w:tl2br w:val="nil"/>
              <w:tr2bl w:val="nil"/>
            </w:tcBorders>
            <w:noWrap w:val="0"/>
            <w:vAlign w:val="center"/>
          </w:tcPr>
          <w:p w14:paraId="0433ABEA">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适用的测试膜层种类</w:t>
            </w:r>
          </w:p>
        </w:tc>
        <w:tc>
          <w:tcPr>
            <w:tcW w:w="1177" w:type="pct"/>
            <w:tcBorders>
              <w:tl2br w:val="nil"/>
              <w:tr2bl w:val="nil"/>
            </w:tcBorders>
            <w:noWrap w:val="0"/>
            <w:vAlign w:val="center"/>
          </w:tcPr>
          <w:p w14:paraId="7D92BB1A">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适用的磨料类型</w:t>
            </w:r>
          </w:p>
        </w:tc>
      </w:tr>
      <w:tr w14:paraId="67FA7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77" w:type="pct"/>
            <w:tcBorders>
              <w:tl2br w:val="nil"/>
              <w:tr2bl w:val="nil"/>
            </w:tcBorders>
            <w:noWrap w:val="0"/>
            <w:vAlign w:val="center"/>
          </w:tcPr>
          <w:p w14:paraId="42C191D5">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A型</w:t>
            </w:r>
          </w:p>
        </w:tc>
        <w:tc>
          <w:tcPr>
            <w:tcW w:w="2644" w:type="pct"/>
            <w:tcBorders>
              <w:tl2br w:val="nil"/>
              <w:tr2bl w:val="nil"/>
            </w:tcBorders>
            <w:noWrap w:val="0"/>
            <w:vAlign w:val="center"/>
          </w:tcPr>
          <w:p w14:paraId="4B729CE4">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阳极氧化膜、阳极氧化电泳涂漆复合膜</w:t>
            </w:r>
          </w:p>
        </w:tc>
        <w:tc>
          <w:tcPr>
            <w:tcW w:w="1177" w:type="pct"/>
            <w:tcBorders>
              <w:tl2br w:val="nil"/>
              <w:tr2bl w:val="nil"/>
            </w:tcBorders>
            <w:noWrap w:val="0"/>
            <w:vAlign w:val="center"/>
          </w:tcPr>
          <w:p w14:paraId="378E7E01">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碳化硅</w:t>
            </w:r>
          </w:p>
        </w:tc>
      </w:tr>
      <w:tr w14:paraId="42BD57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77" w:type="pct"/>
            <w:tcBorders>
              <w:tl2br w:val="nil"/>
              <w:tr2bl w:val="nil"/>
            </w:tcBorders>
            <w:noWrap w:val="0"/>
            <w:vAlign w:val="center"/>
          </w:tcPr>
          <w:p w14:paraId="4D5AD1AB">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B型</w:t>
            </w:r>
          </w:p>
        </w:tc>
        <w:tc>
          <w:tcPr>
            <w:tcW w:w="2644" w:type="pct"/>
            <w:tcBorders>
              <w:tl2br w:val="nil"/>
              <w:tr2bl w:val="nil"/>
            </w:tcBorders>
            <w:noWrap w:val="0"/>
            <w:vAlign w:val="center"/>
          </w:tcPr>
          <w:p w14:paraId="637F3F2C">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有机聚合物喷涂膜</w:t>
            </w:r>
          </w:p>
        </w:tc>
        <w:tc>
          <w:tcPr>
            <w:tcW w:w="1177" w:type="pct"/>
            <w:tcBorders>
              <w:tl2br w:val="nil"/>
              <w:tr2bl w:val="nil"/>
            </w:tcBorders>
            <w:noWrap w:val="0"/>
            <w:vAlign w:val="center"/>
          </w:tcPr>
          <w:p w14:paraId="25589371">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标准砂</w:t>
            </w:r>
          </w:p>
        </w:tc>
      </w:tr>
    </w:tbl>
    <w:p w14:paraId="43913F85">
      <w:pPr>
        <w:pStyle w:val="4"/>
        <w:spacing w:before="156" w:after="156" w:line="360" w:lineRule="auto"/>
        <w:jc w:val="center"/>
      </w:pPr>
      <w:r>
        <w:drawing>
          <wp:inline distT="0" distB="0" distL="114300" distR="114300">
            <wp:extent cx="5760085" cy="5407025"/>
            <wp:effectExtent l="0" t="0" r="12065"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760085" cy="5407025"/>
                    </a:xfrm>
                    <a:prstGeom prst="rect">
                      <a:avLst/>
                    </a:prstGeom>
                    <a:noFill/>
                    <a:ln>
                      <a:noFill/>
                    </a:ln>
                  </pic:spPr>
                </pic:pic>
              </a:graphicData>
            </a:graphic>
          </wp:inline>
        </w:drawing>
      </w:r>
    </w:p>
    <w:p w14:paraId="02E2A331"/>
    <w:p w14:paraId="17B197D9">
      <w:pPr>
        <w:jc w:val="center"/>
        <w:rPr>
          <w:rFonts w:hint="eastAsia"/>
        </w:rPr>
      </w:pPr>
      <w:r>
        <w:drawing>
          <wp:inline distT="0" distB="0" distL="114300" distR="114300">
            <wp:extent cx="5760085" cy="5204460"/>
            <wp:effectExtent l="0" t="0" r="12065" b="1524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5760085" cy="5204460"/>
                    </a:xfrm>
                    <a:prstGeom prst="rect">
                      <a:avLst/>
                    </a:prstGeom>
                    <a:noFill/>
                    <a:ln>
                      <a:noFill/>
                    </a:ln>
                  </pic:spPr>
                </pic:pic>
              </a:graphicData>
            </a:graphic>
          </wp:inline>
        </w:drawing>
      </w:r>
    </w:p>
    <w:p w14:paraId="3F711BA5">
      <w:pPr>
        <w:pStyle w:val="4"/>
        <w:spacing w:before="156" w:after="156" w:line="360" w:lineRule="auto"/>
        <w:rPr>
          <w:b w:val="0"/>
          <w:bCs w:val="0"/>
        </w:rPr>
      </w:pPr>
      <w:r>
        <w:rPr>
          <w:rFonts w:hint="eastAsia"/>
          <w:b w:val="0"/>
          <w:bCs w:val="0"/>
        </w:rPr>
        <w:t>4</w:t>
      </w:r>
      <w:r>
        <w:rPr>
          <w:rFonts w:hint="eastAsia"/>
          <w:b w:val="0"/>
          <w:bCs w:val="0"/>
          <w:lang w:val="en-US" w:eastAsia="zh-CN"/>
        </w:rPr>
        <w:t xml:space="preserve"> </w:t>
      </w:r>
      <w:r>
        <w:rPr>
          <w:rFonts w:hint="eastAsia"/>
          <w:b w:val="0"/>
          <w:bCs w:val="0"/>
        </w:rPr>
        <w:t>计量特性</w:t>
      </w:r>
      <w:bookmarkEnd w:id="33"/>
      <w:bookmarkEnd w:id="34"/>
      <w:bookmarkEnd w:id="35"/>
      <w:bookmarkEnd w:id="36"/>
      <w:bookmarkEnd w:id="37"/>
      <w:bookmarkEnd w:id="38"/>
      <w:bookmarkEnd w:id="39"/>
      <w:bookmarkEnd w:id="40"/>
      <w:bookmarkStart w:id="41" w:name="_Toc25829_WPSOffice_Level1"/>
    </w:p>
    <w:p w14:paraId="411AE9BE">
      <w:pPr>
        <w:spacing w:line="360" w:lineRule="auto"/>
        <w:ind w:firstLine="42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 w:val="21"/>
          <w:szCs w:val="21"/>
          <w:lang w:val="en-US" w:eastAsia="zh-CN"/>
        </w:rPr>
        <w:t>根</w:t>
      </w:r>
      <w:r>
        <w:rPr>
          <w:rFonts w:hint="eastAsia" w:asciiTheme="minorEastAsia" w:hAnsiTheme="minorEastAsia" w:eastAsiaTheme="minorEastAsia" w:cstheme="minorEastAsia"/>
          <w:szCs w:val="21"/>
          <w:lang w:val="en-US" w:eastAsia="zh-CN"/>
        </w:rPr>
        <w:t>据试验方法GB/T 12967.1-2020《铝及铝合金阳极氧化膜及有机聚合物膜检测方法 第1部分：耐磨性的测定》、</w:t>
      </w:r>
      <w:r>
        <w:rPr>
          <w:rFonts w:hint="eastAsia" w:asciiTheme="minorEastAsia" w:hAnsiTheme="minorEastAsia" w:eastAsiaTheme="minorEastAsia" w:cstheme="minorEastAsia"/>
          <w:b w:val="0"/>
          <w:bCs w:val="0"/>
          <w:szCs w:val="21"/>
        </w:rPr>
        <w:t>YS/T 1186-2017</w:t>
      </w:r>
      <w:r>
        <w:rPr>
          <w:rFonts w:hint="eastAsia" w:asciiTheme="minorEastAsia" w:hAnsiTheme="minorEastAsia" w:eastAsiaTheme="minorEastAsia" w:cstheme="minorEastAsia"/>
          <w:b w:val="0"/>
          <w:bCs w:val="0"/>
          <w:szCs w:val="21"/>
          <w:lang w:eastAsia="zh-CN"/>
        </w:rPr>
        <w:t>《铝表面阳极氧化膜与有机聚合物膜耐磨性能测试用落砂试验仪》</w:t>
      </w:r>
      <w:r>
        <w:rPr>
          <w:rFonts w:hint="eastAsia" w:asciiTheme="minorEastAsia" w:hAnsiTheme="minorEastAsia" w:eastAsiaTheme="minorEastAsia" w:cstheme="minorEastAsia"/>
          <w:szCs w:val="21"/>
          <w:lang w:val="en-US" w:eastAsia="zh-CN"/>
        </w:rPr>
        <w:t>和试验原理，落砂试验机对试验结果产生影响的性能指标包括导管内径、导管长度、试样固定架倾角、</w:t>
      </w:r>
      <w:r>
        <w:rPr>
          <w:rFonts w:hint="eastAsia" w:ascii="Times New Roman" w:hAnsi="Times New Roman" w:cs="Times New Roman"/>
          <w:sz w:val="21"/>
          <w:szCs w:val="21"/>
          <w:lang w:val="en-US" w:eastAsia="zh-CN"/>
        </w:rPr>
        <w:t>导管垂直度</w:t>
      </w:r>
      <w:r>
        <w:rPr>
          <w:rFonts w:hint="eastAsia" w:cs="Times New Roman"/>
          <w:sz w:val="21"/>
          <w:szCs w:val="21"/>
          <w:lang w:val="en-US" w:eastAsia="zh-CN"/>
        </w:rPr>
        <w:t>和磨料流量</w:t>
      </w:r>
      <w:r>
        <w:rPr>
          <w:rFonts w:hint="eastAsia" w:asciiTheme="minorEastAsia" w:hAnsiTheme="minorEastAsia" w:eastAsiaTheme="minorEastAsia" w:cstheme="minorEastAsia"/>
          <w:szCs w:val="21"/>
          <w:lang w:val="en-US" w:eastAsia="zh-CN"/>
        </w:rPr>
        <w:t>。</w:t>
      </w:r>
    </w:p>
    <w:p w14:paraId="42282F44">
      <w:pPr>
        <w:spacing w:line="360" w:lineRule="auto"/>
      </w:pPr>
      <w:r>
        <w:drawing>
          <wp:inline distT="0" distB="0" distL="114300" distR="114300">
            <wp:extent cx="5931535" cy="431165"/>
            <wp:effectExtent l="0" t="0" r="12065" b="698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5931535" cy="431165"/>
                    </a:xfrm>
                    <a:prstGeom prst="rect">
                      <a:avLst/>
                    </a:prstGeom>
                    <a:noFill/>
                    <a:ln>
                      <a:noFill/>
                    </a:ln>
                  </pic:spPr>
                </pic:pic>
              </a:graphicData>
            </a:graphic>
          </wp:inline>
        </w:drawing>
      </w:r>
    </w:p>
    <w:p w14:paraId="44DF9C3A">
      <w:pPr>
        <w:spacing w:line="360" w:lineRule="auto"/>
      </w:pPr>
      <w:r>
        <w:drawing>
          <wp:inline distT="0" distB="0" distL="114300" distR="114300">
            <wp:extent cx="5936615" cy="375285"/>
            <wp:effectExtent l="0" t="0" r="6985" b="571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tretch>
                      <a:fillRect/>
                    </a:stretch>
                  </pic:blipFill>
                  <pic:spPr>
                    <a:xfrm>
                      <a:off x="0" y="0"/>
                      <a:ext cx="5936615" cy="375285"/>
                    </a:xfrm>
                    <a:prstGeom prst="rect">
                      <a:avLst/>
                    </a:prstGeom>
                    <a:noFill/>
                    <a:ln>
                      <a:noFill/>
                    </a:ln>
                  </pic:spPr>
                </pic:pic>
              </a:graphicData>
            </a:graphic>
          </wp:inline>
        </w:drawing>
      </w:r>
    </w:p>
    <w:p w14:paraId="01360477">
      <w:pPr>
        <w:spacing w:line="360" w:lineRule="auto"/>
      </w:pPr>
      <w:r>
        <w:drawing>
          <wp:inline distT="0" distB="0" distL="114300" distR="114300">
            <wp:extent cx="5936615" cy="394335"/>
            <wp:effectExtent l="0" t="0" r="6985" b="571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2"/>
                    <a:stretch>
                      <a:fillRect/>
                    </a:stretch>
                  </pic:blipFill>
                  <pic:spPr>
                    <a:xfrm>
                      <a:off x="0" y="0"/>
                      <a:ext cx="5936615" cy="394335"/>
                    </a:xfrm>
                    <a:prstGeom prst="rect">
                      <a:avLst/>
                    </a:prstGeom>
                    <a:noFill/>
                    <a:ln>
                      <a:noFill/>
                    </a:ln>
                  </pic:spPr>
                </pic:pic>
              </a:graphicData>
            </a:graphic>
          </wp:inline>
        </w:drawing>
      </w:r>
    </w:p>
    <w:p w14:paraId="3DA59665">
      <w:pPr>
        <w:spacing w:line="360" w:lineRule="auto"/>
        <w:rPr>
          <w:rFonts w:hint="eastAsia" w:asciiTheme="minorEastAsia" w:hAnsiTheme="minorEastAsia" w:eastAsiaTheme="minorEastAsia" w:cstheme="minorEastAsia"/>
          <w:szCs w:val="21"/>
        </w:rPr>
      </w:pPr>
      <w:r>
        <w:drawing>
          <wp:inline distT="0" distB="0" distL="114300" distR="114300">
            <wp:extent cx="5810250" cy="1152525"/>
            <wp:effectExtent l="0" t="0" r="0" b="952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3"/>
                    <a:stretch>
                      <a:fillRect/>
                    </a:stretch>
                  </pic:blipFill>
                  <pic:spPr>
                    <a:xfrm>
                      <a:off x="0" y="0"/>
                      <a:ext cx="5810250" cy="1152525"/>
                    </a:xfrm>
                    <a:prstGeom prst="rect">
                      <a:avLst/>
                    </a:prstGeom>
                    <a:noFill/>
                    <a:ln>
                      <a:noFill/>
                    </a:ln>
                  </pic:spPr>
                </pic:pic>
              </a:graphicData>
            </a:graphic>
          </wp:inline>
        </w:drawing>
      </w:r>
    </w:p>
    <w:p w14:paraId="55708102">
      <w:pPr>
        <w:spacing w:line="360" w:lineRule="auto"/>
        <w:ind w:firstLine="420" w:firstLineChars="200"/>
        <w:rPr>
          <w:rFonts w:hint="eastAsia" w:cs="Times New Roman"/>
          <w:sz w:val="21"/>
          <w:szCs w:val="21"/>
          <w:lang w:val="en-US" w:eastAsia="zh-CN"/>
        </w:rPr>
      </w:pPr>
      <w:r>
        <w:rPr>
          <w:rFonts w:hint="eastAsia" w:asciiTheme="minorEastAsia" w:hAnsiTheme="minorEastAsia" w:eastAsiaTheme="minorEastAsia" w:cstheme="minorEastAsia"/>
          <w:szCs w:val="21"/>
        </w:rPr>
        <w:t>除此之外，还有一些其它因素可能会影响</w:t>
      </w:r>
      <w:r>
        <w:rPr>
          <w:rFonts w:hint="eastAsia" w:asciiTheme="minorEastAsia" w:hAnsiTheme="minorEastAsia" w:eastAsiaTheme="minorEastAsia" w:cstheme="minorEastAsia"/>
          <w:szCs w:val="21"/>
          <w:lang w:val="en-US" w:eastAsia="zh-CN"/>
        </w:rPr>
        <w:t>试验结果</w:t>
      </w:r>
      <w:r>
        <w:rPr>
          <w:rFonts w:hint="eastAsia" w:asciiTheme="minorEastAsia" w:hAnsiTheme="minorEastAsia" w:eastAsiaTheme="minorEastAsia" w:cstheme="minorEastAsia"/>
          <w:szCs w:val="21"/>
        </w:rPr>
        <w:t>准确度，但与主要指标相比，影响因素较小，故考虑到计量的可操作性及其他因素，</w:t>
      </w:r>
      <w:r>
        <w:rPr>
          <w:rFonts w:hint="eastAsia" w:asciiTheme="minorEastAsia" w:hAnsiTheme="minorEastAsia" w:eastAsiaTheme="minorEastAsia" w:cstheme="minorEastAsia"/>
          <w:szCs w:val="21"/>
          <w:lang w:val="en-US" w:eastAsia="zh-CN"/>
        </w:rPr>
        <w:t>本规范确定落砂试验机的计量特性为：</w:t>
      </w:r>
      <w:r>
        <w:rPr>
          <w:rFonts w:hint="default" w:ascii="Times New Roman" w:hAnsi="Times New Roman" w:eastAsia="宋体" w:cs="Times New Roman"/>
          <w:sz w:val="21"/>
          <w:szCs w:val="21"/>
          <w:lang w:val="en-US" w:eastAsia="zh-CN"/>
        </w:rPr>
        <w:t>导管内径</w:t>
      </w:r>
      <w:r>
        <w:rPr>
          <w:rFonts w:hint="eastAsia" w:ascii="Times New Roman" w:hAnsi="Times New Roman" w:eastAsia="宋体" w:cs="Times New Roman"/>
          <w:sz w:val="21"/>
          <w:szCs w:val="21"/>
          <w:lang w:val="en-US" w:eastAsia="zh-CN"/>
        </w:rPr>
        <w:t>偏差</w:t>
      </w:r>
      <w:r>
        <w:rPr>
          <w:rFonts w:hint="eastAsia" w:cs="Times New Roman"/>
          <w:sz w:val="21"/>
          <w:szCs w:val="21"/>
          <w:lang w:val="en-US" w:eastAsia="zh-CN"/>
        </w:rPr>
        <w:t>、</w:t>
      </w:r>
      <w:r>
        <w:rPr>
          <w:rFonts w:hint="default" w:ascii="Times New Roman" w:hAnsi="Times New Roman" w:cs="Times New Roman"/>
          <w:sz w:val="21"/>
          <w:szCs w:val="21"/>
          <w:lang w:val="en-US" w:eastAsia="zh-CN"/>
        </w:rPr>
        <w:t>导管长度</w:t>
      </w:r>
      <w:r>
        <w:rPr>
          <w:rFonts w:hint="eastAsia" w:ascii="Times New Roman" w:hAnsi="Times New Roman" w:cs="Times New Roman"/>
          <w:sz w:val="21"/>
          <w:szCs w:val="21"/>
          <w:lang w:val="en-US" w:eastAsia="zh-CN"/>
        </w:rPr>
        <w:t>偏差</w:t>
      </w:r>
      <w:r>
        <w:rPr>
          <w:rFonts w:hint="eastAsia" w:cs="Times New Roman"/>
          <w:sz w:val="21"/>
          <w:szCs w:val="21"/>
          <w:lang w:val="en-US" w:eastAsia="zh-CN"/>
        </w:rPr>
        <w:t>、</w:t>
      </w:r>
      <w:r>
        <w:rPr>
          <w:rFonts w:hint="default" w:ascii="Times New Roman" w:hAnsi="Times New Roman" w:cs="Times New Roman"/>
          <w:sz w:val="21"/>
          <w:szCs w:val="21"/>
          <w:lang w:val="en-US" w:eastAsia="zh-CN"/>
        </w:rPr>
        <w:t>试样固定架</w:t>
      </w:r>
      <w:r>
        <w:rPr>
          <w:rFonts w:hint="eastAsia" w:ascii="Times New Roman" w:hAnsi="Times New Roman" w:cs="Times New Roman"/>
          <w:sz w:val="21"/>
          <w:szCs w:val="21"/>
          <w:lang w:val="en-US" w:eastAsia="zh-CN"/>
        </w:rPr>
        <w:t>倾角偏差</w:t>
      </w:r>
      <w:r>
        <w:rPr>
          <w:rFonts w:hint="eastAsia" w:cs="Times New Roman"/>
          <w:sz w:val="21"/>
          <w:szCs w:val="21"/>
          <w:lang w:val="en-US" w:eastAsia="zh-CN"/>
        </w:rPr>
        <w:t>、</w:t>
      </w:r>
      <w:r>
        <w:rPr>
          <w:rFonts w:hint="eastAsia" w:ascii="Times New Roman" w:hAnsi="Times New Roman" w:cs="Times New Roman"/>
          <w:sz w:val="21"/>
          <w:szCs w:val="21"/>
          <w:lang w:val="en-US" w:eastAsia="zh-CN"/>
        </w:rPr>
        <w:t>导管垂直度偏差</w:t>
      </w:r>
      <w:r>
        <w:rPr>
          <w:rFonts w:hint="eastAsia" w:cs="Times New Roman"/>
          <w:sz w:val="21"/>
          <w:szCs w:val="21"/>
          <w:lang w:val="en-US" w:eastAsia="zh-CN"/>
        </w:rPr>
        <w:t>、</w:t>
      </w:r>
      <w:r>
        <w:rPr>
          <w:rFonts w:hint="eastAsia" w:ascii="Times New Roman" w:hAnsi="Times New Roman" w:cs="Times New Roman"/>
          <w:sz w:val="21"/>
          <w:szCs w:val="21"/>
          <w:lang w:val="en-US" w:eastAsia="zh-CN"/>
        </w:rPr>
        <w:t>磨料流量偏差</w:t>
      </w:r>
      <w:r>
        <w:rPr>
          <w:rFonts w:hint="eastAsia" w:cs="Times New Roman"/>
          <w:sz w:val="21"/>
          <w:szCs w:val="21"/>
          <w:lang w:val="en-US" w:eastAsia="zh-CN"/>
        </w:rPr>
        <w:t>。计量特性见表3。</w:t>
      </w:r>
    </w:p>
    <w:p w14:paraId="79468617">
      <w:pPr>
        <w:spacing w:line="360" w:lineRule="auto"/>
        <w:jc w:val="center"/>
        <w:rPr>
          <w:rFonts w:hint="default" w:cs="Times New Roman"/>
          <w:sz w:val="21"/>
          <w:szCs w:val="21"/>
          <w:lang w:val="en-US" w:eastAsia="zh-CN"/>
        </w:rPr>
      </w:pPr>
      <w:r>
        <w:rPr>
          <w:rFonts w:hint="default" w:cs="Times New Roman"/>
          <w:sz w:val="21"/>
          <w:szCs w:val="21"/>
          <w:lang w:val="en-US" w:eastAsia="zh-CN"/>
        </w:rPr>
        <w:t xml:space="preserve">表 </w:t>
      </w:r>
      <w:r>
        <w:rPr>
          <w:rFonts w:hint="eastAsia" w:cs="Times New Roman"/>
          <w:sz w:val="21"/>
          <w:szCs w:val="21"/>
          <w:lang w:val="en-US" w:eastAsia="zh-CN"/>
        </w:rPr>
        <w:t>3</w:t>
      </w:r>
      <w:r>
        <w:rPr>
          <w:rFonts w:hint="default" w:cs="Times New Roman"/>
          <w:sz w:val="21"/>
          <w:szCs w:val="21"/>
          <w:lang w:val="en-US" w:eastAsia="zh-CN"/>
        </w:rPr>
        <w:t>落砂试验机计量特性</w:t>
      </w:r>
    </w:p>
    <w:tbl>
      <w:tblPr>
        <w:tblStyle w:val="41"/>
        <w:tblW w:w="499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278"/>
        <w:gridCol w:w="985"/>
        <w:gridCol w:w="1670"/>
        <w:gridCol w:w="3627"/>
      </w:tblGrid>
      <w:tr w14:paraId="1633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6" w:hRule="atLeast"/>
          <w:jc w:val="center"/>
        </w:trPr>
        <w:tc>
          <w:tcPr>
            <w:tcW w:w="2229" w:type="pct"/>
            <w:gridSpan w:val="2"/>
            <w:tcBorders>
              <w:tl2br w:val="nil"/>
              <w:tr2bl w:val="nil"/>
            </w:tcBorders>
            <w:noWrap w:val="0"/>
            <w:vAlign w:val="center"/>
          </w:tcPr>
          <w:p w14:paraId="077EF9AD">
            <w:pPr>
              <w:adjustRightInd w:val="0"/>
              <w:snapToGrid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校准项目</w:t>
            </w:r>
          </w:p>
        </w:tc>
        <w:tc>
          <w:tcPr>
            <w:tcW w:w="873" w:type="pct"/>
            <w:tcBorders>
              <w:tl2br w:val="nil"/>
              <w:tr2bl w:val="nil"/>
            </w:tcBorders>
            <w:noWrap w:val="0"/>
            <w:vAlign w:val="center"/>
          </w:tcPr>
          <w:p w14:paraId="47A8313F">
            <w:pPr>
              <w:adjustRightInd w:val="0"/>
              <w:snapToGrid w:val="0"/>
              <w:spacing w:line="36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标称值</w:t>
            </w:r>
          </w:p>
        </w:tc>
        <w:tc>
          <w:tcPr>
            <w:tcW w:w="1896" w:type="pct"/>
            <w:vMerge w:val="restart"/>
            <w:tcBorders>
              <w:tl2br w:val="nil"/>
              <w:tr2bl w:val="nil"/>
            </w:tcBorders>
            <w:noWrap w:val="0"/>
            <w:vAlign w:val="center"/>
          </w:tcPr>
          <w:p w14:paraId="44FF5B32">
            <w:pPr>
              <w:adjustRightInd w:val="0"/>
              <w:snapToGrid w:val="0"/>
              <w:spacing w:line="360" w:lineRule="auto"/>
              <w:jc w:val="center"/>
              <w:rPr>
                <w:rFonts w:hint="default" w:ascii="Times New Roman" w:hAnsi="Times New Roman" w:cs="Times New Roman"/>
                <w:sz w:val="21"/>
                <w:szCs w:val="21"/>
                <w:lang w:val="en-US"/>
              </w:rPr>
            </w:pPr>
            <w:r>
              <w:rPr>
                <w:rFonts w:hint="eastAsia" w:ascii="Times New Roman" w:hAnsi="Times New Roman" w:cs="Times New Roman"/>
                <w:sz w:val="21"/>
                <w:szCs w:val="21"/>
                <w:lang w:val="en-US" w:eastAsia="zh-CN"/>
              </w:rPr>
              <w:t>最大允许误差（MPE）</w:t>
            </w:r>
          </w:p>
        </w:tc>
      </w:tr>
      <w:tr w14:paraId="06ED35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714" w:type="pct"/>
            <w:vMerge w:val="restart"/>
            <w:tcBorders>
              <w:tl2br w:val="nil"/>
              <w:tr2bl w:val="nil"/>
            </w:tcBorders>
            <w:noWrap w:val="0"/>
            <w:vAlign w:val="center"/>
          </w:tcPr>
          <w:p w14:paraId="615FC4F4">
            <w:pPr>
              <w:adjustRightInd w:val="0"/>
              <w:snapToGrid w:val="0"/>
              <w:spacing w:line="360" w:lineRule="auto"/>
              <w:jc w:val="center"/>
              <w:rPr>
                <w:rFonts w:hint="default" w:ascii="Times New Roman" w:hAnsi="Times New Roman" w:cs="Times New Roman"/>
                <w:sz w:val="21"/>
                <w:szCs w:val="21"/>
                <w:lang w:val="en-US"/>
              </w:rPr>
            </w:pPr>
            <w:r>
              <w:rPr>
                <w:rFonts w:hint="default" w:ascii="Times New Roman" w:hAnsi="Times New Roman" w:eastAsia="宋体" w:cs="Times New Roman"/>
                <w:sz w:val="21"/>
                <w:szCs w:val="21"/>
                <w:lang w:val="en-US" w:eastAsia="zh-CN"/>
              </w:rPr>
              <w:t>导管内径</w:t>
            </w:r>
            <w:r>
              <w:rPr>
                <w:rFonts w:hint="eastAsia" w:ascii="Times New Roman" w:hAnsi="Times New Roman" w:eastAsia="宋体" w:cs="Times New Roman"/>
                <w:sz w:val="21"/>
                <w:szCs w:val="21"/>
                <w:lang w:val="en-US" w:eastAsia="zh-CN"/>
              </w:rPr>
              <w:t>偏差</w:t>
            </w:r>
          </w:p>
        </w:tc>
        <w:tc>
          <w:tcPr>
            <w:tcW w:w="515" w:type="pct"/>
            <w:tcBorders>
              <w:tl2br w:val="nil"/>
              <w:tr2bl w:val="nil"/>
            </w:tcBorders>
            <w:noWrap w:val="0"/>
            <w:vAlign w:val="center"/>
          </w:tcPr>
          <w:p w14:paraId="25CA64B0">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A型</w:t>
            </w:r>
          </w:p>
        </w:tc>
        <w:tc>
          <w:tcPr>
            <w:tcW w:w="873" w:type="pct"/>
            <w:tcBorders>
              <w:tl2br w:val="nil"/>
              <w:tr2bl w:val="nil"/>
            </w:tcBorders>
            <w:noWrap w:val="0"/>
            <w:vAlign w:val="center"/>
          </w:tcPr>
          <w:p w14:paraId="0C9D1583">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20.0 mm</w:t>
            </w:r>
          </w:p>
        </w:tc>
        <w:tc>
          <w:tcPr>
            <w:tcW w:w="1896" w:type="pct"/>
            <w:vMerge w:val="restart"/>
            <w:tcBorders>
              <w:tl2br w:val="nil"/>
              <w:tr2bl w:val="nil"/>
            </w:tcBorders>
            <w:noWrap w:val="0"/>
            <w:vAlign w:val="center"/>
          </w:tcPr>
          <w:p w14:paraId="310C5CB8">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0.5 mm</w:t>
            </w:r>
          </w:p>
        </w:tc>
      </w:tr>
      <w:tr w14:paraId="408A77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714" w:type="pct"/>
            <w:vMerge w:val="continue"/>
            <w:tcBorders>
              <w:tl2br w:val="nil"/>
              <w:tr2bl w:val="nil"/>
            </w:tcBorders>
            <w:noWrap w:val="0"/>
            <w:vAlign w:val="center"/>
          </w:tcPr>
          <w:p w14:paraId="56FBD049">
            <w:pPr>
              <w:adjustRightInd w:val="0"/>
              <w:snapToGrid w:val="0"/>
              <w:spacing w:line="360" w:lineRule="auto"/>
              <w:jc w:val="center"/>
              <w:rPr>
                <w:rFonts w:hint="default" w:ascii="Times New Roman" w:hAnsi="Times New Roman" w:eastAsia="宋体" w:cs="Times New Roman"/>
                <w:sz w:val="21"/>
                <w:szCs w:val="21"/>
                <w:lang w:val="en-US" w:eastAsia="zh-CN"/>
              </w:rPr>
            </w:pPr>
          </w:p>
        </w:tc>
        <w:tc>
          <w:tcPr>
            <w:tcW w:w="515" w:type="pct"/>
            <w:tcBorders>
              <w:tl2br w:val="nil"/>
              <w:tr2bl w:val="nil"/>
            </w:tcBorders>
            <w:noWrap w:val="0"/>
            <w:vAlign w:val="center"/>
          </w:tcPr>
          <w:p w14:paraId="4F621216">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B型</w:t>
            </w:r>
          </w:p>
        </w:tc>
        <w:tc>
          <w:tcPr>
            <w:tcW w:w="873" w:type="pct"/>
            <w:tcBorders>
              <w:tl2br w:val="nil"/>
              <w:tr2bl w:val="nil"/>
            </w:tcBorders>
            <w:noWrap w:val="0"/>
            <w:vAlign w:val="center"/>
          </w:tcPr>
          <w:p w14:paraId="08C850E0">
            <w:pPr>
              <w:adjustRightInd w:val="0"/>
              <w:snapToGrid w:val="0"/>
              <w:spacing w:line="36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19.0 mm</w:t>
            </w:r>
          </w:p>
        </w:tc>
        <w:tc>
          <w:tcPr>
            <w:tcW w:w="1896" w:type="pct"/>
            <w:vMerge w:val="continue"/>
            <w:tcBorders>
              <w:tl2br w:val="nil"/>
              <w:tr2bl w:val="nil"/>
            </w:tcBorders>
            <w:noWrap w:val="0"/>
            <w:vAlign w:val="center"/>
          </w:tcPr>
          <w:p w14:paraId="0FDEA904">
            <w:pPr>
              <w:adjustRightInd w:val="0"/>
              <w:snapToGrid w:val="0"/>
              <w:spacing w:line="360" w:lineRule="auto"/>
              <w:jc w:val="center"/>
              <w:rPr>
                <w:rFonts w:hint="default" w:ascii="Times New Roman" w:hAnsi="Times New Roman" w:cs="Times New Roman"/>
                <w:sz w:val="21"/>
                <w:szCs w:val="21"/>
              </w:rPr>
            </w:pPr>
          </w:p>
        </w:tc>
      </w:tr>
      <w:tr w14:paraId="499DD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714" w:type="pct"/>
            <w:vMerge w:val="restart"/>
            <w:tcBorders>
              <w:tl2br w:val="nil"/>
              <w:tr2bl w:val="nil"/>
            </w:tcBorders>
            <w:noWrap w:val="0"/>
            <w:vAlign w:val="center"/>
          </w:tcPr>
          <w:p w14:paraId="43661517">
            <w:pPr>
              <w:adjustRightInd w:val="0"/>
              <w:snapToGrid w:val="0"/>
              <w:spacing w:line="360" w:lineRule="auto"/>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导管长度</w:t>
            </w:r>
            <w:r>
              <w:rPr>
                <w:rFonts w:hint="eastAsia" w:ascii="Times New Roman" w:hAnsi="Times New Roman" w:cs="Times New Roman"/>
                <w:sz w:val="21"/>
                <w:szCs w:val="21"/>
                <w:lang w:val="en-US" w:eastAsia="zh-CN"/>
              </w:rPr>
              <w:t>偏差</w:t>
            </w:r>
          </w:p>
        </w:tc>
        <w:tc>
          <w:tcPr>
            <w:tcW w:w="515" w:type="pct"/>
            <w:tcBorders>
              <w:tl2br w:val="nil"/>
              <w:tr2bl w:val="nil"/>
            </w:tcBorders>
            <w:noWrap w:val="0"/>
            <w:vAlign w:val="center"/>
          </w:tcPr>
          <w:p w14:paraId="3C4431D1">
            <w:pPr>
              <w:adjustRightInd w:val="0"/>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A型</w:t>
            </w:r>
          </w:p>
        </w:tc>
        <w:tc>
          <w:tcPr>
            <w:tcW w:w="873" w:type="pct"/>
            <w:tcBorders>
              <w:tl2br w:val="nil"/>
              <w:tr2bl w:val="nil"/>
            </w:tcBorders>
            <w:noWrap w:val="0"/>
            <w:vAlign w:val="center"/>
          </w:tcPr>
          <w:p w14:paraId="41C02CD7">
            <w:pPr>
              <w:adjustRightInd w:val="0"/>
              <w:snapToGrid w:val="0"/>
              <w:spacing w:line="36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970 mm</w:t>
            </w:r>
          </w:p>
        </w:tc>
        <w:tc>
          <w:tcPr>
            <w:tcW w:w="1896" w:type="pct"/>
            <w:vMerge w:val="restart"/>
            <w:tcBorders>
              <w:tl2br w:val="nil"/>
              <w:tr2bl w:val="nil"/>
            </w:tcBorders>
            <w:noWrap w:val="0"/>
            <w:vAlign w:val="center"/>
          </w:tcPr>
          <w:p w14:paraId="3C5F4EB6">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 xml:space="preserve"> mm</w:t>
            </w:r>
          </w:p>
        </w:tc>
      </w:tr>
      <w:tr w14:paraId="69F7E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714" w:type="pct"/>
            <w:vMerge w:val="continue"/>
            <w:tcBorders>
              <w:tl2br w:val="nil"/>
              <w:tr2bl w:val="nil"/>
            </w:tcBorders>
            <w:noWrap w:val="0"/>
            <w:vAlign w:val="center"/>
          </w:tcPr>
          <w:p w14:paraId="07B9B8B2">
            <w:pPr>
              <w:adjustRightInd w:val="0"/>
              <w:snapToGrid w:val="0"/>
              <w:spacing w:line="360" w:lineRule="auto"/>
              <w:jc w:val="center"/>
              <w:rPr>
                <w:rFonts w:hint="default" w:ascii="Times New Roman" w:hAnsi="Times New Roman" w:cs="Times New Roman"/>
                <w:sz w:val="21"/>
                <w:szCs w:val="21"/>
                <w:lang w:val="en-US" w:eastAsia="zh-CN"/>
              </w:rPr>
            </w:pPr>
          </w:p>
        </w:tc>
        <w:tc>
          <w:tcPr>
            <w:tcW w:w="515" w:type="pct"/>
            <w:tcBorders>
              <w:tl2br w:val="nil"/>
              <w:tr2bl w:val="nil"/>
            </w:tcBorders>
            <w:noWrap w:val="0"/>
            <w:vAlign w:val="center"/>
          </w:tcPr>
          <w:p w14:paraId="2B12DBDF">
            <w:pPr>
              <w:adjustRightInd w:val="0"/>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B型</w:t>
            </w:r>
          </w:p>
        </w:tc>
        <w:tc>
          <w:tcPr>
            <w:tcW w:w="873" w:type="pct"/>
            <w:tcBorders>
              <w:tl2br w:val="nil"/>
              <w:tr2bl w:val="nil"/>
            </w:tcBorders>
            <w:noWrap w:val="0"/>
            <w:vAlign w:val="center"/>
          </w:tcPr>
          <w:p w14:paraId="5DB59A7D">
            <w:pPr>
              <w:adjustRightInd w:val="0"/>
              <w:snapToGrid w:val="0"/>
              <w:spacing w:line="36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914 mm</w:t>
            </w:r>
          </w:p>
        </w:tc>
        <w:tc>
          <w:tcPr>
            <w:tcW w:w="1896" w:type="pct"/>
            <w:vMerge w:val="continue"/>
            <w:tcBorders>
              <w:tl2br w:val="nil"/>
              <w:tr2bl w:val="nil"/>
            </w:tcBorders>
            <w:noWrap w:val="0"/>
            <w:vAlign w:val="center"/>
          </w:tcPr>
          <w:p w14:paraId="0F9A109E">
            <w:pPr>
              <w:adjustRightInd w:val="0"/>
              <w:snapToGrid w:val="0"/>
              <w:spacing w:line="360" w:lineRule="auto"/>
              <w:jc w:val="center"/>
              <w:rPr>
                <w:rFonts w:hint="eastAsia" w:ascii="Times New Roman" w:hAnsi="Times New Roman" w:eastAsia="宋体" w:cs="Times New Roman"/>
                <w:sz w:val="21"/>
                <w:szCs w:val="21"/>
                <w:lang w:val="en-US" w:eastAsia="zh-CN"/>
              </w:rPr>
            </w:pPr>
          </w:p>
        </w:tc>
      </w:tr>
      <w:tr w14:paraId="06E114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714" w:type="pct"/>
            <w:vMerge w:val="restart"/>
            <w:tcBorders>
              <w:tl2br w:val="nil"/>
              <w:tr2bl w:val="nil"/>
            </w:tcBorders>
            <w:noWrap w:val="0"/>
            <w:vAlign w:val="center"/>
          </w:tcPr>
          <w:p w14:paraId="6B052A7A">
            <w:pPr>
              <w:adjustRightInd w:val="0"/>
              <w:snapToGrid w:val="0"/>
              <w:spacing w:line="36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试样固定架倾角偏差</w:t>
            </w:r>
          </w:p>
        </w:tc>
        <w:tc>
          <w:tcPr>
            <w:tcW w:w="515" w:type="pct"/>
            <w:tcBorders>
              <w:tl2br w:val="nil"/>
              <w:tr2bl w:val="nil"/>
            </w:tcBorders>
            <w:noWrap w:val="0"/>
            <w:vAlign w:val="center"/>
          </w:tcPr>
          <w:p w14:paraId="6E977984">
            <w:pPr>
              <w:adjustRightInd w:val="0"/>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A型</w:t>
            </w:r>
          </w:p>
        </w:tc>
        <w:tc>
          <w:tcPr>
            <w:tcW w:w="873" w:type="pct"/>
            <w:vMerge w:val="restart"/>
            <w:tcBorders>
              <w:tl2br w:val="nil"/>
              <w:tr2bl w:val="nil"/>
            </w:tcBorders>
            <w:noWrap w:val="0"/>
            <w:vAlign w:val="center"/>
          </w:tcPr>
          <w:p w14:paraId="15D01813">
            <w:pPr>
              <w:adjustRightInd w:val="0"/>
              <w:snapToGrid w:val="0"/>
              <w:spacing w:line="36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45.0°</w:t>
            </w:r>
          </w:p>
        </w:tc>
        <w:tc>
          <w:tcPr>
            <w:tcW w:w="1896" w:type="pct"/>
            <w:vMerge w:val="restart"/>
            <w:tcBorders>
              <w:tl2br w:val="nil"/>
              <w:tr2bl w:val="nil"/>
            </w:tcBorders>
            <w:noWrap w:val="0"/>
            <w:vAlign w:val="center"/>
          </w:tcPr>
          <w:p w14:paraId="76045E18">
            <w:pPr>
              <w:adjustRightInd w:val="0"/>
              <w:snapToGrid w:val="0"/>
              <w:spacing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w:t>
            </w:r>
          </w:p>
        </w:tc>
      </w:tr>
      <w:tr w14:paraId="267250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714" w:type="pct"/>
            <w:vMerge w:val="continue"/>
            <w:tcBorders>
              <w:tl2br w:val="nil"/>
              <w:tr2bl w:val="nil"/>
            </w:tcBorders>
            <w:noWrap w:val="0"/>
            <w:vAlign w:val="center"/>
          </w:tcPr>
          <w:p w14:paraId="045DC01E">
            <w:pPr>
              <w:adjustRightInd w:val="0"/>
              <w:snapToGrid w:val="0"/>
              <w:spacing w:line="360" w:lineRule="auto"/>
              <w:jc w:val="center"/>
              <w:rPr>
                <w:rFonts w:hint="default" w:ascii="Times New Roman" w:hAnsi="Times New Roman" w:cs="Times New Roman"/>
                <w:sz w:val="21"/>
                <w:szCs w:val="21"/>
                <w:lang w:val="en-US" w:eastAsia="zh-CN"/>
              </w:rPr>
            </w:pPr>
          </w:p>
        </w:tc>
        <w:tc>
          <w:tcPr>
            <w:tcW w:w="515" w:type="pct"/>
            <w:tcBorders>
              <w:tl2br w:val="nil"/>
              <w:tr2bl w:val="nil"/>
            </w:tcBorders>
            <w:noWrap w:val="0"/>
            <w:vAlign w:val="center"/>
          </w:tcPr>
          <w:p w14:paraId="5A777B25">
            <w:pPr>
              <w:adjustRightInd w:val="0"/>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B型</w:t>
            </w:r>
          </w:p>
        </w:tc>
        <w:tc>
          <w:tcPr>
            <w:tcW w:w="873" w:type="pct"/>
            <w:vMerge w:val="continue"/>
            <w:tcBorders>
              <w:tl2br w:val="nil"/>
              <w:tr2bl w:val="nil"/>
            </w:tcBorders>
            <w:noWrap w:val="0"/>
            <w:vAlign w:val="center"/>
          </w:tcPr>
          <w:p w14:paraId="7E669CF8">
            <w:pPr>
              <w:adjustRightInd w:val="0"/>
              <w:snapToGrid w:val="0"/>
              <w:spacing w:line="360" w:lineRule="auto"/>
              <w:jc w:val="center"/>
              <w:rPr>
                <w:rFonts w:hint="eastAsia" w:ascii="Times New Roman" w:hAnsi="Times New Roman" w:cs="Times New Roman"/>
                <w:sz w:val="21"/>
                <w:szCs w:val="21"/>
                <w:lang w:val="en-US" w:eastAsia="zh-CN"/>
              </w:rPr>
            </w:pPr>
          </w:p>
        </w:tc>
        <w:tc>
          <w:tcPr>
            <w:tcW w:w="1896" w:type="pct"/>
            <w:vMerge w:val="continue"/>
            <w:tcBorders>
              <w:tl2br w:val="nil"/>
              <w:tr2bl w:val="nil"/>
            </w:tcBorders>
            <w:noWrap w:val="0"/>
            <w:vAlign w:val="center"/>
          </w:tcPr>
          <w:p w14:paraId="78FCA669">
            <w:pPr>
              <w:adjustRightInd w:val="0"/>
              <w:snapToGrid w:val="0"/>
              <w:spacing w:line="360" w:lineRule="auto"/>
              <w:jc w:val="center"/>
              <w:rPr>
                <w:rFonts w:hint="default" w:ascii="Times New Roman" w:hAnsi="Times New Roman" w:cs="Times New Roman"/>
                <w:sz w:val="21"/>
                <w:szCs w:val="21"/>
              </w:rPr>
            </w:pPr>
          </w:p>
        </w:tc>
      </w:tr>
      <w:tr w14:paraId="5028EB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714" w:type="pct"/>
            <w:vMerge w:val="restart"/>
            <w:tcBorders>
              <w:tl2br w:val="nil"/>
              <w:tr2bl w:val="nil"/>
            </w:tcBorders>
            <w:noWrap w:val="0"/>
            <w:vAlign w:val="center"/>
          </w:tcPr>
          <w:p w14:paraId="23594BBF">
            <w:pPr>
              <w:adjustRightInd w:val="0"/>
              <w:snapToGrid w:val="0"/>
              <w:spacing w:line="36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导管垂直度偏差</w:t>
            </w:r>
          </w:p>
        </w:tc>
        <w:tc>
          <w:tcPr>
            <w:tcW w:w="515" w:type="pct"/>
            <w:tcBorders>
              <w:tl2br w:val="nil"/>
              <w:tr2bl w:val="nil"/>
            </w:tcBorders>
            <w:noWrap w:val="0"/>
            <w:vAlign w:val="center"/>
          </w:tcPr>
          <w:p w14:paraId="055E83C2">
            <w:pPr>
              <w:adjustRightInd w:val="0"/>
              <w:snapToGrid w:val="0"/>
              <w:spacing w:line="36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A型</w:t>
            </w:r>
          </w:p>
        </w:tc>
        <w:tc>
          <w:tcPr>
            <w:tcW w:w="873" w:type="pct"/>
            <w:vMerge w:val="restart"/>
            <w:tcBorders>
              <w:tl2br w:val="nil"/>
              <w:tr2bl w:val="nil"/>
            </w:tcBorders>
            <w:noWrap w:val="0"/>
            <w:vAlign w:val="center"/>
          </w:tcPr>
          <w:p w14:paraId="7634CF99">
            <w:pPr>
              <w:adjustRightInd w:val="0"/>
              <w:snapToGrid w:val="0"/>
              <w:spacing w:line="36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c>
          <w:tcPr>
            <w:tcW w:w="1896" w:type="pct"/>
            <w:vMerge w:val="restart"/>
            <w:tcBorders>
              <w:tl2br w:val="nil"/>
              <w:tr2bl w:val="nil"/>
            </w:tcBorders>
            <w:noWrap w:val="0"/>
            <w:vAlign w:val="center"/>
          </w:tcPr>
          <w:p w14:paraId="1C28CA6F">
            <w:pPr>
              <w:adjustRightInd w:val="0"/>
              <w:snapToGrid w:val="0"/>
              <w:spacing w:line="36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0.1 mm/m</w:t>
            </w:r>
          </w:p>
        </w:tc>
      </w:tr>
      <w:tr w14:paraId="510B9D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714" w:type="pct"/>
            <w:vMerge w:val="continue"/>
            <w:tcBorders>
              <w:tl2br w:val="nil"/>
              <w:tr2bl w:val="nil"/>
            </w:tcBorders>
            <w:noWrap w:val="0"/>
            <w:vAlign w:val="center"/>
          </w:tcPr>
          <w:p w14:paraId="032D156D">
            <w:pPr>
              <w:adjustRightInd w:val="0"/>
              <w:snapToGrid w:val="0"/>
              <w:spacing w:line="360" w:lineRule="auto"/>
              <w:jc w:val="center"/>
              <w:rPr>
                <w:rFonts w:hint="eastAsia" w:ascii="Times New Roman" w:hAnsi="Times New Roman" w:cs="Times New Roman"/>
                <w:sz w:val="21"/>
                <w:szCs w:val="21"/>
                <w:lang w:val="en-US" w:eastAsia="zh-CN"/>
              </w:rPr>
            </w:pPr>
          </w:p>
        </w:tc>
        <w:tc>
          <w:tcPr>
            <w:tcW w:w="515" w:type="pct"/>
            <w:tcBorders>
              <w:tl2br w:val="nil"/>
              <w:tr2bl w:val="nil"/>
            </w:tcBorders>
            <w:noWrap w:val="0"/>
            <w:vAlign w:val="center"/>
          </w:tcPr>
          <w:p w14:paraId="22B14FC4">
            <w:pPr>
              <w:adjustRightInd w:val="0"/>
              <w:snapToGrid w:val="0"/>
              <w:spacing w:line="36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B型</w:t>
            </w:r>
          </w:p>
        </w:tc>
        <w:tc>
          <w:tcPr>
            <w:tcW w:w="873" w:type="pct"/>
            <w:vMerge w:val="continue"/>
            <w:tcBorders>
              <w:tl2br w:val="nil"/>
              <w:tr2bl w:val="nil"/>
            </w:tcBorders>
            <w:noWrap w:val="0"/>
            <w:vAlign w:val="center"/>
          </w:tcPr>
          <w:p w14:paraId="44CD60F0">
            <w:pPr>
              <w:adjustRightInd w:val="0"/>
              <w:snapToGrid w:val="0"/>
              <w:spacing w:line="360" w:lineRule="auto"/>
              <w:jc w:val="center"/>
              <w:rPr>
                <w:rFonts w:hint="eastAsia" w:ascii="Times New Roman" w:hAnsi="Times New Roman" w:cs="Times New Roman"/>
                <w:sz w:val="21"/>
                <w:szCs w:val="21"/>
                <w:lang w:val="en-US" w:eastAsia="zh-CN"/>
              </w:rPr>
            </w:pPr>
          </w:p>
        </w:tc>
        <w:tc>
          <w:tcPr>
            <w:tcW w:w="1896" w:type="pct"/>
            <w:vMerge w:val="continue"/>
            <w:tcBorders>
              <w:tl2br w:val="nil"/>
              <w:tr2bl w:val="nil"/>
            </w:tcBorders>
            <w:noWrap w:val="0"/>
            <w:vAlign w:val="center"/>
          </w:tcPr>
          <w:p w14:paraId="152D8CE3">
            <w:pPr>
              <w:adjustRightInd w:val="0"/>
              <w:snapToGrid w:val="0"/>
              <w:spacing w:line="360" w:lineRule="auto"/>
              <w:jc w:val="center"/>
              <w:rPr>
                <w:rFonts w:hint="eastAsia" w:ascii="Times New Roman" w:hAnsi="Times New Roman" w:cs="Times New Roman"/>
                <w:sz w:val="21"/>
                <w:szCs w:val="21"/>
                <w:lang w:val="en-US" w:eastAsia="zh-CN"/>
              </w:rPr>
            </w:pPr>
          </w:p>
        </w:tc>
      </w:tr>
      <w:tr w14:paraId="7716FC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714" w:type="pct"/>
            <w:vMerge w:val="restart"/>
            <w:tcBorders>
              <w:tl2br w:val="nil"/>
              <w:tr2bl w:val="nil"/>
            </w:tcBorders>
            <w:noWrap w:val="0"/>
            <w:vAlign w:val="center"/>
          </w:tcPr>
          <w:p w14:paraId="1E40D128">
            <w:pPr>
              <w:adjustRightInd w:val="0"/>
              <w:snapToGrid w:val="0"/>
              <w:spacing w:line="36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磨料流量偏差</w:t>
            </w:r>
          </w:p>
        </w:tc>
        <w:tc>
          <w:tcPr>
            <w:tcW w:w="515" w:type="pct"/>
            <w:tcBorders>
              <w:tl2br w:val="nil"/>
              <w:tr2bl w:val="nil"/>
            </w:tcBorders>
            <w:shd w:val="clear"/>
            <w:noWrap w:val="0"/>
            <w:vAlign w:val="center"/>
          </w:tcPr>
          <w:p w14:paraId="49CD4686">
            <w:pPr>
              <w:adjustRightInd w:val="0"/>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A型</w:t>
            </w:r>
          </w:p>
        </w:tc>
        <w:tc>
          <w:tcPr>
            <w:tcW w:w="873" w:type="pct"/>
            <w:tcBorders>
              <w:tl2br w:val="nil"/>
              <w:tr2bl w:val="nil"/>
            </w:tcBorders>
            <w:shd w:val="clear"/>
            <w:noWrap w:val="0"/>
            <w:vAlign w:val="center"/>
          </w:tcPr>
          <w:p w14:paraId="42BDDC4B">
            <w:pPr>
              <w:adjustRightInd w:val="0"/>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320 g/min</w:t>
            </w:r>
          </w:p>
        </w:tc>
        <w:tc>
          <w:tcPr>
            <w:tcW w:w="1896" w:type="pct"/>
            <w:tcBorders>
              <w:tl2br w:val="nil"/>
              <w:tr2bl w:val="nil"/>
            </w:tcBorders>
            <w:shd w:val="clear"/>
            <w:noWrap w:val="0"/>
            <w:vAlign w:val="center"/>
          </w:tcPr>
          <w:p w14:paraId="2A9D4B22">
            <w:pPr>
              <w:adjustRightInd w:val="0"/>
              <w:snapToGrid w:val="0"/>
              <w:spacing w:line="36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10 g/min</w:t>
            </w:r>
          </w:p>
        </w:tc>
      </w:tr>
      <w:tr w14:paraId="6A152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1714" w:type="pct"/>
            <w:vMerge w:val="continue"/>
            <w:tcBorders>
              <w:tl2br w:val="nil"/>
              <w:tr2bl w:val="nil"/>
            </w:tcBorders>
            <w:noWrap w:val="0"/>
            <w:vAlign w:val="center"/>
          </w:tcPr>
          <w:p w14:paraId="660F1F0A">
            <w:pPr>
              <w:adjustRightInd w:val="0"/>
              <w:snapToGrid w:val="0"/>
              <w:spacing w:line="360" w:lineRule="auto"/>
              <w:jc w:val="center"/>
              <w:rPr>
                <w:rFonts w:hint="eastAsia" w:ascii="Times New Roman" w:hAnsi="Times New Roman" w:cs="Times New Roman"/>
                <w:sz w:val="21"/>
                <w:szCs w:val="21"/>
                <w:lang w:val="en-US" w:eastAsia="zh-CN"/>
              </w:rPr>
            </w:pPr>
          </w:p>
        </w:tc>
        <w:tc>
          <w:tcPr>
            <w:tcW w:w="515" w:type="pct"/>
            <w:tcBorders>
              <w:tl2br w:val="nil"/>
              <w:tr2bl w:val="nil"/>
            </w:tcBorders>
            <w:shd w:val="clear"/>
            <w:noWrap w:val="0"/>
            <w:vAlign w:val="center"/>
          </w:tcPr>
          <w:p w14:paraId="44138EF9">
            <w:pPr>
              <w:adjustRightInd w:val="0"/>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B型</w:t>
            </w:r>
          </w:p>
        </w:tc>
        <w:tc>
          <w:tcPr>
            <w:tcW w:w="873" w:type="pct"/>
            <w:tcBorders>
              <w:tl2br w:val="nil"/>
              <w:tr2bl w:val="nil"/>
            </w:tcBorders>
            <w:shd w:val="clear"/>
            <w:noWrap w:val="0"/>
            <w:vAlign w:val="center"/>
          </w:tcPr>
          <w:p w14:paraId="406BB9E9">
            <w:pPr>
              <w:adjustRightInd w:val="0"/>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0.118 L/s</w:t>
            </w:r>
          </w:p>
        </w:tc>
        <w:tc>
          <w:tcPr>
            <w:tcW w:w="1896" w:type="pct"/>
            <w:tcBorders>
              <w:tl2br w:val="nil"/>
              <w:tr2bl w:val="nil"/>
            </w:tcBorders>
            <w:shd w:val="clear"/>
            <w:noWrap w:val="0"/>
            <w:vAlign w:val="center"/>
          </w:tcPr>
          <w:p w14:paraId="2D96831B">
            <w:pPr>
              <w:adjustRightInd w:val="0"/>
              <w:snapToGrid w:val="0"/>
              <w:spacing w:line="36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0.007 L/s</w:t>
            </w:r>
          </w:p>
        </w:tc>
      </w:tr>
    </w:tbl>
    <w:p w14:paraId="75AD931F">
      <w:pPr>
        <w:spacing w:line="360" w:lineRule="auto"/>
        <w:rPr>
          <w:rFonts w:hint="default" w:cs="Times New Roman"/>
          <w:sz w:val="21"/>
          <w:szCs w:val="21"/>
          <w:lang w:val="en-US" w:eastAsia="zh-CN"/>
        </w:rPr>
      </w:pPr>
    </w:p>
    <w:p w14:paraId="160736D5">
      <w:pPr>
        <w:pStyle w:val="4"/>
        <w:spacing w:before="156" w:after="156" w:line="360" w:lineRule="auto"/>
        <w:rPr>
          <w:b w:val="0"/>
          <w:bCs w:val="0"/>
        </w:rPr>
      </w:pPr>
      <w:r>
        <w:rPr>
          <w:rFonts w:hint="eastAsia"/>
          <w:b w:val="0"/>
          <w:bCs w:val="0"/>
        </w:rPr>
        <w:t>5 校准条件</w:t>
      </w:r>
      <w:bookmarkEnd w:id="41"/>
      <w:bookmarkStart w:id="42" w:name="_Toc500258942"/>
      <w:bookmarkStart w:id="43" w:name="_Toc193860214"/>
      <w:bookmarkStart w:id="44" w:name="_Toc193860033"/>
      <w:bookmarkStart w:id="45" w:name="_Toc193860183"/>
    </w:p>
    <w:bookmarkEnd w:id="42"/>
    <w:bookmarkEnd w:id="43"/>
    <w:bookmarkEnd w:id="44"/>
    <w:bookmarkEnd w:id="45"/>
    <w:p w14:paraId="4D7F239C">
      <w:pPr>
        <w:spacing w:line="360" w:lineRule="auto"/>
        <w:ind w:firstLine="420"/>
        <w:rPr>
          <w:rFonts w:hint="eastAsia" w:ascii="宋体" w:hAnsi="宋体"/>
          <w:szCs w:val="21"/>
        </w:rPr>
      </w:pPr>
      <w:bookmarkStart w:id="46" w:name="_Toc193619058"/>
      <w:bookmarkStart w:id="47" w:name="_Toc193619100"/>
      <w:bookmarkStart w:id="48" w:name="_Toc193860185"/>
      <w:bookmarkStart w:id="49" w:name="_Toc2741_WPSOffice_Level1"/>
      <w:bookmarkStart w:id="50" w:name="_Toc193860216"/>
      <w:bookmarkStart w:id="51" w:name="_Toc500258944"/>
      <w:bookmarkStart w:id="52" w:name="_Toc193618955"/>
      <w:bookmarkStart w:id="53" w:name="_Toc193860035"/>
      <w:r>
        <w:rPr>
          <w:rFonts w:hint="eastAsia" w:ascii="宋体" w:hAnsi="宋体"/>
          <w:szCs w:val="21"/>
        </w:rPr>
        <w:t>对校准的环境条件、测量</w:t>
      </w:r>
      <w:r>
        <w:rPr>
          <w:rFonts w:hint="eastAsia" w:ascii="宋体" w:hAnsi="宋体"/>
          <w:szCs w:val="21"/>
          <w:lang w:val="en-US" w:eastAsia="zh-CN"/>
        </w:rPr>
        <w:t>标准</w:t>
      </w:r>
      <w:r>
        <w:rPr>
          <w:rFonts w:hint="eastAsia" w:ascii="宋体" w:hAnsi="宋体"/>
          <w:szCs w:val="21"/>
        </w:rPr>
        <w:t>进行了规定。</w:t>
      </w:r>
    </w:p>
    <w:p w14:paraId="077E0803">
      <w:pPr>
        <w:spacing w:line="360" w:lineRule="auto"/>
        <w:ind w:firstLine="42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YS/T 1186-2017《铝表面阳极氧化膜与有机聚合物膜耐磨性能测试用落砂试验仪》中规定落砂试验机使用条件为：a）环境温度：（10～35）℃；b）相对湿度：≤ 80 %；c）避风环境且周围无振动介质；d）地基水平度：≤ 0.2/1000。</w:t>
      </w:r>
    </w:p>
    <w:p w14:paraId="63452FF1">
      <w:pPr>
        <w:spacing w:line="360" w:lineRule="auto"/>
        <w:jc w:val="center"/>
        <w:rPr>
          <w:rFonts w:hint="eastAsia" w:asciiTheme="minorEastAsia" w:hAnsiTheme="minorEastAsia" w:eastAsiaTheme="minorEastAsia" w:cstheme="minorEastAsia"/>
          <w:szCs w:val="21"/>
          <w:lang w:val="en-US" w:eastAsia="zh-CN"/>
        </w:rPr>
      </w:pPr>
      <w:r>
        <w:drawing>
          <wp:inline distT="0" distB="0" distL="114300" distR="114300">
            <wp:extent cx="3456305" cy="1590040"/>
            <wp:effectExtent l="0" t="0" r="10795" b="1016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4"/>
                    <a:stretch>
                      <a:fillRect/>
                    </a:stretch>
                  </pic:blipFill>
                  <pic:spPr>
                    <a:xfrm>
                      <a:off x="0" y="0"/>
                      <a:ext cx="3456305" cy="1590040"/>
                    </a:xfrm>
                    <a:prstGeom prst="rect">
                      <a:avLst/>
                    </a:prstGeom>
                    <a:noFill/>
                    <a:ln>
                      <a:noFill/>
                    </a:ln>
                  </pic:spPr>
                </pic:pic>
              </a:graphicData>
            </a:graphic>
          </wp:inline>
        </w:drawing>
      </w:r>
    </w:p>
    <w:p w14:paraId="4CB82F7D">
      <w:pPr>
        <w:spacing w:line="360" w:lineRule="auto"/>
        <w:ind w:firstLine="42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落砂试验机的校准也应在此环境下进行。</w:t>
      </w:r>
    </w:p>
    <w:p w14:paraId="281E3CA6">
      <w:pPr>
        <w:spacing w:line="360" w:lineRule="auto"/>
        <w:ind w:firstLine="420"/>
        <w:rPr>
          <w:rFonts w:hint="default" w:ascii="宋体" w:hAnsi="宋体" w:eastAsiaTheme="minorEastAsia"/>
          <w:szCs w:val="21"/>
          <w:lang w:val="en-US" w:eastAsia="zh-CN"/>
        </w:rPr>
      </w:pPr>
      <w:r>
        <w:rPr>
          <w:rFonts w:hint="eastAsia" w:asciiTheme="minorEastAsia" w:hAnsiTheme="minorEastAsia" w:eastAsiaTheme="minorEastAsia" w:cstheme="minorEastAsia"/>
          <w:szCs w:val="21"/>
          <w:lang w:val="en-US" w:eastAsia="zh-CN"/>
        </w:rPr>
        <w:t>根据计量特性确定相应测量标准。一般可选用内径千分尺或标准塞规测量管材内径，但考虑到落砂试验机的导管是固定不可拆卸和倒置的，如用塞规时一旦不能通过，将导致塞规无法取出，因此本规范确定</w:t>
      </w:r>
      <w:r>
        <w:rPr>
          <w:rFonts w:hint="default" w:ascii="Times New Roman" w:hAnsi="Times New Roman" w:eastAsia="宋体" w:cs="Times New Roman"/>
          <w:sz w:val="21"/>
          <w:szCs w:val="21"/>
          <w:lang w:val="en-US" w:eastAsia="zh-CN"/>
        </w:rPr>
        <w:t>导管内径</w:t>
      </w:r>
      <w:r>
        <w:rPr>
          <w:rFonts w:hint="eastAsia" w:ascii="Times New Roman" w:hAnsi="Times New Roman" w:eastAsia="宋体" w:cs="Times New Roman"/>
          <w:sz w:val="21"/>
          <w:szCs w:val="21"/>
          <w:lang w:val="en-US" w:eastAsia="zh-CN"/>
        </w:rPr>
        <w:t>偏差</w:t>
      </w:r>
      <w:r>
        <w:rPr>
          <w:rFonts w:hint="eastAsia" w:cs="Times New Roman"/>
          <w:sz w:val="21"/>
          <w:szCs w:val="21"/>
          <w:lang w:val="en-US" w:eastAsia="zh-CN"/>
        </w:rPr>
        <w:t>的测量标准为</w:t>
      </w:r>
      <w:r>
        <w:rPr>
          <w:rFonts w:hint="eastAsia" w:asciiTheme="minorEastAsia" w:hAnsiTheme="minorEastAsia" w:eastAsiaTheme="minorEastAsia" w:cstheme="minorEastAsia"/>
          <w:szCs w:val="21"/>
          <w:lang w:val="en-US" w:eastAsia="zh-CN"/>
        </w:rPr>
        <w:t>内径千分尺。</w:t>
      </w:r>
      <w:r>
        <w:rPr>
          <w:rFonts w:hint="default" w:ascii="Times New Roman" w:hAnsi="Times New Roman" w:cs="Times New Roman"/>
          <w:sz w:val="21"/>
          <w:szCs w:val="21"/>
          <w:lang w:val="en-US" w:eastAsia="zh-CN"/>
        </w:rPr>
        <w:t>导管长度</w:t>
      </w:r>
      <w:r>
        <w:rPr>
          <w:rFonts w:hint="eastAsia" w:ascii="Times New Roman" w:hAnsi="Times New Roman" w:cs="Times New Roman"/>
          <w:sz w:val="21"/>
          <w:szCs w:val="21"/>
          <w:lang w:val="en-US" w:eastAsia="zh-CN"/>
        </w:rPr>
        <w:t>偏差</w:t>
      </w:r>
      <w:r>
        <w:rPr>
          <w:rFonts w:hint="eastAsia" w:cs="Times New Roman"/>
          <w:sz w:val="21"/>
          <w:szCs w:val="21"/>
          <w:lang w:val="en-US" w:eastAsia="zh-CN"/>
        </w:rPr>
        <w:t>、</w:t>
      </w:r>
      <w:r>
        <w:rPr>
          <w:rFonts w:hint="default" w:ascii="Times New Roman" w:hAnsi="Times New Roman" w:cs="Times New Roman"/>
          <w:sz w:val="21"/>
          <w:szCs w:val="21"/>
          <w:lang w:val="en-US" w:eastAsia="zh-CN"/>
        </w:rPr>
        <w:t>试样固定架</w:t>
      </w:r>
      <w:r>
        <w:rPr>
          <w:rFonts w:hint="eastAsia" w:ascii="Times New Roman" w:hAnsi="Times New Roman" w:cs="Times New Roman"/>
          <w:sz w:val="21"/>
          <w:szCs w:val="21"/>
          <w:lang w:val="en-US" w:eastAsia="zh-CN"/>
        </w:rPr>
        <w:t>倾角偏差</w:t>
      </w:r>
      <w:r>
        <w:rPr>
          <w:rFonts w:hint="eastAsia" w:cs="Times New Roman"/>
          <w:sz w:val="21"/>
          <w:szCs w:val="21"/>
          <w:lang w:val="en-US" w:eastAsia="zh-CN"/>
        </w:rPr>
        <w:t>、</w:t>
      </w:r>
      <w:r>
        <w:rPr>
          <w:rFonts w:hint="eastAsia" w:ascii="Times New Roman" w:hAnsi="Times New Roman" w:cs="Times New Roman"/>
          <w:sz w:val="21"/>
          <w:szCs w:val="21"/>
          <w:lang w:val="en-US" w:eastAsia="zh-CN"/>
        </w:rPr>
        <w:t>导管垂直度偏差</w:t>
      </w:r>
      <w:r>
        <w:rPr>
          <w:rFonts w:hint="eastAsia" w:cs="Times New Roman"/>
          <w:sz w:val="21"/>
          <w:szCs w:val="21"/>
          <w:lang w:val="en-US" w:eastAsia="zh-CN"/>
        </w:rPr>
        <w:t>分别选用</w:t>
      </w:r>
      <w:r>
        <w:rPr>
          <w:rFonts w:hint="eastAsia" w:eastAsia="宋体"/>
          <w:szCs w:val="21"/>
          <w:lang w:val="en-US" w:eastAsia="zh-CN"/>
        </w:rPr>
        <w:t>钢直尺</w:t>
      </w:r>
      <w:r>
        <w:rPr>
          <w:rFonts w:hint="eastAsia"/>
          <w:szCs w:val="21"/>
          <w:lang w:val="en-US" w:eastAsia="zh-CN"/>
        </w:rPr>
        <w:t>、数显倾角仪、框式水平仪。在落砂流量的校准中，需测量磨料质量和流出时间，因此用到测量标准电子天平和秒表。</w:t>
      </w:r>
    </w:p>
    <w:p w14:paraId="1DA18AC2">
      <w:pPr>
        <w:pStyle w:val="4"/>
        <w:spacing w:before="156" w:after="156" w:line="360" w:lineRule="auto"/>
        <w:rPr>
          <w:rFonts w:hint="eastAsia"/>
          <w:b w:val="0"/>
          <w:bCs w:val="0"/>
        </w:rPr>
      </w:pPr>
      <w:r>
        <w:rPr>
          <w:rFonts w:hint="eastAsia"/>
          <w:b w:val="0"/>
          <w:bCs w:val="0"/>
        </w:rPr>
        <w:t>6 校准项目和校准方法</w:t>
      </w:r>
      <w:bookmarkEnd w:id="46"/>
      <w:bookmarkEnd w:id="47"/>
      <w:bookmarkEnd w:id="48"/>
      <w:bookmarkEnd w:id="49"/>
      <w:bookmarkEnd w:id="50"/>
      <w:bookmarkEnd w:id="51"/>
      <w:bookmarkEnd w:id="52"/>
      <w:bookmarkEnd w:id="53"/>
    </w:p>
    <w:p w14:paraId="2573A9C2">
      <w:pPr>
        <w:spacing w:line="360" w:lineRule="auto"/>
        <w:ind w:firstLine="420"/>
        <w:rPr>
          <w:rFonts w:hint="eastAsia"/>
          <w:szCs w:val="21"/>
          <w:lang w:eastAsia="zh-CN"/>
        </w:rPr>
      </w:pPr>
      <w:bookmarkStart w:id="54" w:name="_Toc193860038"/>
      <w:bookmarkStart w:id="55" w:name="_Toc193619059"/>
      <w:bookmarkStart w:id="56" w:name="_Toc193860219"/>
      <w:bookmarkStart w:id="57" w:name="_Toc193860188"/>
      <w:bookmarkStart w:id="58" w:name="_Toc193619101"/>
      <w:bookmarkStart w:id="59" w:name="_Toc193618956"/>
      <w:bookmarkStart w:id="60" w:name="_Toc25466_WPSOffice_Level1"/>
      <w:bookmarkStart w:id="61" w:name="_Toc500258947"/>
      <w:r>
        <w:rPr>
          <w:rFonts w:hint="eastAsia" w:ascii="宋体" w:hAnsi="宋体"/>
          <w:szCs w:val="21"/>
        </w:rPr>
        <w:t>根据</w:t>
      </w:r>
      <w:r>
        <w:rPr>
          <w:rFonts w:hint="eastAsia" w:ascii="宋体" w:hAnsi="宋体"/>
          <w:szCs w:val="21"/>
          <w:lang w:val="en-US" w:eastAsia="zh-CN"/>
        </w:rPr>
        <w:t>试验机</w:t>
      </w:r>
      <w:r>
        <w:rPr>
          <w:rFonts w:hint="eastAsia" w:ascii="宋体" w:hAnsi="宋体"/>
          <w:szCs w:val="21"/>
        </w:rPr>
        <w:t>的技术构成以及</w:t>
      </w:r>
      <w:r>
        <w:rPr>
          <w:rFonts w:hint="eastAsia" w:ascii="宋体" w:hAnsi="宋体"/>
          <w:szCs w:val="21"/>
          <w:lang w:val="en-US" w:eastAsia="zh-CN"/>
        </w:rPr>
        <w:t>计量特性</w:t>
      </w:r>
      <w:r>
        <w:rPr>
          <w:rFonts w:hint="eastAsia" w:ascii="宋体" w:hAnsi="宋体"/>
          <w:szCs w:val="21"/>
        </w:rPr>
        <w:t>，确定出</w:t>
      </w:r>
      <w:r>
        <w:rPr>
          <w:rFonts w:hint="eastAsia" w:ascii="宋体" w:hAnsi="宋体"/>
          <w:szCs w:val="21"/>
          <w:lang w:val="en-US" w:eastAsia="zh-CN"/>
        </w:rPr>
        <w:t>试验机</w:t>
      </w:r>
      <w:r>
        <w:rPr>
          <w:rFonts w:hint="eastAsia" w:ascii="宋体" w:hAnsi="宋体"/>
          <w:szCs w:val="21"/>
        </w:rPr>
        <w:t>的校准项目。</w:t>
      </w:r>
      <w:r>
        <w:rPr>
          <w:rFonts w:hint="eastAsia" w:ascii="宋体" w:hAnsi="宋体"/>
          <w:szCs w:val="21"/>
          <w:lang w:val="en-US" w:eastAsia="zh-CN"/>
        </w:rPr>
        <w:t>试验机</w:t>
      </w:r>
      <w:r>
        <w:rPr>
          <w:rFonts w:hint="eastAsia" w:ascii="宋体" w:hAnsi="宋体"/>
          <w:szCs w:val="21"/>
        </w:rPr>
        <w:t>校准项目有</w:t>
      </w:r>
      <w:r>
        <w:rPr>
          <w:rFonts w:hint="default" w:ascii="Times New Roman" w:hAnsi="Times New Roman" w:eastAsia="宋体" w:cs="Times New Roman"/>
          <w:sz w:val="21"/>
          <w:szCs w:val="21"/>
          <w:lang w:val="en-US" w:eastAsia="zh-CN"/>
        </w:rPr>
        <w:t>导管内径</w:t>
      </w:r>
      <w:r>
        <w:rPr>
          <w:rFonts w:hint="eastAsia" w:ascii="Times New Roman" w:hAnsi="Times New Roman" w:eastAsia="宋体" w:cs="Times New Roman"/>
          <w:sz w:val="21"/>
          <w:szCs w:val="21"/>
          <w:lang w:val="en-US" w:eastAsia="zh-CN"/>
        </w:rPr>
        <w:t>偏差</w:t>
      </w:r>
      <w:r>
        <w:rPr>
          <w:rFonts w:hint="eastAsia" w:cs="Times New Roman"/>
          <w:sz w:val="21"/>
          <w:szCs w:val="21"/>
          <w:lang w:val="en-US" w:eastAsia="zh-CN"/>
        </w:rPr>
        <w:t>、</w:t>
      </w:r>
      <w:r>
        <w:rPr>
          <w:rFonts w:hint="default" w:ascii="Times New Roman" w:hAnsi="Times New Roman" w:cs="Times New Roman"/>
          <w:sz w:val="21"/>
          <w:szCs w:val="21"/>
          <w:lang w:val="en-US" w:eastAsia="zh-CN"/>
        </w:rPr>
        <w:t>导管长度</w:t>
      </w:r>
      <w:r>
        <w:rPr>
          <w:rFonts w:hint="eastAsia" w:ascii="Times New Roman" w:hAnsi="Times New Roman" w:cs="Times New Roman"/>
          <w:sz w:val="21"/>
          <w:szCs w:val="21"/>
          <w:lang w:val="en-US" w:eastAsia="zh-CN"/>
        </w:rPr>
        <w:t>偏差</w:t>
      </w:r>
      <w:r>
        <w:rPr>
          <w:rFonts w:hint="eastAsia" w:cs="Times New Roman"/>
          <w:sz w:val="21"/>
          <w:szCs w:val="21"/>
          <w:lang w:val="en-US" w:eastAsia="zh-CN"/>
        </w:rPr>
        <w:t>、</w:t>
      </w:r>
      <w:r>
        <w:rPr>
          <w:rFonts w:hint="default" w:ascii="Times New Roman" w:hAnsi="Times New Roman" w:cs="Times New Roman"/>
          <w:sz w:val="21"/>
          <w:szCs w:val="21"/>
          <w:lang w:val="en-US" w:eastAsia="zh-CN"/>
        </w:rPr>
        <w:t>试样固定架</w:t>
      </w:r>
      <w:r>
        <w:rPr>
          <w:rFonts w:hint="eastAsia" w:ascii="Times New Roman" w:hAnsi="Times New Roman" w:cs="Times New Roman"/>
          <w:sz w:val="21"/>
          <w:szCs w:val="21"/>
          <w:lang w:val="en-US" w:eastAsia="zh-CN"/>
        </w:rPr>
        <w:t>倾角偏差</w:t>
      </w:r>
      <w:r>
        <w:rPr>
          <w:rFonts w:hint="eastAsia" w:cs="Times New Roman"/>
          <w:sz w:val="21"/>
          <w:szCs w:val="21"/>
          <w:lang w:val="en-US" w:eastAsia="zh-CN"/>
        </w:rPr>
        <w:t>、导管垂直度偏差、磨料流量偏差</w:t>
      </w:r>
      <w:r>
        <w:rPr>
          <w:rFonts w:hint="eastAsia"/>
          <w:szCs w:val="21"/>
          <w:lang w:eastAsia="zh-CN"/>
        </w:rPr>
        <w:t>。</w:t>
      </w:r>
    </w:p>
    <w:p w14:paraId="0496B3E5">
      <w:pPr>
        <w:spacing w:line="360" w:lineRule="auto"/>
        <w:ind w:firstLine="420"/>
        <w:rPr>
          <w:rFonts w:hint="eastAsia"/>
          <w:szCs w:val="21"/>
          <w:lang w:val="en-US" w:eastAsia="zh-CN"/>
        </w:rPr>
      </w:pPr>
      <w:r>
        <w:rPr>
          <w:rFonts w:hint="default" w:ascii="Times New Roman" w:hAnsi="Times New Roman" w:eastAsia="宋体" w:cs="Times New Roman"/>
          <w:sz w:val="21"/>
          <w:szCs w:val="21"/>
          <w:lang w:val="en-US" w:eastAsia="zh-CN"/>
        </w:rPr>
        <w:t>导管内径</w:t>
      </w:r>
      <w:r>
        <w:rPr>
          <w:rFonts w:hint="eastAsia" w:ascii="Times New Roman" w:hAnsi="Times New Roman" w:eastAsia="宋体" w:cs="Times New Roman"/>
          <w:sz w:val="21"/>
          <w:szCs w:val="21"/>
          <w:lang w:val="en-US" w:eastAsia="zh-CN"/>
        </w:rPr>
        <w:t>偏差</w:t>
      </w:r>
      <w:r>
        <w:rPr>
          <w:rFonts w:hint="eastAsia" w:cs="Times New Roman"/>
          <w:sz w:val="21"/>
          <w:szCs w:val="21"/>
          <w:lang w:val="en-US" w:eastAsia="zh-CN"/>
        </w:rPr>
        <w:t>、</w:t>
      </w:r>
      <w:r>
        <w:rPr>
          <w:rFonts w:hint="default" w:ascii="Times New Roman" w:hAnsi="Times New Roman" w:cs="Times New Roman"/>
          <w:sz w:val="21"/>
          <w:szCs w:val="21"/>
          <w:lang w:val="en-US" w:eastAsia="zh-CN"/>
        </w:rPr>
        <w:t>导管长度</w:t>
      </w:r>
      <w:r>
        <w:rPr>
          <w:rFonts w:hint="eastAsia" w:ascii="Times New Roman" w:hAnsi="Times New Roman" w:cs="Times New Roman"/>
          <w:sz w:val="21"/>
          <w:szCs w:val="21"/>
          <w:lang w:val="en-US" w:eastAsia="zh-CN"/>
        </w:rPr>
        <w:t>偏差</w:t>
      </w:r>
      <w:r>
        <w:rPr>
          <w:rFonts w:hint="eastAsia" w:cs="Times New Roman"/>
          <w:sz w:val="21"/>
          <w:szCs w:val="21"/>
          <w:lang w:val="en-US" w:eastAsia="zh-CN"/>
        </w:rPr>
        <w:t>、</w:t>
      </w:r>
      <w:r>
        <w:rPr>
          <w:rFonts w:hint="default" w:ascii="Times New Roman" w:hAnsi="Times New Roman" w:cs="Times New Roman"/>
          <w:sz w:val="21"/>
          <w:szCs w:val="21"/>
          <w:lang w:val="en-US" w:eastAsia="zh-CN"/>
        </w:rPr>
        <w:t>试样固定架</w:t>
      </w:r>
      <w:r>
        <w:rPr>
          <w:rFonts w:hint="eastAsia" w:ascii="Times New Roman" w:hAnsi="Times New Roman" w:cs="Times New Roman"/>
          <w:sz w:val="21"/>
          <w:szCs w:val="21"/>
          <w:lang w:val="en-US" w:eastAsia="zh-CN"/>
        </w:rPr>
        <w:t>倾角偏差</w:t>
      </w:r>
      <w:r>
        <w:rPr>
          <w:rFonts w:hint="eastAsia"/>
          <w:szCs w:val="21"/>
          <w:lang w:eastAsia="zh-CN"/>
        </w:rPr>
        <w:t>均为直接测量量，用相应测量</w:t>
      </w:r>
      <w:r>
        <w:rPr>
          <w:rFonts w:hint="eastAsia"/>
          <w:szCs w:val="21"/>
          <w:lang w:val="en-US" w:eastAsia="zh-CN"/>
        </w:rPr>
        <w:t>标准进行多次测量，取平均值后计算与标称值的差值作为校准结果。其中，考虑到落砂试验机导管较长（970 mm或914 mm），且上端与漏斗口相连，因此在校准导管内径偏差时无法按常规方法选取3个测量位置（两端及中间），只能在导管下端出料口位置重复测量3次。</w:t>
      </w:r>
    </w:p>
    <w:p w14:paraId="16FE17DD">
      <w:pPr>
        <w:spacing w:line="360" w:lineRule="auto"/>
        <w:ind w:firstLine="420"/>
        <w:rPr>
          <w:rFonts w:hint="eastAsia"/>
          <w:szCs w:val="21"/>
          <w:lang w:val="en-US" w:eastAsia="zh-CN"/>
        </w:rPr>
      </w:pPr>
      <w:r>
        <w:rPr>
          <w:rFonts w:hint="eastAsia" w:cs="Times New Roman"/>
          <w:sz w:val="21"/>
          <w:szCs w:val="21"/>
          <w:lang w:val="en-US" w:eastAsia="zh-CN"/>
        </w:rPr>
        <w:t>导管垂直度偏差可用角度或单位长度内与重锤线的偏移表示，考虑到校准的可行性，采用</w:t>
      </w:r>
      <w:r>
        <w:rPr>
          <w:rFonts w:hint="eastAsia"/>
          <w:szCs w:val="21"/>
          <w:lang w:val="en-US" w:eastAsia="zh-CN"/>
        </w:rPr>
        <w:t>框式水平仪直接测量导管两端垂直度（mm/m）的方法，以结果中的较大值作为校准结果。</w:t>
      </w:r>
    </w:p>
    <w:p w14:paraId="279E5DD6">
      <w:pPr>
        <w:spacing w:line="360" w:lineRule="auto"/>
        <w:ind w:firstLine="420"/>
        <w:rPr>
          <w:rFonts w:hint="eastAsia" w:asciiTheme="minorEastAsia" w:hAnsiTheme="minorEastAsia" w:eastAsiaTheme="minorEastAsia" w:cstheme="minorEastAsia"/>
          <w:b w:val="0"/>
          <w:bCs w:val="0"/>
          <w:szCs w:val="21"/>
          <w:lang w:val="en-US" w:eastAsia="zh-CN"/>
        </w:rPr>
      </w:pPr>
      <w:r>
        <w:rPr>
          <w:rFonts w:hint="eastAsia" w:cs="Times New Roman"/>
          <w:sz w:val="21"/>
          <w:szCs w:val="21"/>
          <w:lang w:val="en-US" w:eastAsia="zh-CN"/>
        </w:rPr>
        <w:t>磨料流量偏差校准方法分为A型和B型，分别就算单位时间流出的磨料质量和体积，具体方法步骤采用</w:t>
      </w:r>
      <w:r>
        <w:rPr>
          <w:rFonts w:hint="eastAsia" w:asciiTheme="minorEastAsia" w:hAnsiTheme="minorEastAsia" w:eastAsiaTheme="minorEastAsia" w:cstheme="minorEastAsia"/>
          <w:b w:val="0"/>
          <w:bCs w:val="0"/>
          <w:szCs w:val="21"/>
        </w:rPr>
        <w:t>YS/T 1186-2017</w:t>
      </w:r>
      <w:r>
        <w:rPr>
          <w:rFonts w:hint="eastAsia" w:asciiTheme="minorEastAsia" w:hAnsiTheme="minorEastAsia" w:eastAsiaTheme="minorEastAsia" w:cstheme="minorEastAsia"/>
          <w:b w:val="0"/>
          <w:bCs w:val="0"/>
          <w:szCs w:val="21"/>
          <w:lang w:eastAsia="zh-CN"/>
        </w:rPr>
        <w:t>《铝表面阳极氧化膜与有机聚合物膜耐磨性能测试用落砂试验仪》</w:t>
      </w:r>
      <w:r>
        <w:rPr>
          <w:rFonts w:hint="eastAsia" w:asciiTheme="minorEastAsia" w:hAnsiTheme="minorEastAsia" w:eastAsiaTheme="minorEastAsia" w:cstheme="minorEastAsia"/>
          <w:b w:val="0"/>
          <w:bCs w:val="0"/>
          <w:szCs w:val="21"/>
          <w:lang w:val="en-US" w:eastAsia="zh-CN"/>
        </w:rPr>
        <w:t>中规定的方法。</w:t>
      </w:r>
    </w:p>
    <w:p w14:paraId="2BF74263">
      <w:pPr>
        <w:spacing w:line="360" w:lineRule="auto"/>
        <w:rPr>
          <w:rFonts w:hint="default" w:asciiTheme="minorEastAsia" w:hAnsiTheme="minorEastAsia" w:eastAsiaTheme="minorEastAsia" w:cstheme="minorEastAsia"/>
          <w:b w:val="0"/>
          <w:bCs w:val="0"/>
          <w:szCs w:val="21"/>
          <w:lang w:val="en-US" w:eastAsia="zh-CN"/>
        </w:rPr>
      </w:pPr>
      <w:r>
        <w:drawing>
          <wp:inline distT="0" distB="0" distL="114300" distR="114300">
            <wp:extent cx="5930265" cy="3530600"/>
            <wp:effectExtent l="0" t="0" r="13335" b="1270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5"/>
                    <a:stretch>
                      <a:fillRect/>
                    </a:stretch>
                  </pic:blipFill>
                  <pic:spPr>
                    <a:xfrm>
                      <a:off x="0" y="0"/>
                      <a:ext cx="5930265" cy="3530600"/>
                    </a:xfrm>
                    <a:prstGeom prst="rect">
                      <a:avLst/>
                    </a:prstGeom>
                    <a:noFill/>
                    <a:ln>
                      <a:noFill/>
                    </a:ln>
                  </pic:spPr>
                </pic:pic>
              </a:graphicData>
            </a:graphic>
          </wp:inline>
        </w:drawing>
      </w:r>
    </w:p>
    <w:p w14:paraId="20CB6028">
      <w:pPr>
        <w:pStyle w:val="4"/>
        <w:spacing w:before="156" w:after="156" w:line="360" w:lineRule="auto"/>
        <w:rPr>
          <w:b w:val="0"/>
          <w:bCs w:val="0"/>
        </w:rPr>
      </w:pPr>
      <w:r>
        <w:rPr>
          <w:rFonts w:hint="eastAsia"/>
          <w:b w:val="0"/>
          <w:bCs w:val="0"/>
        </w:rPr>
        <w:t>7 校准结果</w:t>
      </w:r>
      <w:bookmarkEnd w:id="54"/>
      <w:bookmarkEnd w:id="55"/>
      <w:bookmarkEnd w:id="56"/>
      <w:bookmarkEnd w:id="57"/>
      <w:bookmarkEnd w:id="58"/>
      <w:bookmarkEnd w:id="59"/>
      <w:r>
        <w:rPr>
          <w:rFonts w:hint="eastAsia"/>
          <w:b w:val="0"/>
          <w:bCs w:val="0"/>
        </w:rPr>
        <w:t>表达</w:t>
      </w:r>
      <w:bookmarkEnd w:id="60"/>
      <w:bookmarkEnd w:id="61"/>
    </w:p>
    <w:p w14:paraId="51CF54D2">
      <w:pPr>
        <w:pStyle w:val="58"/>
        <w:spacing w:line="360" w:lineRule="auto"/>
        <w:ind w:firstLine="420"/>
        <w:rPr>
          <w:rFonts w:hint="eastAsia" w:asciiTheme="minorEastAsia" w:hAnsiTheme="minorEastAsia" w:eastAsiaTheme="minorEastAsia" w:cstheme="minorEastAsia"/>
          <w:b w:val="0"/>
          <w:bCs w:val="0"/>
          <w:kern w:val="2"/>
          <w:szCs w:val="21"/>
        </w:rPr>
      </w:pPr>
      <w:r>
        <w:rPr>
          <w:rFonts w:hint="eastAsia" w:asciiTheme="minorEastAsia" w:hAnsiTheme="minorEastAsia" w:eastAsiaTheme="minorEastAsia" w:cstheme="minorEastAsia"/>
          <w:b w:val="0"/>
          <w:bCs w:val="0"/>
          <w:kern w:val="2"/>
          <w:szCs w:val="21"/>
        </w:rPr>
        <w:t>根据</w:t>
      </w:r>
      <w:r>
        <w:rPr>
          <w:rFonts w:hint="eastAsia" w:asciiTheme="minorEastAsia" w:hAnsiTheme="minorEastAsia" w:eastAsiaTheme="minorEastAsia" w:cstheme="minorEastAsia"/>
          <w:b w:val="0"/>
          <w:bCs w:val="0"/>
          <w:kern w:val="2"/>
          <w:szCs w:val="21"/>
          <w:lang w:val="en-US" w:eastAsia="zh-CN"/>
        </w:rPr>
        <w:t>校准</w:t>
      </w:r>
      <w:r>
        <w:rPr>
          <w:rFonts w:hint="eastAsia" w:asciiTheme="minorEastAsia" w:hAnsiTheme="minorEastAsia" w:eastAsiaTheme="minorEastAsia" w:cstheme="minorEastAsia"/>
          <w:b w:val="0"/>
          <w:bCs w:val="0"/>
          <w:kern w:val="2"/>
          <w:szCs w:val="21"/>
        </w:rPr>
        <w:t>环境、</w:t>
      </w:r>
      <w:r>
        <w:rPr>
          <w:rFonts w:hint="eastAsia" w:asciiTheme="minorEastAsia" w:hAnsiTheme="minorEastAsia" w:eastAsiaTheme="minorEastAsia" w:cstheme="minorEastAsia"/>
          <w:b w:val="0"/>
          <w:bCs w:val="0"/>
          <w:kern w:val="2"/>
          <w:szCs w:val="21"/>
          <w:lang w:val="en-US" w:eastAsia="zh-CN"/>
        </w:rPr>
        <w:t>测量标准、</w:t>
      </w:r>
      <w:r>
        <w:rPr>
          <w:rFonts w:hint="eastAsia" w:asciiTheme="minorEastAsia" w:hAnsiTheme="minorEastAsia" w:eastAsiaTheme="minorEastAsia" w:cstheme="minorEastAsia"/>
          <w:b w:val="0"/>
          <w:bCs w:val="0"/>
          <w:kern w:val="2"/>
          <w:szCs w:val="21"/>
        </w:rPr>
        <w:t>校准项目</w:t>
      </w:r>
      <w:r>
        <w:rPr>
          <w:rFonts w:hint="eastAsia" w:asciiTheme="minorEastAsia" w:hAnsiTheme="minorEastAsia" w:eastAsiaTheme="minorEastAsia" w:cstheme="minorEastAsia"/>
          <w:b w:val="0"/>
          <w:bCs w:val="0"/>
          <w:kern w:val="2"/>
          <w:szCs w:val="21"/>
          <w:lang w:eastAsia="zh-CN"/>
        </w:rPr>
        <w:t>、</w:t>
      </w:r>
      <w:r>
        <w:rPr>
          <w:rFonts w:hint="eastAsia" w:asciiTheme="minorEastAsia" w:hAnsiTheme="minorEastAsia" w:eastAsiaTheme="minorEastAsia" w:cstheme="minorEastAsia"/>
          <w:b w:val="0"/>
          <w:bCs w:val="0"/>
          <w:kern w:val="2"/>
          <w:szCs w:val="21"/>
        </w:rPr>
        <w:t>校准结果、测量不确定度评定结果等，按照</w:t>
      </w:r>
      <w:r>
        <w:rPr>
          <w:rFonts w:hint="eastAsia" w:asciiTheme="minorEastAsia" w:hAnsiTheme="minorEastAsia" w:eastAsiaTheme="minorEastAsia" w:cstheme="minorEastAsia"/>
          <w:b w:val="0"/>
          <w:bCs w:val="0"/>
          <w:kern w:val="2"/>
          <w:szCs w:val="21"/>
          <w:lang w:val="en-US" w:eastAsia="zh-CN"/>
        </w:rPr>
        <w:t>JJF 1071-2010</w:t>
      </w:r>
      <w:r>
        <w:rPr>
          <w:rFonts w:hint="eastAsia" w:asciiTheme="minorEastAsia" w:hAnsiTheme="minorEastAsia" w:eastAsiaTheme="minorEastAsia" w:cstheme="minorEastAsia"/>
          <w:b w:val="0"/>
          <w:bCs w:val="0"/>
          <w:kern w:val="2"/>
          <w:szCs w:val="21"/>
        </w:rPr>
        <w:t>推荐的校准报告格式，出具校准证书。</w:t>
      </w:r>
    </w:p>
    <w:p w14:paraId="0813B1C4">
      <w:pPr>
        <w:pStyle w:val="4"/>
        <w:spacing w:before="156" w:after="156" w:line="360" w:lineRule="auto"/>
        <w:rPr>
          <w:b w:val="0"/>
          <w:bCs w:val="0"/>
        </w:rPr>
      </w:pPr>
      <w:bookmarkStart w:id="62" w:name="_Toc14803_WPSOffice_Level1"/>
      <w:bookmarkStart w:id="63" w:name="_Toc193860220"/>
      <w:bookmarkStart w:id="64" w:name="_Toc193860189"/>
      <w:bookmarkStart w:id="65" w:name="_Toc193860040"/>
      <w:bookmarkStart w:id="66" w:name="_Toc5529"/>
      <w:bookmarkStart w:id="67" w:name="_Toc193860041"/>
      <w:r>
        <w:rPr>
          <w:rFonts w:hint="eastAsia"/>
          <w:b w:val="0"/>
          <w:bCs w:val="0"/>
        </w:rPr>
        <w:t>8 复校</w:t>
      </w:r>
      <w:bookmarkEnd w:id="62"/>
      <w:bookmarkEnd w:id="63"/>
      <w:bookmarkEnd w:id="64"/>
      <w:bookmarkEnd w:id="65"/>
      <w:bookmarkEnd w:id="66"/>
      <w:r>
        <w:rPr>
          <w:rFonts w:hint="eastAsia"/>
          <w:b w:val="0"/>
          <w:bCs w:val="0"/>
        </w:rPr>
        <w:t>时间间隔</w:t>
      </w:r>
    </w:p>
    <w:bookmarkEnd w:id="67"/>
    <w:p w14:paraId="24C4FED6">
      <w:pPr>
        <w:adjustRightInd w:val="0"/>
        <w:snapToGrid w:val="0"/>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复校时间间隔的长短取决于其使用情况，使用单位可根据实际使用情况自主决定复校的时间，建议复校时间间隔为1年。</w:t>
      </w:r>
    </w:p>
    <w:p w14:paraId="07668B45">
      <w:pPr>
        <w:pStyle w:val="4"/>
        <w:spacing w:before="156" w:after="156" w:line="360" w:lineRule="auto"/>
        <w:rPr>
          <w:b w:val="0"/>
          <w:bCs w:val="0"/>
        </w:rPr>
      </w:pPr>
      <w:r>
        <w:rPr>
          <w:rFonts w:hint="eastAsia"/>
          <w:b w:val="0"/>
          <w:bCs w:val="0"/>
        </w:rPr>
        <w:t>9</w:t>
      </w:r>
      <w:r>
        <w:rPr>
          <w:rFonts w:hint="eastAsia"/>
          <w:b w:val="0"/>
          <w:bCs w:val="0"/>
          <w:lang w:val="en-US" w:eastAsia="zh-CN"/>
        </w:rPr>
        <w:t xml:space="preserve"> </w:t>
      </w:r>
      <w:r>
        <w:rPr>
          <w:rFonts w:hint="eastAsia"/>
          <w:b w:val="0"/>
          <w:bCs w:val="0"/>
        </w:rPr>
        <w:t>附录</w:t>
      </w:r>
    </w:p>
    <w:p w14:paraId="2E83D7CB">
      <w:pPr>
        <w:pStyle w:val="58"/>
        <w:spacing w:line="360" w:lineRule="auto"/>
        <w:ind w:firstLine="420"/>
        <w:rPr>
          <w:rFonts w:hint="eastAsia" w:asciiTheme="minorEastAsia" w:hAnsiTheme="minorEastAsia" w:eastAsiaTheme="minorEastAsia" w:cstheme="minorEastAsia"/>
          <w:b w:val="0"/>
          <w:bCs w:val="0"/>
          <w:kern w:val="2"/>
          <w:szCs w:val="21"/>
        </w:rPr>
      </w:pPr>
      <w:r>
        <w:rPr>
          <w:rFonts w:hint="eastAsia" w:asciiTheme="minorEastAsia" w:hAnsiTheme="minorEastAsia" w:eastAsiaTheme="minorEastAsia" w:cstheme="minorEastAsia"/>
          <w:b w:val="0"/>
          <w:bCs w:val="0"/>
          <w:kern w:val="2"/>
          <w:szCs w:val="21"/>
        </w:rPr>
        <w:t>附录主要包含校准原始记录参考格式、校准证书内页参考格式、</w:t>
      </w:r>
      <w:r>
        <w:rPr>
          <w:rFonts w:hint="eastAsia" w:asciiTheme="minorEastAsia" w:hAnsiTheme="minorEastAsia" w:eastAsiaTheme="minorEastAsia" w:cstheme="minorEastAsia"/>
          <w:b w:val="0"/>
          <w:bCs w:val="0"/>
          <w:caps/>
          <w:lang w:val="en-US" w:eastAsia="zh-CN"/>
        </w:rPr>
        <w:t>导管长度偏差</w:t>
      </w:r>
      <w:r>
        <w:rPr>
          <w:rFonts w:hint="eastAsia" w:asciiTheme="minorEastAsia" w:hAnsiTheme="minorEastAsia" w:eastAsiaTheme="minorEastAsia" w:cstheme="minorEastAsia"/>
          <w:b w:val="0"/>
          <w:bCs w:val="0"/>
          <w:kern w:val="2"/>
          <w:szCs w:val="21"/>
        </w:rPr>
        <w:t>测量</w:t>
      </w:r>
      <w:r>
        <w:rPr>
          <w:rFonts w:hint="eastAsia" w:asciiTheme="minorEastAsia" w:hAnsiTheme="minorEastAsia" w:eastAsiaTheme="minorEastAsia" w:cstheme="minorEastAsia"/>
          <w:b w:val="0"/>
          <w:bCs w:val="0"/>
          <w:kern w:val="2"/>
          <w:szCs w:val="21"/>
          <w:lang w:val="en-US" w:eastAsia="zh-CN"/>
        </w:rPr>
        <w:t>结果</w:t>
      </w:r>
      <w:r>
        <w:rPr>
          <w:rFonts w:hint="eastAsia" w:asciiTheme="minorEastAsia" w:hAnsiTheme="minorEastAsia" w:eastAsiaTheme="minorEastAsia" w:cstheme="minorEastAsia"/>
          <w:b w:val="0"/>
          <w:bCs w:val="0"/>
          <w:kern w:val="2"/>
          <w:szCs w:val="21"/>
        </w:rPr>
        <w:t>不确定度评定示例。</w:t>
      </w:r>
    </w:p>
    <w:p w14:paraId="23184B3A">
      <w:pPr>
        <w:adjustRightInd w:val="0"/>
        <w:snapToGrid w:val="0"/>
        <w:spacing w:line="360" w:lineRule="auto"/>
        <w:ind w:firstLine="420" w:firstLineChars="20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lang w:val="en-US" w:eastAsia="zh-CN"/>
        </w:rPr>
        <w:t>本规范</w:t>
      </w:r>
      <w:r>
        <w:rPr>
          <w:rFonts w:hint="eastAsia" w:asciiTheme="minorEastAsia" w:hAnsiTheme="minorEastAsia" w:eastAsiaTheme="minorEastAsia" w:cstheme="minorEastAsia"/>
          <w:b w:val="0"/>
          <w:bCs w:val="0"/>
        </w:rPr>
        <w:t>设置了3个附录，便于校准时参考和规范化。</w:t>
      </w:r>
    </w:p>
    <w:p w14:paraId="4A83E3E7">
      <w:pPr>
        <w:adjustRightInd w:val="0"/>
        <w:snapToGrid w:val="0"/>
        <w:spacing w:line="360" w:lineRule="auto"/>
        <w:ind w:firstLine="420" w:firstLineChars="20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附录A </w:t>
      </w:r>
      <w:r>
        <w:rPr>
          <w:rFonts w:hint="eastAsia" w:asciiTheme="minorEastAsia" w:hAnsiTheme="minorEastAsia" w:eastAsiaTheme="minorEastAsia" w:cstheme="minorEastAsia"/>
          <w:b w:val="0"/>
          <w:bCs w:val="0"/>
          <w:caps/>
        </w:rPr>
        <w:t>校准原始记录参考格式</w:t>
      </w:r>
    </w:p>
    <w:p w14:paraId="0A8963F5">
      <w:pPr>
        <w:adjustRightInd w:val="0"/>
        <w:snapToGrid w:val="0"/>
        <w:spacing w:line="360" w:lineRule="auto"/>
        <w:ind w:firstLine="420" w:firstLineChars="20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附录B </w:t>
      </w:r>
      <w:r>
        <w:rPr>
          <w:rFonts w:hint="eastAsia" w:asciiTheme="minorEastAsia" w:hAnsiTheme="minorEastAsia" w:eastAsiaTheme="minorEastAsia" w:cstheme="minorEastAsia"/>
          <w:b w:val="0"/>
          <w:bCs w:val="0"/>
          <w:caps/>
        </w:rPr>
        <w:t>校准证书内页参考格式</w:t>
      </w:r>
    </w:p>
    <w:p w14:paraId="3C5E1556">
      <w:pPr>
        <w:adjustRightInd w:val="0"/>
        <w:snapToGrid w:val="0"/>
        <w:spacing w:line="360" w:lineRule="auto"/>
        <w:ind w:firstLine="420" w:firstLineChars="20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 xml:space="preserve">附录C </w:t>
      </w:r>
      <w:r>
        <w:rPr>
          <w:rFonts w:hint="eastAsia" w:asciiTheme="minorEastAsia" w:hAnsiTheme="minorEastAsia" w:eastAsiaTheme="minorEastAsia" w:cstheme="minorEastAsia"/>
          <w:b w:val="0"/>
          <w:bCs w:val="0"/>
          <w:caps/>
          <w:lang w:val="en-US" w:eastAsia="zh-CN"/>
        </w:rPr>
        <w:t>导管长度偏差测量结果不确定度评定示例</w:t>
      </w:r>
    </w:p>
    <w:bookmarkEnd w:id="1"/>
    <w:bookmarkEnd w:id="19"/>
    <w:p w14:paraId="162FAECD">
      <w:pPr>
        <w:pStyle w:val="2"/>
        <w:spacing w:before="156" w:after="156" w:line="360" w:lineRule="auto"/>
        <w:rPr>
          <w:rFonts w:hint="eastAsia"/>
          <w:b w:val="0"/>
          <w:bCs w:val="0"/>
        </w:rPr>
      </w:pPr>
      <w:bookmarkStart w:id="68" w:name="_Toc464728965"/>
      <w:r>
        <w:rPr>
          <w:rFonts w:hint="eastAsia"/>
          <w:b w:val="0"/>
          <w:bCs w:val="0"/>
        </w:rPr>
        <w:t>三、实践检测情况</w:t>
      </w:r>
    </w:p>
    <w:p w14:paraId="16136252">
      <w:pPr>
        <w:adjustRightInd w:val="0"/>
        <w:spacing w:line="360" w:lineRule="auto"/>
        <w:ind w:firstLine="420" w:firstLineChars="200"/>
        <w:rPr>
          <w:rFonts w:hint="eastAsia" w:asciiTheme="minorEastAsia" w:hAnsiTheme="minorEastAsia" w:eastAsiaTheme="minorEastAsia" w:cstheme="minorEastAsia"/>
          <w:b w:val="0"/>
          <w:bCs w:val="0"/>
          <w:sz w:val="21"/>
          <w:szCs w:val="24"/>
        </w:rPr>
      </w:pPr>
      <w:r>
        <w:rPr>
          <w:rFonts w:hint="eastAsia" w:asciiTheme="minorEastAsia" w:hAnsiTheme="minorEastAsia" w:eastAsiaTheme="minorEastAsia" w:cstheme="minorEastAsia"/>
          <w:b w:val="0"/>
          <w:bCs w:val="0"/>
          <w:sz w:val="21"/>
          <w:szCs w:val="24"/>
          <w:lang w:val="en-US" w:eastAsia="zh-CN"/>
        </w:rPr>
        <w:t>广东省科学院工业分析检测中心</w:t>
      </w:r>
      <w:r>
        <w:rPr>
          <w:rFonts w:hint="eastAsia" w:asciiTheme="minorEastAsia" w:hAnsiTheme="minorEastAsia" w:eastAsiaTheme="minorEastAsia" w:cstheme="minorEastAsia"/>
          <w:b w:val="0"/>
          <w:bCs w:val="0"/>
          <w:sz w:val="21"/>
          <w:szCs w:val="24"/>
          <w:lang w:eastAsia="zh-CN"/>
        </w:rPr>
        <w:t>、</w:t>
      </w:r>
      <w:r>
        <w:rPr>
          <w:rFonts w:hint="eastAsia" w:ascii="宋体" w:hAnsi="宋体" w:eastAsia="宋体" w:cs="宋体"/>
          <w:b w:val="0"/>
          <w:bCs w:val="0"/>
          <w:color w:val="auto"/>
          <w:kern w:val="2"/>
          <w:sz w:val="21"/>
          <w:szCs w:val="21"/>
          <w:highlight w:val="none"/>
          <w:lang w:val="en-US" w:eastAsia="zh-CN"/>
        </w:rPr>
        <w:t>西南铝业（集团）有限责任公司</w:t>
      </w:r>
      <w:r>
        <w:rPr>
          <w:rFonts w:hint="eastAsia" w:asciiTheme="minorEastAsia" w:hAnsiTheme="minorEastAsia" w:eastAsiaTheme="minorEastAsia" w:cstheme="minorEastAsia"/>
          <w:b w:val="0"/>
          <w:bCs w:val="0"/>
          <w:sz w:val="21"/>
          <w:szCs w:val="24"/>
          <w:lang w:val="en-US" w:eastAsia="zh-CN"/>
        </w:rPr>
        <w:t>、</w:t>
      </w:r>
      <w:r>
        <w:rPr>
          <w:rFonts w:hint="eastAsia" w:ascii="宋体" w:hAnsi="宋体" w:eastAsia="宋体" w:cs="宋体"/>
          <w:b w:val="0"/>
          <w:bCs w:val="0"/>
          <w:color w:val="auto"/>
          <w:kern w:val="2"/>
          <w:sz w:val="21"/>
          <w:szCs w:val="21"/>
          <w:highlight w:val="none"/>
          <w:lang w:val="en-US" w:eastAsia="zh-CN"/>
        </w:rPr>
        <w:t>广州计量检测技术研究院</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国标(北京)检验认证有限公司</w:t>
      </w:r>
      <w:r>
        <w:rPr>
          <w:rFonts w:hint="eastAsia" w:asciiTheme="minorEastAsia" w:hAnsiTheme="minorEastAsia" w:eastAsiaTheme="minorEastAsia" w:cstheme="minorEastAsia"/>
          <w:b w:val="0"/>
          <w:bCs w:val="0"/>
          <w:sz w:val="21"/>
          <w:szCs w:val="24"/>
        </w:rPr>
        <w:t>根据本</w:t>
      </w:r>
      <w:r>
        <w:rPr>
          <w:rFonts w:hint="eastAsia" w:asciiTheme="minorEastAsia" w:hAnsiTheme="minorEastAsia" w:eastAsiaTheme="minorEastAsia" w:cstheme="minorEastAsia"/>
          <w:b w:val="0"/>
          <w:bCs w:val="0"/>
          <w:sz w:val="21"/>
          <w:szCs w:val="24"/>
          <w:lang w:val="en-US" w:eastAsia="zh-CN"/>
        </w:rPr>
        <w:t>规范的校准项目</w:t>
      </w:r>
      <w:r>
        <w:rPr>
          <w:rFonts w:hint="eastAsia" w:asciiTheme="minorEastAsia" w:hAnsiTheme="minorEastAsia" w:eastAsiaTheme="minorEastAsia" w:cstheme="minorEastAsia"/>
          <w:b w:val="0"/>
          <w:bCs w:val="0"/>
          <w:sz w:val="21"/>
          <w:szCs w:val="24"/>
        </w:rPr>
        <w:t>对</w:t>
      </w:r>
      <w:r>
        <w:rPr>
          <w:rFonts w:hint="eastAsia" w:ascii="宋体" w:hAnsi="宋体" w:eastAsia="宋体" w:cs="宋体"/>
          <w:color w:val="auto"/>
          <w:szCs w:val="21"/>
        </w:rPr>
        <w:t>铝合金阳极氧化膜及有机聚合物膜用落砂试验机</w:t>
      </w:r>
      <w:r>
        <w:rPr>
          <w:rFonts w:hint="eastAsia" w:asciiTheme="minorEastAsia" w:hAnsiTheme="minorEastAsia" w:eastAsiaTheme="minorEastAsia" w:cstheme="minorEastAsia"/>
          <w:b w:val="0"/>
          <w:bCs w:val="0"/>
          <w:sz w:val="21"/>
          <w:szCs w:val="24"/>
        </w:rPr>
        <w:t>进行了全计量特性的校准，内容详见校准报告。</w:t>
      </w:r>
    </w:p>
    <w:p w14:paraId="7AA329CC">
      <w:pPr>
        <w:pStyle w:val="2"/>
        <w:spacing w:before="156" w:after="156" w:line="360" w:lineRule="auto"/>
        <w:rPr>
          <w:b w:val="0"/>
          <w:bCs w:val="0"/>
        </w:rPr>
      </w:pPr>
      <w:r>
        <w:rPr>
          <w:rFonts w:hint="eastAsia"/>
          <w:b w:val="0"/>
          <w:bCs w:val="0"/>
          <w:lang w:val="en-US" w:eastAsia="zh-CN"/>
        </w:rPr>
        <w:t>四</w:t>
      </w:r>
      <w:r>
        <w:rPr>
          <w:rFonts w:hint="eastAsia"/>
          <w:b w:val="0"/>
          <w:bCs w:val="0"/>
        </w:rPr>
        <w:t>、规范水平分析</w:t>
      </w:r>
      <w:bookmarkEnd w:id="68"/>
    </w:p>
    <w:p w14:paraId="47AD13F6">
      <w:pPr>
        <w:adjustRightInd w:val="0"/>
        <w:spacing w:line="360" w:lineRule="auto"/>
        <w:ind w:firstLine="420" w:firstLineChars="200"/>
        <w:rPr>
          <w:rFonts w:hint="eastAsia" w:ascii="宋体" w:hAnsi="宋体"/>
          <w:b w:val="0"/>
          <w:bCs w:val="0"/>
          <w:sz w:val="21"/>
          <w:szCs w:val="21"/>
        </w:rPr>
      </w:pPr>
      <w:r>
        <w:rPr>
          <w:rFonts w:hint="eastAsia" w:ascii="宋体" w:hAnsi="宋体"/>
          <w:szCs w:val="21"/>
        </w:rPr>
        <w:t>目前国内外</w:t>
      </w:r>
      <w:r>
        <w:rPr>
          <w:rFonts w:hint="eastAsia" w:ascii="宋体" w:hAnsi="宋体"/>
          <w:szCs w:val="21"/>
          <w:lang w:val="en-US" w:eastAsia="zh-CN"/>
        </w:rPr>
        <w:t>均</w:t>
      </w:r>
      <w:r>
        <w:rPr>
          <w:rFonts w:hint="eastAsia" w:ascii="宋体" w:hAnsi="宋体"/>
          <w:szCs w:val="21"/>
        </w:rPr>
        <w:t>没有针对</w:t>
      </w:r>
      <w:r>
        <w:rPr>
          <w:rFonts w:hint="eastAsia" w:ascii="宋体" w:hAnsi="宋体" w:eastAsia="宋体" w:cs="宋体"/>
          <w:color w:val="auto"/>
          <w:szCs w:val="21"/>
        </w:rPr>
        <w:t>铝合金阳极氧化膜及有机聚合物膜用落砂试验机</w:t>
      </w:r>
      <w:r>
        <w:rPr>
          <w:rFonts w:hint="eastAsia" w:ascii="宋体" w:hAnsi="宋体"/>
          <w:szCs w:val="21"/>
        </w:rPr>
        <w:t>的</w:t>
      </w:r>
      <w:r>
        <w:rPr>
          <w:rFonts w:hint="eastAsia" w:ascii="宋体" w:hAnsi="宋体"/>
          <w:szCs w:val="21"/>
          <w:lang w:val="en-US" w:eastAsia="zh-CN"/>
        </w:rPr>
        <w:t>相关计量技术</w:t>
      </w:r>
      <w:r>
        <w:rPr>
          <w:rFonts w:hint="eastAsia" w:ascii="宋体" w:hAnsi="宋体"/>
          <w:szCs w:val="21"/>
        </w:rPr>
        <w:t>规范。</w:t>
      </w:r>
      <w:r>
        <w:rPr>
          <w:rFonts w:hint="eastAsia"/>
          <w:b w:val="0"/>
          <w:bCs w:val="0"/>
          <w:sz w:val="21"/>
          <w:szCs w:val="21"/>
        </w:rPr>
        <w:t>本</w:t>
      </w:r>
      <w:r>
        <w:rPr>
          <w:rFonts w:hint="eastAsia"/>
          <w:b w:val="0"/>
          <w:bCs w:val="0"/>
          <w:sz w:val="21"/>
          <w:szCs w:val="21"/>
          <w:lang w:eastAsia="zh-CN"/>
        </w:rPr>
        <w:t>规范</w:t>
      </w:r>
      <w:r>
        <w:rPr>
          <w:rFonts w:hint="eastAsia"/>
          <w:b w:val="0"/>
          <w:bCs w:val="0"/>
          <w:sz w:val="21"/>
          <w:szCs w:val="21"/>
        </w:rPr>
        <w:t>的制定填补了有色金属行业</w:t>
      </w:r>
      <w:r>
        <w:rPr>
          <w:rFonts w:hint="eastAsia" w:ascii="宋体" w:hAnsi="宋体" w:eastAsia="宋体" w:cs="宋体"/>
          <w:color w:val="auto"/>
          <w:szCs w:val="21"/>
        </w:rPr>
        <w:t>铝合金阳极氧化膜及有机聚合物膜用落砂试验机</w:t>
      </w:r>
      <w:r>
        <w:rPr>
          <w:rFonts w:hint="eastAsia" w:ascii="宋体" w:hAnsi="宋体"/>
          <w:szCs w:val="21"/>
          <w:lang w:val="en-US" w:eastAsia="zh-CN"/>
        </w:rPr>
        <w:t>计量技术规范</w:t>
      </w:r>
      <w:r>
        <w:rPr>
          <w:rFonts w:hint="eastAsia"/>
          <w:b w:val="0"/>
          <w:bCs w:val="0"/>
          <w:sz w:val="21"/>
          <w:szCs w:val="21"/>
        </w:rPr>
        <w:t>的空白，属于国内首创，水平达到国内领先。</w:t>
      </w:r>
    </w:p>
    <w:p w14:paraId="25294A3D">
      <w:pPr>
        <w:pStyle w:val="2"/>
        <w:spacing w:before="156" w:after="156" w:line="360" w:lineRule="auto"/>
        <w:rPr>
          <w:b w:val="0"/>
          <w:bCs w:val="0"/>
        </w:rPr>
      </w:pPr>
      <w:r>
        <w:rPr>
          <w:rFonts w:hint="eastAsia"/>
          <w:b w:val="0"/>
          <w:bCs w:val="0"/>
        </w:rPr>
        <w:t>五、与有关的现行法律、法规和强制性国家标准的关系</w:t>
      </w:r>
    </w:p>
    <w:p w14:paraId="4BF94920">
      <w:pPr>
        <w:pStyle w:val="58"/>
        <w:spacing w:line="360" w:lineRule="auto"/>
        <w:ind w:firstLine="0"/>
        <w:rPr>
          <w:b w:val="0"/>
          <w:bCs w:val="0"/>
        </w:rPr>
      </w:pPr>
      <w:r>
        <w:rPr>
          <w:rFonts w:hint="eastAsia"/>
          <w:b w:val="0"/>
          <w:bCs w:val="0"/>
        </w:rPr>
        <w:t>本规范所引用的规程</w:t>
      </w:r>
      <w:r>
        <w:rPr>
          <w:rFonts w:hint="eastAsia"/>
          <w:b w:val="0"/>
          <w:bCs w:val="0"/>
          <w:lang w:eastAsia="zh-CN"/>
        </w:rPr>
        <w:t>、</w:t>
      </w:r>
      <w:r>
        <w:rPr>
          <w:rFonts w:hint="eastAsia"/>
          <w:b w:val="0"/>
          <w:bCs w:val="0"/>
        </w:rPr>
        <w:t>规范</w:t>
      </w:r>
      <w:r>
        <w:rPr>
          <w:rFonts w:hint="eastAsia"/>
          <w:b w:val="0"/>
          <w:bCs w:val="0"/>
          <w:lang w:val="en-US" w:eastAsia="zh-CN"/>
        </w:rPr>
        <w:t>及标准</w:t>
      </w:r>
      <w:r>
        <w:rPr>
          <w:rFonts w:hint="eastAsia"/>
          <w:b w:val="0"/>
          <w:bCs w:val="0"/>
        </w:rPr>
        <w:t>均为我国现行有效的计量规程及规范，是本规范的一部分，引用这些</w:t>
      </w:r>
      <w:r>
        <w:rPr>
          <w:rFonts w:hint="eastAsia"/>
          <w:b w:val="0"/>
          <w:bCs w:val="0"/>
          <w:lang w:val="en-US" w:eastAsia="zh-CN"/>
        </w:rPr>
        <w:t>文件</w:t>
      </w:r>
      <w:r>
        <w:rPr>
          <w:rFonts w:hint="eastAsia"/>
          <w:b w:val="0"/>
          <w:bCs w:val="0"/>
        </w:rPr>
        <w:t>后，使本规范的要求与现行的相关法律、法规、规章及相关规程规范的关系不矛盾、不冲突，相互关系协调。</w:t>
      </w:r>
    </w:p>
    <w:p w14:paraId="167DC1A0">
      <w:pPr>
        <w:pStyle w:val="2"/>
        <w:spacing w:before="156" w:after="156" w:line="360" w:lineRule="auto"/>
        <w:rPr>
          <w:b w:val="0"/>
          <w:bCs w:val="0"/>
        </w:rPr>
      </w:pPr>
      <w:bookmarkStart w:id="69" w:name="_Toc464728973"/>
      <w:r>
        <w:rPr>
          <w:rFonts w:hint="eastAsia"/>
          <w:b w:val="0"/>
          <w:bCs w:val="0"/>
        </w:rPr>
        <w:t>六、规范中涉及的专利或知识产权说明</w:t>
      </w:r>
      <w:bookmarkEnd w:id="69"/>
    </w:p>
    <w:p w14:paraId="54E002EC">
      <w:pPr>
        <w:pStyle w:val="58"/>
        <w:spacing w:line="360" w:lineRule="auto"/>
        <w:ind w:firstLineChars="0"/>
        <w:contextualSpacing/>
        <w:rPr>
          <w:rFonts w:hint="eastAsia" w:eastAsia="宋体"/>
          <w:b w:val="0"/>
          <w:bCs w:val="0"/>
          <w:szCs w:val="21"/>
          <w:lang w:eastAsia="zh-CN"/>
        </w:rPr>
      </w:pPr>
      <w:bookmarkStart w:id="70" w:name="_Toc464728974"/>
      <w:r>
        <w:rPr>
          <w:rFonts w:hint="eastAsia"/>
          <w:b w:val="0"/>
          <w:bCs w:val="0"/>
          <w:szCs w:val="21"/>
        </w:rPr>
        <w:t>无</w:t>
      </w:r>
      <w:r>
        <w:rPr>
          <w:rFonts w:hint="eastAsia"/>
          <w:b w:val="0"/>
          <w:bCs w:val="0"/>
          <w:szCs w:val="21"/>
          <w:lang w:eastAsia="zh-CN"/>
        </w:rPr>
        <w:t>。</w:t>
      </w:r>
    </w:p>
    <w:p w14:paraId="7D8DB3BE">
      <w:pPr>
        <w:pStyle w:val="2"/>
        <w:spacing w:before="156" w:after="156" w:line="360" w:lineRule="auto"/>
        <w:rPr>
          <w:b w:val="0"/>
          <w:bCs w:val="0"/>
        </w:rPr>
      </w:pPr>
      <w:r>
        <w:rPr>
          <w:rFonts w:hint="eastAsia"/>
          <w:b w:val="0"/>
          <w:bCs w:val="0"/>
        </w:rPr>
        <w:t>七、重大分歧意见的处理经过和依据</w:t>
      </w:r>
      <w:bookmarkEnd w:id="70"/>
    </w:p>
    <w:p w14:paraId="17CCC10A">
      <w:pPr>
        <w:pStyle w:val="58"/>
        <w:spacing w:line="360" w:lineRule="auto"/>
        <w:ind w:firstLine="420"/>
        <w:contextualSpacing/>
        <w:rPr>
          <w:rFonts w:hint="eastAsia" w:eastAsia="宋体"/>
          <w:b w:val="0"/>
          <w:bCs w:val="0"/>
          <w:szCs w:val="21"/>
          <w:lang w:eastAsia="zh-CN"/>
        </w:rPr>
      </w:pPr>
      <w:r>
        <w:rPr>
          <w:rFonts w:hint="eastAsia"/>
          <w:b w:val="0"/>
          <w:bCs w:val="0"/>
          <w:szCs w:val="21"/>
        </w:rPr>
        <w:t>无</w:t>
      </w:r>
      <w:r>
        <w:rPr>
          <w:rFonts w:hint="eastAsia"/>
          <w:b w:val="0"/>
          <w:bCs w:val="0"/>
          <w:szCs w:val="21"/>
          <w:lang w:eastAsia="zh-CN"/>
        </w:rPr>
        <w:t>。</w:t>
      </w:r>
    </w:p>
    <w:p w14:paraId="5CD0AA0C">
      <w:pPr>
        <w:pStyle w:val="2"/>
        <w:spacing w:before="156" w:after="156" w:line="360" w:lineRule="auto"/>
        <w:rPr>
          <w:b w:val="0"/>
          <w:bCs w:val="0"/>
        </w:rPr>
      </w:pPr>
      <w:r>
        <w:rPr>
          <w:rFonts w:hint="eastAsia"/>
          <w:b w:val="0"/>
          <w:bCs w:val="0"/>
        </w:rPr>
        <w:t>八、规范作为国家（或行业）</w:t>
      </w:r>
      <w:r>
        <w:rPr>
          <w:rFonts w:hint="eastAsia"/>
          <w:b w:val="0"/>
          <w:bCs w:val="0"/>
          <w:lang w:val="en-US" w:eastAsia="zh-CN"/>
        </w:rPr>
        <w:t>计量技术规范</w:t>
      </w:r>
      <w:r>
        <w:rPr>
          <w:rFonts w:hint="eastAsia"/>
          <w:b w:val="0"/>
          <w:bCs w:val="0"/>
        </w:rPr>
        <w:t>的建议</w:t>
      </w:r>
    </w:p>
    <w:p w14:paraId="5BC96BFC">
      <w:pPr>
        <w:adjustRightInd w:val="0"/>
        <w:spacing w:line="360" w:lineRule="auto"/>
        <w:ind w:firstLine="420" w:firstLineChars="200"/>
        <w:rPr>
          <w:rFonts w:hint="default" w:hAnsi="宋体"/>
          <w:b w:val="0"/>
          <w:bCs w:val="0"/>
          <w:szCs w:val="21"/>
        </w:rPr>
      </w:pPr>
      <w:r>
        <w:rPr>
          <w:rFonts w:hint="eastAsia" w:hAnsi="宋体"/>
          <w:b w:val="0"/>
          <w:bCs w:val="0"/>
          <w:szCs w:val="21"/>
        </w:rPr>
        <w:t>建议本规范作为行业计量技术规范，供行业</w:t>
      </w:r>
      <w:r>
        <w:rPr>
          <w:rFonts w:hint="eastAsia" w:hAnsi="宋体"/>
          <w:b w:val="0"/>
          <w:bCs w:val="0"/>
          <w:szCs w:val="21"/>
          <w:lang w:val="en-US" w:eastAsia="zh-CN"/>
        </w:rPr>
        <w:t>企业</w:t>
      </w:r>
      <w:r>
        <w:rPr>
          <w:rFonts w:hint="eastAsia" w:hAnsi="宋体"/>
          <w:b w:val="0"/>
          <w:bCs w:val="0"/>
          <w:szCs w:val="21"/>
        </w:rPr>
        <w:t>参考</w:t>
      </w:r>
      <w:r>
        <w:rPr>
          <w:rFonts w:hint="eastAsia" w:hAnsi="宋体"/>
          <w:b w:val="0"/>
          <w:bCs w:val="0"/>
          <w:szCs w:val="21"/>
          <w:lang w:val="en-US" w:eastAsia="zh-CN"/>
        </w:rPr>
        <w:t>使用</w:t>
      </w:r>
      <w:r>
        <w:rPr>
          <w:rFonts w:hint="eastAsia" w:hAnsi="宋体"/>
          <w:b w:val="0"/>
          <w:bCs w:val="0"/>
          <w:szCs w:val="21"/>
        </w:rPr>
        <w:t>。</w:t>
      </w:r>
      <w:r>
        <w:rPr>
          <w:rFonts w:hint="eastAsia" w:hAnsi="宋体"/>
          <w:b w:val="0"/>
          <w:bCs w:val="0"/>
          <w:szCs w:val="21"/>
          <w:lang w:val="en-US" w:eastAsia="zh-CN"/>
        </w:rPr>
        <w:t>必要时可根据实际需要，结合其他行业使用要求，申报国家计量技术规范，以满足校准需要。</w:t>
      </w:r>
    </w:p>
    <w:p w14:paraId="54A64974">
      <w:pPr>
        <w:pStyle w:val="2"/>
        <w:spacing w:before="156" w:after="156" w:line="360" w:lineRule="auto"/>
        <w:rPr>
          <w:b w:val="0"/>
          <w:bCs w:val="0"/>
        </w:rPr>
      </w:pPr>
      <w:bookmarkStart w:id="71" w:name="_Toc464728976"/>
      <w:r>
        <w:rPr>
          <w:rFonts w:hint="eastAsia"/>
          <w:b w:val="0"/>
          <w:bCs w:val="0"/>
        </w:rPr>
        <w:t>九、贯彻规范的要求和措施建议</w:t>
      </w:r>
      <w:bookmarkEnd w:id="71"/>
    </w:p>
    <w:p w14:paraId="1B58E1C8">
      <w:pPr>
        <w:pStyle w:val="58"/>
        <w:spacing w:line="360" w:lineRule="auto"/>
        <w:ind w:firstLine="420"/>
        <w:contextualSpacing/>
        <w:rPr>
          <w:b w:val="0"/>
          <w:bCs w:val="0"/>
          <w:szCs w:val="21"/>
        </w:rPr>
      </w:pPr>
      <w:r>
        <w:rPr>
          <w:rFonts w:hint="eastAsia"/>
          <w:b w:val="0"/>
          <w:bCs w:val="0"/>
          <w:szCs w:val="21"/>
        </w:rPr>
        <w:t>本规范发布后，中国有色金属行业协会和有色金属行业计量技术委员会应加强本规范的宣传力度，以促进我国企业的技术进步和产品质量上档次，提高我国产品在国际国内市场的竞争能力。</w:t>
      </w:r>
    </w:p>
    <w:p w14:paraId="30254EEA">
      <w:pPr>
        <w:pStyle w:val="2"/>
        <w:spacing w:before="156" w:after="156" w:line="360" w:lineRule="auto"/>
        <w:rPr>
          <w:b w:val="0"/>
          <w:bCs w:val="0"/>
        </w:rPr>
      </w:pPr>
      <w:bookmarkStart w:id="72" w:name="_Toc464728977"/>
      <w:r>
        <w:rPr>
          <w:rFonts w:hint="eastAsia"/>
          <w:b w:val="0"/>
          <w:bCs w:val="0"/>
        </w:rPr>
        <w:t>十、废止现行有关规范的建议</w:t>
      </w:r>
      <w:bookmarkEnd w:id="72"/>
    </w:p>
    <w:p w14:paraId="39E87E15">
      <w:pPr>
        <w:pStyle w:val="58"/>
        <w:spacing w:line="360" w:lineRule="auto"/>
        <w:ind w:firstLine="420"/>
        <w:contextualSpacing/>
        <w:rPr>
          <w:b w:val="0"/>
          <w:bCs w:val="0"/>
          <w:szCs w:val="21"/>
        </w:rPr>
      </w:pPr>
      <w:r>
        <w:rPr>
          <w:rFonts w:hint="eastAsia"/>
          <w:b w:val="0"/>
          <w:bCs w:val="0"/>
          <w:szCs w:val="21"/>
        </w:rPr>
        <w:t>无。</w:t>
      </w:r>
    </w:p>
    <w:p w14:paraId="348B930C">
      <w:pPr>
        <w:pStyle w:val="2"/>
        <w:spacing w:before="156" w:after="156" w:line="360" w:lineRule="auto"/>
        <w:rPr>
          <w:b w:val="0"/>
          <w:bCs w:val="0"/>
        </w:rPr>
      </w:pPr>
      <w:r>
        <w:rPr>
          <w:rFonts w:hint="eastAsia"/>
          <w:b w:val="0"/>
          <w:bCs w:val="0"/>
          <w:lang w:val="en-US" w:eastAsia="zh-CN"/>
        </w:rPr>
        <w:t>十一</w:t>
      </w:r>
      <w:r>
        <w:rPr>
          <w:rFonts w:hint="eastAsia"/>
          <w:b w:val="0"/>
          <w:bCs w:val="0"/>
        </w:rPr>
        <w:t>、预期效果</w:t>
      </w:r>
    </w:p>
    <w:p w14:paraId="6FBF4B3B">
      <w:pPr>
        <w:spacing w:line="360" w:lineRule="auto"/>
        <w:ind w:firstLine="420" w:firstLineChars="200"/>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lang w:val="en-US" w:eastAsia="zh-CN"/>
        </w:rPr>
        <w:t>本</w:t>
      </w:r>
      <w:r>
        <w:rPr>
          <w:rFonts w:hint="eastAsia" w:asciiTheme="minorEastAsia" w:hAnsiTheme="minorEastAsia" w:eastAsiaTheme="minorEastAsia" w:cstheme="minorEastAsia"/>
          <w:b w:val="0"/>
          <w:bCs w:val="0"/>
          <w:kern w:val="0"/>
          <w:szCs w:val="21"/>
        </w:rPr>
        <w:t>规范</w:t>
      </w:r>
      <w:r>
        <w:rPr>
          <w:rFonts w:hint="eastAsia" w:asciiTheme="minorEastAsia" w:hAnsiTheme="minorEastAsia" w:eastAsiaTheme="minorEastAsia" w:cstheme="minorEastAsia"/>
          <w:b w:val="0"/>
          <w:bCs w:val="0"/>
          <w:kern w:val="0"/>
          <w:szCs w:val="21"/>
          <w:lang w:val="en-US" w:eastAsia="zh-CN"/>
        </w:rPr>
        <w:t>发布后，能</w:t>
      </w:r>
      <w:r>
        <w:rPr>
          <w:rFonts w:hint="eastAsia" w:asciiTheme="minorEastAsia" w:hAnsiTheme="minorEastAsia" w:eastAsiaTheme="minorEastAsia" w:cstheme="minorEastAsia"/>
          <w:b w:val="0"/>
          <w:bCs w:val="0"/>
          <w:kern w:val="0"/>
          <w:szCs w:val="21"/>
        </w:rPr>
        <w:t>解决</w:t>
      </w:r>
      <w:r>
        <w:rPr>
          <w:rFonts w:hint="eastAsia" w:ascii="宋体" w:hAnsi="宋体" w:eastAsia="宋体" w:cs="宋体"/>
          <w:color w:val="auto"/>
          <w:szCs w:val="21"/>
        </w:rPr>
        <w:t>铝合金阳极氧化膜及有机聚合物膜用落砂试验机</w:t>
      </w:r>
      <w:r>
        <w:rPr>
          <w:rFonts w:hint="eastAsia" w:asciiTheme="minorEastAsia" w:hAnsiTheme="minorEastAsia" w:eastAsiaTheme="minorEastAsia" w:cstheme="minorEastAsia"/>
          <w:szCs w:val="21"/>
          <w:lang w:val="en-US" w:eastAsia="zh-CN"/>
        </w:rPr>
        <w:t>计量特性不明确、校准项目不齐全、</w:t>
      </w:r>
      <w:r>
        <w:rPr>
          <w:rFonts w:hint="eastAsia" w:asciiTheme="minorEastAsia" w:hAnsiTheme="minorEastAsia" w:eastAsiaTheme="minorEastAsia" w:cstheme="minorEastAsia"/>
          <w:b w:val="0"/>
          <w:bCs w:val="0"/>
          <w:kern w:val="0"/>
          <w:szCs w:val="21"/>
        </w:rPr>
        <w:t>校准方法不统一等问题，弥补</w:t>
      </w:r>
      <w:r>
        <w:rPr>
          <w:rFonts w:hint="eastAsia" w:ascii="宋体" w:hAnsi="宋体" w:eastAsia="宋体" w:cs="宋体"/>
          <w:color w:val="auto"/>
          <w:szCs w:val="21"/>
        </w:rPr>
        <w:t>铝合金阳极氧化膜及有机聚合物膜用落砂试验机</w:t>
      </w:r>
      <w:r>
        <w:rPr>
          <w:rFonts w:hint="eastAsia" w:asciiTheme="minorEastAsia" w:hAnsiTheme="minorEastAsia" w:eastAsiaTheme="minorEastAsia" w:cstheme="minorEastAsia"/>
          <w:b w:val="0"/>
          <w:bCs w:val="0"/>
          <w:kern w:val="0"/>
          <w:szCs w:val="21"/>
        </w:rPr>
        <w:t>校准</w:t>
      </w:r>
      <w:r>
        <w:rPr>
          <w:rFonts w:hint="eastAsia" w:asciiTheme="minorEastAsia" w:hAnsiTheme="minorEastAsia" w:eastAsiaTheme="minorEastAsia" w:cstheme="minorEastAsia"/>
          <w:b w:val="0"/>
          <w:bCs w:val="0"/>
          <w:kern w:val="0"/>
          <w:szCs w:val="21"/>
          <w:lang w:val="en-US" w:eastAsia="zh-CN"/>
        </w:rPr>
        <w:t>规范</w:t>
      </w:r>
      <w:r>
        <w:rPr>
          <w:rFonts w:hint="eastAsia" w:asciiTheme="minorEastAsia" w:hAnsiTheme="minorEastAsia" w:eastAsiaTheme="minorEastAsia" w:cstheme="minorEastAsia"/>
          <w:b w:val="0"/>
          <w:bCs w:val="0"/>
          <w:kern w:val="0"/>
          <w:szCs w:val="21"/>
        </w:rPr>
        <w:t>的空白，</w:t>
      </w:r>
      <w:r>
        <w:rPr>
          <w:rFonts w:hint="eastAsia" w:asciiTheme="minorEastAsia" w:hAnsiTheme="minorEastAsia" w:eastAsiaTheme="minorEastAsia" w:cstheme="minorEastAsia"/>
          <w:b w:val="0"/>
          <w:bCs w:val="0"/>
          <w:kern w:val="0"/>
          <w:szCs w:val="21"/>
          <w:lang w:val="en-US" w:eastAsia="zh-CN"/>
        </w:rPr>
        <w:t>确保</w:t>
      </w:r>
      <w:r>
        <w:rPr>
          <w:rFonts w:hint="eastAsia" w:ascii="宋体" w:hAnsi="宋体" w:eastAsia="宋体" w:cs="宋体"/>
          <w:color w:val="auto"/>
          <w:szCs w:val="21"/>
        </w:rPr>
        <w:t>铝合金阳极氧化膜及有机聚合物膜</w:t>
      </w:r>
      <w:r>
        <w:rPr>
          <w:rFonts w:hint="eastAsia" w:asciiTheme="minorEastAsia" w:hAnsiTheme="minorEastAsia" w:eastAsiaTheme="minorEastAsia" w:cstheme="minorEastAsia"/>
          <w:szCs w:val="21"/>
          <w:lang w:val="en-US" w:eastAsia="zh-CN"/>
        </w:rPr>
        <w:t>耐磨性能</w:t>
      </w:r>
      <w:r>
        <w:rPr>
          <w:rFonts w:hint="eastAsia" w:asciiTheme="minorEastAsia" w:hAnsiTheme="minorEastAsia" w:eastAsiaTheme="minorEastAsia" w:cstheme="minorEastAsia"/>
          <w:b w:val="0"/>
          <w:bCs w:val="0"/>
          <w:kern w:val="0"/>
          <w:szCs w:val="21"/>
        </w:rPr>
        <w:t>测试结果的准确性。</w:t>
      </w:r>
      <w:bookmarkStart w:id="74" w:name="_GoBack"/>
      <w:bookmarkEnd w:id="74"/>
    </w:p>
    <w:p w14:paraId="56F595F0">
      <w:pPr>
        <w:pStyle w:val="2"/>
        <w:spacing w:before="156" w:after="156" w:line="360" w:lineRule="auto"/>
        <w:rPr>
          <w:b w:val="0"/>
          <w:bCs w:val="0"/>
        </w:rPr>
      </w:pPr>
      <w:r>
        <w:rPr>
          <w:rFonts w:hint="eastAsia"/>
          <w:b w:val="0"/>
          <w:bCs w:val="0"/>
        </w:rPr>
        <w:t>十一、其他应予说明的事项</w:t>
      </w:r>
    </w:p>
    <w:p w14:paraId="32741746">
      <w:pPr>
        <w:pStyle w:val="58"/>
        <w:spacing w:line="360" w:lineRule="auto"/>
        <w:ind w:firstLineChars="0"/>
        <w:contextualSpacing/>
        <w:rPr>
          <w:rFonts w:hint="eastAsia" w:asciiTheme="minorEastAsia" w:hAnsiTheme="minorEastAsia" w:eastAsiaTheme="minorEastAsia" w:cstheme="minorEastAsia"/>
          <w:b w:val="0"/>
          <w:bCs w:val="0"/>
        </w:rPr>
      </w:pPr>
      <w:r>
        <w:rPr>
          <w:rFonts w:hint="eastAsia"/>
          <w:b w:val="0"/>
          <w:bCs w:val="0"/>
          <w:szCs w:val="21"/>
        </w:rPr>
        <w:t>无。</w:t>
      </w:r>
      <w:r>
        <w:rPr>
          <w:rFonts w:ascii="Times New Roman" w:hAnsi="Times New Roman" w:eastAsia="黑体"/>
          <w:b w:val="0"/>
          <w:bCs w:val="0"/>
        </w:rPr>
        <w:t xml:space="preserve"> </w:t>
      </w:r>
    </w:p>
    <w:p w14:paraId="617FCDFA">
      <w:pPr>
        <w:pStyle w:val="58"/>
        <w:spacing w:line="360" w:lineRule="auto"/>
        <w:ind w:firstLineChars="0"/>
        <w:contextualSpacing/>
        <w:jc w:val="righ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w:t>
      </w:r>
      <w:r>
        <w:rPr>
          <w:rFonts w:hint="eastAsia" w:ascii="宋体" w:hAnsi="宋体" w:eastAsia="宋体" w:cs="宋体"/>
          <w:color w:val="auto"/>
          <w:szCs w:val="21"/>
        </w:rPr>
        <w:t>铝合金阳极氧化膜及有机聚合物膜</w:t>
      </w:r>
      <w:r>
        <w:rPr>
          <w:rFonts w:hint="eastAsia" w:asciiTheme="minorEastAsia" w:hAnsiTheme="minorEastAsia" w:eastAsiaTheme="minorEastAsia" w:cstheme="minorEastAsia"/>
          <w:b w:val="0"/>
          <w:bCs w:val="0"/>
          <w:szCs w:val="21"/>
        </w:rPr>
        <w:t xml:space="preserve">校准规范》编制组  </w:t>
      </w:r>
    </w:p>
    <w:p w14:paraId="62FF3414">
      <w:pPr>
        <w:pStyle w:val="58"/>
        <w:spacing w:line="360" w:lineRule="auto"/>
        <w:ind w:firstLineChars="0"/>
        <w:contextualSpacing/>
        <w:jc w:val="center"/>
        <w:rPr>
          <w:rFonts w:hint="eastAsia" w:asciiTheme="minorEastAsia" w:hAnsiTheme="minorEastAsia" w:eastAsiaTheme="minorEastAsia" w:cstheme="minorEastAsia"/>
          <w:b w:val="0"/>
          <w:bCs w:val="0"/>
          <w:szCs w:val="21"/>
          <w:lang w:val="en-US" w:eastAsia="zh-CN"/>
        </w:rPr>
      </w:pPr>
      <w:r>
        <w:rPr>
          <w:rFonts w:hint="eastAsia" w:asciiTheme="minorEastAsia" w:hAnsiTheme="minorEastAsia" w:eastAsiaTheme="minorEastAsia" w:cstheme="minorEastAsia"/>
          <w:b w:val="0"/>
          <w:bCs w:val="0"/>
          <w:szCs w:val="21"/>
          <w:lang w:val="en-US" w:eastAsia="zh-CN"/>
        </w:rPr>
        <w:t xml:space="preserve">                                     </w:t>
      </w:r>
      <w:r>
        <w:rPr>
          <w:rFonts w:hint="eastAsia" w:asciiTheme="minorEastAsia" w:hAnsiTheme="minorEastAsia" w:eastAsiaTheme="minorEastAsia" w:cstheme="minorEastAsia"/>
          <w:b w:val="0"/>
          <w:bCs w:val="0"/>
          <w:szCs w:val="21"/>
        </w:rPr>
        <w:t>202</w:t>
      </w:r>
      <w:r>
        <w:rPr>
          <w:rFonts w:hint="eastAsia" w:asciiTheme="minorEastAsia" w:hAnsiTheme="minorEastAsia" w:eastAsiaTheme="minorEastAsia" w:cstheme="minorEastAsia"/>
          <w:b w:val="0"/>
          <w:bCs w:val="0"/>
          <w:szCs w:val="21"/>
          <w:lang w:val="en-US" w:eastAsia="zh-CN"/>
        </w:rPr>
        <w:t>5</w:t>
      </w:r>
      <w:r>
        <w:rPr>
          <w:rFonts w:hint="eastAsia" w:asciiTheme="minorEastAsia" w:hAnsiTheme="minorEastAsia" w:eastAsiaTheme="minorEastAsia" w:cstheme="minorEastAsia"/>
          <w:b w:val="0"/>
          <w:bCs w:val="0"/>
          <w:szCs w:val="21"/>
        </w:rPr>
        <w:t>年</w:t>
      </w:r>
      <w:r>
        <w:rPr>
          <w:rFonts w:hint="eastAsia" w:asciiTheme="minorEastAsia" w:hAnsiTheme="minorEastAsia" w:eastAsiaTheme="minorEastAsia" w:cstheme="minorEastAsia"/>
          <w:b w:val="0"/>
          <w:bCs w:val="0"/>
          <w:szCs w:val="21"/>
          <w:lang w:val="en-US" w:eastAsia="zh-CN"/>
        </w:rPr>
        <w:t>11</w:t>
      </w:r>
      <w:r>
        <w:rPr>
          <w:rFonts w:hint="eastAsia" w:asciiTheme="minorEastAsia" w:hAnsiTheme="minorEastAsia" w:eastAsiaTheme="minorEastAsia" w:cstheme="minorEastAsia"/>
          <w:b w:val="0"/>
          <w:bCs w:val="0"/>
          <w:szCs w:val="21"/>
        </w:rPr>
        <w:t>月</w:t>
      </w:r>
      <w:r>
        <w:rPr>
          <w:rFonts w:hint="eastAsia" w:asciiTheme="minorEastAsia" w:hAnsiTheme="minorEastAsia" w:eastAsiaTheme="minorEastAsia" w:cstheme="minorEastAsia"/>
          <w:b w:val="0"/>
          <w:bCs w:val="0"/>
          <w:szCs w:val="21"/>
          <w:lang w:val="en-US" w:eastAsia="zh-CN"/>
        </w:rPr>
        <w:t>18</w:t>
      </w:r>
      <w:r>
        <w:rPr>
          <w:rFonts w:hint="eastAsia" w:asciiTheme="minorEastAsia" w:hAnsiTheme="minorEastAsia" w:eastAsiaTheme="minorEastAsia" w:cstheme="minorEastAsia"/>
          <w:b w:val="0"/>
          <w:bCs w:val="0"/>
          <w:szCs w:val="21"/>
        </w:rPr>
        <w:t>日</w:t>
      </w:r>
      <w:r>
        <w:rPr>
          <w:rFonts w:hint="eastAsia" w:asciiTheme="minorEastAsia" w:hAnsiTheme="minorEastAsia" w:eastAsiaTheme="minorEastAsia" w:cstheme="minorEastAsia"/>
          <w:b w:val="0"/>
          <w:bCs w:val="0"/>
          <w:szCs w:val="21"/>
          <w:lang w:val="en-US" w:eastAsia="zh-CN"/>
        </w:rPr>
        <w:t xml:space="preserve"> </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03B6">
    <w:pPr>
      <w:pStyle w:val="73"/>
      <w:jc w:val="center"/>
      <w:rPr>
        <w:rStyle w:val="45"/>
      </w:rPr>
    </w:pPr>
    <w:r>
      <w:fldChar w:fldCharType="begin"/>
    </w:r>
    <w:r>
      <w:rPr>
        <w:rStyle w:val="45"/>
      </w:rPr>
      <w:instrText xml:space="preserve">PAGE  </w:instrText>
    </w:r>
    <w:r>
      <w:fldChar w:fldCharType="separate"/>
    </w:r>
    <w:r>
      <w:rPr>
        <w:rStyle w:val="45"/>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3C842">
    <w:pPr>
      <w:pStyle w:val="30"/>
      <w:jc w:val="both"/>
    </w:pPr>
  </w:p>
  <w:p w14:paraId="4A90730C">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1B392">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77C4764"/>
    <w:multiLevelType w:val="singleLevel"/>
    <w:tmpl w:val="277C4764"/>
    <w:lvl w:ilvl="0" w:tentative="0">
      <w:start w:val="2"/>
      <w:numFmt w:val="decimal"/>
      <w:suff w:val="space"/>
      <w:lvlText w:val="%1）"/>
      <w:lvlJc w:val="left"/>
    </w:lvl>
  </w:abstractNum>
  <w:abstractNum w:abstractNumId="11">
    <w:nsid w:val="27C96EE6"/>
    <w:multiLevelType w:val="singleLevel"/>
    <w:tmpl w:val="27C96EE6"/>
    <w:lvl w:ilvl="0" w:tentative="0">
      <w:start w:val="1"/>
      <w:numFmt w:val="decimal"/>
      <w:suff w:val="space"/>
      <w:lvlText w:val="%1）"/>
      <w:lvlJc w:val="left"/>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13C58A6"/>
    <w:rsid w:val="02F703B0"/>
    <w:rsid w:val="0324416E"/>
    <w:rsid w:val="035C5FD3"/>
    <w:rsid w:val="03B25314"/>
    <w:rsid w:val="04120A04"/>
    <w:rsid w:val="04731467"/>
    <w:rsid w:val="04BE30A4"/>
    <w:rsid w:val="05266D56"/>
    <w:rsid w:val="05686081"/>
    <w:rsid w:val="05A536B6"/>
    <w:rsid w:val="05F125DB"/>
    <w:rsid w:val="06716757"/>
    <w:rsid w:val="06A17B4E"/>
    <w:rsid w:val="07DC0ED5"/>
    <w:rsid w:val="088B74D0"/>
    <w:rsid w:val="0904785D"/>
    <w:rsid w:val="090E05F9"/>
    <w:rsid w:val="09573966"/>
    <w:rsid w:val="0A0861E8"/>
    <w:rsid w:val="0A514367"/>
    <w:rsid w:val="0A781AE7"/>
    <w:rsid w:val="0B7455E7"/>
    <w:rsid w:val="0CB9457A"/>
    <w:rsid w:val="0CC545F4"/>
    <w:rsid w:val="0CCA0314"/>
    <w:rsid w:val="0D2A4DC6"/>
    <w:rsid w:val="0D8022CA"/>
    <w:rsid w:val="0D8866F1"/>
    <w:rsid w:val="0E41629B"/>
    <w:rsid w:val="0E6513CA"/>
    <w:rsid w:val="0FCF7859"/>
    <w:rsid w:val="11471F43"/>
    <w:rsid w:val="13100F6A"/>
    <w:rsid w:val="131B18E3"/>
    <w:rsid w:val="13877F6B"/>
    <w:rsid w:val="13B1031D"/>
    <w:rsid w:val="13E94614"/>
    <w:rsid w:val="14317D7D"/>
    <w:rsid w:val="14FE0CE9"/>
    <w:rsid w:val="156B69F5"/>
    <w:rsid w:val="158E7867"/>
    <w:rsid w:val="15AA26BA"/>
    <w:rsid w:val="16A67923"/>
    <w:rsid w:val="17155F99"/>
    <w:rsid w:val="174C2AB4"/>
    <w:rsid w:val="17E64F25"/>
    <w:rsid w:val="19105BBF"/>
    <w:rsid w:val="1B0E7032"/>
    <w:rsid w:val="1B132036"/>
    <w:rsid w:val="1C803B53"/>
    <w:rsid w:val="1CCC75E5"/>
    <w:rsid w:val="1D697480"/>
    <w:rsid w:val="1E0821D6"/>
    <w:rsid w:val="1E5B441F"/>
    <w:rsid w:val="1E713A82"/>
    <w:rsid w:val="1EE96226"/>
    <w:rsid w:val="1F5A1A25"/>
    <w:rsid w:val="1F5D7227"/>
    <w:rsid w:val="1F714057"/>
    <w:rsid w:val="1F9B5C2D"/>
    <w:rsid w:val="1FAB00D4"/>
    <w:rsid w:val="201D72A9"/>
    <w:rsid w:val="208E75B3"/>
    <w:rsid w:val="21371FEA"/>
    <w:rsid w:val="218A16C9"/>
    <w:rsid w:val="21BE3478"/>
    <w:rsid w:val="21D04080"/>
    <w:rsid w:val="221F2A19"/>
    <w:rsid w:val="22423DCF"/>
    <w:rsid w:val="225C10E7"/>
    <w:rsid w:val="23A74BBD"/>
    <w:rsid w:val="23B0782B"/>
    <w:rsid w:val="23D43A72"/>
    <w:rsid w:val="25FD62D8"/>
    <w:rsid w:val="262E1F69"/>
    <w:rsid w:val="276E3EA2"/>
    <w:rsid w:val="277C51D7"/>
    <w:rsid w:val="27BD3A55"/>
    <w:rsid w:val="28A00A66"/>
    <w:rsid w:val="29846CB3"/>
    <w:rsid w:val="29E46257"/>
    <w:rsid w:val="2A4110A1"/>
    <w:rsid w:val="2AB85E2C"/>
    <w:rsid w:val="2AE205B7"/>
    <w:rsid w:val="2B6776E8"/>
    <w:rsid w:val="2BE07D12"/>
    <w:rsid w:val="2C147130"/>
    <w:rsid w:val="2C281A12"/>
    <w:rsid w:val="2D525CFE"/>
    <w:rsid w:val="2DF67A69"/>
    <w:rsid w:val="2E07535D"/>
    <w:rsid w:val="2E772BB0"/>
    <w:rsid w:val="2F656952"/>
    <w:rsid w:val="2F74507C"/>
    <w:rsid w:val="2FBE527A"/>
    <w:rsid w:val="305D601F"/>
    <w:rsid w:val="315B6A82"/>
    <w:rsid w:val="315F6EB9"/>
    <w:rsid w:val="31B57A58"/>
    <w:rsid w:val="32230959"/>
    <w:rsid w:val="325F3B1A"/>
    <w:rsid w:val="34745E77"/>
    <w:rsid w:val="34CD5E22"/>
    <w:rsid w:val="353B531F"/>
    <w:rsid w:val="354F2431"/>
    <w:rsid w:val="35700877"/>
    <w:rsid w:val="357F5E13"/>
    <w:rsid w:val="36AE69D8"/>
    <w:rsid w:val="37A41281"/>
    <w:rsid w:val="385C2E16"/>
    <w:rsid w:val="38B6063A"/>
    <w:rsid w:val="38D330D8"/>
    <w:rsid w:val="39791AAA"/>
    <w:rsid w:val="39E63C45"/>
    <w:rsid w:val="3A910669"/>
    <w:rsid w:val="3AC776A1"/>
    <w:rsid w:val="3BFA1058"/>
    <w:rsid w:val="3CF76650"/>
    <w:rsid w:val="3D2C1DB3"/>
    <w:rsid w:val="3D9B7F3D"/>
    <w:rsid w:val="3DCC7A7C"/>
    <w:rsid w:val="3E6B6D9C"/>
    <w:rsid w:val="3EB92D70"/>
    <w:rsid w:val="3EBA5BC3"/>
    <w:rsid w:val="3F351CA5"/>
    <w:rsid w:val="3FE25D82"/>
    <w:rsid w:val="41E73B64"/>
    <w:rsid w:val="420E5348"/>
    <w:rsid w:val="42301F2D"/>
    <w:rsid w:val="425F603B"/>
    <w:rsid w:val="4286740D"/>
    <w:rsid w:val="42961446"/>
    <w:rsid w:val="42D75573"/>
    <w:rsid w:val="43A67182"/>
    <w:rsid w:val="44100726"/>
    <w:rsid w:val="44347A9B"/>
    <w:rsid w:val="44CE02A0"/>
    <w:rsid w:val="45003450"/>
    <w:rsid w:val="456D3D97"/>
    <w:rsid w:val="459973F1"/>
    <w:rsid w:val="45E87405"/>
    <w:rsid w:val="46474D73"/>
    <w:rsid w:val="465C4787"/>
    <w:rsid w:val="473A498E"/>
    <w:rsid w:val="47552183"/>
    <w:rsid w:val="47E265AC"/>
    <w:rsid w:val="481C4806"/>
    <w:rsid w:val="48211129"/>
    <w:rsid w:val="48AF060A"/>
    <w:rsid w:val="48BE5C4B"/>
    <w:rsid w:val="49214E6F"/>
    <w:rsid w:val="4A05351A"/>
    <w:rsid w:val="4A6450F5"/>
    <w:rsid w:val="4AE6291D"/>
    <w:rsid w:val="4AEA403C"/>
    <w:rsid w:val="4B8C5809"/>
    <w:rsid w:val="4B933E1A"/>
    <w:rsid w:val="4BD017A0"/>
    <w:rsid w:val="4CD44FFC"/>
    <w:rsid w:val="4CF67FDD"/>
    <w:rsid w:val="4D432356"/>
    <w:rsid w:val="4E3430C7"/>
    <w:rsid w:val="4FA7278A"/>
    <w:rsid w:val="50011CA3"/>
    <w:rsid w:val="51051BD9"/>
    <w:rsid w:val="51442F7B"/>
    <w:rsid w:val="52A97DDB"/>
    <w:rsid w:val="535112B4"/>
    <w:rsid w:val="537D4134"/>
    <w:rsid w:val="54866DF9"/>
    <w:rsid w:val="55152B55"/>
    <w:rsid w:val="551D4234"/>
    <w:rsid w:val="558C01CD"/>
    <w:rsid w:val="56154CA2"/>
    <w:rsid w:val="56A00E5A"/>
    <w:rsid w:val="57676F98"/>
    <w:rsid w:val="590A235B"/>
    <w:rsid w:val="595D44B2"/>
    <w:rsid w:val="59B61F2F"/>
    <w:rsid w:val="5A931503"/>
    <w:rsid w:val="5A971C98"/>
    <w:rsid w:val="5AC42DA1"/>
    <w:rsid w:val="5AFA5C95"/>
    <w:rsid w:val="5CDE078E"/>
    <w:rsid w:val="5DC655CC"/>
    <w:rsid w:val="5E11368B"/>
    <w:rsid w:val="5F776EED"/>
    <w:rsid w:val="604368DB"/>
    <w:rsid w:val="605176D9"/>
    <w:rsid w:val="61690122"/>
    <w:rsid w:val="628B01FA"/>
    <w:rsid w:val="633C7DF8"/>
    <w:rsid w:val="6350185E"/>
    <w:rsid w:val="63F828E6"/>
    <w:rsid w:val="644A0FDB"/>
    <w:rsid w:val="644A650D"/>
    <w:rsid w:val="64746C6E"/>
    <w:rsid w:val="64FF4C69"/>
    <w:rsid w:val="654D6460"/>
    <w:rsid w:val="6727446C"/>
    <w:rsid w:val="6760797E"/>
    <w:rsid w:val="67D00D17"/>
    <w:rsid w:val="68E96ABB"/>
    <w:rsid w:val="690E43C7"/>
    <w:rsid w:val="694F496D"/>
    <w:rsid w:val="69BC4907"/>
    <w:rsid w:val="6AB57C02"/>
    <w:rsid w:val="6AE574EF"/>
    <w:rsid w:val="6AF7022D"/>
    <w:rsid w:val="6B27051F"/>
    <w:rsid w:val="6B753BDA"/>
    <w:rsid w:val="6B770841"/>
    <w:rsid w:val="6D281A14"/>
    <w:rsid w:val="6E1A7C76"/>
    <w:rsid w:val="6E8A0C2B"/>
    <w:rsid w:val="6E9A1846"/>
    <w:rsid w:val="6EF60757"/>
    <w:rsid w:val="6F0F327A"/>
    <w:rsid w:val="6FDA6C20"/>
    <w:rsid w:val="70312CEA"/>
    <w:rsid w:val="70757340"/>
    <w:rsid w:val="70A61265"/>
    <w:rsid w:val="70D65591"/>
    <w:rsid w:val="70FA146A"/>
    <w:rsid w:val="710228B1"/>
    <w:rsid w:val="719C3B26"/>
    <w:rsid w:val="72C40018"/>
    <w:rsid w:val="730163D3"/>
    <w:rsid w:val="732F5B0D"/>
    <w:rsid w:val="73551E63"/>
    <w:rsid w:val="73A7009A"/>
    <w:rsid w:val="73B95B2E"/>
    <w:rsid w:val="74130018"/>
    <w:rsid w:val="74D35BFF"/>
    <w:rsid w:val="77CE2BEC"/>
    <w:rsid w:val="78931FA4"/>
    <w:rsid w:val="78A31478"/>
    <w:rsid w:val="78C65C7E"/>
    <w:rsid w:val="78CE2872"/>
    <w:rsid w:val="78DB44BD"/>
    <w:rsid w:val="794A3F62"/>
    <w:rsid w:val="795C2ECE"/>
    <w:rsid w:val="7AC757F1"/>
    <w:rsid w:val="7B207CB9"/>
    <w:rsid w:val="7BDD2F9D"/>
    <w:rsid w:val="7D700DB4"/>
    <w:rsid w:val="7DB95776"/>
    <w:rsid w:val="7ECA0929"/>
    <w:rsid w:val="7EFA541F"/>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16</Pages>
  <Words>5296</Words>
  <Characters>5617</Characters>
  <Lines>40</Lines>
  <Paragraphs>11</Paragraphs>
  <TotalTime>1</TotalTime>
  <ScaleCrop>false</ScaleCrop>
  <LinksUpToDate>false</LinksUpToDate>
  <CharactersWithSpaces>5748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风继续吹</cp:lastModifiedBy>
  <cp:lastPrinted>2016-10-20T04:13:00Z</cp:lastPrinted>
  <dcterms:modified xsi:type="dcterms:W3CDTF">2025-11-18T07:58:05Z</dcterms:modified>
  <dc:title>标准名称</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1AF6B1942E934CBA9084FA9CF9CCD4B5</vt:lpwstr>
  </property>
  <property fmtid="{D5CDD505-2E9C-101B-9397-08002B2CF9AE}" pid="4" name="KSOTemplateDocerSaveRecord">
    <vt:lpwstr>eyJoZGlkIjoiMjEyNDk5ZjFjNDk2MDY1ZTUwY2I3NWM5MDFkM2RjMGUiLCJ1c2VySWQiOiIzNjA4MjM5NjYifQ==</vt:lpwstr>
  </property>
</Properties>
</file>