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49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附件2：</w:t>
      </w:r>
    </w:p>
    <w:p w14:paraId="208CA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重金属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分标委会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审定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和讨论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的标准项目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3263"/>
        <w:gridCol w:w="2461"/>
        <w:gridCol w:w="6563"/>
        <w:gridCol w:w="1372"/>
      </w:tblGrid>
      <w:tr w14:paraId="14456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82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7BB94E5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151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7F9D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标准项目名称</w:t>
            </w:r>
          </w:p>
        </w:tc>
        <w:tc>
          <w:tcPr>
            <w:tcW w:w="86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8B7D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项目计划编号</w:t>
            </w:r>
          </w:p>
        </w:tc>
        <w:tc>
          <w:tcPr>
            <w:tcW w:w="23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12FA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起草单位及相关单位</w:t>
            </w:r>
          </w:p>
        </w:tc>
        <w:tc>
          <w:tcPr>
            <w:tcW w:w="482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923E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 w14:paraId="1BF9A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5000" w:type="pct"/>
            <w:gridSpan w:val="5"/>
            <w:vAlign w:val="center"/>
          </w:tcPr>
          <w:p w14:paraId="56184C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 w:line="360" w:lineRule="auto"/>
              <w:ind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以下3项标准实施效果评价分析研讨会：</w:t>
            </w:r>
          </w:p>
          <w:p w14:paraId="623AF1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 w:line="360" w:lineRule="auto"/>
              <w:ind w:left="425" w:leftChars="0" w:right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《蚀刻用铜及铜合金带箔材》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（YS/T 1675-2023）</w:t>
            </w:r>
          </w:p>
          <w:p w14:paraId="12061E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 w:line="360" w:lineRule="auto"/>
              <w:ind w:left="425" w:leftChars="0" w:right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《铜及铜合金板带箔材表面清洁度检验方法》（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YS/T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864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1CFD4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 w:line="360" w:lineRule="auto"/>
              <w:ind w:left="425" w:leftChars="0" w:right="0" w:hanging="425" w:firstLineChars="0"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《铜及铜合金板带箔材 残余应力检验方法 蚀刻分条法》（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YS/T 1678-2023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C7D5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82" w:type="pct"/>
            <w:vAlign w:val="center"/>
          </w:tcPr>
          <w:p w14:paraId="1FC52CC3">
            <w:pPr>
              <w:pStyle w:val="4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0B988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铜及铜合金化学分析方法 第6部分：铋含量的测定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579F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20255149-T-610</w:t>
            </w:r>
          </w:p>
        </w:tc>
        <w:tc>
          <w:tcPr>
            <w:tcW w:w="2315" w:type="pct"/>
            <w:shd w:val="clear" w:color="auto" w:fill="auto"/>
            <w:vAlign w:val="center"/>
          </w:tcPr>
          <w:p w14:paraId="680E13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中铝洛阳铜加工有限公司、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国标（北京）检验认证有限公司、江西铜业股份有限公司、北矿检测技术股份有限公司、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紫金矿业集团股份有限公司、深圳市中金岭南有色金属股份有限公司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广东省科学院工业分析检测中心、铜陵有色金属集团控股有限公司、洛阳船舶材料研究所、浙江省冶金产品质量检验站有限公司、上海有色金属工业技术监测中心有限公司、厦门双瑞材料研究院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AECE22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84F9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82" w:type="pct"/>
            <w:vAlign w:val="center"/>
          </w:tcPr>
          <w:p w14:paraId="36011521">
            <w:pPr>
              <w:pStyle w:val="4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6AEEF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铜及铜合金化学分析方法 第10部分：锡含量的测定</w:t>
            </w:r>
          </w:p>
        </w:tc>
        <w:tc>
          <w:tcPr>
            <w:tcW w:w="868" w:type="pct"/>
            <w:shd w:val="clear" w:color="auto" w:fill="auto"/>
            <w:vAlign w:val="bottom"/>
          </w:tcPr>
          <w:p w14:paraId="1B5DB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20255143-T-610</w:t>
            </w:r>
          </w:p>
        </w:tc>
        <w:tc>
          <w:tcPr>
            <w:tcW w:w="2315" w:type="pct"/>
            <w:shd w:val="clear" w:color="auto" w:fill="auto"/>
            <w:vAlign w:val="center"/>
          </w:tcPr>
          <w:p w14:paraId="50B5D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铝洛阳铜加工有限公司、白银有色西北铜加工有限公司、北矿检测技术股份有限公司、深圳市中金岭南有色金属股份有限公司、国家铜铅锌及制品质量监督检验中心、铜陵有色金属集团控股有限公司、国标（北京）检验认证有限公司、广东省科学院工业分析检测中心、紫金矿业集团股份有限公司、洛阳船舶材料研究所、浙江省冶金产品质量检验站有限公司、大冶有色金属有限责任公司、上海有色金属工业技术监测中心有限公司、厦门双瑞材料研究院有限公司、聊城市产品质量监督检验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、浙江灿根智能科技股份有限公司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B55240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39DF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82" w:type="pct"/>
            <w:vAlign w:val="center"/>
          </w:tcPr>
          <w:p w14:paraId="2EAB4BB7">
            <w:pPr>
              <w:pStyle w:val="4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761B9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铜及铜合金化学分析方法 第18部分：镁含量的测定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9396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20255144-T-610</w:t>
            </w:r>
          </w:p>
        </w:tc>
        <w:tc>
          <w:tcPr>
            <w:tcW w:w="2315" w:type="pct"/>
            <w:shd w:val="clear" w:color="auto" w:fill="auto"/>
            <w:vAlign w:val="center"/>
          </w:tcPr>
          <w:p w14:paraId="62257E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中铝沈阳有色金属加工有限公司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中铝洛阳铜加工有限公司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、荆门市格林美新材料有限公司、深圳市中金岭南有色金属股份有限公司、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江西铜业股份有限公司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国标（北京）检验认证有限公司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广东省科学院工业分析检测中心、铜陵有色金属集团控股有限公司、中国船舶集团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有限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公司第七二五研究所（洛阳船舶材料研究所）、厦门双瑞材料研究院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、上海有色金属工业技术监测中心有限公司、紫金矿业集团股份有限公司、北矿检测技术股份有限公司、安徽国家铜铅锌质检中心、大冶有色设计研究院有限公司、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浙江灿根智能科技股份有限公司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E7BFF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C3E3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82" w:type="pct"/>
            <w:vAlign w:val="center"/>
          </w:tcPr>
          <w:p w14:paraId="3C99E7CE">
            <w:pPr>
              <w:pStyle w:val="4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34ED7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铜及铜合金化学分析方法 第21部分：钛含量的测定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E2BA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20255139-T-610</w:t>
            </w:r>
          </w:p>
        </w:tc>
        <w:tc>
          <w:tcPr>
            <w:tcW w:w="2315" w:type="pct"/>
            <w:shd w:val="clear" w:color="auto" w:fill="auto"/>
            <w:vAlign w:val="center"/>
          </w:tcPr>
          <w:p w14:paraId="5209D42A">
            <w:pPr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铝洛阳铜加工有限公司、广东省科学院工业分析检测中心、北矿检测技术股份有限公司、铜陵有色金属集团控股有限公司、深圳市中金岭南有色金属股份有限公司、国标（北京）检验认证有限公司、紫金矿业集团股份有限公司、浙江省冶金产品质量检验站有限公司、洛阳船舶材料研究所、中铝沈阳有色金属加工有限公司、宁波博威合金材料股份有限公司、大冶有色金属有限责任公司、上海有色金属工业技术监测中心有限公司、厦门双瑞材料研究院有限公司、国合通用（青岛）测试评价有限公司、聊城市产品质量监督检验所、酒泉钢铁（集团）有限责任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、陕西斯瑞扶风先进铜合金有限公司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315DF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A9EF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82" w:type="pct"/>
            <w:vAlign w:val="center"/>
          </w:tcPr>
          <w:p w14:paraId="43C2232D">
            <w:pPr>
              <w:pStyle w:val="4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527D5B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镍及镍合金加工产品超声波检测方法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22DD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20255683-T-610</w:t>
            </w:r>
          </w:p>
        </w:tc>
        <w:tc>
          <w:tcPr>
            <w:tcW w:w="2315" w:type="pct"/>
            <w:shd w:val="clear" w:color="auto" w:fill="auto"/>
            <w:vAlign w:val="center"/>
          </w:tcPr>
          <w:p w14:paraId="366738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宝钛集团有限公司、宝鸡钛业股份有限公司、有色金属技术经济研究院有限责任公司、中铝洛阳铜加工有限公司、沈阳有色金属研究所有限公司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6B537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6C573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82" w:type="pct"/>
            <w:vAlign w:val="center"/>
          </w:tcPr>
          <w:p w14:paraId="6E37350A">
            <w:pPr>
              <w:pStyle w:val="4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57071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氧化铟锡蒸发料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905F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20255678-T-610</w:t>
            </w:r>
          </w:p>
        </w:tc>
        <w:tc>
          <w:tcPr>
            <w:tcW w:w="2315" w:type="pct"/>
            <w:shd w:val="clear" w:color="auto" w:fill="auto"/>
            <w:vAlign w:val="center"/>
          </w:tcPr>
          <w:p w14:paraId="18844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先导电子科技股份有限公司、成都中建材光电材料有限公司、安徽光智科技股份有限公司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C04CD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4EBF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82" w:type="pct"/>
            <w:vAlign w:val="center"/>
          </w:tcPr>
          <w:p w14:paraId="167F1D21">
            <w:pPr>
              <w:pStyle w:val="4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3CB22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硫化镉靶材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EDE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szCs w:val="21"/>
                <w:highlight w:val="none"/>
                <w:lang w:val="en-US" w:eastAsia="zh-CN"/>
              </w:rPr>
              <w:t>20255673-T-610</w:t>
            </w:r>
          </w:p>
        </w:tc>
        <w:tc>
          <w:tcPr>
            <w:tcW w:w="2315" w:type="pct"/>
            <w:shd w:val="clear" w:color="auto" w:fill="auto"/>
            <w:vAlign w:val="center"/>
          </w:tcPr>
          <w:p w14:paraId="2F166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先导电子科技股份有限公司、广东稀材股份有限公司、成都中建材光电材料有限公司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6E8A1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</w:tbl>
    <w:p w14:paraId="36660531"/>
    <w:p w14:paraId="6D4566FB"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9394"/>
    <w:multiLevelType w:val="singleLevel"/>
    <w:tmpl w:val="63A6939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">
    <w:nsid w:val="7964102C"/>
    <w:multiLevelType w:val="singleLevel"/>
    <w:tmpl w:val="7964102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3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2025-11-19T02:04:10Z</dcterms:created>
  <dc:creator>10699</dc:creator>
  <cp:lastModifiedBy>ECHO</cp:lastModifiedBy>
  <dcterms:modified xsi:type="dcterms:W3CDTF">2025-11-19T02:04:35Z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F93F76C358FC4D549AFA7D5CD2EFF945_12</vt:lpwstr>
  </property>
</Properties>
</file>