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7A52D">
      <w:pPr>
        <w:pStyle w:val="67"/>
        <w:spacing w:line="360" w:lineRule="exact"/>
      </w:pPr>
      <w:bookmarkStart w:id="0" w:name="SectionMark0"/>
      <w:r>
        <w:drawing>
          <wp:anchor distT="0" distB="0" distL="114300" distR="114300" simplePos="0" relativeHeight="251665408"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7"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BPicture" descr="GB"/>
                    <pic:cNvPicPr>
                      <a:picLocks noChangeAspect="1"/>
                    </pic:cNvPicPr>
                  </pic:nvPicPr>
                  <pic:blipFill>
                    <a:blip r:embed="rId15" cstate="prin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6" name="直线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a:effectLst/>
                      </wps:spPr>
                      <wps:bodyPr/>
                    </wps:wsp>
                  </a:graphicData>
                </a:graphic>
              </wp:anchor>
            </w:drawing>
          </mc:Choice>
          <mc:Fallback>
            <w:pict>
              <v:line id="直线 8" o:spid="_x0000_s1026" o:spt="20" style="position:absolute;left:0pt;margin-left:0pt;margin-top:700pt;height:0pt;width:482pt;z-index:251664384;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B6FDhN5AEAAN4DAAAOAAAAZHJzL2Uyb0RvYy54bWytU0tu2zAQ&#10;3RfoHQjua9lG4AaC5SziuJuiNdD2AGOSkgjwBw5j2WfpNbrqpsfJNTqkFDdNN15UC2rIGb6Z92a4&#10;vjtZw44qovau4YvZnDPlhJfadQ3/9nX37pYzTOAkGO9Uw88K+d3m7Zv1EGq19L03UkVGIA7rITS8&#10;TynUVYWiVxZw5oNy5Gx9tJBoG7tKRhgI3ZpqOZ+vqsFHGaIXCpFOt6OTT4jxGkDftlqorRePVrk0&#10;okZlIBEl7HVAvinVtq0S6XPbokrMNJyYprJSErIPea02a6i7CKHXYioBrinhFScL2lHSC9QWErDH&#10;qP+BslpEj75NM+FtNRIpihCLxfyVNl96CKpwIakxXETH/wcrPh33kWnZ8BVnDiw1/On7j6efv9ht&#10;1mYIWFPIvdvHaYdhHzPRUxtt/hMFdip6ni96qlNigg5Xi+XiZk5Si2df9ediiJg+KG9ZNhputMtU&#10;oYbjR0yUjEKfQ/KxcWygcV2+L3hAg9dSwwnaBioeXVcuozda7rQx+QrG7nBvIjsCNX9XvsyJgP8K&#10;y1m2gP0YV1zjWPQK5IOTLJ0DyeLoNfBcg1WSM6Po8WSLAKFOoM01kZTauHxBldGciGaRR1mzdfDy&#10;XNSu8o7aXiqeRjTP1cs92S+f5e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hqwO9QAAAAKAQAA&#10;DwAAAAAAAAABACAAAAAiAAAAZHJzL2Rvd25yZXYueG1sUEsBAhQAFAAAAAgAh07iQHoUOE3kAQAA&#10;3gMAAA4AAAAAAAAAAQAgAAAAIwEAAGRycy9lMm9Eb2MueG1sUEsFBgAAAAAGAAYAWQEAAHkFAAAA&#10;AA==&#10;">
                <v:fill on="f" focussize="0,0"/>
                <v:stroke weight="1pt" color="#FFFFFF" joinstyle="round"/>
                <v:imagedata o:title=""/>
                <o:lock v:ext="edit" aspectratio="f"/>
              </v:lin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5C79DA5E">
                            <w:pPr>
                              <w:pStyle w:val="68"/>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CBHvpMzQEAALQDAAAOAAAAZHJzL2Uyb0RvYy54bWyt&#10;U01v2zAMvQ/YfxB0X+ykW7EZcQp0QYYBwzag3Q+QZdkWoK+RSuz8+1FynHX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bATB+Ud6y&#10;ZNQcaHJZUHH6hpE6odQlJRVDb3R70MbkA/TNZwPsJGjKh/ykJunKP2nGpWTn07U5PHtU3pNLmcR4&#10;ZpasODXTRYbGt2dSYaRdqTn+PgpQnJmvjoaRFmsxYDGaxTgG0P1AnLJyRYKlYeb2LouXtuXpmeyn&#10;P9vu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L9qtfaAAAADQEAAA8AAAAAAAAAAQAgAAAAIgAA&#10;AGRycy9kb3ducmV2LnhtbFBLAQIUABQAAAAIAIdO4kCBHvpMzQEAALQDAAAOAAAAAAAAAAEAIAAA&#10;ACkBAABkcnMvZTJvRG9jLnhtbFBLBQYAAAAABgAGAFkBAABoBQAAAAA=&#10;">
                <v:fill on="t" focussize="0,0"/>
                <v:stroke on="f"/>
                <v:imagedata o:title=""/>
                <o:lock v:ext="edit" aspectratio="f"/>
                <v:textbox inset="0mm,0mm,0mm,0mm">
                  <w:txbxContent>
                    <w:p w14:paraId="5C79DA5E">
                      <w:pPr>
                        <w:pStyle w:val="68"/>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14:paraId="2E69722C">
                            <w:pPr>
                              <w:pStyle w:val="46"/>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fUTY9s0BAAC0AwAADgAAAGRycy9lMm9Eb2MueG1srVNN&#10;b9swDL0P2H8QdF/spN2wGXEKdEGGAcM2oN0PkGXZFqCvkUrs/PtRcpx1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f2wEwflHesmTU&#10;HGhyWVBx+oaROqHUJSUVQ290e9DG5AP0zWcD7CRoyof8pCbpyj9pxqVk59O1OTx7VN6TS5nEeGaW&#10;rDg100WGxrdnUmGkXak5/j4KUJyZr46GkRZrMWAxmsU4BtD9QJyyckWCpWHm9i6Ll7bl6Znspz/b&#10;7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fNsqI2AAAAAoBAAAPAAAAAAAAAAEAIAAAACIAAABk&#10;cnMvZG93bnJldi54bWxQSwECFAAUAAAACACHTuJAfUTY9s0BAAC0AwAADgAAAAAAAAABACAAAAAn&#10;AQAAZHJzL2Uyb0RvYy54bWxQSwUGAAAAAAYABgBZAQAAZgUAAAAA&#10;">
                <v:fill on="t" focussize="0,0"/>
                <v:stroke on="f"/>
                <v:imagedata o:title=""/>
                <o:lock v:ext="edit" aspectratio="f"/>
                <v:textbox inset="0mm,0mm,0mm,0mm">
                  <w:txbxContent>
                    <w:p w14:paraId="2E69722C">
                      <w:pPr>
                        <w:pStyle w:val="46"/>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104775</wp:posOffset>
                </wp:positionH>
                <wp:positionV relativeFrom="margin">
                  <wp:posOffset>2952750</wp:posOffset>
                </wp:positionV>
                <wp:extent cx="6057900" cy="5286375"/>
                <wp:effectExtent l="0" t="0" r="0" b="9525"/>
                <wp:wrapNone/>
                <wp:docPr id="3" name="fmFrame4"/>
                <wp:cNvGraphicFramePr/>
                <a:graphic xmlns:a="http://schemas.openxmlformats.org/drawingml/2006/main">
                  <a:graphicData uri="http://schemas.microsoft.com/office/word/2010/wordprocessingShape">
                    <wps:wsp>
                      <wps:cNvSpPr txBox="1"/>
                      <wps:spPr>
                        <a:xfrm>
                          <a:off x="0" y="0"/>
                          <a:ext cx="6057900" cy="5286375"/>
                        </a:xfrm>
                        <a:prstGeom prst="rect">
                          <a:avLst/>
                        </a:prstGeom>
                        <a:solidFill>
                          <a:srgbClr val="FFFFFF"/>
                        </a:solidFill>
                        <a:ln>
                          <a:noFill/>
                        </a:ln>
                        <a:effectLst/>
                      </wps:spPr>
                      <wps:txbx>
                        <w:txbxContent>
                          <w:p w14:paraId="2C7299C4">
                            <w:pPr>
                              <w:ind w:left="23" w:leftChars="-6" w:hanging="36" w:hangingChars="7"/>
                              <w:jc w:val="center"/>
                              <w:rPr>
                                <w:rFonts w:ascii="黑体" w:eastAsia="黑体"/>
                                <w:sz w:val="52"/>
                                <w:szCs w:val="52"/>
                              </w:rPr>
                            </w:pPr>
                          </w:p>
                          <w:p w14:paraId="4381B5D7">
                            <w:pPr>
                              <w:pStyle w:val="69"/>
                              <w:ind w:left="1460" w:hanging="1040"/>
                              <w:rPr>
                                <w:szCs w:val="52"/>
                              </w:rPr>
                            </w:pPr>
                            <w:r>
                              <w:rPr>
                                <w:rFonts w:hint="eastAsia"/>
                                <w:szCs w:val="52"/>
                              </w:rPr>
                              <w:t>稀土硅铁合金及镁硅铁合金</w:t>
                            </w:r>
                          </w:p>
                          <w:p w14:paraId="6229D770">
                            <w:pPr>
                              <w:pStyle w:val="69"/>
                              <w:ind w:left="1460" w:hanging="1040"/>
                              <w:rPr>
                                <w:szCs w:val="52"/>
                              </w:rPr>
                            </w:pPr>
                            <w:r>
                              <w:rPr>
                                <w:rFonts w:hint="eastAsia"/>
                                <w:szCs w:val="52"/>
                              </w:rPr>
                              <w:t>化学分析方法</w:t>
                            </w:r>
                          </w:p>
                          <w:p w14:paraId="7A3AD7D3">
                            <w:pPr>
                              <w:pStyle w:val="69"/>
                              <w:ind w:left="1460" w:hanging="1040"/>
                            </w:pPr>
                            <w:r>
                              <w:rPr>
                                <w:rFonts w:hint="eastAsia"/>
                                <w:szCs w:val="52"/>
                              </w:rPr>
                              <w:t>第2部分：钙、镁、锰</w:t>
                            </w:r>
                            <w:bookmarkStart w:id="7" w:name="_Hlk85097276"/>
                            <w:r>
                              <w:rPr>
                                <w:rFonts w:hint="eastAsia"/>
                                <w:szCs w:val="52"/>
                              </w:rPr>
                              <w:t>、</w:t>
                            </w:r>
                            <w:bookmarkStart w:id="8" w:name="_Hlk85095570"/>
                            <w:r>
                              <w:rPr>
                                <w:rFonts w:hint="eastAsia"/>
                                <w:szCs w:val="52"/>
                              </w:rPr>
                              <w:t>铝、钡、锑、铋、锶、磷</w:t>
                            </w:r>
                            <w:bookmarkEnd w:id="7"/>
                            <w:bookmarkEnd w:id="8"/>
                            <w:r>
                              <w:rPr>
                                <w:rFonts w:hint="eastAsia"/>
                                <w:szCs w:val="52"/>
                              </w:rPr>
                              <w:t>和钛含量的测定</w:t>
                            </w:r>
                            <w:r>
                              <w:rPr>
                                <w:rFonts w:hint="eastAsia"/>
                              </w:rPr>
                              <w:t xml:space="preserve">  </w:t>
                            </w:r>
                          </w:p>
                          <w:p w14:paraId="3E76A852">
                            <w:pPr>
                              <w:pStyle w:val="69"/>
                              <w:ind w:left="1380" w:hanging="960"/>
                              <w:rPr>
                                <w:sz w:val="48"/>
                                <w:szCs w:val="48"/>
                              </w:rPr>
                            </w:pPr>
                          </w:p>
                          <w:p w14:paraId="69243691">
                            <w:pPr>
                              <w:pStyle w:val="44"/>
                              <w:widowControl/>
                              <w:snapToGrid w:val="0"/>
                              <w:spacing w:before="0" w:line="240" w:lineRule="auto"/>
                              <w:rPr>
                                <w:rFonts w:eastAsia="黑体"/>
                                <w:szCs w:val="28"/>
                              </w:rPr>
                            </w:pPr>
                            <w:r>
                              <w:rPr>
                                <w:rFonts w:eastAsia="黑体"/>
                                <w:szCs w:val="28"/>
                              </w:rPr>
                              <w:t>Chemical analysis methods of rare earth ferrosilicon alloy and rare earth ferrosilicon magnesium alloy</w:t>
                            </w:r>
                          </w:p>
                          <w:p w14:paraId="2D4E3E48">
                            <w:pPr>
                              <w:pStyle w:val="44"/>
                              <w:widowControl/>
                              <w:snapToGrid w:val="0"/>
                              <w:spacing w:before="0" w:line="240" w:lineRule="auto"/>
                              <w:rPr>
                                <w:rFonts w:eastAsia="黑体"/>
                                <w:szCs w:val="28"/>
                              </w:rPr>
                            </w:pPr>
                            <w:r>
                              <w:rPr>
                                <w:rFonts w:eastAsia="黑体"/>
                                <w:szCs w:val="28"/>
                              </w:rPr>
                              <w:t>Part 2: Determination of calcium, magnesium, manganese, aluminum, barium, antimony, bismuth, strontium, phosphorus and titanium contents</w:t>
                            </w:r>
                          </w:p>
                          <w:p w14:paraId="2DB80F52">
                            <w:pPr>
                              <w:pStyle w:val="44"/>
                              <w:tabs>
                                <w:tab w:val="left" w:pos="7155"/>
                              </w:tabs>
                              <w:spacing w:line="240" w:lineRule="auto"/>
                              <w:rPr>
                                <w:sz w:val="24"/>
                                <w:szCs w:val="24"/>
                              </w:rPr>
                            </w:pPr>
                            <w:r>
                              <w:rPr>
                                <w:rFonts w:hint="eastAsia" w:ascii="宋体" w:hAnsi="宋体"/>
                                <w:szCs w:val="28"/>
                              </w:rPr>
                              <w:t>（送审稿）</w:t>
                            </w:r>
                          </w:p>
                          <w:p w14:paraId="09309B5A">
                            <w:pPr>
                              <w:ind w:left="3" w:leftChars="-6" w:hanging="16" w:hangingChars="7"/>
                              <w:jc w:val="center"/>
                              <w:rPr>
                                <w:sz w:val="24"/>
                              </w:rPr>
                            </w:pPr>
                          </w:p>
                        </w:txbxContent>
                      </wps:txbx>
                      <wps:bodyPr wrap="square" lIns="0" tIns="0" rIns="0" bIns="0" upright="1"/>
                    </wps:wsp>
                  </a:graphicData>
                </a:graphic>
              </wp:anchor>
            </w:drawing>
          </mc:Choice>
          <mc:Fallback>
            <w:pict>
              <v:shape id="fmFrame4" o:spid="_x0000_s1026" o:spt="202" type="#_x0000_t202" style="position:absolute;left:0pt;margin-left:8.25pt;margin-top:232.5pt;height:416.25pt;width:477pt;mso-position-horizontal-relative:margin;mso-position-vertical-relative:margin;z-index:251661312;mso-width-relative:page;mso-height-relative:page;" fillcolor="#FFFFFF" filled="t" stroked="f" coordsize="21600,21600" o:gfxdata="UEsDBAoAAAAAAIdO4kAAAAAAAAAAAAAAAAAEAAAAZHJzL1BLAwQUAAAACACHTuJARaYC/tkAAAAL&#10;AQAADwAAAGRycy9kb3ducmV2LnhtbE2PwU7DMBBE70j8g7VIXBB1GpGUhjiVaOEGh5aqZzdekoh4&#10;HdlO0/49y4keZ2c0+6ZcnW0vTuhD50jBfJaAQKqd6ahRsP96f3wGEaImo3tHqOCCAVbV7U2pC+Mm&#10;2uJpFxvBJRQKraCNcSikDHWLVoeZG5DY+3be6sjSN9J4PXG57WWaJLm0uiP+0OoB1y3WP7vRKsg3&#10;fpy2tH7Y7N8+9OfQpIfXy0Gp+7t58gIi4jn+h+EPn9GhYqajG8kE0bPOM04qeMoz3sSB5SLhy5Gd&#10;dLnIQFalvN5Q/QJQSwMEFAAAAAgAh07iQJVT9ArNAQAAtQMAAA4AAABkcnMvZTJvRG9jLnhtbK1T&#10;TY/TMBC9I/EfLN9psl3aXaKmK0FVhIRgpYUf4Dh2YslfjN0m/feMnaQsy2UP5JA8z4yf/d5Mdg+j&#10;0eQsIChna3qzKikRlrtW2a6mP38c391TEiKzLdPOippeRKAP+7dvdoOvxNr1TrcCCJLYUA2+pn2M&#10;viqKwHthWFg5LywmpQPDIi6hK1pgA7IbXazLclsMDloPjosQMHqYknRmhNcQOikVFwfHT0bYOLGC&#10;0CyipNArH+g+31ZKweN3KYOIRNcUlcb8xkMQN+ld7Hes6oD5XvH5Cuw1V3ihyTBl8dAr1YFFRk6g&#10;/qEyioMLTsYVd6aYhGRHUMVN+cKbp555kbWg1cFfTQ//j5Z/Oz8CUW1NbymxzGDDpTkCgvfJm8GH&#10;CkuePBbF8aMbcWKWeMBgkjxKMOmLYgjm0dnL1VkxRsIxuC03dx9KTHHMbdb329u7TeIp/mz3EOJn&#10;4QxJoKaArcuOsvPXEKfSpSSdFpxW7VFpnRfQNZ80kDPDNh/zM7P/VaZtKrYubZsYp4jIgzIfkyRP&#10;0hKKYzPOPjSuvaANAw5LTcOvEwNBif5isRtpshYAC2gWcPKguh41ZeuKRIvdzOLnyUvj8nyN+Pnf&#10;tv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RaYC/tkAAAALAQAADwAAAAAAAAABACAAAAAiAAAA&#10;ZHJzL2Rvd25yZXYueG1sUEsBAhQAFAAAAAgAh07iQJVT9ArNAQAAtQMAAA4AAAAAAAAAAQAgAAAA&#10;KAEAAGRycy9lMm9Eb2MueG1sUEsFBgAAAAAGAAYAWQEAAGcFAAAAAA==&#10;">
                <v:fill on="t" focussize="0,0"/>
                <v:stroke on="f"/>
                <v:imagedata o:title=""/>
                <o:lock v:ext="edit" aspectratio="f"/>
                <v:textbox inset="0mm,0mm,0mm,0mm">
                  <w:txbxContent>
                    <w:p w14:paraId="2C7299C4">
                      <w:pPr>
                        <w:ind w:left="23" w:leftChars="-6" w:hanging="36" w:hangingChars="7"/>
                        <w:jc w:val="center"/>
                        <w:rPr>
                          <w:rFonts w:ascii="黑体" w:eastAsia="黑体"/>
                          <w:sz w:val="52"/>
                          <w:szCs w:val="52"/>
                        </w:rPr>
                      </w:pPr>
                    </w:p>
                    <w:p w14:paraId="4381B5D7">
                      <w:pPr>
                        <w:pStyle w:val="69"/>
                        <w:ind w:left="1460" w:hanging="1040"/>
                        <w:rPr>
                          <w:szCs w:val="52"/>
                        </w:rPr>
                      </w:pPr>
                      <w:r>
                        <w:rPr>
                          <w:rFonts w:hint="eastAsia"/>
                          <w:szCs w:val="52"/>
                        </w:rPr>
                        <w:t>稀土硅铁合金及镁硅铁合金</w:t>
                      </w:r>
                    </w:p>
                    <w:p w14:paraId="6229D770">
                      <w:pPr>
                        <w:pStyle w:val="69"/>
                        <w:ind w:left="1460" w:hanging="1040"/>
                        <w:rPr>
                          <w:szCs w:val="52"/>
                        </w:rPr>
                      </w:pPr>
                      <w:r>
                        <w:rPr>
                          <w:rFonts w:hint="eastAsia"/>
                          <w:szCs w:val="52"/>
                        </w:rPr>
                        <w:t>化学分析方法</w:t>
                      </w:r>
                    </w:p>
                    <w:p w14:paraId="7A3AD7D3">
                      <w:pPr>
                        <w:pStyle w:val="69"/>
                        <w:ind w:left="1460" w:hanging="1040"/>
                      </w:pPr>
                      <w:r>
                        <w:rPr>
                          <w:rFonts w:hint="eastAsia"/>
                          <w:szCs w:val="52"/>
                        </w:rPr>
                        <w:t>第2部分：钙、镁、锰</w:t>
                      </w:r>
                      <w:bookmarkStart w:id="7" w:name="_Hlk85097276"/>
                      <w:r>
                        <w:rPr>
                          <w:rFonts w:hint="eastAsia"/>
                          <w:szCs w:val="52"/>
                        </w:rPr>
                        <w:t>、</w:t>
                      </w:r>
                      <w:bookmarkStart w:id="8" w:name="_Hlk85095570"/>
                      <w:r>
                        <w:rPr>
                          <w:rFonts w:hint="eastAsia"/>
                          <w:szCs w:val="52"/>
                        </w:rPr>
                        <w:t>铝、钡、锑、铋、锶、磷</w:t>
                      </w:r>
                      <w:bookmarkEnd w:id="7"/>
                      <w:bookmarkEnd w:id="8"/>
                      <w:r>
                        <w:rPr>
                          <w:rFonts w:hint="eastAsia"/>
                          <w:szCs w:val="52"/>
                        </w:rPr>
                        <w:t>和钛含量的测定</w:t>
                      </w:r>
                      <w:r>
                        <w:rPr>
                          <w:rFonts w:hint="eastAsia"/>
                        </w:rPr>
                        <w:t xml:space="preserve">  </w:t>
                      </w:r>
                    </w:p>
                    <w:p w14:paraId="3E76A852">
                      <w:pPr>
                        <w:pStyle w:val="69"/>
                        <w:ind w:left="1380" w:hanging="960"/>
                        <w:rPr>
                          <w:sz w:val="48"/>
                          <w:szCs w:val="48"/>
                        </w:rPr>
                      </w:pPr>
                    </w:p>
                    <w:p w14:paraId="69243691">
                      <w:pPr>
                        <w:pStyle w:val="44"/>
                        <w:widowControl/>
                        <w:snapToGrid w:val="0"/>
                        <w:spacing w:before="0" w:line="240" w:lineRule="auto"/>
                        <w:rPr>
                          <w:rFonts w:eastAsia="黑体"/>
                          <w:szCs w:val="28"/>
                        </w:rPr>
                      </w:pPr>
                      <w:r>
                        <w:rPr>
                          <w:rFonts w:eastAsia="黑体"/>
                          <w:szCs w:val="28"/>
                        </w:rPr>
                        <w:t>Chemical analysis methods of rare earth ferrosilicon alloy and rare earth ferrosilicon magnesium alloy</w:t>
                      </w:r>
                    </w:p>
                    <w:p w14:paraId="2D4E3E48">
                      <w:pPr>
                        <w:pStyle w:val="44"/>
                        <w:widowControl/>
                        <w:snapToGrid w:val="0"/>
                        <w:spacing w:before="0" w:line="240" w:lineRule="auto"/>
                        <w:rPr>
                          <w:rFonts w:eastAsia="黑体"/>
                          <w:szCs w:val="28"/>
                        </w:rPr>
                      </w:pPr>
                      <w:r>
                        <w:rPr>
                          <w:rFonts w:eastAsia="黑体"/>
                          <w:szCs w:val="28"/>
                        </w:rPr>
                        <w:t>Part 2: Determination of calcium, magnesium, manganese, aluminum, barium, antimony, bismuth, strontium, phosphorus and titanium contents</w:t>
                      </w:r>
                    </w:p>
                    <w:p w14:paraId="2DB80F52">
                      <w:pPr>
                        <w:pStyle w:val="44"/>
                        <w:tabs>
                          <w:tab w:val="left" w:pos="7155"/>
                        </w:tabs>
                        <w:spacing w:line="240" w:lineRule="auto"/>
                        <w:rPr>
                          <w:sz w:val="24"/>
                          <w:szCs w:val="24"/>
                        </w:rPr>
                      </w:pPr>
                      <w:r>
                        <w:rPr>
                          <w:rFonts w:hint="eastAsia" w:ascii="宋体" w:hAnsi="宋体"/>
                          <w:szCs w:val="28"/>
                        </w:rPr>
                        <w:t>（送审稿）</w:t>
                      </w:r>
                    </w:p>
                    <w:p w14:paraId="09309B5A">
                      <w:pPr>
                        <w:ind w:left="3" w:leftChars="-6" w:hanging="16" w:hangingChars="7"/>
                        <w:jc w:val="center"/>
                        <w:rPr>
                          <w:sz w:val="24"/>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16A2BD66">
                            <w:pPr>
                              <w:pStyle w:val="58"/>
                            </w:pPr>
                            <w:r>
                              <w:rPr>
                                <w:rFonts w:hint="eastAsia"/>
                              </w:rPr>
                              <w:t>中华人民共和国国家标准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AFB1gTzAEAALQDAAAOAAAAZHJzL2Uyb0RvYy54bWytU01v&#10;2zAMvQ/YfxB0XxynQLAZcQqsQYYBwzag6w+QZdkWoK+SSuz8+1FynHXdpYf5YFMk9cj3SO/uJ2vY&#10;WQFq72pertacKSd9q11f86dfxw8fOcMoXCuMd6rmF4X8fv/+3W4Mldr4wZtWASMQh9UYaj7EGKqi&#10;QDkoK3Dlg3IU7DxYEekIfdGCGAndmmKzXm+L0UMbwEuFSN7DHORXRHgLoO86LdXBy5NVLs6ooIyI&#10;RAkHHZDvc7ddp2T80XWoIjM1J6Yxv6kI2U16F/udqHoQYdDy2oJ4SwuvOFmhHRW9QR1EFOwE+h8o&#10;qyV49F1cSW+LmUhWhFiU61faPA4iqMyFpMZwEx3/H6z8fv4JTLc133DmhKWBd/YIZGySNmPAilIe&#10;AyXF6bOfaGMWP5IzUZ46sOlLZBjFSdnLTVk1RSbJuS2J3h2FJMXuPpXlNktf/LkdAOMX5S1LRs2B&#10;JpcFFedvGKkTSl1SUjH0RrdHbUw+QN88GGBnQVM+5ic1SVf+SjMuJTufrs3h2aPynlzLJMYzs2TF&#10;qZmuMjS+vZAKI+1KzfH5JEBxZr46GkZarMWAxWgW4xRA9wNxysoVCZaGmdu7Ll7alpdnsl/+b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g5HBdcAAAAIAQAADwAAAAAAAAABACAAAAAiAAAAZHJz&#10;L2Rvd25yZXYueG1sUEsBAhQAFAAAAAgAh07iQAUHWBPMAQAAtAMAAA4AAAAAAAAAAQAgAAAAJgEA&#10;AGRycy9lMm9Eb2MueG1sUEsFBgAAAAAGAAYAWQEAAGQFAAAAAA==&#10;">
                <v:fill on="t" focussize="0,0"/>
                <v:stroke on="f"/>
                <v:imagedata o:title=""/>
                <o:lock v:ext="edit" aspectratio="f"/>
                <v:textbox inset="0mm,0mm,0mm,0mm">
                  <w:txbxContent>
                    <w:p w14:paraId="16A2BD66">
                      <w:pPr>
                        <w:pStyle w:val="58"/>
                      </w:pPr>
                      <w:r>
                        <w:rPr>
                          <w:rFonts w:hint="eastAsia"/>
                        </w:rPr>
                        <w:t>中华人民共和国国家标准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360045</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a:effectLst/>
                      </wps:spPr>
                      <wps:txbx>
                        <w:txbxContent>
                          <w:p w14:paraId="0BCF0F64">
                            <w:pPr>
                              <w:pStyle w:val="49"/>
                              <w:spacing w:line="0" w:lineRule="atLeast"/>
                              <w:rPr>
                                <w:rFonts w:ascii="黑体"/>
                                <w:color w:val="FF0000"/>
                              </w:rPr>
                            </w:pPr>
                            <w:r>
                              <w:rPr>
                                <w:rFonts w:hint="eastAsia" w:ascii="黑体"/>
                                <w:color w:val="FF0000"/>
                              </w:rPr>
                              <w:t xml:space="preserve">ICS </w:t>
                            </w:r>
                            <w:r>
                              <w:rPr>
                                <w:rFonts w:ascii="黑体"/>
                                <w:color w:val="FF0000"/>
                              </w:rPr>
                              <w:t>77.120.99</w:t>
                            </w:r>
                          </w:p>
                          <w:p w14:paraId="218E1B50">
                            <w:pPr>
                              <w:pStyle w:val="49"/>
                              <w:spacing w:line="0" w:lineRule="atLeast"/>
                              <w:rPr>
                                <w:color w:val="FF0000"/>
                              </w:rPr>
                            </w:pPr>
                            <w:r>
                              <w:rPr>
                                <w:rFonts w:hint="eastAsia" w:ascii="黑体"/>
                                <w:color w:val="FF0000"/>
                              </w:rPr>
                              <w:t>CCS H 14</w:t>
                            </w:r>
                          </w:p>
                        </w:txbxContent>
                      </wps:txbx>
                      <wps:bodyPr wrap="square" lIns="0" tIns="0" rIns="0" bIns="0" upright="1"/>
                    </wps:wsp>
                  </a:graphicData>
                </a:graphic>
              </wp:anchor>
            </w:drawing>
          </mc:Choice>
          <mc:Fallback>
            <w:pict>
              <v:shape id="fmFrame1" o:spid="_x0000_s1026" o:spt="202" type="#_x0000_t202" style="position:absolute;left:0pt;margin-left:70.9pt;margin-top:28.35pt;height:51.8pt;width:200pt;mso-position-horizontal-relative:page;mso-position-vertical-relative:page;z-index:251659264;mso-width-relative:page;mso-height-relative:page;" fillcolor="#FFFFFF" filled="t" stroked="f" coordsize="21600,21600"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Bd5A1XzAEAALQDAAAOAAAAZHJzL2Uyb0RvYy54bWytU02P&#10;0zAQvSPxHyzfadKKLauo6UpQFSEhQNrlBziOk1jyFzNuk/57xk5aluWyB3JIxjPjN/PeTHYPkzXs&#10;rAC1dzVfr0rOlJO+1a6v+c+n47t7zjAK1wrjnar5RSF/2L99sxtDpTZ+8KZVwAjEYTWGmg8xhqoo&#10;UA7KClz5oBwFOw9WRDpCX7QgRkK3ptiU5bYYPbQBvFSI5D3MQb4gwmsAfddpqQ5enqxycUYFZUQk&#10;SjjogHyfu+06JeP3rkMVmak5MY35TUXIbtK72O9E1YMIg5ZLC+I1LbzgZIV2VPQGdRBRsBPof6Cs&#10;luDRd3ElvS1mIlkRYrEuX2jzOIigMheSGsNNdPx/sPLb+Qcw3dImcOaEpYF39ghkrJM2Y8CKUh4D&#10;JcXpo59S3uJHcibKUwc2fYkMozgpe7kpq6bIJDk3d+9LejiTFNvefbjfZumLP7cDYPysvGXJqDnQ&#10;5LKg4vwVI1Wk1GtKKobe6PaojckH6JtPBthZ0JSP+UlN0pW/0oxLyc6na3N49qi8J0uZxHhmlqw4&#10;NdNCt/HthVQYaVdqjr9OAhRn5oujYaTFuhpwNZqrcQqg+4E4ZeWKBEvDzO0ti5e25fmZ7Oc/2/4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wufZtcAAAAKAQAADwAAAAAAAAABACAAAAAiAAAAZHJz&#10;L2Rvd25yZXYueG1sUEsBAhQAFAAAAAgAh07iQF3kDVfMAQAAtAMAAA4AAAAAAAAAAQAgAAAAJgEA&#10;AGRycy9lMm9Eb2MueG1sUEsFBgAAAAAGAAYAWQEAAGQFAAAAAA==&#10;">
                <v:fill on="t" focussize="0,0"/>
                <v:stroke on="f"/>
                <v:imagedata o:title=""/>
                <o:lock v:ext="edit" aspectratio="f"/>
                <v:textbox inset="0mm,0mm,0mm,0mm">
                  <w:txbxContent>
                    <w:p w14:paraId="0BCF0F64">
                      <w:pPr>
                        <w:pStyle w:val="49"/>
                        <w:spacing w:line="0" w:lineRule="atLeast"/>
                        <w:rPr>
                          <w:rFonts w:ascii="黑体"/>
                          <w:color w:val="FF0000"/>
                        </w:rPr>
                      </w:pPr>
                      <w:r>
                        <w:rPr>
                          <w:rFonts w:hint="eastAsia" w:ascii="黑体"/>
                          <w:color w:val="FF0000"/>
                        </w:rPr>
                        <w:t xml:space="preserve">ICS </w:t>
                      </w:r>
                      <w:r>
                        <w:rPr>
                          <w:rFonts w:ascii="黑体"/>
                          <w:color w:val="FF0000"/>
                        </w:rPr>
                        <w:t>77.120.99</w:t>
                      </w:r>
                    </w:p>
                    <w:p w14:paraId="218E1B50">
                      <w:pPr>
                        <w:pStyle w:val="49"/>
                        <w:spacing w:line="0" w:lineRule="atLeast"/>
                        <w:rPr>
                          <w:color w:val="FF0000"/>
                        </w:rPr>
                      </w:pPr>
                      <w:r>
                        <w:rPr>
                          <w:rFonts w:hint="eastAsia" w:ascii="黑体"/>
                          <w:color w:val="FF0000"/>
                        </w:rPr>
                        <w:t>CCS H 14</w:t>
                      </w:r>
                    </w:p>
                  </w:txbxContent>
                </v:textbox>
                <w10:anchorlock/>
              </v:shape>
            </w:pict>
          </mc:Fallback>
        </mc:AlternateContent>
      </w:r>
    </w:p>
    <w:p w14:paraId="00687243">
      <w:pPr>
        <w:pStyle w:val="67"/>
        <w:spacing w:line="360" w:lineRule="exact"/>
      </w:pPr>
      <w:r>
        <w:t xml:space="preserve"> </w:t>
      </w:r>
    </w:p>
    <w:p w14:paraId="41F42FAF">
      <w:pPr>
        <w:spacing w:line="360" w:lineRule="exact"/>
      </w:pPr>
    </w:p>
    <w:p w14:paraId="4FD62105">
      <w:pPr>
        <w:spacing w:line="360" w:lineRule="exact"/>
      </w:pPr>
    </w:p>
    <w:p w14:paraId="64BD99E0">
      <w:pPr>
        <w:spacing w:line="360" w:lineRule="exact"/>
      </w:pPr>
    </w:p>
    <w:p w14:paraId="58C51724">
      <w:pPr>
        <w:spacing w:line="360" w:lineRule="exact"/>
      </w:pPr>
    </w:p>
    <w:p w14:paraId="1C15A815">
      <w:pPr>
        <w:spacing w:before="510" w:line="360" w:lineRule="exact"/>
        <w:ind w:left="2814" w:leftChars="1340"/>
        <w:jc w:val="right"/>
        <w:rPr>
          <w:b/>
          <w:bCs/>
          <w:sz w:val="28"/>
        </w:rPr>
      </w:pPr>
      <w:r>
        <w:rPr>
          <w:rFonts w:eastAsia="黑体"/>
          <w:bCs/>
          <w:sz w:val="28"/>
        </w:rPr>
        <w:t>GB/T 16477.2—202X</w:t>
      </w:r>
      <w:r>
        <w:rPr>
          <w:b/>
          <w:bCs/>
          <w:sz w:val="28"/>
        </w:rPr>
        <w:t xml:space="preserve"> </w:t>
      </w:r>
    </w:p>
    <w:p w14:paraId="05DDE59B">
      <w:pPr>
        <w:spacing w:line="360" w:lineRule="exact"/>
        <w:ind w:left="2814" w:leftChars="1340"/>
        <w:jc w:val="right"/>
        <w:rPr>
          <w:rFonts w:eastAsia="黑体"/>
          <w:bCs/>
          <w:szCs w:val="21"/>
        </w:rPr>
      </w:pPr>
      <w:r>
        <w:rPr>
          <w:rFonts w:hAnsi="黑体" w:eastAsia="黑体"/>
          <w:bCs/>
          <w:szCs w:val="21"/>
        </w:rPr>
        <w:t>代替</w:t>
      </w:r>
      <w:r>
        <w:rPr>
          <w:rFonts w:eastAsia="黑体"/>
          <w:bCs/>
          <w:szCs w:val="21"/>
        </w:rPr>
        <w:t>GB/T 16477.2—2010</w:t>
      </w:r>
    </w:p>
    <w:p w14:paraId="2CBE12B9">
      <w:pPr>
        <w:spacing w:line="360" w:lineRule="exact"/>
        <w:ind w:firstLine="540"/>
        <w:jc w:val="cente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851" w:left="1418" w:header="0" w:footer="0" w:gutter="0"/>
          <w:pgNumType w:start="1"/>
          <w:cols w:space="720" w:num="1"/>
          <w:titlePg/>
          <w:docGrid w:type="lines" w:linePitch="312" w:charSpace="0"/>
        </w:sectPr>
      </w:pPr>
      <w:r>
        <w:rPr>
          <w:sz w:val="20"/>
        </w:rPr>
        <mc:AlternateContent>
          <mc:Choice Requires="wpg">
            <w:drawing>
              <wp:anchor distT="0" distB="0" distL="114300" distR="114300" simplePos="0" relativeHeight="251668480" behindDoc="0" locked="0" layoutInCell="1" allowOverlap="1">
                <wp:simplePos x="0" y="0"/>
                <wp:positionH relativeFrom="column">
                  <wp:posOffset>1232535</wp:posOffset>
                </wp:positionH>
                <wp:positionV relativeFrom="paragraph">
                  <wp:posOffset>6959600</wp:posOffset>
                </wp:positionV>
                <wp:extent cx="3656965" cy="599440"/>
                <wp:effectExtent l="0" t="0" r="635" b="10160"/>
                <wp:wrapNone/>
                <wp:docPr id="12" name="组合 15"/>
                <wp:cNvGraphicFramePr/>
                <a:graphic xmlns:a="http://schemas.openxmlformats.org/drawingml/2006/main">
                  <a:graphicData uri="http://schemas.microsoft.com/office/word/2010/wordprocessingGroup">
                    <wpg:wgp>
                      <wpg:cNvGrpSpPr/>
                      <wpg:grpSpPr>
                        <a:xfrm>
                          <a:off x="0" y="0"/>
                          <a:ext cx="3656965" cy="599440"/>
                          <a:chOff x="3359" y="14917"/>
                          <a:chExt cx="5759" cy="944"/>
                        </a:xfrm>
                        <a:effectLst/>
                      </wpg:grpSpPr>
                      <wps:wsp>
                        <wps:cNvPr id="10" name="fmFrame7"/>
                        <wps:cNvSpPr txBox="1"/>
                        <wps:spPr>
                          <a:xfrm>
                            <a:off x="3359" y="14917"/>
                            <a:ext cx="5759" cy="944"/>
                          </a:xfrm>
                          <a:prstGeom prst="rect">
                            <a:avLst/>
                          </a:prstGeom>
                          <a:solidFill>
                            <a:srgbClr val="FFFFFF"/>
                          </a:solidFill>
                          <a:ln>
                            <a:noFill/>
                          </a:ln>
                          <a:effectLst/>
                        </wps:spPr>
                        <wps:txbx>
                          <w:txbxContent>
                            <w:p w14:paraId="0850998E">
                              <w:pPr>
                                <w:pStyle w:val="65"/>
                                <w:spacing w:line="400" w:lineRule="exact"/>
                                <w:rPr>
                                  <w:rStyle w:val="39"/>
                                  <w:rFonts w:hint="eastAsia"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171F855A">
                              <w:pPr>
                                <w:pStyle w:val="65"/>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2F4B79FB">
                              <w:pPr>
                                <w:pStyle w:val="65"/>
                              </w:pPr>
                            </w:p>
                          </w:txbxContent>
                        </wps:txbx>
                        <wps:bodyPr wrap="square" lIns="0" tIns="0" rIns="0" bIns="0" upright="1"/>
                      </wps:wsp>
                      <wps:wsp>
                        <wps:cNvPr id="11" name="文本框 14"/>
                        <wps:cNvSpPr txBox="1"/>
                        <wps:spPr>
                          <a:xfrm>
                            <a:off x="7884" y="14975"/>
                            <a:ext cx="1020" cy="843"/>
                          </a:xfrm>
                          <a:prstGeom prst="rect">
                            <a:avLst/>
                          </a:prstGeom>
                          <a:noFill/>
                          <a:ln>
                            <a:noFill/>
                          </a:ln>
                          <a:effectLst/>
                        </wps:spPr>
                        <wps:txbx>
                          <w:txbxContent>
                            <w:p w14:paraId="17E6BEEB">
                              <w:pPr>
                                <w:rPr>
                                  <w:spacing w:val="10"/>
                                </w:rPr>
                              </w:pPr>
                              <w:r>
                                <w:rPr>
                                  <w:rFonts w:hint="eastAsia" w:ascii="黑体" w:eastAsia="黑体"/>
                                  <w:spacing w:val="10"/>
                                  <w:sz w:val="28"/>
                                </w:rPr>
                                <w:t>发布</w:t>
                              </w:r>
                            </w:p>
                          </w:txbxContent>
                        </wps:txbx>
                        <wps:bodyPr wrap="square" upright="1"/>
                      </wps:wsp>
                    </wpg:wgp>
                  </a:graphicData>
                </a:graphic>
              </wp:anchor>
            </w:drawing>
          </mc:Choice>
          <mc:Fallback>
            <w:pict>
              <v:group id="组合 15" o:spid="_x0000_s1026" o:spt="203" style="position:absolute;left:0pt;margin-left:97.05pt;margin-top:548pt;height:47.2pt;width:287.95pt;z-index:251668480;mso-width-relative:page;mso-height-relative:page;" coordorigin="3359,14917" coordsize="5759,944" o:gfxdata="UEsDBAoAAAAAAIdO4kAAAAAAAAAAAAAAAAAEAAAAZHJzL1BLAwQUAAAACACHTuJAqt0IvNoAAAAN&#10;AQAADwAAAGRycy9kb3ducmV2LnhtbE1PQU7DMBC8I/EHa5G4UdtQ2ibEqVAFnKpKtEioNzfZJlHj&#10;dRS7Sft7lhPcZnZGszPZ8uJaMWAfGk8G9ESBQCp82VBl4Gv3/rAAEaKl0rae0MAVAyzz25vMpqUf&#10;6ROHbawEh1BIrYE6xi6VMhQ1OhsmvkNi7eh7ZyPTvpJlb0cOd618VGomnW2IP9S2w1WNxWl7dgY+&#10;Rju+Pum3YX06rq773fPme63RmPs7rV5ARLzEPzP81ufqkHOngz9TGUTLPJlqtjJQyYxXsWU+VwwO&#10;fNKJmoLMM/l/Rf4DUEsDBBQAAAAIAIdO4kDY5bmMhwIAAIUGAAAOAAAAZHJzL2Uyb0RvYy54bWy9&#10;lcuO0zAUhvdIvIPlPZOm90aTjgRDR0gIRhp4ANdxLlJim2O3yewRsGTFig173oDnYXgNjp2khTKg&#10;ahB0kfp67P/7z0lOz5qqJFsBplAypuHJgBIhuUoKmcX05YvVgzklxjKZsFJJEdNrYejZ8v6901pH&#10;YqhyVSYCCAaRJqp1THNrdRQEhueiYuZEaSFxMlVQMYtdyIIEWI3RqzIYDgbToFaQaFBcGIOj5+0k&#10;7SLCMQFVmhZcnCu+qYS0bVQQJbMoyeSFNnTpb5umgtvnaWqEJWVMUan1TzwE22v3DJanLMqA6bzg&#10;3RXYMVc40FSxQuKhu1DnzDKygeKXUFXBQRmV2hOuqqAV4omginBwwOYC1EZ7LVlUZ3oHHY06oH7n&#10;sPzZ9hJIkWAmDCmRrELHv315/fX9OxJOHJ1aZxEuugB9pS+hG8janhPcpFC5f5RCGs/1esdVNJZw&#10;HBxNJ9PFdEIJx7nJYjEed+B5ju64baPRZEEJzobjRThrXeH5427/ZOZm3Wbc6iaD/bnCm/zUWDfs&#10;Lru7W60xQc2emvk7alc508KbYRyQnhomUkstrVaA+Pzl3dG4xhEjtnmoUGHYwjSRwcFbwN1GoOf3&#10;J/0ajL0QqiKuEVPAjPeJyLYdExb1S9ypRpVFsirK0ncgWz8qgWwZVsfK/zq6Py0rpVssldvWwm9H&#10;DtD30px426wbnysmWqvkGjHUWGMxNa82DAQl5ROJdriC7BvQN9Z9Y6OhyHLU5NGht95Ol5H/w9ew&#10;9/Xmw9ubj59vPr0hoc+9O3g7m8/HfXbPfFWxqPc2HAwRg8vt+Xh0kNu9cUd6u3OIRf/Ast/Z4YsO&#10;306+Krs3qXv9/dj3pbn/eiy/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rdCLzaAAAADQEAAA8A&#10;AAAAAAAAAQAgAAAAIgAAAGRycy9kb3ducmV2LnhtbFBLAQIUABQAAAAIAIdO4kDY5bmMhwIAAIUG&#10;AAAOAAAAAAAAAAEAIAAAACkBAABkcnMvZTJvRG9jLnhtbFBLBQYAAAAABgAGAFkBAAAiBgAAAAA=&#10;">
                <o:lock v:ext="edit" aspectratio="f"/>
                <v:shape id="fmFrame7" o:spid="_x0000_s1026" o:spt="202" type="#_x0000_t202" style="position:absolute;left:3359;top:14917;height:944;width:57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0850998E">
                        <w:pPr>
                          <w:pStyle w:val="65"/>
                          <w:spacing w:line="400" w:lineRule="exact"/>
                          <w:rPr>
                            <w:rStyle w:val="39"/>
                            <w:rFonts w:hint="eastAsia"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14:paraId="171F855A">
                        <w:pPr>
                          <w:pStyle w:val="65"/>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14:paraId="2F4B79FB">
                        <w:pPr>
                          <w:pStyle w:val="65"/>
                        </w:pPr>
                      </w:p>
                    </w:txbxContent>
                  </v:textbox>
                </v:shape>
                <v:shape id="文本框 14" o:spid="_x0000_s1026" o:spt="202" type="#_x0000_t202" style="position:absolute;left:7884;top:14975;height:843;width:102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7E6BEEB">
                        <w:pPr>
                          <w:rPr>
                            <w:spacing w:val="10"/>
                          </w:rPr>
                        </w:pPr>
                        <w:r>
                          <w:rPr>
                            <w:rFonts w:hint="eastAsia" w:ascii="黑体" w:eastAsia="黑体"/>
                            <w:spacing w:val="10"/>
                            <w:sz w:val="28"/>
                          </w:rPr>
                          <w:t>发布</w:t>
                        </w:r>
                      </w:p>
                    </w:txbxContent>
                  </v:textbox>
                </v:shape>
              </v:group>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ge">
                  <wp:posOffset>9274810</wp:posOffset>
                </wp:positionV>
                <wp:extent cx="6172200" cy="0"/>
                <wp:effectExtent l="0" t="0" r="0" b="0"/>
                <wp:wrapNone/>
                <wp:docPr id="9" name="直线 1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2" o:spid="_x0000_s1026" o:spt="20" style="position:absolute;left:0pt;margin-left:0pt;margin-top:730.3pt;height:0pt;width:486pt;mso-position-vertical-relative:page;z-index:251667456;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AkMBHg5AEAAN4DAAAOAAAAZHJzL2Uyb0RvYy54bWytU82O0zAQ&#10;viPxDpbvNG2kXSBquoctywVBJdgHmNpOYsl/8nib9ll4DU5ceJx9DcZOtizLpQdycMb2zDfzfTNe&#10;3xytYQcVUXvX8tViyZlywkvt+pbff7t7844zTOAkGO9Uy08K+c3m9av1GBpV+8EbqSIjEIfNGFo+&#10;pBSaqkIxKAu48EE5uux8tJBoG/tKRhgJ3ZqqXi6vq9FHGaIXCpFOt9MlnxHjJYC+67RQWy8erHJp&#10;Qo3KQCJKOOiAfFOq7Tol0peuQ5WYaTkxTWWlJGTv81pt1tD0EcKgxVwCXFLCC04WtKOkZ6gtJGAP&#10;Uf8DZbWIHn2XFsLbaiJSFCEWq+ULbb4OEFThQlJjOIuO/w9WfD7sItOy5e85c2Cp4Y/ffzz+/MVW&#10;dRZnDNiQz63bxXmHYRcz02MXbf4TB3Ysgp7OgqpjYoIOr1dva+o5Z+LprvoTGCKmj8pblo2WG+0y&#10;V2jg8AkTJSPXJ5d8bBwbqcqr+orggAavo4aTaQMVj64vseiNlnfamByBsd/fmsgOkJtfvkyJcP9y&#10;y0m2gMPkV66msRgUyA9OsnQKJIuj18BzCVZJzoyix5MtAoQmgTaXeFJq43KAKqM588waT6pma+/l&#10;qYhd5R21vVQ8j2ieq+d7sp8/y8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Yh8f9QAAAAKAQAA&#10;DwAAAAAAAAABACAAAAAiAAAAZHJzL2Rvd25yZXYueG1sUEsBAhQAFAAAAAgAh07iQCQwEeDkAQAA&#10;3gMAAA4AAAAAAAAAAQAgAAAAIwEAAGRycy9lMm9Eb2MueG1sUEsFBgAAAAAGAAYAWQEAAHkFAAAA&#10;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160020</wp:posOffset>
                </wp:positionH>
                <wp:positionV relativeFrom="paragraph">
                  <wp:posOffset>100965</wp:posOffset>
                </wp:positionV>
                <wp:extent cx="6120130" cy="0"/>
                <wp:effectExtent l="0" t="0" r="0" b="0"/>
                <wp:wrapNone/>
                <wp:docPr id="8" name="直线 10"/>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 o:spid="_x0000_s1026" o:spt="20" style="position:absolute;left:0pt;flip:x;margin-left:12.6pt;margin-top:7.95pt;height:0pt;width:481.9pt;z-index:251666432;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bEQ0feoBAADoAwAADgAAAGRycy9lMm9Eb2MueG1srVNLjhMx&#10;EN0jcQfLe9JJ0Iyglc4sJgwsEEQCDlDxp9uSf3J50slZuAYrNhxnrkHZnQnDsMmCXrSq7PKres/P&#10;q5uDs2yvEprgO76YzTlTXgRpfN/xb1/vXr3hDDN4CTZ41fGjQn6zfvliNcZWLcMQrFSJEYjHdowd&#10;H3KObdOgGJQDnIWoPG3qkBxkSlPfyAQjoTvbLOfz62YMScYUhEKk1c20yU+I6RLAoLURahPEvVM+&#10;T6hJWchECQcTka/rtForkT9rjSoz23FimuufmlC8K/9mvYK2TxAHI04jwCUjPOPkwHhqeobaQAZ2&#10;n8w/UM6IFDDoPBPBNRORqgixWMyfafNlgKgqF5Ia41l0/H+w4tN+m5iRHadr9+Dowh++/3j4+Yst&#10;qjhjxJZqbv02kVQlw7hNhelBJ8e0NfEDuahyJzbsUKU9nqVVh8wELV4viN9rUl087jUTRIGKCfN7&#10;FRwrQcet8YU1tLD/iJnaUuljSVm2no0df3u1vCI4IAtqunoKXSQa6Pt6FoM18s5YW05g6ne3NrE9&#10;FBvUr9w84f5VVppsAIeprm5NBhkUyHdesnyMJJCnd8HLCE5JzqyiZ1SiaqUMxl5SSa2tL6OpatIT&#10;zz/6lmgX5LHK3pSMDFAnPpm1OOxpTvHTB7r+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RKZf3V&#10;AAAACAEAAA8AAAAAAAAAAQAgAAAAIgAAAGRycy9kb3ducmV2LnhtbFBLAQIUABQAAAAIAIdO4kBs&#10;RDR96gEAAOgDAAAOAAAAAAAAAAEAIAAAACQBAABkcnMvZTJvRG9jLnhtbFBLBQYAAAAABgAGAFkB&#10;AACABQAAAAA=&#10;">
                <v:fill on="f" focussize="0,0"/>
                <v:stroke color="#000000" joinstyle="round"/>
                <v:imagedata o:title=""/>
                <o:lock v:ext="edit" aspectratio="f"/>
              </v:line>
            </w:pict>
          </mc:Fallback>
        </mc:AlternateContent>
      </w:r>
      <w:r>
        <w:t xml:space="preserve">         </w:t>
      </w:r>
    </w:p>
    <w:bookmarkEnd w:id="0"/>
    <w:p w14:paraId="12E10B84">
      <w:pPr>
        <w:pStyle w:val="56"/>
        <w:ind w:left="1060" w:hanging="640"/>
      </w:pPr>
      <w:r>
        <w:rPr>
          <w:rFonts w:hint="eastAsia"/>
        </w:rPr>
        <w:t>前  言</w:t>
      </w:r>
    </w:p>
    <w:p w14:paraId="5E83854B">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szCs w:val="21"/>
        </w:rPr>
      </w:pPr>
      <w:r>
        <w:rPr>
          <w:rFonts w:ascii="Times New Roman"/>
          <w:szCs w:val="21"/>
        </w:rPr>
        <w:t>本</w:t>
      </w:r>
      <w:r>
        <w:rPr>
          <w:rFonts w:hint="eastAsia" w:ascii="Times New Roman"/>
          <w:szCs w:val="21"/>
        </w:rPr>
        <w:t>文件</w:t>
      </w:r>
      <w:r>
        <w:rPr>
          <w:rFonts w:ascii="Times New Roman"/>
          <w:szCs w:val="21"/>
        </w:rPr>
        <w:t>按照GB/T 1.1-2020《标准化工作导则 第1部分：标准化文件的结构和起草规则》的规</w:t>
      </w:r>
      <w:r>
        <w:rPr>
          <w:rFonts w:hint="eastAsia" w:ascii="Times New Roman"/>
          <w:szCs w:val="21"/>
        </w:rPr>
        <w:t>定</w:t>
      </w:r>
      <w:r>
        <w:rPr>
          <w:rFonts w:ascii="Times New Roman"/>
          <w:szCs w:val="21"/>
        </w:rPr>
        <w:t>起草。</w:t>
      </w:r>
    </w:p>
    <w:p w14:paraId="769D6CE1">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ascii="宋体" w:hAnsi="宋体" w:cs="宋体"/>
        </w:rPr>
      </w:pPr>
      <w:r>
        <w:rPr>
          <w:rFonts w:hint="eastAsia" w:ascii="宋体" w:hAnsi="宋体" w:cs="宋体"/>
        </w:rPr>
        <w:t>本文件是</w:t>
      </w:r>
      <w:r>
        <w:rPr>
          <w:rFonts w:hint="eastAsia"/>
          <w:kern w:val="0"/>
          <w:szCs w:val="21"/>
        </w:rPr>
        <w:t xml:space="preserve">GB/T </w:t>
      </w:r>
      <w:r>
        <w:rPr>
          <w:kern w:val="0"/>
          <w:szCs w:val="21"/>
        </w:rPr>
        <w:t>16477</w:t>
      </w:r>
      <w:r>
        <w:rPr>
          <w:rFonts w:hint="eastAsia" w:ascii="宋体" w:hAnsi="宋体" w:cs="宋体"/>
        </w:rPr>
        <w:t>《稀土硅铁合金及镁硅铁合金化学分析方法》的第</w:t>
      </w:r>
      <w:r>
        <w:rPr>
          <w:rFonts w:ascii="宋体" w:hAnsi="宋体" w:cs="宋体"/>
        </w:rPr>
        <w:t>2</w:t>
      </w:r>
      <w:r>
        <w:rPr>
          <w:rFonts w:hint="eastAsia" w:ascii="宋体" w:hAnsi="宋体" w:cs="宋体"/>
        </w:rPr>
        <w:t>部分，</w:t>
      </w:r>
      <w:r>
        <w:rPr>
          <w:rFonts w:hint="eastAsia"/>
          <w:kern w:val="0"/>
          <w:szCs w:val="21"/>
        </w:rPr>
        <w:t xml:space="preserve">GB/T </w:t>
      </w:r>
      <w:r>
        <w:rPr>
          <w:kern w:val="0"/>
          <w:szCs w:val="21"/>
        </w:rPr>
        <w:t>16477</w:t>
      </w:r>
      <w:r>
        <w:rPr>
          <w:rFonts w:hint="eastAsia" w:ascii="宋体" w:hAnsi="宋体" w:cs="宋体"/>
        </w:rPr>
        <w:t>已经发布了以下部分：</w:t>
      </w:r>
    </w:p>
    <w:p w14:paraId="1066DD64">
      <w:pPr>
        <w:pStyle w:val="41"/>
        <w:keepNext w:val="0"/>
        <w:keepLines w:val="0"/>
        <w:pageBreakBefore w:val="0"/>
        <w:kinsoku/>
        <w:wordWrap/>
        <w:overflowPunct/>
        <w:topLinePunct w:val="0"/>
        <w:bidi w:val="0"/>
        <w:adjustRightInd w:val="0"/>
        <w:snapToGrid w:val="0"/>
        <w:spacing w:line="240" w:lineRule="auto"/>
        <w:ind w:firstLine="420"/>
        <w:textAlignment w:val="auto"/>
        <w:rPr>
          <w:rFonts w:ascii="Times New Roman"/>
          <w:szCs w:val="21"/>
        </w:rPr>
      </w:pPr>
      <w:r>
        <w:rPr>
          <w:rFonts w:ascii="Times New Roman"/>
          <w:szCs w:val="21"/>
        </w:rPr>
        <w:t>——第</w:t>
      </w:r>
      <w:r>
        <w:rPr>
          <w:rFonts w:hint="eastAsia" w:hAnsi="宋体" w:cs="宋体"/>
          <w:szCs w:val="21"/>
        </w:rPr>
        <w:t>1</w:t>
      </w:r>
      <w:r>
        <w:rPr>
          <w:rFonts w:ascii="Times New Roman"/>
          <w:szCs w:val="21"/>
        </w:rPr>
        <w:t>部分：</w:t>
      </w:r>
      <w:r>
        <w:rPr>
          <w:rFonts w:hint="eastAsia"/>
          <w:szCs w:val="21"/>
        </w:rPr>
        <w:t>稀土总量、十五个稀土元素含量的测定</w:t>
      </w:r>
      <w:r>
        <w:rPr>
          <w:rFonts w:hint="eastAsia" w:ascii="Times New Roman"/>
          <w:szCs w:val="21"/>
        </w:rPr>
        <w:t>；</w:t>
      </w:r>
    </w:p>
    <w:p w14:paraId="5547FD4C">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color w:val="0000FF"/>
          <w:kern w:val="0"/>
          <w:szCs w:val="21"/>
        </w:rPr>
      </w:pPr>
      <w:r>
        <w:rPr>
          <w:kern w:val="0"/>
          <w:szCs w:val="21"/>
        </w:rPr>
        <w:t>——第</w:t>
      </w:r>
      <w:r>
        <w:rPr>
          <w:rFonts w:hint="eastAsia" w:ascii="宋体" w:hAnsi="宋体" w:cs="宋体"/>
          <w:kern w:val="0"/>
          <w:szCs w:val="21"/>
        </w:rPr>
        <w:t>2</w:t>
      </w:r>
      <w:r>
        <w:rPr>
          <w:kern w:val="0"/>
          <w:szCs w:val="21"/>
        </w:rPr>
        <w:t>部分：</w:t>
      </w:r>
      <w:r>
        <w:rPr>
          <w:rFonts w:hint="eastAsia"/>
          <w:kern w:val="0"/>
          <w:szCs w:val="21"/>
        </w:rPr>
        <w:t>钙、镁、锰、铝、钡、锑、铋、锶、磷和钛含量的测定；</w:t>
      </w:r>
    </w:p>
    <w:p w14:paraId="45CD40C0">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kern w:val="0"/>
          <w:szCs w:val="21"/>
        </w:rPr>
      </w:pPr>
      <w:r>
        <w:rPr>
          <w:kern w:val="0"/>
          <w:szCs w:val="21"/>
        </w:rPr>
        <w:t>——第</w:t>
      </w:r>
      <w:r>
        <w:rPr>
          <w:rFonts w:hint="eastAsia" w:ascii="宋体" w:hAnsi="宋体" w:cs="宋体"/>
          <w:kern w:val="0"/>
          <w:szCs w:val="21"/>
        </w:rPr>
        <w:t>3</w:t>
      </w:r>
      <w:r>
        <w:rPr>
          <w:kern w:val="0"/>
          <w:szCs w:val="21"/>
        </w:rPr>
        <w:t>部分：</w:t>
      </w:r>
      <w:r>
        <w:rPr>
          <w:rFonts w:hint="eastAsia"/>
          <w:szCs w:val="21"/>
        </w:rPr>
        <w:t>氧化镁含</w:t>
      </w:r>
      <w:r>
        <w:rPr>
          <w:szCs w:val="21"/>
        </w:rPr>
        <w:t>量的测</w:t>
      </w:r>
      <w:r>
        <w:rPr>
          <w:rFonts w:hint="eastAsia"/>
          <w:szCs w:val="21"/>
        </w:rPr>
        <w:t>定  电感耦合等离子体发射光谱法；</w:t>
      </w:r>
    </w:p>
    <w:p w14:paraId="6E39CE0E">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szCs w:val="21"/>
        </w:rPr>
      </w:pPr>
      <w:r>
        <w:rPr>
          <w:kern w:val="0"/>
          <w:szCs w:val="21"/>
        </w:rPr>
        <w:t>——第</w:t>
      </w:r>
      <w:r>
        <w:rPr>
          <w:rFonts w:hint="eastAsia" w:ascii="宋体" w:hAnsi="宋体" w:cs="宋体"/>
          <w:kern w:val="0"/>
          <w:szCs w:val="21"/>
        </w:rPr>
        <w:t>4</w:t>
      </w:r>
      <w:r>
        <w:rPr>
          <w:kern w:val="0"/>
          <w:szCs w:val="21"/>
        </w:rPr>
        <w:t>部分：</w:t>
      </w:r>
      <w:r>
        <w:rPr>
          <w:rFonts w:hint="eastAsia"/>
          <w:szCs w:val="21"/>
        </w:rPr>
        <w:t>硅</w:t>
      </w:r>
      <w:r>
        <w:rPr>
          <w:szCs w:val="21"/>
        </w:rPr>
        <w:t>量的测</w:t>
      </w:r>
      <w:r>
        <w:rPr>
          <w:rFonts w:hint="eastAsia"/>
          <w:szCs w:val="21"/>
        </w:rPr>
        <w:t>定；</w:t>
      </w:r>
    </w:p>
    <w:p w14:paraId="3AA2D3CA">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auto"/>
        <w:rPr>
          <w:kern w:val="0"/>
          <w:szCs w:val="21"/>
        </w:rPr>
      </w:pPr>
      <w:r>
        <w:rPr>
          <w:kern w:val="0"/>
          <w:szCs w:val="21"/>
        </w:rPr>
        <w:t>——第</w:t>
      </w:r>
      <w:r>
        <w:rPr>
          <w:rFonts w:ascii="宋体" w:hAnsi="宋体" w:cs="宋体"/>
          <w:kern w:val="0"/>
          <w:szCs w:val="21"/>
        </w:rPr>
        <w:t>5</w:t>
      </w:r>
      <w:r>
        <w:rPr>
          <w:kern w:val="0"/>
          <w:szCs w:val="21"/>
        </w:rPr>
        <w:t>部分：</w:t>
      </w:r>
      <w:r>
        <w:rPr>
          <w:rFonts w:hint="eastAsia"/>
          <w:kern w:val="0"/>
          <w:szCs w:val="21"/>
        </w:rPr>
        <w:t xml:space="preserve">钛量的测定 </w:t>
      </w:r>
      <w:r>
        <w:rPr>
          <w:kern w:val="0"/>
          <w:szCs w:val="21"/>
        </w:rPr>
        <w:t xml:space="preserve"> </w:t>
      </w:r>
      <w:r>
        <w:rPr>
          <w:rFonts w:hint="eastAsia"/>
          <w:kern w:val="0"/>
          <w:szCs w:val="21"/>
        </w:rPr>
        <w:t>电感耦合等离子体发射光谱法。</w:t>
      </w:r>
    </w:p>
    <w:p w14:paraId="13A3CB05">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jc w:val="left"/>
        <w:textAlignment w:val="auto"/>
        <w:rPr>
          <w:rFonts w:ascii="Times New Roman" w:cs="宋体"/>
        </w:rPr>
      </w:pPr>
      <w:r>
        <w:rPr>
          <w:rFonts w:ascii="Times New Roman"/>
          <w:szCs w:val="21"/>
        </w:rPr>
        <w:t>本</w:t>
      </w:r>
      <w:r>
        <w:rPr>
          <w:rFonts w:hint="eastAsia" w:ascii="Times New Roman"/>
          <w:szCs w:val="21"/>
        </w:rPr>
        <w:t>文件</w:t>
      </w:r>
      <w:r>
        <w:rPr>
          <w:rFonts w:ascii="Times New Roman"/>
          <w:szCs w:val="21"/>
        </w:rPr>
        <w:t>代替GB/T 16477.2-2010《</w:t>
      </w:r>
      <w:r>
        <w:rPr>
          <w:rFonts w:hint="eastAsia" w:ascii="Times New Roman" w:cs="宋体"/>
        </w:rPr>
        <w:t>稀土硅铁合金及镁硅铁合金化学分析方法 第2部分：钙、镁、锰量的测定 电感耦合等离子体发射光谱法</w:t>
      </w:r>
      <w:r>
        <w:rPr>
          <w:rFonts w:ascii="Times New Roman"/>
          <w:szCs w:val="21"/>
        </w:rPr>
        <w:t>》，与GB/T 16477.2-2010相比，除</w:t>
      </w:r>
      <w:r>
        <w:rPr>
          <w:rFonts w:hint="eastAsia" w:ascii="Times New Roman"/>
          <w:szCs w:val="21"/>
        </w:rPr>
        <w:t>结构调整和</w:t>
      </w:r>
      <w:r>
        <w:rPr>
          <w:rFonts w:ascii="Times New Roman"/>
          <w:szCs w:val="21"/>
        </w:rPr>
        <w:t>编辑性改</w:t>
      </w:r>
      <w:r>
        <w:rPr>
          <w:rFonts w:hint="eastAsia" w:ascii="Times New Roman"/>
          <w:szCs w:val="21"/>
        </w:rPr>
        <w:t>动</w:t>
      </w:r>
      <w:r>
        <w:rPr>
          <w:rFonts w:ascii="Times New Roman"/>
          <w:szCs w:val="21"/>
        </w:rPr>
        <w:t>外</w:t>
      </w:r>
      <w:r>
        <w:rPr>
          <w:rFonts w:hint="eastAsia" w:ascii="Times New Roman"/>
          <w:szCs w:val="21"/>
        </w:rPr>
        <w:t>，</w:t>
      </w:r>
      <w:r>
        <w:rPr>
          <w:rFonts w:ascii="Times New Roman"/>
          <w:szCs w:val="21"/>
        </w:rPr>
        <w:t>主要技术变化如下：</w:t>
      </w:r>
    </w:p>
    <w:p w14:paraId="0DB0421B">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更改了方法的适用范围及测定范围，增加了仲裁方法的规定（见1，2010年版的1）；</w:t>
      </w:r>
    </w:p>
    <w:p w14:paraId="3DE4BDA1">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szCs w:val="21"/>
          <w:lang w:val="de-DE"/>
        </w:rPr>
        <w:t>增加了“规范性引用文件”“术语及定义”</w:t>
      </w:r>
      <w:r>
        <w:rPr>
          <w:rFonts w:hint="eastAsia" w:ascii="Times New Roman"/>
          <w:szCs w:val="21"/>
        </w:rPr>
        <w:t>章节（见2、3）；</w:t>
      </w:r>
    </w:p>
    <w:p w14:paraId="0B4BAFB2">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szCs w:val="21"/>
        </w:rPr>
        <w:t>增加了对分析中试剂和用水的说明（见4.2）；</w:t>
      </w:r>
    </w:p>
    <w:p w14:paraId="719FE9D9">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更改了方法1的试剂，增加了</w:t>
      </w:r>
      <w:r>
        <w:rPr>
          <w:rFonts w:hint="eastAsia"/>
        </w:rPr>
        <w:t>铝、钡、锑、铋、锶、磷、钛标准贮存溶液的配制及混合标准溶液的配制（见4.2，2010年版的3）；</w:t>
      </w:r>
    </w:p>
    <w:p w14:paraId="1EDB0DCA">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更改了方法1的仪器设备的要求（见4.3，2010年版的4）；</w:t>
      </w:r>
    </w:p>
    <w:p w14:paraId="54ACBDD9">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更改了方法1的推荐分析谱线波长（见表2，2010年版的表3）</w:t>
      </w:r>
    </w:p>
    <w:p w14:paraId="01FC01E8">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更改了方法1的分析试液制备步骤及分取定容体积（见4.5.4,2010年版的6.4）；</w:t>
      </w:r>
    </w:p>
    <w:p w14:paraId="3BE1CD1D">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更改了方法1的系列标准溶液的配制步骤</w:t>
      </w:r>
      <w:r>
        <w:rPr>
          <w:rFonts w:hint="eastAsia" w:ascii="Times New Roman"/>
          <w:szCs w:val="21"/>
        </w:rPr>
        <w:t>（见4.5.5，2010年版6.5）；</w:t>
      </w:r>
    </w:p>
    <w:p w14:paraId="6086B557">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增加了方法1的工作曲线的绘制和空白试液的测定步骤（见4.5.6，2010年版的6.6）；</w:t>
      </w:r>
    </w:p>
    <w:p w14:paraId="2AE7B95A">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rPr>
        <w:t>更改了方法1的精密度部分描述，将“允许差”更改为“再现性”（</w:t>
      </w:r>
      <w:r>
        <w:rPr>
          <w:rFonts w:hint="eastAsia" w:ascii="Times New Roman"/>
          <w:szCs w:val="21"/>
        </w:rPr>
        <w:t>见4.7.2 ，2010年版的8.2）；</w:t>
      </w:r>
    </w:p>
    <w:p w14:paraId="16BE7702">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szCs w:val="21"/>
        </w:rPr>
        <w:t>删除了质量保证和控制章节（2010年版的9）；</w:t>
      </w:r>
    </w:p>
    <w:p w14:paraId="23E83BE1">
      <w:pPr>
        <w:pStyle w:val="41"/>
        <w:keepNext w:val="0"/>
        <w:keepLines w:val="0"/>
        <w:pageBreakBefore w:val="0"/>
        <w:numPr>
          <w:ilvl w:val="0"/>
          <w:numId w:val="3"/>
        </w:numPr>
        <w:tabs>
          <w:tab w:val="center" w:pos="4201"/>
          <w:tab w:val="right" w:leader="dot" w:pos="9298"/>
        </w:tabs>
        <w:kinsoku/>
        <w:wordWrap/>
        <w:overflowPunct/>
        <w:topLinePunct w:val="0"/>
        <w:bidi w:val="0"/>
        <w:adjustRightInd w:val="0"/>
        <w:snapToGrid w:val="0"/>
        <w:spacing w:line="240" w:lineRule="auto"/>
        <w:ind w:firstLine="409" w:firstLineChars="195"/>
        <w:textAlignment w:val="auto"/>
        <w:rPr>
          <w:rFonts w:ascii="Times New Roman"/>
        </w:rPr>
      </w:pPr>
      <w:r>
        <w:rPr>
          <w:rFonts w:hint="eastAsia" w:ascii="Times New Roman"/>
          <w:szCs w:val="21"/>
        </w:rPr>
        <w:t>增加了方法2：EDTA滴定法测定镁含量</w:t>
      </w:r>
      <w:r>
        <w:rPr>
          <w:rFonts w:hint="eastAsia" w:ascii="Times New Roman"/>
        </w:rPr>
        <w:t>（见5）。</w:t>
      </w:r>
    </w:p>
    <w:p w14:paraId="1F4DEA67">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szCs w:val="21"/>
        </w:rPr>
      </w:pPr>
      <w:r>
        <w:rPr>
          <w:rFonts w:hint="eastAsia"/>
        </w:rPr>
        <w:t>请注意本文件的某些内容可能涉及专利</w:t>
      </w:r>
      <w:r>
        <w:t>。</w:t>
      </w:r>
      <w:r>
        <w:rPr>
          <w:rFonts w:hint="eastAsia"/>
        </w:rPr>
        <w:t>本文件的发布机构不承担识别专利的责任。</w:t>
      </w:r>
    </w:p>
    <w:p w14:paraId="0B2625B9">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szCs w:val="21"/>
        </w:rPr>
      </w:pPr>
      <w:r>
        <w:rPr>
          <w:rFonts w:ascii="Times New Roman"/>
          <w:szCs w:val="21"/>
        </w:rPr>
        <w:t>本</w:t>
      </w:r>
      <w:r>
        <w:rPr>
          <w:rFonts w:hint="eastAsia" w:ascii="Times New Roman"/>
          <w:szCs w:val="21"/>
        </w:rPr>
        <w:t>文件</w:t>
      </w:r>
      <w:r>
        <w:rPr>
          <w:rFonts w:ascii="Times New Roman"/>
          <w:szCs w:val="21"/>
        </w:rPr>
        <w:t>由全国稀土标准化技术委员会（SAC/TC 229）提出并归口。</w:t>
      </w:r>
    </w:p>
    <w:p w14:paraId="5181D571">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szCs w:val="21"/>
        </w:rPr>
      </w:pPr>
      <w:r>
        <w:rPr>
          <w:szCs w:val="21"/>
        </w:rPr>
        <w:t>本</w:t>
      </w:r>
      <w:r>
        <w:rPr>
          <w:rFonts w:hint="eastAsia"/>
          <w:szCs w:val="21"/>
        </w:rPr>
        <w:t>文件</w:t>
      </w:r>
      <w:r>
        <w:rPr>
          <w:szCs w:val="21"/>
        </w:rPr>
        <w:t>起草单位：包头稀土研究院、</w:t>
      </w:r>
      <w:r>
        <w:rPr>
          <w:rFonts w:hint="eastAsia"/>
          <w:szCs w:val="21"/>
        </w:rPr>
        <w:t>中国北方稀土（集团）高科技股份有限公司、国标（北京）检验认证有限公司、虔东稀土集团股份有限公司、包头稀土新材料技术研发中心、钢研纳克江苏检测技术研究院有限公司、有研稀土新材料股份有限公司、内蒙古圣泉科利源新材料科技有限公司。</w:t>
      </w:r>
    </w:p>
    <w:p w14:paraId="7CE62278">
      <w:pPr>
        <w:keepNext w:val="0"/>
        <w:keepLines w:val="0"/>
        <w:pageBreakBefore w:val="0"/>
        <w:kinsoku/>
        <w:wordWrap/>
        <w:overflowPunct/>
        <w:topLinePunct w:val="0"/>
        <w:bidi w:val="0"/>
        <w:adjustRightInd w:val="0"/>
        <w:snapToGrid w:val="0"/>
        <w:spacing w:line="240" w:lineRule="auto"/>
        <w:ind w:firstLine="420" w:firstLineChars="200"/>
        <w:textAlignment w:val="auto"/>
        <w:rPr>
          <w:rFonts w:hint="eastAsia"/>
          <w:szCs w:val="21"/>
        </w:rPr>
      </w:pPr>
      <w:r>
        <w:rPr>
          <w:rFonts w:hint="eastAsia"/>
          <w:szCs w:val="21"/>
        </w:rPr>
        <w:t>本文件主要起草人：常诚、张慧珍、范小龙、王晓佳、乔宇</w:t>
      </w:r>
      <w:r>
        <w:rPr>
          <w:rFonts w:hint="eastAsia"/>
          <w:szCs w:val="21"/>
          <w:lang w:eastAsia="zh-CN"/>
        </w:rPr>
        <w:t>、</w:t>
      </w:r>
      <w:r>
        <w:rPr>
          <w:rFonts w:hint="eastAsia"/>
          <w:szCs w:val="21"/>
        </w:rPr>
        <w:t>杨帆</w:t>
      </w:r>
      <w:r>
        <w:rPr>
          <w:rFonts w:hint="eastAsia"/>
          <w:szCs w:val="21"/>
          <w:lang w:eastAsia="zh-CN"/>
        </w:rPr>
        <w:t>、</w:t>
      </w:r>
      <w:r>
        <w:rPr>
          <w:rFonts w:hint="eastAsia"/>
          <w:szCs w:val="21"/>
        </w:rPr>
        <w:t>姚媛芳、胡梦桥、董三力、赵霞</w:t>
      </w:r>
      <w:r>
        <w:rPr>
          <w:rFonts w:hint="eastAsia"/>
          <w:szCs w:val="21"/>
          <w:lang w:eastAsia="zh-CN"/>
        </w:rPr>
        <w:t>、</w:t>
      </w:r>
      <w:r>
        <w:rPr>
          <w:rFonts w:hint="eastAsia"/>
          <w:szCs w:val="21"/>
        </w:rPr>
        <w:t>孙二凤</w:t>
      </w:r>
      <w:r>
        <w:rPr>
          <w:rFonts w:hint="eastAsia"/>
          <w:szCs w:val="21"/>
          <w:lang w:eastAsia="zh-CN"/>
        </w:rPr>
        <w:t>、</w:t>
      </w:r>
      <w:r>
        <w:rPr>
          <w:rFonts w:hint="eastAsia"/>
          <w:szCs w:val="21"/>
        </w:rPr>
        <w:t>栗生辰</w:t>
      </w:r>
      <w:r>
        <w:rPr>
          <w:rFonts w:hint="eastAsia"/>
          <w:szCs w:val="21"/>
          <w:lang w:eastAsia="zh-CN"/>
        </w:rPr>
        <w:t>、</w:t>
      </w:r>
      <w:r>
        <w:rPr>
          <w:rFonts w:hint="eastAsia"/>
          <w:szCs w:val="21"/>
        </w:rPr>
        <w:t>胡改霞</w:t>
      </w:r>
      <w:r>
        <w:rPr>
          <w:rFonts w:hint="eastAsia"/>
          <w:szCs w:val="21"/>
          <w:lang w:eastAsia="zh-CN"/>
        </w:rPr>
        <w:t>、</w:t>
      </w:r>
      <w:r>
        <w:rPr>
          <w:rFonts w:hint="eastAsia"/>
          <w:szCs w:val="21"/>
        </w:rPr>
        <w:t>赵艳</w:t>
      </w:r>
      <w:r>
        <w:rPr>
          <w:rFonts w:hint="eastAsia"/>
          <w:szCs w:val="21"/>
          <w:lang w:eastAsia="zh-CN"/>
        </w:rPr>
        <w:t>、</w:t>
      </w:r>
      <w:r>
        <w:rPr>
          <w:rFonts w:hint="eastAsia"/>
          <w:szCs w:val="21"/>
        </w:rPr>
        <w:t>龙学梅、牟迪、唐晓林、王东杰、艾凤革</w:t>
      </w:r>
      <w:r>
        <w:rPr>
          <w:rFonts w:hint="eastAsia"/>
          <w:szCs w:val="21"/>
          <w:lang w:eastAsia="zh-CN"/>
        </w:rPr>
        <w:t>、</w:t>
      </w:r>
      <w:r>
        <w:rPr>
          <w:rFonts w:hint="eastAsia"/>
          <w:szCs w:val="21"/>
        </w:rPr>
        <w:t>杨丹莹、陈彦孜</w:t>
      </w:r>
      <w:r>
        <w:rPr>
          <w:rFonts w:hint="eastAsia"/>
          <w:szCs w:val="21"/>
          <w:lang w:eastAsia="zh-CN"/>
        </w:rPr>
        <w:t>、</w:t>
      </w:r>
      <w:r>
        <w:rPr>
          <w:rFonts w:hint="eastAsia"/>
          <w:szCs w:val="21"/>
        </w:rPr>
        <w:t>李业廷</w:t>
      </w:r>
      <w:r>
        <w:rPr>
          <w:rFonts w:hint="eastAsia"/>
          <w:szCs w:val="21"/>
          <w:lang w:eastAsia="zh-CN"/>
        </w:rPr>
        <w:t>、</w:t>
      </w:r>
      <w:r>
        <w:rPr>
          <w:rFonts w:hint="eastAsia"/>
          <w:szCs w:val="21"/>
        </w:rPr>
        <w:t>温斌。</w:t>
      </w:r>
    </w:p>
    <w:p w14:paraId="23C54E4E">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szCs w:val="21"/>
        </w:rPr>
      </w:pPr>
      <w:r>
        <w:rPr>
          <w:rFonts w:ascii="Times New Roman"/>
          <w:szCs w:val="21"/>
        </w:rPr>
        <w:t>本</w:t>
      </w:r>
      <w:r>
        <w:rPr>
          <w:rFonts w:hint="eastAsia" w:ascii="Times New Roman"/>
          <w:szCs w:val="21"/>
        </w:rPr>
        <w:t>文件及其</w:t>
      </w:r>
      <w:r>
        <w:rPr>
          <w:rFonts w:ascii="Times New Roman"/>
          <w:szCs w:val="21"/>
        </w:rPr>
        <w:t>所代替</w:t>
      </w:r>
      <w:r>
        <w:rPr>
          <w:rFonts w:hint="eastAsia" w:ascii="Times New Roman"/>
          <w:szCs w:val="21"/>
        </w:rPr>
        <w:t>文件</w:t>
      </w:r>
      <w:r>
        <w:rPr>
          <w:rFonts w:ascii="Times New Roman"/>
          <w:szCs w:val="21"/>
        </w:rPr>
        <w:t>的历次版本发布情况为：</w:t>
      </w:r>
    </w:p>
    <w:p w14:paraId="6359D1C9">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eastAsiaTheme="minorEastAsia"/>
          <w:szCs w:val="21"/>
        </w:rPr>
      </w:pPr>
      <w:r>
        <w:rPr>
          <w:rFonts w:ascii="Times New Roman" w:eastAsiaTheme="minorEastAsia"/>
          <w:szCs w:val="21"/>
        </w:rPr>
        <w:t>——1997年首次发布为YB/T 2503-1977，1996年第一次修订为GB/T 16477.2-1996，2010年第二次修订为GB/T 16477.2-2010；</w:t>
      </w:r>
    </w:p>
    <w:p w14:paraId="07D208DB">
      <w:pPr>
        <w:pStyle w:val="41"/>
        <w:keepNext w:val="0"/>
        <w:keepLines w:val="0"/>
        <w:pageBreakBefore w:val="0"/>
        <w:tabs>
          <w:tab w:val="center" w:pos="4201"/>
          <w:tab w:val="right" w:leader="dot" w:pos="9298"/>
        </w:tabs>
        <w:kinsoku/>
        <w:wordWrap/>
        <w:overflowPunct/>
        <w:topLinePunct w:val="0"/>
        <w:bidi w:val="0"/>
        <w:adjustRightInd w:val="0"/>
        <w:snapToGrid w:val="0"/>
        <w:spacing w:line="240" w:lineRule="auto"/>
        <w:ind w:firstLine="420"/>
        <w:textAlignment w:val="auto"/>
        <w:rPr>
          <w:rFonts w:ascii="Times New Roman" w:eastAsiaTheme="minorEastAsia"/>
          <w:szCs w:val="21"/>
        </w:rPr>
      </w:pPr>
      <w:r>
        <w:rPr>
          <w:rFonts w:ascii="Times New Roman" w:eastAsiaTheme="minorEastAsia"/>
          <w:szCs w:val="21"/>
        </w:rPr>
        <w:t>——本次为第三次修订。</w:t>
      </w:r>
    </w:p>
    <w:p w14:paraId="1FAA5E33">
      <w:pPr>
        <w:pStyle w:val="41"/>
        <w:tabs>
          <w:tab w:val="center" w:pos="4201"/>
          <w:tab w:val="right" w:leader="dot" w:pos="9298"/>
        </w:tabs>
        <w:adjustRightInd w:val="0"/>
        <w:snapToGrid w:val="0"/>
        <w:spacing w:line="320" w:lineRule="exact"/>
        <w:ind w:firstLine="420"/>
        <w:rPr>
          <w:rFonts w:ascii="Times New Roman" w:eastAsiaTheme="minorEastAsia"/>
          <w:szCs w:val="21"/>
        </w:rPr>
      </w:pPr>
    </w:p>
    <w:p w14:paraId="2212A1B2">
      <w:pPr>
        <w:rPr>
          <w:rFonts w:hint="eastAsia" w:ascii="Times New Roman"/>
        </w:rPr>
      </w:pPr>
      <w:r>
        <w:rPr>
          <w:rFonts w:hint="eastAsia" w:ascii="Times New Roman"/>
        </w:rPr>
        <w:br w:type="page"/>
      </w:r>
    </w:p>
    <w:p w14:paraId="65EC9D8C">
      <w:pPr>
        <w:pStyle w:val="54"/>
        <w:spacing w:before="0" w:after="680" w:line="360" w:lineRule="exact"/>
        <w:ind w:firstLine="4320" w:firstLineChars="1350"/>
        <w:jc w:val="both"/>
        <w:rPr>
          <w:rFonts w:ascii="Times New Roman"/>
        </w:rPr>
      </w:pPr>
      <w:r>
        <w:rPr>
          <w:rFonts w:hint="eastAsia" w:ascii="Times New Roman"/>
        </w:rPr>
        <w:t>引  言</w:t>
      </w:r>
    </w:p>
    <w:p w14:paraId="4164E797">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szCs w:val="22"/>
        </w:rPr>
      </w:pPr>
      <w:r>
        <w:rPr>
          <w:rFonts w:hint="eastAsia" w:ascii="Times New Roman"/>
          <w:szCs w:val="22"/>
        </w:rPr>
        <w:t>稀土硅铁合金和稀土镁硅铁合金是重要的稀土合金材料。在这些合金中，稀土元素发挥着精炼、脱硫以及中和低熔点有害杂质的关键作用。稀土硅铁合金在钢铁工业中应用广泛，主要用于去除钢水中的氧、硫、氮、砷等有害元素，同时也是制备球化剂、蠕化剂和孕育剂的基础原料，在钢铁生产中作为添加剂和合金剂使用。稀土镁硅铁合金则是一种优良的孕育剂、蠕化剂和变质剂，具备显著的脱氧和脱硫能力。化学成分是评价稀土铁合金产品质量的核心指标。建立科学、准确的化学成分分析方法标准为稀土硅铁合金和稀土镁硅铁合金产品</w:t>
      </w:r>
      <w:r>
        <w:rPr>
          <w:rFonts w:hint="eastAsia" w:ascii="Times New Roman"/>
          <w:szCs w:val="22"/>
          <w:lang w:eastAsia="zh-CN"/>
        </w:rPr>
        <w:t>的</w:t>
      </w:r>
      <w:r>
        <w:rPr>
          <w:rFonts w:hint="eastAsia" w:ascii="Times New Roman"/>
          <w:szCs w:val="22"/>
        </w:rPr>
        <w:t>质量检验提供了严谨、规范的技术依据，也将进一步推动相关产品的生产与贸易发展。</w:t>
      </w:r>
    </w:p>
    <w:p w14:paraId="57155CA1">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本系列标准GB/T 16477《稀土硅铁合金及镁硅铁合金化学分析方法》重点针对稀土硅铁合金及镁硅铁合金的稀土总量、非稀土杂质的检测，共由5个部分构成。</w:t>
      </w:r>
    </w:p>
    <w:p w14:paraId="7DAC2924">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rPr>
        <w:t>——第1部分：稀土总量、十五个稀土元素含量的测定</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目的在于建立电感耦合等离子体发射光谱法测定稀土硅铁合金及镁硅铁合金中稀土总量、十五个稀土元素含量的方法。</w:t>
      </w:r>
    </w:p>
    <w:p w14:paraId="761CF777">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——第2部分：钙、镁、锰、铝、钡、锑、铋、锶、磷和钛含量的测定</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目的在于建立电感耦合等离子体发射光谱法测定稀土硅铁合金及镁硅铁合金中钙、镁、锰、铝、钡、锑、铋、锶、磷和钛含量的测定方法及EDTA滴定法测定镁含量的方法。</w:t>
      </w:r>
    </w:p>
    <w:p w14:paraId="50CB5064">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——第3部分：氧化镁量的测定  电感耦合等离子体发射光谱法</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目的在于建立电感耦合等离子体发射光谱法测定稀土硅铁合金及镁硅铁合金中镁含量的方法。</w:t>
      </w:r>
    </w:p>
    <w:p w14:paraId="2EE06846">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rPr>
        <w:t>——第4部分：硅量的测定</w:t>
      </w:r>
      <w:r>
        <w:rPr>
          <w:rFonts w:hint="eastAsia" w:ascii="Times New Roman" w:hAnsi="Times New Roman" w:eastAsia="宋体" w:cs="Times New Roman"/>
          <w:szCs w:val="22"/>
          <w:lang w:eastAsia="zh-CN"/>
        </w:rPr>
        <w:t>。目的</w:t>
      </w:r>
      <w:r>
        <w:rPr>
          <w:rFonts w:hint="eastAsia" w:ascii="Times New Roman" w:hAnsi="Times New Roman" w:eastAsia="宋体" w:cs="Times New Roman"/>
          <w:szCs w:val="22"/>
          <w:lang w:val="en-US" w:eastAsia="zh-CN"/>
        </w:rPr>
        <w:t>在于建立氟硅酸钾沉淀酸碱滴定法及高氯酸脱水重量法测定稀土硅铁合金及镁硅铁合金中硅含量的方法。</w:t>
      </w:r>
    </w:p>
    <w:p w14:paraId="6EE6D5F3">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rPr>
        <w:t>——第5部分：钛量的测定  电感耦合等离子体发射光谱法。</w:t>
      </w:r>
      <w:r>
        <w:rPr>
          <w:rFonts w:hint="eastAsia" w:ascii="Times New Roman" w:hAnsi="Times New Roman" w:eastAsia="宋体" w:cs="Times New Roman"/>
          <w:szCs w:val="22"/>
          <w:lang w:val="en-US" w:eastAsia="zh-CN"/>
        </w:rPr>
        <w:t>目的在于建立电感耦合等离子体发射光谱法测定稀土硅铁合金及镁硅铁合金中钛元素含量的方法。</w:t>
      </w:r>
    </w:p>
    <w:p w14:paraId="1035C404">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上述各个部分标准按稀土金属及其氧化物生产与贸易中常规的检测元素依次设立，各部分包括一种或多种检测方法，分别明确了适用范围、试剂材料与试验设备的选择，规范试验步骤，并经过多家实验室多次试验和验证给出精密度数据，为稀土硅铁合金及镁硅铁合金品质核查建立严谨、规范的标准化工作基础。</w:t>
      </w:r>
    </w:p>
    <w:p w14:paraId="79AD972E">
      <w:pPr>
        <w:pStyle w:val="41"/>
        <w:keepNext w:val="0"/>
        <w:keepLines w:val="0"/>
        <w:pageBreakBefore w:val="0"/>
        <w:widowControl/>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GB/T 16477.2自发布以来历经两次修订。随着生产工艺的进步及新产品标准的颁布实施，稀土硅铁及镁硅铁的成分与指标要求逐步细化。本文件致力于完善稀土硅铁及镁硅铁产品的分析测试技术与标准体系。根据行业新需求与市场变化，新增了电感耦合等离子体（ICP）光谱仪测定铝、钡、锑、铋、锶、磷和钛的方法，同时增补EDTA滴定法测定镁含量。修订后的标准全面覆盖现有稀土硅铁合金及镁硅铁合金产品中钙、镁、锰、铝、钡、锑、铋、锶、磷和钛等关键元素的指标要求，为产品化学成分测定提供多元化方法，具备良好的可操作性。该标准为稀土硅铁产品的制造工艺控制及贸易活动提供了更完善的技术支撑。</w:t>
      </w:r>
    </w:p>
    <w:p w14:paraId="03009C58">
      <w:pPr>
        <w:pStyle w:val="41"/>
        <w:tabs>
          <w:tab w:val="center" w:pos="4201"/>
          <w:tab w:val="right" w:leader="dot" w:pos="9298"/>
        </w:tabs>
        <w:adjustRightInd w:val="0"/>
        <w:snapToGrid w:val="0"/>
        <w:ind w:firstLine="0" w:firstLineChars="0"/>
        <w:jc w:val="center"/>
        <w:rPr>
          <w:rFonts w:ascii="Times New Roman" w:eastAsia="黑体"/>
          <w:sz w:val="32"/>
        </w:rPr>
      </w:pPr>
      <w:r>
        <w:br w:type="page"/>
      </w:r>
      <w:r>
        <w:rPr>
          <w:rFonts w:hint="eastAsia" w:ascii="Times New Roman" w:eastAsia="黑体"/>
          <w:sz w:val="32"/>
        </w:rPr>
        <w:t>稀土硅铁合金及镁硅铁合金化学分析方法</w:t>
      </w:r>
    </w:p>
    <w:p w14:paraId="497A997C">
      <w:pPr>
        <w:pStyle w:val="41"/>
        <w:tabs>
          <w:tab w:val="center" w:pos="4201"/>
          <w:tab w:val="right" w:leader="dot" w:pos="9298"/>
        </w:tabs>
        <w:adjustRightInd w:val="0"/>
        <w:snapToGrid w:val="0"/>
        <w:ind w:firstLine="0" w:firstLineChars="0"/>
        <w:jc w:val="center"/>
        <w:rPr>
          <w:rFonts w:ascii="Times New Roman" w:eastAsia="黑体"/>
          <w:sz w:val="32"/>
        </w:rPr>
      </w:pPr>
      <w:r>
        <w:rPr>
          <w:rFonts w:hint="eastAsia" w:ascii="Times New Roman" w:eastAsia="黑体"/>
          <w:sz w:val="32"/>
        </w:rPr>
        <w:t>第2部分：钙、镁、锰、铝、钡、锑、铋、锶、磷和钛含量的测定</w:t>
      </w:r>
    </w:p>
    <w:p w14:paraId="7F5F08C1">
      <w:pPr>
        <w:pStyle w:val="56"/>
        <w:tabs>
          <w:tab w:val="left" w:pos="360"/>
        </w:tabs>
        <w:adjustRightInd w:val="0"/>
        <w:snapToGrid w:val="0"/>
        <w:spacing w:before="0" w:after="0" w:line="240" w:lineRule="auto"/>
        <w:rPr>
          <w:rFonts w:ascii="Times New Roman"/>
        </w:rPr>
      </w:pPr>
    </w:p>
    <w:p w14:paraId="7BDFDBBB">
      <w:pPr>
        <w:pStyle w:val="52"/>
        <w:numPr>
          <w:ilvl w:val="0"/>
          <w:numId w:val="4"/>
        </w:numPr>
        <w:snapToGrid w:val="0"/>
        <w:spacing w:after="312" w:afterLines="100" w:line="360" w:lineRule="atLeast"/>
        <w:ind w:firstLineChars="0"/>
        <w:outlineLvl w:val="1"/>
        <w:rPr>
          <w:rFonts w:eastAsia="黑体"/>
          <w:szCs w:val="21"/>
        </w:rPr>
      </w:pPr>
      <w:r>
        <w:rPr>
          <w:rFonts w:eastAsia="黑体"/>
          <w:szCs w:val="21"/>
        </w:rPr>
        <w:t xml:space="preserve"> 范围</w:t>
      </w:r>
    </w:p>
    <w:p w14:paraId="55FD8C71">
      <w:pPr>
        <w:keepNext w:val="0"/>
        <w:keepLines w:val="0"/>
        <w:pageBreakBefore w:val="0"/>
        <w:widowControl w:val="0"/>
        <w:kinsoku/>
        <w:wordWrap/>
        <w:overflowPunct/>
        <w:topLinePunct w:val="0"/>
        <w:autoSpaceDE w:val="0"/>
        <w:autoSpaceDN w:val="0"/>
        <w:bidi w:val="0"/>
        <w:adjustRightInd w:val="0"/>
        <w:snapToGrid w:val="0"/>
        <w:ind w:firstLine="420"/>
        <w:textAlignment w:val="auto"/>
        <w:rPr>
          <w:rFonts w:ascii="Times New Roman" w:hAnsi="Times New Roman" w:eastAsia="宋体" w:cs="Times New Roman"/>
          <w:szCs w:val="20"/>
        </w:rPr>
      </w:pPr>
      <w:r>
        <w:rPr>
          <w:rFonts w:ascii="Times New Roman" w:hAnsi="Times New Roman" w:eastAsia="宋体" w:cs="Times New Roman"/>
          <w:szCs w:val="20"/>
        </w:rPr>
        <w:t>本文件</w:t>
      </w:r>
      <w:r>
        <w:rPr>
          <w:rFonts w:hint="eastAsia" w:ascii="Times New Roman" w:hAnsi="Times New Roman" w:eastAsia="宋体" w:cs="Times New Roman"/>
          <w:szCs w:val="20"/>
        </w:rPr>
        <w:t>描述</w:t>
      </w:r>
      <w:r>
        <w:rPr>
          <w:rFonts w:ascii="Times New Roman" w:hAnsi="Times New Roman" w:eastAsia="宋体" w:cs="Times New Roman"/>
          <w:szCs w:val="20"/>
        </w:rPr>
        <w:t>了稀土硅铁合金及镁硅铁合金中</w:t>
      </w:r>
      <w:r>
        <w:rPr>
          <w:rFonts w:hint="eastAsia" w:ascii="Times New Roman" w:hAnsi="Times New Roman" w:eastAsia="宋体" w:cs="Times New Roman"/>
          <w:szCs w:val="20"/>
        </w:rPr>
        <w:t>钙、镁、锰、铝、钡、锑、铋、锶、磷和钛含量的测定方法</w:t>
      </w:r>
      <w:r>
        <w:rPr>
          <w:rFonts w:ascii="Times New Roman" w:hAnsi="Times New Roman" w:eastAsia="宋体" w:cs="Times New Roman"/>
          <w:szCs w:val="20"/>
        </w:rPr>
        <w:t>。</w:t>
      </w:r>
    </w:p>
    <w:p w14:paraId="7B01C076">
      <w:pPr>
        <w:keepNext w:val="0"/>
        <w:keepLines w:val="0"/>
        <w:pageBreakBefore w:val="0"/>
        <w:widowControl w:val="0"/>
        <w:kinsoku/>
        <w:wordWrap/>
        <w:overflowPunct/>
        <w:topLinePunct w:val="0"/>
        <w:autoSpaceDE w:val="0"/>
        <w:autoSpaceDN w:val="0"/>
        <w:bidi w:val="0"/>
        <w:adjustRightInd w:val="0"/>
        <w:snapToGrid w:val="0"/>
        <w:ind w:firstLine="420"/>
        <w:textAlignment w:val="auto"/>
        <w:rPr>
          <w:rFonts w:ascii="Times New Roman" w:hAnsi="Times New Roman" w:eastAsia="宋体" w:cs="Times New Roman"/>
          <w:szCs w:val="20"/>
        </w:rPr>
      </w:pPr>
      <w:r>
        <w:rPr>
          <w:rFonts w:ascii="Times New Roman" w:hAnsi="Times New Roman" w:eastAsia="宋体" w:cs="Times New Roman"/>
          <w:szCs w:val="20"/>
        </w:rPr>
        <w:t>本文件适用于稀土硅铁合金及镁硅铁合金中钙、镁、锰</w:t>
      </w:r>
      <w:r>
        <w:rPr>
          <w:rFonts w:hint="eastAsia" w:ascii="Times New Roman" w:hAnsi="Times New Roman" w:eastAsia="宋体" w:cs="Times New Roman"/>
          <w:szCs w:val="20"/>
        </w:rPr>
        <w:t>、铝、钡、锑、铋、锶、磷和钛含</w:t>
      </w:r>
      <w:r>
        <w:rPr>
          <w:rFonts w:ascii="Times New Roman" w:hAnsi="Times New Roman" w:eastAsia="宋体" w:cs="Times New Roman"/>
          <w:szCs w:val="20"/>
        </w:rPr>
        <w:t>量的测定</w:t>
      </w:r>
      <w:r>
        <w:rPr>
          <w:rFonts w:hint="eastAsia" w:ascii="Times New Roman" w:hAnsi="Times New Roman" w:eastAsia="宋体" w:cs="Times New Roman"/>
          <w:szCs w:val="20"/>
        </w:rPr>
        <w:t>。</w:t>
      </w:r>
    </w:p>
    <w:p w14:paraId="0D4160E9">
      <w:pPr>
        <w:keepNext w:val="0"/>
        <w:keepLines w:val="0"/>
        <w:pageBreakBefore w:val="0"/>
        <w:widowControl w:val="0"/>
        <w:kinsoku/>
        <w:wordWrap/>
        <w:overflowPunct/>
        <w:topLinePunct w:val="0"/>
        <w:autoSpaceDE w:val="0"/>
        <w:autoSpaceDN w:val="0"/>
        <w:bidi w:val="0"/>
        <w:adjustRightInd w:val="0"/>
        <w:snapToGrid w:val="0"/>
        <w:ind w:firstLine="420"/>
        <w:textAlignment w:val="auto"/>
        <w:rPr>
          <w:rFonts w:ascii="Times New Roman" w:hAnsi="Times New Roman" w:eastAsia="宋体" w:cs="Times New Roman"/>
          <w:szCs w:val="20"/>
        </w:rPr>
      </w:pPr>
      <w:r>
        <w:rPr>
          <w:rFonts w:hint="eastAsia" w:ascii="Times New Roman" w:hAnsi="Times New Roman" w:eastAsia="宋体" w:cs="Times New Roman"/>
          <w:szCs w:val="20"/>
        </w:rPr>
        <w:t>本文件共包含2个方法：电感耦合等离子体发射光谱法（方法1）、EDTA滴定法（方法2）。方法1</w:t>
      </w:r>
      <w:r>
        <w:rPr>
          <w:rFonts w:ascii="Times New Roman" w:hAnsi="Times New Roman" w:eastAsia="宋体" w:cs="Times New Roman"/>
          <w:szCs w:val="20"/>
        </w:rPr>
        <w:t>测定范围</w:t>
      </w:r>
      <w:r>
        <w:rPr>
          <w:rFonts w:hint="eastAsia" w:ascii="Times New Roman" w:hAnsi="Times New Roman" w:eastAsia="宋体" w:cs="Times New Roman"/>
          <w:szCs w:val="20"/>
        </w:rPr>
        <w:t>见表1；方法2测定范围：镁：5.00%～30.00%。</w:t>
      </w:r>
    </w:p>
    <w:p w14:paraId="202F8FCE">
      <w:pPr>
        <w:keepNext w:val="0"/>
        <w:keepLines w:val="0"/>
        <w:pageBreakBefore w:val="0"/>
        <w:widowControl w:val="0"/>
        <w:kinsoku/>
        <w:wordWrap/>
        <w:overflowPunct/>
        <w:topLinePunct w:val="0"/>
        <w:autoSpaceDE w:val="0"/>
        <w:autoSpaceDN w:val="0"/>
        <w:bidi w:val="0"/>
        <w:adjustRightInd w:val="0"/>
        <w:snapToGrid w:val="0"/>
        <w:ind w:firstLine="420"/>
        <w:textAlignment w:val="auto"/>
        <w:rPr>
          <w:rFonts w:ascii="Times New Roman" w:hAnsi="Times New Roman" w:eastAsia="宋体" w:cs="Times New Roman"/>
          <w:szCs w:val="20"/>
        </w:rPr>
      </w:pPr>
      <w:r>
        <w:rPr>
          <w:rFonts w:ascii="Times New Roman" w:hAnsi="Times New Roman" w:eastAsia="宋体" w:cs="Times New Roman"/>
          <w:szCs w:val="20"/>
        </w:rPr>
        <w:t>当本文件</w:t>
      </w:r>
      <w:r>
        <w:rPr>
          <w:rFonts w:hint="eastAsia" w:ascii="Times New Roman" w:hAnsi="Times New Roman" w:eastAsia="宋体" w:cs="Times New Roman"/>
          <w:szCs w:val="20"/>
        </w:rPr>
        <w:t>中镁</w:t>
      </w:r>
      <w:r>
        <w:rPr>
          <w:rFonts w:ascii="Times New Roman" w:hAnsi="Times New Roman" w:eastAsia="宋体" w:cs="Times New Roman"/>
          <w:szCs w:val="20"/>
        </w:rPr>
        <w:t>测定范围</w:t>
      </w:r>
      <w:r>
        <w:rPr>
          <w:rFonts w:hint="eastAsia" w:ascii="Times New Roman" w:hAnsi="Times New Roman" w:eastAsia="宋体" w:cs="Times New Roman"/>
          <w:szCs w:val="20"/>
        </w:rPr>
        <w:t>5.00%～30.00%</w:t>
      </w:r>
      <w:r>
        <w:rPr>
          <w:rFonts w:ascii="Times New Roman" w:hAnsi="Times New Roman" w:eastAsia="宋体" w:cs="Times New Roman"/>
          <w:szCs w:val="20"/>
        </w:rPr>
        <w:t>出现重叠时</w:t>
      </w:r>
      <w:r>
        <w:rPr>
          <w:rFonts w:hint="eastAsia" w:ascii="Times New Roman" w:hAnsi="Times New Roman" w:eastAsia="宋体" w:cs="Times New Roman"/>
          <w:szCs w:val="20"/>
        </w:rPr>
        <w:t>，</w:t>
      </w:r>
      <w:r>
        <w:rPr>
          <w:rFonts w:ascii="Times New Roman" w:hAnsi="Times New Roman" w:eastAsia="宋体" w:cs="Times New Roman"/>
          <w:szCs w:val="20"/>
        </w:rPr>
        <w:t>以方法</w:t>
      </w:r>
      <w:r>
        <w:rPr>
          <w:rFonts w:hint="eastAsia" w:ascii="Times New Roman" w:hAnsi="Times New Roman" w:eastAsia="宋体" w:cs="Times New Roman"/>
          <w:szCs w:val="20"/>
        </w:rPr>
        <w:t>2</w:t>
      </w:r>
      <w:r>
        <w:rPr>
          <w:rFonts w:ascii="Times New Roman" w:hAnsi="Times New Roman" w:eastAsia="宋体" w:cs="Times New Roman"/>
          <w:szCs w:val="20"/>
        </w:rPr>
        <w:t>作为仲裁方法</w:t>
      </w:r>
      <w:r>
        <w:rPr>
          <w:rFonts w:hint="eastAsia" w:ascii="Times New Roman" w:hAnsi="Times New Roman" w:eastAsia="宋体" w:cs="Times New Roman"/>
          <w:szCs w:val="20"/>
        </w:rPr>
        <w:t>。</w:t>
      </w:r>
    </w:p>
    <w:p w14:paraId="5BAC9E69">
      <w:pPr>
        <w:spacing w:before="156" w:beforeLines="50" w:after="156" w:afterLines="50" w:line="300" w:lineRule="exact"/>
        <w:jc w:val="center"/>
        <w:rPr>
          <w:rFonts w:eastAsia="黑体"/>
        </w:rPr>
      </w:pPr>
      <w:r>
        <w:rPr>
          <w:rFonts w:hint="eastAsia" w:eastAsia="黑体"/>
        </w:rPr>
        <w:t>表1 测定范围</w:t>
      </w:r>
    </w:p>
    <w:tbl>
      <w:tblPr>
        <w:tblStyle w:val="24"/>
        <w:tblW w:w="49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55"/>
        <w:gridCol w:w="2355"/>
        <w:gridCol w:w="2357"/>
        <w:gridCol w:w="2358"/>
      </w:tblGrid>
      <w:tr w14:paraId="4DBE1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tcBorders>
              <w:top w:val="single" w:color="auto" w:sz="8" w:space="0"/>
              <w:left w:val="single" w:color="auto" w:sz="8" w:space="0"/>
              <w:bottom w:val="single" w:color="auto" w:sz="8" w:space="0"/>
              <w:right w:val="single" w:color="auto" w:sz="4" w:space="0"/>
            </w:tcBorders>
            <w:shd w:val="clear" w:color="auto" w:fill="FFFFFF"/>
            <w:noWrap/>
            <w:vAlign w:val="center"/>
          </w:tcPr>
          <w:p w14:paraId="0846146A">
            <w:pPr>
              <w:pStyle w:val="72"/>
              <w:adjustRightInd w:val="0"/>
              <w:snapToGrid w:val="0"/>
              <w:rPr>
                <w:sz w:val="18"/>
              </w:rPr>
            </w:pPr>
            <w:r>
              <w:rPr>
                <w:rFonts w:hint="eastAsia"/>
                <w:sz w:val="18"/>
              </w:rPr>
              <w:t>测定元素</w:t>
            </w:r>
          </w:p>
        </w:tc>
        <w:tc>
          <w:tcPr>
            <w:tcW w:w="1249" w:type="pct"/>
            <w:tcBorders>
              <w:top w:val="single" w:color="auto" w:sz="8" w:space="0"/>
              <w:left w:val="single" w:color="auto" w:sz="4" w:space="0"/>
              <w:bottom w:val="single" w:color="auto" w:sz="8" w:space="0"/>
              <w:right w:val="single" w:color="auto" w:sz="4" w:space="0"/>
            </w:tcBorders>
            <w:shd w:val="clear" w:color="auto" w:fill="FFFFFF"/>
            <w:noWrap/>
            <w:vAlign w:val="center"/>
          </w:tcPr>
          <w:p w14:paraId="0389DA10">
            <w:pPr>
              <w:pStyle w:val="72"/>
              <w:adjustRightInd w:val="0"/>
              <w:snapToGrid w:val="0"/>
              <w:rPr>
                <w:sz w:val="18"/>
              </w:rPr>
            </w:pPr>
            <w:r>
              <w:rPr>
                <w:rFonts w:hint="eastAsia"/>
                <w:sz w:val="18"/>
              </w:rPr>
              <w:t>质量分数</w:t>
            </w:r>
          </w:p>
          <w:p w14:paraId="5A7F4A17">
            <w:pPr>
              <w:pStyle w:val="72"/>
              <w:adjustRightInd w:val="0"/>
              <w:snapToGrid w:val="0"/>
              <w:rPr>
                <w:sz w:val="18"/>
              </w:rPr>
            </w:pPr>
            <w:r>
              <w:rPr>
                <w:rFonts w:hint="eastAsia"/>
                <w:sz w:val="18"/>
              </w:rPr>
              <w:t>%</w:t>
            </w:r>
          </w:p>
        </w:tc>
        <w:tc>
          <w:tcPr>
            <w:tcW w:w="1250" w:type="pct"/>
            <w:tcBorders>
              <w:top w:val="single" w:color="auto" w:sz="8" w:space="0"/>
              <w:left w:val="single" w:color="auto" w:sz="4" w:space="0"/>
              <w:bottom w:val="single" w:color="auto" w:sz="8" w:space="0"/>
              <w:right w:val="single" w:color="auto" w:sz="4" w:space="0"/>
            </w:tcBorders>
            <w:shd w:val="clear" w:color="auto" w:fill="FFFFFF"/>
            <w:vAlign w:val="center"/>
          </w:tcPr>
          <w:p w14:paraId="604A299F">
            <w:pPr>
              <w:pStyle w:val="72"/>
              <w:adjustRightInd w:val="0"/>
              <w:snapToGrid w:val="0"/>
              <w:rPr>
                <w:sz w:val="18"/>
              </w:rPr>
            </w:pPr>
            <w:r>
              <w:rPr>
                <w:rFonts w:hint="eastAsia"/>
                <w:sz w:val="18"/>
              </w:rPr>
              <w:t>测定元素</w:t>
            </w:r>
          </w:p>
        </w:tc>
        <w:tc>
          <w:tcPr>
            <w:tcW w:w="1250" w:type="pct"/>
            <w:tcBorders>
              <w:top w:val="single" w:color="auto" w:sz="8" w:space="0"/>
              <w:left w:val="single" w:color="auto" w:sz="4" w:space="0"/>
              <w:bottom w:val="single" w:color="auto" w:sz="8" w:space="0"/>
              <w:right w:val="single" w:color="auto" w:sz="8" w:space="0"/>
            </w:tcBorders>
            <w:shd w:val="clear" w:color="auto" w:fill="FFFFFF"/>
            <w:vAlign w:val="center"/>
          </w:tcPr>
          <w:p w14:paraId="182BADBA">
            <w:pPr>
              <w:pStyle w:val="72"/>
              <w:adjustRightInd w:val="0"/>
              <w:snapToGrid w:val="0"/>
              <w:rPr>
                <w:sz w:val="18"/>
              </w:rPr>
            </w:pPr>
            <w:r>
              <w:rPr>
                <w:rFonts w:hint="eastAsia"/>
                <w:sz w:val="18"/>
              </w:rPr>
              <w:t>质量分数</w:t>
            </w:r>
          </w:p>
          <w:p w14:paraId="5EB480CD">
            <w:pPr>
              <w:pStyle w:val="72"/>
              <w:adjustRightInd w:val="0"/>
              <w:snapToGrid w:val="0"/>
              <w:rPr>
                <w:sz w:val="18"/>
              </w:rPr>
            </w:pPr>
            <w:r>
              <w:rPr>
                <w:rFonts w:hint="eastAsia"/>
                <w:sz w:val="18"/>
              </w:rPr>
              <w:t>%</w:t>
            </w:r>
          </w:p>
        </w:tc>
      </w:tr>
      <w:tr w14:paraId="62EB4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8" w:space="0"/>
              <w:left w:val="single" w:color="auto" w:sz="8" w:space="0"/>
              <w:bottom w:val="single" w:color="auto" w:sz="4" w:space="0"/>
              <w:right w:val="single" w:color="auto" w:sz="4" w:space="0"/>
            </w:tcBorders>
            <w:shd w:val="clear" w:color="auto" w:fill="FFFFFF"/>
            <w:noWrap/>
            <w:vAlign w:val="center"/>
          </w:tcPr>
          <w:p w14:paraId="1066D203">
            <w:pPr>
              <w:pStyle w:val="72"/>
              <w:adjustRightInd w:val="0"/>
              <w:snapToGrid w:val="0"/>
              <w:rPr>
                <w:sz w:val="18"/>
              </w:rPr>
            </w:pPr>
            <w:r>
              <w:rPr>
                <w:rFonts w:hint="eastAsia"/>
                <w:sz w:val="18"/>
              </w:rPr>
              <w:t>钙</w:t>
            </w:r>
          </w:p>
        </w:tc>
        <w:tc>
          <w:tcPr>
            <w:tcW w:w="1249" w:type="pct"/>
            <w:tcBorders>
              <w:top w:val="single" w:color="auto" w:sz="8" w:space="0"/>
              <w:left w:val="single" w:color="auto" w:sz="4" w:space="0"/>
              <w:bottom w:val="single" w:color="auto" w:sz="4" w:space="0"/>
              <w:right w:val="single" w:color="auto" w:sz="4" w:space="0"/>
            </w:tcBorders>
            <w:shd w:val="clear" w:color="auto" w:fill="FFFFFF"/>
            <w:noWrap/>
            <w:vAlign w:val="center"/>
          </w:tcPr>
          <w:p w14:paraId="53938000">
            <w:pPr>
              <w:pStyle w:val="72"/>
              <w:adjustRightInd w:val="0"/>
              <w:snapToGrid w:val="0"/>
              <w:rPr>
                <w:sz w:val="18"/>
              </w:rPr>
            </w:pPr>
            <w:r>
              <w:rPr>
                <w:rFonts w:hint="eastAsia"/>
                <w:sz w:val="18"/>
              </w:rPr>
              <w:t xml:space="preserve">0.50 </w:t>
            </w:r>
            <w:r>
              <w:rPr>
                <w:sz w:val="18"/>
              </w:rPr>
              <w:t>~</w:t>
            </w:r>
            <w:r>
              <w:rPr>
                <w:rFonts w:hint="eastAsia"/>
                <w:sz w:val="18"/>
              </w:rPr>
              <w:t xml:space="preserve"> 6.00</w:t>
            </w:r>
          </w:p>
        </w:tc>
        <w:tc>
          <w:tcPr>
            <w:tcW w:w="1250" w:type="pct"/>
            <w:tcBorders>
              <w:top w:val="single" w:color="auto" w:sz="8" w:space="0"/>
              <w:left w:val="single" w:color="auto" w:sz="4" w:space="0"/>
              <w:bottom w:val="single" w:color="auto" w:sz="4" w:space="0"/>
              <w:right w:val="single" w:color="auto" w:sz="4" w:space="0"/>
            </w:tcBorders>
            <w:shd w:val="clear" w:color="auto" w:fill="FFFFFF"/>
            <w:vAlign w:val="center"/>
          </w:tcPr>
          <w:p w14:paraId="5CA261B4">
            <w:pPr>
              <w:pStyle w:val="72"/>
              <w:adjustRightInd w:val="0"/>
              <w:snapToGrid w:val="0"/>
              <w:rPr>
                <w:sz w:val="18"/>
              </w:rPr>
            </w:pPr>
            <w:r>
              <w:rPr>
                <w:rFonts w:hint="eastAsia"/>
                <w:sz w:val="18"/>
              </w:rPr>
              <w:t>锑</w:t>
            </w:r>
          </w:p>
        </w:tc>
        <w:tc>
          <w:tcPr>
            <w:tcW w:w="1250" w:type="pct"/>
            <w:tcBorders>
              <w:top w:val="single" w:color="auto" w:sz="8" w:space="0"/>
              <w:left w:val="single" w:color="auto" w:sz="4" w:space="0"/>
              <w:bottom w:val="single" w:color="auto" w:sz="4" w:space="0"/>
              <w:right w:val="single" w:color="auto" w:sz="8" w:space="0"/>
            </w:tcBorders>
            <w:shd w:val="clear" w:color="auto" w:fill="FFFFFF"/>
            <w:vAlign w:val="center"/>
          </w:tcPr>
          <w:p w14:paraId="5C8B3132">
            <w:pPr>
              <w:pStyle w:val="72"/>
              <w:adjustRightInd w:val="0"/>
              <w:snapToGrid w:val="0"/>
              <w:rPr>
                <w:sz w:val="18"/>
              </w:rPr>
            </w:pPr>
            <w:r>
              <w:rPr>
                <w:rFonts w:hint="eastAsia"/>
                <w:sz w:val="18"/>
              </w:rPr>
              <w:t xml:space="preserve">0.10 </w:t>
            </w:r>
            <w:r>
              <w:rPr>
                <w:sz w:val="18"/>
              </w:rPr>
              <w:t>~</w:t>
            </w:r>
            <w:r>
              <w:rPr>
                <w:rFonts w:hint="eastAsia"/>
                <w:sz w:val="18"/>
              </w:rPr>
              <w:t xml:space="preserve"> 3.50</w:t>
            </w:r>
          </w:p>
        </w:tc>
      </w:tr>
      <w:tr w14:paraId="30E8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760ADA16">
            <w:pPr>
              <w:pStyle w:val="72"/>
              <w:adjustRightInd w:val="0"/>
              <w:snapToGrid w:val="0"/>
              <w:rPr>
                <w:sz w:val="18"/>
              </w:rPr>
            </w:pPr>
            <w:r>
              <w:rPr>
                <w:rFonts w:hint="eastAsia"/>
                <w:sz w:val="18"/>
              </w:rPr>
              <w:t>镁</w:t>
            </w:r>
          </w:p>
        </w:tc>
        <w:tc>
          <w:tcPr>
            <w:tcW w:w="12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95D7DF9">
            <w:pPr>
              <w:pStyle w:val="72"/>
              <w:adjustRightInd w:val="0"/>
              <w:snapToGrid w:val="0"/>
              <w:rPr>
                <w:sz w:val="18"/>
              </w:rPr>
            </w:pPr>
            <w:r>
              <w:rPr>
                <w:rFonts w:hint="eastAsia"/>
                <w:sz w:val="18"/>
              </w:rPr>
              <w:t xml:space="preserve">0.20 </w:t>
            </w:r>
            <w:r>
              <w:rPr>
                <w:sz w:val="18"/>
              </w:rPr>
              <w:t>~</w:t>
            </w:r>
            <w:r>
              <w:rPr>
                <w:rFonts w:hint="eastAsia"/>
                <w:sz w:val="18"/>
              </w:rPr>
              <w:t xml:space="preserve"> 30.00</w:t>
            </w:r>
          </w:p>
        </w:tc>
        <w:tc>
          <w:tcPr>
            <w:tcW w:w="1250" w:type="pct"/>
            <w:tcBorders>
              <w:top w:val="single" w:color="auto" w:sz="4" w:space="0"/>
              <w:left w:val="single" w:color="auto" w:sz="4" w:space="0"/>
              <w:bottom w:val="single" w:color="auto" w:sz="4" w:space="0"/>
              <w:right w:val="single" w:color="auto" w:sz="4" w:space="0"/>
            </w:tcBorders>
            <w:shd w:val="clear" w:color="auto" w:fill="FFFFFF"/>
            <w:vAlign w:val="center"/>
          </w:tcPr>
          <w:p w14:paraId="32B6763A">
            <w:pPr>
              <w:pStyle w:val="72"/>
              <w:adjustRightInd w:val="0"/>
              <w:snapToGrid w:val="0"/>
              <w:rPr>
                <w:sz w:val="18"/>
              </w:rPr>
            </w:pPr>
            <w:r>
              <w:rPr>
                <w:rFonts w:hint="eastAsia"/>
                <w:sz w:val="18"/>
              </w:rPr>
              <w:t>铋</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1CE24E76">
            <w:pPr>
              <w:pStyle w:val="72"/>
              <w:adjustRightInd w:val="0"/>
              <w:snapToGrid w:val="0"/>
              <w:rPr>
                <w:sz w:val="18"/>
              </w:rPr>
            </w:pPr>
            <w:r>
              <w:rPr>
                <w:rFonts w:hint="eastAsia"/>
                <w:sz w:val="18"/>
              </w:rPr>
              <w:t xml:space="preserve">0.10 </w:t>
            </w:r>
            <w:r>
              <w:rPr>
                <w:sz w:val="18"/>
              </w:rPr>
              <w:t>~</w:t>
            </w:r>
            <w:r>
              <w:rPr>
                <w:rFonts w:hint="eastAsia"/>
                <w:sz w:val="18"/>
              </w:rPr>
              <w:t xml:space="preserve"> 1.00</w:t>
            </w:r>
          </w:p>
        </w:tc>
      </w:tr>
      <w:tr w14:paraId="56E30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6ECBED69">
            <w:pPr>
              <w:pStyle w:val="72"/>
              <w:adjustRightInd w:val="0"/>
              <w:snapToGrid w:val="0"/>
              <w:rPr>
                <w:sz w:val="18"/>
              </w:rPr>
            </w:pPr>
            <w:r>
              <w:rPr>
                <w:rFonts w:hint="eastAsia"/>
                <w:sz w:val="18"/>
              </w:rPr>
              <w:t>锰</w:t>
            </w:r>
          </w:p>
        </w:tc>
        <w:tc>
          <w:tcPr>
            <w:tcW w:w="12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05FB894">
            <w:pPr>
              <w:pStyle w:val="72"/>
              <w:adjustRightInd w:val="0"/>
              <w:snapToGrid w:val="0"/>
              <w:rPr>
                <w:sz w:val="18"/>
              </w:rPr>
            </w:pPr>
            <w:r>
              <w:rPr>
                <w:rFonts w:hint="eastAsia"/>
                <w:sz w:val="18"/>
              </w:rPr>
              <w:t xml:space="preserve">0.50 </w:t>
            </w:r>
            <w:r>
              <w:rPr>
                <w:sz w:val="18"/>
              </w:rPr>
              <w:t>~</w:t>
            </w:r>
            <w:r>
              <w:rPr>
                <w:rFonts w:hint="eastAsia"/>
                <w:sz w:val="18"/>
              </w:rPr>
              <w:t xml:space="preserve"> 10.00</w:t>
            </w:r>
          </w:p>
        </w:tc>
        <w:tc>
          <w:tcPr>
            <w:tcW w:w="1250" w:type="pct"/>
            <w:tcBorders>
              <w:top w:val="single" w:color="auto" w:sz="4" w:space="0"/>
              <w:left w:val="single" w:color="auto" w:sz="4" w:space="0"/>
              <w:bottom w:val="single" w:color="auto" w:sz="4" w:space="0"/>
              <w:right w:val="single" w:color="auto" w:sz="4" w:space="0"/>
            </w:tcBorders>
            <w:shd w:val="clear" w:color="auto" w:fill="FFFFFF"/>
            <w:vAlign w:val="center"/>
          </w:tcPr>
          <w:p w14:paraId="1338BABE">
            <w:pPr>
              <w:pStyle w:val="72"/>
              <w:adjustRightInd w:val="0"/>
              <w:snapToGrid w:val="0"/>
              <w:rPr>
                <w:sz w:val="18"/>
              </w:rPr>
            </w:pPr>
            <w:r>
              <w:rPr>
                <w:rFonts w:hint="eastAsia"/>
                <w:sz w:val="18"/>
              </w:rPr>
              <w:t>锶</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0260CE9D">
            <w:pPr>
              <w:pStyle w:val="72"/>
              <w:adjustRightInd w:val="0"/>
              <w:snapToGrid w:val="0"/>
              <w:rPr>
                <w:sz w:val="18"/>
              </w:rPr>
            </w:pPr>
            <w:r>
              <w:rPr>
                <w:rFonts w:hint="eastAsia"/>
                <w:sz w:val="18"/>
              </w:rPr>
              <w:t xml:space="preserve">0.10 </w:t>
            </w:r>
            <w:r>
              <w:rPr>
                <w:sz w:val="18"/>
              </w:rPr>
              <w:t>~</w:t>
            </w:r>
            <w:r>
              <w:rPr>
                <w:rFonts w:hint="eastAsia"/>
                <w:sz w:val="18"/>
              </w:rPr>
              <w:t xml:space="preserve"> 5.00</w:t>
            </w:r>
          </w:p>
        </w:tc>
      </w:tr>
      <w:tr w14:paraId="4D7F3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5F118DDE">
            <w:pPr>
              <w:pStyle w:val="72"/>
              <w:adjustRightInd w:val="0"/>
              <w:snapToGrid w:val="0"/>
              <w:rPr>
                <w:sz w:val="18"/>
              </w:rPr>
            </w:pPr>
            <w:r>
              <w:rPr>
                <w:rFonts w:hint="eastAsia"/>
                <w:sz w:val="18"/>
              </w:rPr>
              <w:t>铝</w:t>
            </w:r>
          </w:p>
        </w:tc>
        <w:tc>
          <w:tcPr>
            <w:tcW w:w="124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F7C66B3">
            <w:pPr>
              <w:pStyle w:val="72"/>
              <w:adjustRightInd w:val="0"/>
              <w:snapToGrid w:val="0"/>
              <w:rPr>
                <w:sz w:val="18"/>
              </w:rPr>
            </w:pPr>
            <w:r>
              <w:rPr>
                <w:rFonts w:hint="eastAsia"/>
                <w:sz w:val="18"/>
              </w:rPr>
              <w:t xml:space="preserve">0.30 </w:t>
            </w:r>
            <w:r>
              <w:rPr>
                <w:sz w:val="18"/>
              </w:rPr>
              <w:t>~</w:t>
            </w:r>
            <w:r>
              <w:rPr>
                <w:rFonts w:hint="eastAsia"/>
                <w:sz w:val="18"/>
              </w:rPr>
              <w:t xml:space="preserve"> 2.50</w:t>
            </w:r>
          </w:p>
        </w:tc>
        <w:tc>
          <w:tcPr>
            <w:tcW w:w="1250" w:type="pct"/>
            <w:tcBorders>
              <w:top w:val="single" w:color="auto" w:sz="4" w:space="0"/>
              <w:left w:val="single" w:color="auto" w:sz="4" w:space="0"/>
              <w:bottom w:val="single" w:color="auto" w:sz="4" w:space="0"/>
              <w:right w:val="single" w:color="auto" w:sz="4" w:space="0"/>
            </w:tcBorders>
            <w:shd w:val="clear" w:color="auto" w:fill="FFFFFF"/>
            <w:vAlign w:val="center"/>
          </w:tcPr>
          <w:p w14:paraId="227CADD5">
            <w:pPr>
              <w:pStyle w:val="72"/>
              <w:adjustRightInd w:val="0"/>
              <w:snapToGrid w:val="0"/>
              <w:rPr>
                <w:sz w:val="18"/>
              </w:rPr>
            </w:pPr>
            <w:r>
              <w:rPr>
                <w:rFonts w:hint="eastAsia"/>
                <w:sz w:val="18"/>
              </w:rPr>
              <w:t>磷</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24257ED3">
            <w:pPr>
              <w:pStyle w:val="72"/>
              <w:adjustRightInd w:val="0"/>
              <w:snapToGrid w:val="0"/>
              <w:rPr>
                <w:sz w:val="18"/>
              </w:rPr>
            </w:pPr>
            <w:r>
              <w:rPr>
                <w:rFonts w:hint="eastAsia"/>
                <w:sz w:val="18"/>
              </w:rPr>
              <w:t xml:space="preserve">0.010 </w:t>
            </w:r>
            <w:r>
              <w:rPr>
                <w:sz w:val="18"/>
              </w:rPr>
              <w:t>~</w:t>
            </w:r>
            <w:r>
              <w:rPr>
                <w:rFonts w:hint="eastAsia"/>
                <w:sz w:val="18"/>
              </w:rPr>
              <w:t xml:space="preserve"> 0.50</w:t>
            </w:r>
          </w:p>
        </w:tc>
      </w:tr>
      <w:tr w14:paraId="242E7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8" w:space="0"/>
              <w:right w:val="single" w:color="auto" w:sz="4" w:space="0"/>
            </w:tcBorders>
            <w:shd w:val="clear" w:color="auto" w:fill="FFFFFF"/>
            <w:noWrap/>
            <w:vAlign w:val="center"/>
          </w:tcPr>
          <w:p w14:paraId="23B5CEA8">
            <w:pPr>
              <w:pStyle w:val="72"/>
              <w:adjustRightInd w:val="0"/>
              <w:snapToGrid w:val="0"/>
              <w:rPr>
                <w:sz w:val="18"/>
              </w:rPr>
            </w:pPr>
            <w:r>
              <w:rPr>
                <w:rFonts w:hint="eastAsia"/>
                <w:sz w:val="18"/>
              </w:rPr>
              <w:t>钡</w:t>
            </w:r>
          </w:p>
        </w:tc>
        <w:tc>
          <w:tcPr>
            <w:tcW w:w="1249" w:type="pct"/>
            <w:tcBorders>
              <w:top w:val="single" w:color="auto" w:sz="4" w:space="0"/>
              <w:left w:val="single" w:color="auto" w:sz="4" w:space="0"/>
              <w:bottom w:val="single" w:color="auto" w:sz="8" w:space="0"/>
              <w:right w:val="single" w:color="auto" w:sz="4" w:space="0"/>
            </w:tcBorders>
            <w:shd w:val="clear" w:color="auto" w:fill="FFFFFF"/>
            <w:noWrap/>
            <w:vAlign w:val="center"/>
          </w:tcPr>
          <w:p w14:paraId="10C5CDBD">
            <w:pPr>
              <w:pStyle w:val="72"/>
              <w:adjustRightInd w:val="0"/>
              <w:snapToGrid w:val="0"/>
              <w:rPr>
                <w:sz w:val="18"/>
              </w:rPr>
            </w:pPr>
            <w:r>
              <w:rPr>
                <w:rFonts w:hint="eastAsia"/>
                <w:sz w:val="18"/>
              </w:rPr>
              <w:t xml:space="preserve">0.10 </w:t>
            </w:r>
            <w:r>
              <w:rPr>
                <w:sz w:val="18"/>
              </w:rPr>
              <w:t>~</w:t>
            </w:r>
            <w:r>
              <w:rPr>
                <w:rFonts w:hint="eastAsia"/>
                <w:sz w:val="18"/>
              </w:rPr>
              <w:t xml:space="preserve"> 10.00</w:t>
            </w:r>
          </w:p>
        </w:tc>
        <w:tc>
          <w:tcPr>
            <w:tcW w:w="1250" w:type="pct"/>
            <w:tcBorders>
              <w:top w:val="single" w:color="auto" w:sz="4" w:space="0"/>
              <w:left w:val="single" w:color="auto" w:sz="4" w:space="0"/>
              <w:bottom w:val="single" w:color="auto" w:sz="8" w:space="0"/>
              <w:right w:val="single" w:color="auto" w:sz="4" w:space="0"/>
            </w:tcBorders>
            <w:shd w:val="clear" w:color="auto" w:fill="FFFFFF"/>
            <w:vAlign w:val="center"/>
          </w:tcPr>
          <w:p w14:paraId="0F7282D0">
            <w:pPr>
              <w:pStyle w:val="72"/>
              <w:adjustRightInd w:val="0"/>
              <w:snapToGrid w:val="0"/>
              <w:rPr>
                <w:sz w:val="18"/>
              </w:rPr>
            </w:pPr>
            <w:r>
              <w:rPr>
                <w:rFonts w:hint="eastAsia"/>
                <w:sz w:val="18"/>
              </w:rPr>
              <w:t>钛</w:t>
            </w:r>
          </w:p>
        </w:tc>
        <w:tc>
          <w:tcPr>
            <w:tcW w:w="1250" w:type="pct"/>
            <w:tcBorders>
              <w:top w:val="single" w:color="auto" w:sz="4" w:space="0"/>
              <w:left w:val="single" w:color="auto" w:sz="4" w:space="0"/>
              <w:bottom w:val="single" w:color="auto" w:sz="8" w:space="0"/>
              <w:right w:val="single" w:color="auto" w:sz="8" w:space="0"/>
            </w:tcBorders>
            <w:shd w:val="clear" w:color="auto" w:fill="FFFFFF"/>
            <w:vAlign w:val="center"/>
          </w:tcPr>
          <w:p w14:paraId="37110D0D">
            <w:pPr>
              <w:pStyle w:val="72"/>
              <w:adjustRightInd w:val="0"/>
              <w:snapToGrid w:val="0"/>
              <w:rPr>
                <w:sz w:val="18"/>
              </w:rPr>
            </w:pPr>
            <w:r>
              <w:rPr>
                <w:rFonts w:hint="eastAsia"/>
                <w:sz w:val="18"/>
              </w:rPr>
              <w:t xml:space="preserve">0.10 </w:t>
            </w:r>
            <w:r>
              <w:rPr>
                <w:sz w:val="18"/>
              </w:rPr>
              <w:t>~</w:t>
            </w:r>
            <w:r>
              <w:rPr>
                <w:rFonts w:hint="eastAsia"/>
                <w:sz w:val="18"/>
              </w:rPr>
              <w:t xml:space="preserve"> 5.00</w:t>
            </w:r>
          </w:p>
        </w:tc>
      </w:tr>
    </w:tbl>
    <w:p w14:paraId="26316939">
      <w:pPr>
        <w:pStyle w:val="52"/>
        <w:numPr>
          <w:ilvl w:val="0"/>
          <w:numId w:val="4"/>
        </w:numPr>
        <w:tabs>
          <w:tab w:val="left" w:pos="6256"/>
        </w:tabs>
        <w:snapToGrid w:val="0"/>
        <w:spacing w:before="312" w:beforeLines="100" w:after="312" w:afterLines="100"/>
        <w:ind w:firstLineChars="0"/>
        <w:outlineLvl w:val="1"/>
        <w:rPr>
          <w:rFonts w:eastAsia="黑体"/>
          <w:szCs w:val="21"/>
        </w:rPr>
      </w:pPr>
      <w:r>
        <w:rPr>
          <w:rFonts w:eastAsia="黑体"/>
          <w:szCs w:val="21"/>
        </w:rPr>
        <w:t xml:space="preserve"> 规范性引用文件</w:t>
      </w:r>
    </w:p>
    <w:p w14:paraId="509E685A">
      <w:pPr>
        <w:autoSpaceDE w:val="0"/>
        <w:autoSpaceDN w:val="0"/>
        <w:adjustRightInd w:val="0"/>
        <w:snapToGrid w:val="0"/>
        <w:spacing w:line="240" w:lineRule="auto"/>
        <w:ind w:firstLine="420"/>
        <w:rPr>
          <w:szCs w:val="20"/>
        </w:rPr>
      </w:pPr>
      <w:bookmarkStart w:id="1" w:name="_Hlk85015211"/>
      <w:r>
        <w:rPr>
          <w:szCs w:val="20"/>
        </w:rPr>
        <w:t>下列文件中的内容通过文中的规范性引用而构成本文件必不可少的条款。其中</w:t>
      </w:r>
      <w:r>
        <w:rPr>
          <w:rFonts w:hint="eastAsia"/>
          <w:szCs w:val="20"/>
        </w:rPr>
        <w:t>，</w:t>
      </w:r>
      <w:r>
        <w:rPr>
          <w:szCs w:val="20"/>
        </w:rPr>
        <w:t>注日期的引用文件，仅该日期对应的版本适用于本文件；不注日期的引用文件，其最新版本（包括所有的修改单）适用于本文件。</w:t>
      </w:r>
    </w:p>
    <w:p w14:paraId="68162AD2">
      <w:pPr>
        <w:autoSpaceDE w:val="0"/>
        <w:autoSpaceDN w:val="0"/>
        <w:adjustRightInd w:val="0"/>
        <w:snapToGrid w:val="0"/>
        <w:spacing w:line="240" w:lineRule="auto"/>
        <w:ind w:firstLine="420"/>
        <w:rPr>
          <w:szCs w:val="20"/>
        </w:rPr>
      </w:pPr>
      <w:r>
        <w:rPr>
          <w:rFonts w:hint="eastAsia"/>
          <w:szCs w:val="21"/>
        </w:rPr>
        <w:t>G</w:t>
      </w:r>
      <w:r>
        <w:rPr>
          <w:szCs w:val="21"/>
        </w:rPr>
        <w:t>B/T 601</w:t>
      </w:r>
      <w:r>
        <w:rPr>
          <w:rFonts w:hint="eastAsia"/>
          <w:szCs w:val="21"/>
        </w:rPr>
        <w:t xml:space="preserve">  化学试剂 标准滴定溶液的制备</w:t>
      </w:r>
    </w:p>
    <w:p w14:paraId="3575AA3C">
      <w:pPr>
        <w:autoSpaceDE w:val="0"/>
        <w:autoSpaceDN w:val="0"/>
        <w:adjustRightInd w:val="0"/>
        <w:snapToGrid w:val="0"/>
        <w:spacing w:line="240" w:lineRule="auto"/>
        <w:ind w:firstLine="420"/>
        <w:rPr>
          <w:szCs w:val="20"/>
        </w:rPr>
      </w:pPr>
      <w:r>
        <w:rPr>
          <w:szCs w:val="20"/>
        </w:rPr>
        <w:t>GB/T 6379.2</w:t>
      </w:r>
      <w:r>
        <w:rPr>
          <w:rFonts w:hint="eastAsia"/>
          <w:szCs w:val="20"/>
        </w:rPr>
        <w:t xml:space="preserve">  </w:t>
      </w:r>
      <w:r>
        <w:rPr>
          <w:szCs w:val="20"/>
        </w:rPr>
        <w:t>测量方法与结果的准确度（正确度与精密度） 第2部分：确定标准测量方法重复性与再现性的基本方法</w:t>
      </w:r>
    </w:p>
    <w:p w14:paraId="7E108181">
      <w:pPr>
        <w:autoSpaceDE w:val="0"/>
        <w:autoSpaceDN w:val="0"/>
        <w:adjustRightInd w:val="0"/>
        <w:snapToGrid w:val="0"/>
        <w:spacing w:line="240" w:lineRule="auto"/>
        <w:ind w:firstLine="420"/>
        <w:rPr>
          <w:szCs w:val="20"/>
        </w:rPr>
      </w:pPr>
      <w:r>
        <w:rPr>
          <w:szCs w:val="20"/>
        </w:rPr>
        <w:t>GB/T 6682</w:t>
      </w:r>
      <w:r>
        <w:rPr>
          <w:rFonts w:hint="eastAsia"/>
          <w:szCs w:val="20"/>
        </w:rPr>
        <w:t xml:space="preserve">  </w:t>
      </w:r>
      <w:r>
        <w:rPr>
          <w:szCs w:val="20"/>
        </w:rPr>
        <w:t>分析实验室用水规格和试验方法</w:t>
      </w:r>
    </w:p>
    <w:p w14:paraId="5A453D87">
      <w:pPr>
        <w:autoSpaceDE w:val="0"/>
        <w:autoSpaceDN w:val="0"/>
        <w:adjustRightInd w:val="0"/>
        <w:snapToGrid w:val="0"/>
        <w:spacing w:line="240" w:lineRule="auto"/>
        <w:ind w:firstLine="420"/>
        <w:rPr>
          <w:szCs w:val="20"/>
        </w:rPr>
      </w:pPr>
      <w:r>
        <w:rPr>
          <w:szCs w:val="20"/>
        </w:rPr>
        <w:t>GB/T 8170</w:t>
      </w:r>
      <w:r>
        <w:rPr>
          <w:rFonts w:hint="eastAsia"/>
          <w:szCs w:val="20"/>
        </w:rPr>
        <w:t xml:space="preserve">  </w:t>
      </w:r>
      <w:r>
        <w:rPr>
          <w:szCs w:val="20"/>
        </w:rPr>
        <w:t>数值修约规则与极限数值的表示和判定</w:t>
      </w:r>
    </w:p>
    <w:p w14:paraId="2D565410">
      <w:pPr>
        <w:snapToGrid w:val="0"/>
        <w:spacing w:line="240" w:lineRule="auto"/>
        <w:ind w:firstLine="420"/>
        <w:rPr>
          <w:szCs w:val="20"/>
        </w:rPr>
      </w:pPr>
      <w:r>
        <w:rPr>
          <w:rFonts w:hint="eastAsia"/>
          <w:bCs/>
          <w:szCs w:val="21"/>
        </w:rPr>
        <w:t>JJG 768   发射光谱仪</w:t>
      </w:r>
    </w:p>
    <w:bookmarkEnd w:id="1"/>
    <w:p w14:paraId="63E3B27E">
      <w:pPr>
        <w:pStyle w:val="52"/>
        <w:numPr>
          <w:ilvl w:val="0"/>
          <w:numId w:val="4"/>
        </w:numPr>
        <w:tabs>
          <w:tab w:val="left" w:pos="6256"/>
        </w:tabs>
        <w:snapToGrid w:val="0"/>
        <w:spacing w:before="312" w:beforeLines="100" w:after="312" w:afterLines="100"/>
        <w:ind w:firstLineChars="0"/>
        <w:outlineLvl w:val="1"/>
        <w:rPr>
          <w:rFonts w:eastAsia="黑体"/>
          <w:szCs w:val="21"/>
        </w:rPr>
      </w:pPr>
      <w:r>
        <w:rPr>
          <w:rFonts w:eastAsia="黑体"/>
          <w:szCs w:val="21"/>
        </w:rPr>
        <w:t xml:space="preserve"> 术语和定义</w:t>
      </w:r>
    </w:p>
    <w:p w14:paraId="31436CF5">
      <w:pPr>
        <w:autoSpaceDE w:val="0"/>
        <w:autoSpaceDN w:val="0"/>
        <w:adjustRightInd w:val="0"/>
        <w:snapToGrid w:val="0"/>
        <w:ind w:firstLine="420"/>
        <w:rPr>
          <w:szCs w:val="20"/>
        </w:rPr>
      </w:pPr>
      <w:bookmarkStart w:id="2" w:name="_Hlk85015248"/>
      <w:r>
        <w:rPr>
          <w:rFonts w:hint="eastAsia"/>
          <w:szCs w:val="20"/>
        </w:rPr>
        <w:t>本文件中没有需要界定的术语和定义。</w:t>
      </w:r>
    </w:p>
    <w:bookmarkEnd w:id="2"/>
    <w:p w14:paraId="02B7BD0A">
      <w:pPr>
        <w:pStyle w:val="52"/>
        <w:numPr>
          <w:ilvl w:val="0"/>
          <w:numId w:val="4"/>
        </w:numPr>
        <w:tabs>
          <w:tab w:val="left" w:pos="6256"/>
        </w:tabs>
        <w:snapToGrid w:val="0"/>
        <w:spacing w:before="312" w:beforeLines="100" w:after="312" w:afterLines="100"/>
        <w:ind w:firstLineChars="0"/>
        <w:outlineLvl w:val="1"/>
        <w:rPr>
          <w:rFonts w:eastAsia="黑体"/>
          <w:szCs w:val="21"/>
        </w:rPr>
      </w:pPr>
      <w:r>
        <w:rPr>
          <w:rFonts w:hint="eastAsia" w:eastAsia="黑体"/>
          <w:szCs w:val="21"/>
        </w:rPr>
        <w:t xml:space="preserve"> 电感耦合等离子体发射光谱法（方法1）</w:t>
      </w:r>
    </w:p>
    <w:p w14:paraId="5DDBC76D">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 xml:space="preserve">4.1 </w:t>
      </w:r>
      <w:bookmarkStart w:id="3" w:name="_Hlk85015276"/>
      <w:r>
        <w:rPr>
          <w:rFonts w:hint="eastAsia" w:ascii="黑体" w:hAnsi="黑体" w:eastAsia="黑体" w:cs="黑体"/>
          <w:szCs w:val="21"/>
        </w:rPr>
        <w:t>方法提要</w:t>
      </w:r>
    </w:p>
    <w:p w14:paraId="537E938A">
      <w:pPr>
        <w:autoSpaceDE w:val="0"/>
        <w:autoSpaceDN w:val="0"/>
        <w:adjustRightInd w:val="0"/>
        <w:snapToGrid w:val="0"/>
        <w:ind w:firstLine="420"/>
        <w:rPr>
          <w:szCs w:val="20"/>
        </w:rPr>
      </w:pPr>
      <w:r>
        <w:rPr>
          <w:rFonts w:hint="eastAsia"/>
          <w:szCs w:val="20"/>
        </w:rPr>
        <w:t>试料经硝酸和氢氟酸分解，高氯酸冒烟驱尽氟，在盐酸介质中用电感耦合等离子体发射光谱仪在选定波长处测定钙、镁、锰、铝、钡、锑、铋、锶、磷和钛含量。</w:t>
      </w:r>
    </w:p>
    <w:p w14:paraId="39EEF80A">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4.2 试剂或材料</w:t>
      </w:r>
    </w:p>
    <w:p w14:paraId="1FAE687C">
      <w:pPr>
        <w:autoSpaceDE w:val="0"/>
        <w:autoSpaceDN w:val="0"/>
        <w:adjustRightInd w:val="0"/>
        <w:snapToGrid w:val="0"/>
        <w:ind w:firstLine="420"/>
        <w:rPr>
          <w:szCs w:val="20"/>
        </w:rPr>
      </w:pPr>
      <w:r>
        <w:rPr>
          <w:rFonts w:hint="eastAsia"/>
          <w:szCs w:val="20"/>
        </w:rPr>
        <w:t>除非另有说明，在分析中仅使用确认为分析纯及以上试剂和符合GB/T 6682规定的二级及以上蒸馏水或去离子水或纯度相当的水。液体试剂均保存于塑料瓶中，优先使用有证标准溶液</w:t>
      </w:r>
      <w:r>
        <w:rPr>
          <w:szCs w:val="20"/>
        </w:rPr>
        <w:t>。</w:t>
      </w:r>
    </w:p>
    <w:p w14:paraId="00EB1027">
      <w:pPr>
        <w:autoSpaceDE w:val="0"/>
        <w:autoSpaceDN w:val="0"/>
        <w:adjustRightInd w:val="0"/>
        <w:snapToGrid w:val="0"/>
        <w:rPr>
          <w:szCs w:val="20"/>
        </w:rPr>
      </w:pPr>
      <w:r>
        <w:rPr>
          <w:rFonts w:hint="eastAsia" w:ascii="黑体" w:hAnsi="黑体" w:eastAsia="黑体" w:cs="黑体"/>
          <w:szCs w:val="20"/>
        </w:rPr>
        <w:t>4.2.1</w:t>
      </w:r>
      <w:r>
        <w:rPr>
          <w:szCs w:val="20"/>
        </w:rPr>
        <w:t xml:space="preserve"> 盐酸（</w:t>
      </w:r>
      <w:r>
        <w:rPr>
          <w:i/>
          <w:iCs/>
          <w:szCs w:val="21"/>
        </w:rPr>
        <w:t>ρ</w:t>
      </w:r>
      <w:r>
        <w:rPr>
          <w:szCs w:val="20"/>
        </w:rPr>
        <w:t>=1.19 g/mL）。</w:t>
      </w:r>
    </w:p>
    <w:p w14:paraId="54D756FF">
      <w:pPr>
        <w:autoSpaceDE w:val="0"/>
        <w:autoSpaceDN w:val="0"/>
        <w:adjustRightInd w:val="0"/>
        <w:snapToGrid w:val="0"/>
        <w:rPr>
          <w:szCs w:val="20"/>
        </w:rPr>
      </w:pPr>
      <w:r>
        <w:rPr>
          <w:rFonts w:hint="eastAsia" w:ascii="黑体" w:hAnsi="黑体" w:eastAsia="黑体" w:cs="黑体"/>
          <w:szCs w:val="20"/>
        </w:rPr>
        <w:t>4.2.2</w:t>
      </w:r>
      <w:r>
        <w:rPr>
          <w:szCs w:val="20"/>
        </w:rPr>
        <w:t xml:space="preserve"> </w:t>
      </w:r>
      <w:r>
        <w:rPr>
          <w:rFonts w:hint="eastAsia"/>
          <w:szCs w:val="20"/>
        </w:rPr>
        <w:t>硝酸（</w:t>
      </w:r>
      <w:r>
        <w:rPr>
          <w:i/>
          <w:iCs/>
          <w:szCs w:val="21"/>
        </w:rPr>
        <w:t>ρ</w:t>
      </w:r>
      <w:r>
        <w:rPr>
          <w:rFonts w:hint="eastAsia"/>
          <w:szCs w:val="20"/>
        </w:rPr>
        <w:t>=1.42 g/mL）。</w:t>
      </w:r>
    </w:p>
    <w:p w14:paraId="643162A1">
      <w:pPr>
        <w:autoSpaceDE w:val="0"/>
        <w:autoSpaceDN w:val="0"/>
        <w:adjustRightInd w:val="0"/>
        <w:snapToGrid w:val="0"/>
        <w:rPr>
          <w:szCs w:val="20"/>
        </w:rPr>
      </w:pPr>
      <w:r>
        <w:rPr>
          <w:rFonts w:hint="eastAsia" w:ascii="黑体" w:hAnsi="黑体" w:eastAsia="黑体" w:cs="黑体"/>
          <w:szCs w:val="20"/>
        </w:rPr>
        <w:t>4.2.3</w:t>
      </w:r>
      <w:r>
        <w:rPr>
          <w:szCs w:val="20"/>
        </w:rPr>
        <w:t xml:space="preserve"> </w:t>
      </w:r>
      <w:r>
        <w:rPr>
          <w:rFonts w:hint="eastAsia"/>
          <w:szCs w:val="20"/>
        </w:rPr>
        <w:t>氢氟酸（</w:t>
      </w:r>
      <w:r>
        <w:rPr>
          <w:i/>
          <w:iCs/>
          <w:szCs w:val="21"/>
        </w:rPr>
        <w:t>ρ</w:t>
      </w:r>
      <w:r>
        <w:rPr>
          <w:rFonts w:hint="eastAsia"/>
          <w:szCs w:val="20"/>
        </w:rPr>
        <w:t>=1.15 g/mL）</w:t>
      </w:r>
      <w:r>
        <w:rPr>
          <w:szCs w:val="20"/>
        </w:rPr>
        <w:t>。</w:t>
      </w:r>
    </w:p>
    <w:p w14:paraId="55A1B8AB">
      <w:pPr>
        <w:autoSpaceDE w:val="0"/>
        <w:autoSpaceDN w:val="0"/>
        <w:adjustRightInd w:val="0"/>
        <w:snapToGrid w:val="0"/>
        <w:rPr>
          <w:szCs w:val="20"/>
        </w:rPr>
      </w:pPr>
      <w:r>
        <w:rPr>
          <w:rFonts w:hint="eastAsia" w:ascii="黑体" w:hAnsi="黑体" w:eastAsia="黑体" w:cs="黑体"/>
          <w:szCs w:val="20"/>
        </w:rPr>
        <w:t>4.2.4</w:t>
      </w:r>
      <w:r>
        <w:rPr>
          <w:szCs w:val="20"/>
        </w:rPr>
        <w:t xml:space="preserve"> </w:t>
      </w:r>
      <w:r>
        <w:rPr>
          <w:rFonts w:hint="eastAsia"/>
          <w:szCs w:val="20"/>
        </w:rPr>
        <w:t>高氯酸（</w:t>
      </w:r>
      <w:r>
        <w:rPr>
          <w:i/>
          <w:iCs/>
          <w:szCs w:val="21"/>
        </w:rPr>
        <w:t>ρ</w:t>
      </w:r>
      <w:r>
        <w:rPr>
          <w:rFonts w:hint="eastAsia"/>
          <w:szCs w:val="20"/>
        </w:rPr>
        <w:t>=1.66 g/mL）。</w:t>
      </w:r>
    </w:p>
    <w:p w14:paraId="1646A3CD">
      <w:pPr>
        <w:autoSpaceDE w:val="0"/>
        <w:autoSpaceDN w:val="0"/>
        <w:adjustRightInd w:val="0"/>
        <w:snapToGrid w:val="0"/>
        <w:rPr>
          <w:szCs w:val="20"/>
        </w:rPr>
      </w:pPr>
      <w:r>
        <w:rPr>
          <w:rFonts w:hint="eastAsia" w:ascii="黑体" w:hAnsi="黑体" w:eastAsia="黑体" w:cs="黑体"/>
          <w:szCs w:val="20"/>
        </w:rPr>
        <w:t>4.2.5</w:t>
      </w:r>
      <w:r>
        <w:rPr>
          <w:rFonts w:hint="eastAsia"/>
          <w:szCs w:val="20"/>
        </w:rPr>
        <w:t xml:space="preserve"> 盐酸（1+1）。</w:t>
      </w:r>
    </w:p>
    <w:p w14:paraId="2F06B395">
      <w:pPr>
        <w:autoSpaceDE w:val="0"/>
        <w:autoSpaceDN w:val="0"/>
        <w:adjustRightInd w:val="0"/>
        <w:snapToGrid w:val="0"/>
        <w:rPr>
          <w:szCs w:val="20"/>
        </w:rPr>
      </w:pPr>
      <w:r>
        <w:rPr>
          <w:rFonts w:hint="eastAsia" w:ascii="黑体" w:hAnsi="黑体" w:eastAsia="黑体" w:cs="黑体"/>
          <w:szCs w:val="20"/>
        </w:rPr>
        <w:t>4.2.6</w:t>
      </w:r>
      <w:r>
        <w:rPr>
          <w:rFonts w:hint="eastAsia"/>
          <w:szCs w:val="20"/>
        </w:rPr>
        <w:t xml:space="preserve"> 硝酸（1+1）。</w:t>
      </w:r>
    </w:p>
    <w:p w14:paraId="2F24393D">
      <w:pPr>
        <w:autoSpaceDE w:val="0"/>
        <w:autoSpaceDN w:val="0"/>
        <w:adjustRightInd w:val="0"/>
        <w:snapToGrid w:val="0"/>
        <w:rPr>
          <w:szCs w:val="20"/>
        </w:rPr>
      </w:pPr>
      <w:r>
        <w:rPr>
          <w:rFonts w:hint="eastAsia" w:ascii="黑体" w:hAnsi="黑体" w:eastAsia="黑体" w:cs="黑体"/>
          <w:szCs w:val="20"/>
        </w:rPr>
        <w:t>4.2.7</w:t>
      </w:r>
      <w:r>
        <w:rPr>
          <w:rFonts w:hint="eastAsia"/>
          <w:szCs w:val="20"/>
        </w:rPr>
        <w:t xml:space="preserve"> 硫酸（1+1）。</w:t>
      </w:r>
    </w:p>
    <w:p w14:paraId="1BB4B866">
      <w:pPr>
        <w:autoSpaceDE w:val="0"/>
        <w:autoSpaceDN w:val="0"/>
        <w:adjustRightInd w:val="0"/>
        <w:snapToGrid w:val="0"/>
        <w:rPr>
          <w:szCs w:val="20"/>
        </w:rPr>
      </w:pPr>
      <w:r>
        <w:rPr>
          <w:rFonts w:hint="eastAsia" w:ascii="黑体" w:hAnsi="黑体" w:eastAsia="黑体" w:cs="黑体"/>
          <w:szCs w:val="20"/>
        </w:rPr>
        <w:t>4.2.8</w:t>
      </w:r>
      <w:r>
        <w:rPr>
          <w:rFonts w:hint="eastAsia"/>
          <w:szCs w:val="20"/>
        </w:rPr>
        <w:t xml:space="preserve"> 硫酸（1+9）。</w:t>
      </w:r>
    </w:p>
    <w:p w14:paraId="7F12CF5B">
      <w:pPr>
        <w:autoSpaceDE w:val="0"/>
        <w:autoSpaceDN w:val="0"/>
        <w:adjustRightInd w:val="0"/>
        <w:snapToGrid w:val="0"/>
        <w:rPr>
          <w:szCs w:val="20"/>
        </w:rPr>
      </w:pPr>
      <w:r>
        <w:rPr>
          <w:rFonts w:hint="eastAsia" w:ascii="黑体" w:hAnsi="黑体" w:eastAsia="黑体" w:cs="黑体"/>
          <w:szCs w:val="20"/>
        </w:rPr>
        <w:t>4.2.9</w:t>
      </w:r>
      <w:r>
        <w:rPr>
          <w:szCs w:val="20"/>
        </w:rPr>
        <w:t xml:space="preserve"> </w:t>
      </w:r>
      <w:r>
        <w:rPr>
          <w:rFonts w:hint="eastAsia"/>
          <w:szCs w:val="20"/>
        </w:rPr>
        <w:t>钙标准贮存溶液：称取0.139 9 g经850 ℃灼烧0.5 h并在干燥器中冷却至室温的氧化钙（</w:t>
      </w:r>
      <w:r>
        <w:rPr>
          <w:rFonts w:hint="eastAsia"/>
          <w:i/>
          <w:szCs w:val="20"/>
        </w:rPr>
        <w:t>w</w:t>
      </w:r>
      <w:r>
        <w:rPr>
          <w:rFonts w:hint="eastAsia"/>
          <w:szCs w:val="20"/>
        </w:rPr>
        <w:t>≥99.99%），置于150 mL烧杯中，加入少量水润湿，加入10 mL盐酸（4.2.5）溶解，冷却至室温，移入100 mL容量瓶中，用水稀释至刻度，混匀。此溶液1 mL含1 mg钙。</w:t>
      </w:r>
    </w:p>
    <w:p w14:paraId="0FA9E001">
      <w:pPr>
        <w:autoSpaceDE w:val="0"/>
        <w:autoSpaceDN w:val="0"/>
        <w:adjustRightInd w:val="0"/>
        <w:snapToGrid w:val="0"/>
        <w:rPr>
          <w:szCs w:val="20"/>
        </w:rPr>
      </w:pPr>
      <w:r>
        <w:rPr>
          <w:rFonts w:hint="eastAsia" w:ascii="黑体" w:hAnsi="黑体" w:eastAsia="黑体" w:cs="黑体"/>
          <w:szCs w:val="20"/>
        </w:rPr>
        <w:t>4.2.10</w:t>
      </w:r>
      <w:r>
        <w:rPr>
          <w:szCs w:val="20"/>
        </w:rPr>
        <w:t xml:space="preserve"> </w:t>
      </w:r>
      <w:r>
        <w:rPr>
          <w:rFonts w:hint="eastAsia"/>
          <w:szCs w:val="20"/>
        </w:rPr>
        <w:t>镁标准贮存溶液：称取0.165 8 g经850 ℃灼烧0.5 h并在干燥器中冷却至室温的氧化镁（</w:t>
      </w:r>
      <w:r>
        <w:rPr>
          <w:rFonts w:hint="eastAsia"/>
          <w:i/>
          <w:szCs w:val="20"/>
        </w:rPr>
        <w:t>w</w:t>
      </w:r>
      <w:r>
        <w:rPr>
          <w:rFonts w:hint="eastAsia"/>
          <w:szCs w:val="20"/>
        </w:rPr>
        <w:t>≥99.99%），置于150 mL烧杯中，加入少量水润湿，加入10 mL盐酸（4.2.5）溶解，冷却至室温，移入100 mL容量瓶中，用水稀释至刻度，混匀。此溶液1 mL含1 mg镁。</w:t>
      </w:r>
    </w:p>
    <w:p w14:paraId="03034947">
      <w:pPr>
        <w:autoSpaceDE w:val="0"/>
        <w:autoSpaceDN w:val="0"/>
        <w:adjustRightInd w:val="0"/>
        <w:snapToGrid w:val="0"/>
        <w:rPr>
          <w:szCs w:val="20"/>
        </w:rPr>
      </w:pPr>
      <w:r>
        <w:rPr>
          <w:rFonts w:hint="eastAsia" w:ascii="黑体" w:hAnsi="黑体" w:eastAsia="黑体" w:cs="黑体"/>
          <w:szCs w:val="20"/>
        </w:rPr>
        <w:t>4.2.11</w:t>
      </w:r>
      <w:r>
        <w:rPr>
          <w:szCs w:val="20"/>
        </w:rPr>
        <w:t xml:space="preserve"> </w:t>
      </w:r>
      <w:r>
        <w:rPr>
          <w:rFonts w:hint="eastAsia"/>
          <w:szCs w:val="20"/>
        </w:rPr>
        <w:t>锰标准贮存溶液：称取0.158 2 g在105 ℃烘1 h并在干燥器中冷却至室温的二氧化锰（</w:t>
      </w:r>
      <w:r>
        <w:rPr>
          <w:rFonts w:hint="eastAsia"/>
          <w:i/>
          <w:szCs w:val="20"/>
        </w:rPr>
        <w:t>w</w:t>
      </w:r>
      <w:r>
        <w:rPr>
          <w:rFonts w:hint="eastAsia"/>
          <w:szCs w:val="20"/>
        </w:rPr>
        <w:t>≥99.99%），置于150 mL烧杯中，加入少量水润湿，加入10 mL盐酸（4.2.5），5 mL硝酸（4.2.6）加热使之溶解完全后，冷却至室温，移入100 mL容量瓶中，用水稀释至刻度，混匀。此溶液1 mL含1 mg锰。</w:t>
      </w:r>
    </w:p>
    <w:p w14:paraId="301EE423">
      <w:pPr>
        <w:autoSpaceDE w:val="0"/>
        <w:autoSpaceDN w:val="0"/>
        <w:adjustRightInd w:val="0"/>
        <w:snapToGrid w:val="0"/>
        <w:rPr>
          <w:szCs w:val="20"/>
        </w:rPr>
      </w:pPr>
      <w:r>
        <w:rPr>
          <w:rFonts w:hint="eastAsia" w:ascii="黑体" w:hAnsi="黑体" w:eastAsia="黑体" w:cs="黑体"/>
          <w:szCs w:val="20"/>
        </w:rPr>
        <w:t>4.2.12</w:t>
      </w:r>
      <w:r>
        <w:rPr>
          <w:szCs w:val="20"/>
        </w:rPr>
        <w:t xml:space="preserve"> </w:t>
      </w:r>
      <w:r>
        <w:rPr>
          <w:rFonts w:hint="eastAsia"/>
          <w:szCs w:val="20"/>
        </w:rPr>
        <w:t>铝标准贮存溶液：称取0.100 0 g金属铝（</w:t>
      </w:r>
      <w:r>
        <w:rPr>
          <w:rFonts w:hint="eastAsia"/>
          <w:i/>
          <w:szCs w:val="20"/>
        </w:rPr>
        <w:t>w</w:t>
      </w:r>
      <w:r>
        <w:rPr>
          <w:rFonts w:hint="eastAsia"/>
          <w:szCs w:val="20"/>
        </w:rPr>
        <w:t>≥99.95%）于150 mL聚四氟乙烯烧杯中，加入10 mL盐酸（4.2.5），低温加热溶解，冷却至室温，移入100 mL容量瓶中，用水稀释至刻度，混匀。此溶液1 mL含1 mg铝。</w:t>
      </w:r>
    </w:p>
    <w:p w14:paraId="2C22E72A">
      <w:pPr>
        <w:autoSpaceDE w:val="0"/>
        <w:autoSpaceDN w:val="0"/>
        <w:adjustRightInd w:val="0"/>
        <w:snapToGrid w:val="0"/>
        <w:rPr>
          <w:szCs w:val="20"/>
        </w:rPr>
      </w:pPr>
      <w:r>
        <w:rPr>
          <w:rFonts w:hint="eastAsia" w:ascii="黑体" w:hAnsi="黑体" w:eastAsia="黑体" w:cs="黑体"/>
          <w:szCs w:val="20"/>
        </w:rPr>
        <w:t>4.2.13</w:t>
      </w:r>
      <w:r>
        <w:rPr>
          <w:szCs w:val="20"/>
        </w:rPr>
        <w:t xml:space="preserve"> </w:t>
      </w:r>
      <w:r>
        <w:rPr>
          <w:rFonts w:hint="eastAsia"/>
          <w:szCs w:val="20"/>
        </w:rPr>
        <w:t>钡标准贮存溶液：称取0.143 7 g在105 ℃烘1 h并在干燥器中冷却至室温的基准碳酸钡，置于150 mL烧杯中，加入10 mL盐酸（4.2.5）溶解，低温加热煮沸驱尽二氧化碳，冷却至室温，移入100 mL容量瓶中，用水稀释至刻度，混匀。此溶液1 mL含1 mg钡。</w:t>
      </w:r>
    </w:p>
    <w:p w14:paraId="520AF592">
      <w:pPr>
        <w:autoSpaceDE w:val="0"/>
        <w:autoSpaceDN w:val="0"/>
        <w:adjustRightInd w:val="0"/>
        <w:snapToGrid w:val="0"/>
        <w:rPr>
          <w:szCs w:val="20"/>
        </w:rPr>
      </w:pPr>
      <w:r>
        <w:rPr>
          <w:rFonts w:hint="eastAsia" w:ascii="黑体" w:hAnsi="黑体" w:eastAsia="黑体" w:cs="黑体"/>
          <w:szCs w:val="20"/>
        </w:rPr>
        <w:t>4.2.14</w:t>
      </w:r>
      <w:r>
        <w:rPr>
          <w:szCs w:val="20"/>
        </w:rPr>
        <w:t xml:space="preserve"> </w:t>
      </w:r>
      <w:r>
        <w:rPr>
          <w:rFonts w:hint="eastAsia"/>
          <w:szCs w:val="20"/>
        </w:rPr>
        <w:t>锑标准贮存溶液：称取0.</w:t>
      </w:r>
      <w:r>
        <w:rPr>
          <w:szCs w:val="20"/>
        </w:rPr>
        <w:t>1000</w:t>
      </w:r>
      <w:r>
        <w:rPr>
          <w:rFonts w:hint="eastAsia"/>
          <w:szCs w:val="20"/>
        </w:rPr>
        <w:t xml:space="preserve"> g金属锑（</w:t>
      </w:r>
      <w:r>
        <w:rPr>
          <w:rFonts w:hint="eastAsia"/>
          <w:i/>
          <w:szCs w:val="20"/>
        </w:rPr>
        <w:t>w</w:t>
      </w:r>
      <w:r>
        <w:rPr>
          <w:rFonts w:hint="eastAsia"/>
          <w:szCs w:val="20"/>
        </w:rPr>
        <w:t>≥99.99%）于150 mL烧杯中，加少量水湿润，加入10 mL盐酸（4.2.5），5 mL硝酸（4.2.6）加热使之溶解完全后，冷却至室温，移入100 mL容量瓶中，用水稀释至刻度，混匀，此溶液1 mL含1 mg锑。</w:t>
      </w:r>
    </w:p>
    <w:p w14:paraId="097BCE8A">
      <w:pPr>
        <w:autoSpaceDE w:val="0"/>
        <w:autoSpaceDN w:val="0"/>
        <w:adjustRightInd w:val="0"/>
        <w:snapToGrid w:val="0"/>
        <w:rPr>
          <w:szCs w:val="20"/>
        </w:rPr>
      </w:pPr>
      <w:r>
        <w:rPr>
          <w:rFonts w:hint="eastAsia" w:ascii="黑体" w:hAnsi="黑体" w:eastAsia="黑体" w:cs="黑体"/>
          <w:szCs w:val="20"/>
        </w:rPr>
        <w:t xml:space="preserve">4.2.15 </w:t>
      </w:r>
      <w:r>
        <w:rPr>
          <w:rFonts w:hint="eastAsia"/>
          <w:szCs w:val="20"/>
        </w:rPr>
        <w:t>铋标准贮存溶液：称取0.100 0 g金属铋（</w:t>
      </w:r>
      <w:r>
        <w:rPr>
          <w:rFonts w:hint="eastAsia"/>
          <w:i/>
          <w:szCs w:val="20"/>
        </w:rPr>
        <w:t>w</w:t>
      </w:r>
      <w:r>
        <w:rPr>
          <w:rFonts w:hint="eastAsia"/>
          <w:szCs w:val="20"/>
        </w:rPr>
        <w:t>≥99.99%）于150 mL烧杯中，加入10 mL硝酸（4.2.6）加热溶解，移入100 mL容量瓶中，用水稀释至刻度，混匀。此溶液1 mL含1 mg铋。</w:t>
      </w:r>
    </w:p>
    <w:p w14:paraId="6DAF3835">
      <w:pPr>
        <w:autoSpaceDE w:val="0"/>
        <w:autoSpaceDN w:val="0"/>
        <w:adjustRightInd w:val="0"/>
        <w:snapToGrid w:val="0"/>
        <w:rPr>
          <w:szCs w:val="20"/>
        </w:rPr>
      </w:pPr>
      <w:r>
        <w:rPr>
          <w:rFonts w:hint="eastAsia" w:ascii="黑体" w:hAnsi="黑体" w:eastAsia="黑体" w:cs="黑体"/>
          <w:szCs w:val="20"/>
        </w:rPr>
        <w:t>4.2.16</w:t>
      </w:r>
      <w:r>
        <w:rPr>
          <w:szCs w:val="20"/>
        </w:rPr>
        <w:t xml:space="preserve"> </w:t>
      </w:r>
      <w:r>
        <w:rPr>
          <w:rFonts w:hint="eastAsia"/>
          <w:szCs w:val="20"/>
        </w:rPr>
        <w:t>锶标准贮存溶液：称取0.168 5 g在105 ℃烘1 h并在干燥器中冷却至室温的基准碳酸锶（</w:t>
      </w:r>
      <w:r>
        <w:rPr>
          <w:rFonts w:hint="eastAsia"/>
          <w:i/>
          <w:szCs w:val="20"/>
        </w:rPr>
        <w:t>w</w:t>
      </w:r>
      <w:r>
        <w:rPr>
          <w:rFonts w:hint="eastAsia"/>
          <w:szCs w:val="20"/>
        </w:rPr>
        <w:t>≥99.99%）置于150 mL烧杯中，加入少量水溶解，缓慢滴加盐酸（4.2.1）至碳酸锶完全溶解，加热煮沸后取下冷却，移入100 mL容量瓶中，加入5 mL盐酸（4.2.5），用水稀释至刻度，混匀。此溶液1 mL含1 mg锶。</w:t>
      </w:r>
    </w:p>
    <w:p w14:paraId="760C2C4E">
      <w:pPr>
        <w:autoSpaceDE w:val="0"/>
        <w:autoSpaceDN w:val="0"/>
        <w:adjustRightInd w:val="0"/>
        <w:snapToGrid w:val="0"/>
        <w:rPr>
          <w:szCs w:val="20"/>
        </w:rPr>
      </w:pPr>
      <w:r>
        <w:rPr>
          <w:rFonts w:hint="eastAsia" w:ascii="黑体" w:hAnsi="黑体" w:eastAsia="黑体" w:cs="黑体"/>
          <w:szCs w:val="20"/>
        </w:rPr>
        <w:t>4.2.17</w:t>
      </w:r>
      <w:r>
        <w:rPr>
          <w:rFonts w:hint="eastAsia"/>
          <w:szCs w:val="20"/>
        </w:rPr>
        <w:t xml:space="preserve"> 磷标准贮存溶液：称取0.</w:t>
      </w:r>
      <w:r>
        <w:rPr>
          <w:szCs w:val="20"/>
        </w:rPr>
        <w:t>439</w:t>
      </w:r>
      <w:r>
        <w:rPr>
          <w:rFonts w:hint="eastAsia"/>
          <w:szCs w:val="20"/>
        </w:rPr>
        <w:t xml:space="preserve"> </w:t>
      </w:r>
      <w:r>
        <w:rPr>
          <w:szCs w:val="20"/>
        </w:rPr>
        <w:t>4</w:t>
      </w:r>
      <w:r>
        <w:rPr>
          <w:rFonts w:hint="eastAsia"/>
          <w:szCs w:val="20"/>
        </w:rPr>
        <w:t xml:space="preserve"> g预先在105 ℃烘1 h并在干燥器中冷却至室温的磷酸二氢钾（</w:t>
      </w:r>
      <w:r>
        <w:rPr>
          <w:rFonts w:hint="eastAsia"/>
          <w:i/>
          <w:szCs w:val="20"/>
        </w:rPr>
        <w:t>w</w:t>
      </w:r>
      <w:r>
        <w:rPr>
          <w:rFonts w:hint="eastAsia"/>
          <w:szCs w:val="20"/>
        </w:rPr>
        <w:t>≥99.99%）于150 mL烧杯中，加适量水加热煮沸溶解完全后，冷却至室温，移入100 mL容量瓶中，用水稀释至刻度，混匀，此溶液1 mL含1 mg磷。</w:t>
      </w:r>
    </w:p>
    <w:p w14:paraId="4C0CB1A2">
      <w:pPr>
        <w:autoSpaceDE w:val="0"/>
        <w:autoSpaceDN w:val="0"/>
        <w:adjustRightInd w:val="0"/>
        <w:snapToGrid w:val="0"/>
        <w:rPr>
          <w:szCs w:val="20"/>
        </w:rPr>
      </w:pPr>
      <w:r>
        <w:rPr>
          <w:rFonts w:hint="eastAsia" w:ascii="黑体" w:hAnsi="黑体" w:eastAsia="黑体" w:cs="黑体"/>
          <w:szCs w:val="20"/>
        </w:rPr>
        <w:t>4.2.18</w:t>
      </w:r>
      <w:r>
        <w:rPr>
          <w:rFonts w:hint="eastAsia"/>
          <w:szCs w:val="20"/>
        </w:rPr>
        <w:t xml:space="preserve"> 钛标准贮存溶液：称取0.100 0 g金属钛（</w:t>
      </w:r>
      <w:r>
        <w:rPr>
          <w:rFonts w:hint="eastAsia"/>
          <w:i/>
          <w:szCs w:val="20"/>
        </w:rPr>
        <w:t>w</w:t>
      </w:r>
      <w:r>
        <w:rPr>
          <w:rFonts w:hint="eastAsia"/>
          <w:szCs w:val="20"/>
        </w:rPr>
        <w:t>≥99.9%）于150 mL聚四氟乙烯烧杯中，加入2 mL氢氟酸（4.2.3）和4 mL硫酸（4.2.7）溶解，加热蒸发至冒硫酸烟。用水冲洗聚四氟乙烯烧杯，继续加热至冒硫酸烟使氟驱尽，冷却至室温，加10 mL水溶解盐类，移入100 mL容量瓶中，用硫酸（4.2.8）稀释至刻度，混匀。溶液1 mL含1 mg钛。</w:t>
      </w:r>
    </w:p>
    <w:p w14:paraId="1E077316">
      <w:pPr>
        <w:autoSpaceDE w:val="0"/>
        <w:autoSpaceDN w:val="0"/>
        <w:adjustRightInd w:val="0"/>
        <w:snapToGrid w:val="0"/>
        <w:rPr>
          <w:szCs w:val="20"/>
        </w:rPr>
      </w:pPr>
      <w:r>
        <w:rPr>
          <w:rFonts w:hint="eastAsia" w:ascii="黑体" w:hAnsi="黑体" w:eastAsia="黑体" w:cs="黑体"/>
          <w:szCs w:val="20"/>
        </w:rPr>
        <w:t>4.2.19</w:t>
      </w:r>
      <w:r>
        <w:rPr>
          <w:szCs w:val="20"/>
        </w:rPr>
        <w:t xml:space="preserve"> </w:t>
      </w:r>
      <w:r>
        <w:rPr>
          <w:rFonts w:hint="eastAsia"/>
          <w:szCs w:val="20"/>
        </w:rPr>
        <w:t>混合标准溶液I：移取10.00 mL钙标准贮存溶液（4.2.9）、10.00 mL锰标准贮存溶液（4.2.11）、10.00 mL铝标准贮存溶液（4.2.12）、10.00 mL钡标准贮存溶液（4.2.13）、10.00 mL锑标准贮存溶液（4.2.14）、10.00 mL铋标准贮存溶液（4.2.15）、10.00 mL锶标准贮存溶液（4.2.16）于100 mL容量瓶中，加入5 mL盐酸（4.2.1），用水稀释到刻度，此溶液1 mL含100 µg钙、100 µg锰、100 µg铝、100 µg钡、100 µg锑、100 µg铋、100 µg锶。</w:t>
      </w:r>
    </w:p>
    <w:p w14:paraId="1ED6E7AA">
      <w:pPr>
        <w:autoSpaceDE w:val="0"/>
        <w:autoSpaceDN w:val="0"/>
        <w:adjustRightInd w:val="0"/>
        <w:snapToGrid w:val="0"/>
        <w:rPr>
          <w:szCs w:val="20"/>
        </w:rPr>
      </w:pPr>
      <w:r>
        <w:rPr>
          <w:rFonts w:hint="eastAsia" w:ascii="黑体" w:hAnsi="黑体" w:eastAsia="黑体" w:cs="黑体"/>
          <w:szCs w:val="20"/>
        </w:rPr>
        <w:t>4.2.20</w:t>
      </w:r>
      <w:r>
        <w:rPr>
          <w:rFonts w:hint="eastAsia"/>
          <w:szCs w:val="20"/>
        </w:rPr>
        <w:t xml:space="preserve"> </w:t>
      </w:r>
      <w:r>
        <w:rPr>
          <w:rFonts w:hint="eastAsia"/>
          <w:szCs w:val="20"/>
          <w:lang w:val="en-US" w:eastAsia="zh-CN"/>
        </w:rPr>
        <w:t>镁</w:t>
      </w:r>
      <w:r>
        <w:rPr>
          <w:rFonts w:hint="eastAsia"/>
          <w:szCs w:val="20"/>
        </w:rPr>
        <w:t>标准溶液：移取10.00 mL镁标准贮存溶液（4.2.10）于100 mL容量瓶中，加入5 mL盐酸（4.2.1），用水稀释到刻度，此溶液1 mL含100 µg镁</w:t>
      </w:r>
      <w:r>
        <w:rPr>
          <w:rFonts w:hint="eastAsia"/>
          <w:szCs w:val="20"/>
          <w:lang w:eastAsia="zh-CN"/>
        </w:rPr>
        <w:t>。</w:t>
      </w:r>
    </w:p>
    <w:p w14:paraId="358221FA">
      <w:pPr>
        <w:autoSpaceDE w:val="0"/>
        <w:autoSpaceDN w:val="0"/>
        <w:adjustRightInd w:val="0"/>
        <w:snapToGrid w:val="0"/>
        <w:rPr>
          <w:szCs w:val="20"/>
        </w:rPr>
      </w:pPr>
      <w:r>
        <w:rPr>
          <w:rFonts w:hint="eastAsia" w:ascii="黑体" w:hAnsi="黑体" w:eastAsia="黑体" w:cs="黑体"/>
          <w:szCs w:val="20"/>
        </w:rPr>
        <w:t>4.2.21</w:t>
      </w:r>
      <w:r>
        <w:rPr>
          <w:rFonts w:hint="eastAsia"/>
          <w:szCs w:val="20"/>
        </w:rPr>
        <w:t xml:space="preserve"> </w:t>
      </w:r>
      <w:r>
        <w:rPr>
          <w:rFonts w:hint="eastAsia"/>
          <w:szCs w:val="20"/>
          <w:lang w:val="en-US" w:eastAsia="zh-CN"/>
        </w:rPr>
        <w:t>磷</w:t>
      </w:r>
      <w:r>
        <w:rPr>
          <w:rFonts w:hint="eastAsia"/>
          <w:szCs w:val="20"/>
        </w:rPr>
        <w:t>标准溶液：移取10.00 mL磷标准贮存溶液（4.2.17）于100 mL容量瓶中，用水稀释至刻度，此溶液1 mL含100 µg磷。</w:t>
      </w:r>
    </w:p>
    <w:p w14:paraId="5C5E36A8">
      <w:pPr>
        <w:autoSpaceDE w:val="0"/>
        <w:autoSpaceDN w:val="0"/>
        <w:adjustRightInd w:val="0"/>
        <w:snapToGrid w:val="0"/>
        <w:rPr>
          <w:szCs w:val="20"/>
        </w:rPr>
      </w:pPr>
      <w:r>
        <w:rPr>
          <w:rFonts w:hint="eastAsia" w:ascii="黑体" w:hAnsi="黑体" w:eastAsia="黑体" w:cs="黑体"/>
          <w:szCs w:val="20"/>
        </w:rPr>
        <w:t>4.2.22</w:t>
      </w:r>
      <w:r>
        <w:rPr>
          <w:rFonts w:hint="eastAsia"/>
          <w:szCs w:val="20"/>
        </w:rPr>
        <w:t xml:space="preserve"> </w:t>
      </w:r>
      <w:r>
        <w:rPr>
          <w:rFonts w:hint="eastAsia"/>
          <w:szCs w:val="20"/>
          <w:lang w:val="en-US" w:eastAsia="zh-CN"/>
        </w:rPr>
        <w:t>钛</w:t>
      </w:r>
      <w:r>
        <w:rPr>
          <w:rFonts w:hint="eastAsia"/>
          <w:szCs w:val="20"/>
        </w:rPr>
        <w:t>标准溶液：移取10.00 mL钛标准贮存溶液（4.2.18）于100 mL容量瓶中，加入2 mL硫酸（4.2.8），用水稀释至刻度，此溶液1 mL含100 µg钛。</w:t>
      </w:r>
    </w:p>
    <w:p w14:paraId="2563A5C5">
      <w:pPr>
        <w:autoSpaceDE w:val="0"/>
        <w:autoSpaceDN w:val="0"/>
        <w:adjustRightInd w:val="0"/>
        <w:snapToGrid w:val="0"/>
        <w:rPr>
          <w:szCs w:val="20"/>
        </w:rPr>
      </w:pPr>
      <w:r>
        <w:rPr>
          <w:rFonts w:hint="eastAsia" w:ascii="黑体" w:hAnsi="黑体" w:eastAsia="黑体" w:cs="黑体"/>
          <w:szCs w:val="20"/>
        </w:rPr>
        <w:t>4.2.23</w:t>
      </w:r>
      <w:r>
        <w:rPr>
          <w:szCs w:val="20"/>
        </w:rPr>
        <w:t xml:space="preserve"> </w:t>
      </w:r>
      <w:r>
        <w:rPr>
          <w:rFonts w:hint="eastAsia"/>
          <w:szCs w:val="20"/>
        </w:rPr>
        <w:t>氩气：体积分数大于</w:t>
      </w:r>
      <w:r>
        <w:rPr>
          <w:szCs w:val="20"/>
        </w:rPr>
        <w:t>99.99%</w:t>
      </w:r>
      <w:r>
        <w:rPr>
          <w:rFonts w:hint="eastAsia"/>
          <w:szCs w:val="20"/>
        </w:rPr>
        <w:t>。</w:t>
      </w:r>
    </w:p>
    <w:p w14:paraId="7ADB4F21">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4.3 仪器设备</w:t>
      </w:r>
    </w:p>
    <w:p w14:paraId="4A7799A7">
      <w:pPr>
        <w:autoSpaceDE w:val="0"/>
        <w:autoSpaceDN w:val="0"/>
        <w:adjustRightInd w:val="0"/>
        <w:snapToGrid w:val="0"/>
        <w:rPr>
          <w:szCs w:val="20"/>
        </w:rPr>
      </w:pPr>
      <w:r>
        <w:rPr>
          <w:rFonts w:hint="eastAsia" w:ascii="黑体" w:hAnsi="黑体" w:eastAsia="黑体" w:cs="黑体"/>
          <w:szCs w:val="20"/>
        </w:rPr>
        <w:t>4.3.1</w:t>
      </w:r>
      <w:r>
        <w:rPr>
          <w:rFonts w:hint="eastAsia"/>
          <w:szCs w:val="20"/>
        </w:rPr>
        <w:t xml:space="preserve"> 电感耦合等离子体发射光谱仪。</w:t>
      </w:r>
    </w:p>
    <w:p w14:paraId="694E6E76">
      <w:pPr>
        <w:autoSpaceDE w:val="0"/>
        <w:autoSpaceDN w:val="0"/>
        <w:adjustRightInd w:val="0"/>
        <w:snapToGrid w:val="0"/>
        <w:ind w:firstLine="420" w:firstLineChars="200"/>
        <w:rPr>
          <w:szCs w:val="20"/>
        </w:rPr>
      </w:pPr>
      <w:bookmarkStart w:id="4" w:name="_Hlk58873078"/>
      <w:r>
        <w:rPr>
          <w:rFonts w:hint="eastAsia"/>
          <w:szCs w:val="20"/>
        </w:rPr>
        <w:t>在仪器最佳工作条件下，凡达到下列指标者均可使用：</w:t>
      </w:r>
    </w:p>
    <w:bookmarkEnd w:id="4"/>
    <w:p w14:paraId="00F09A0F">
      <w:pPr>
        <w:autoSpaceDE w:val="0"/>
        <w:autoSpaceDN w:val="0"/>
        <w:adjustRightInd w:val="0"/>
        <w:snapToGrid w:val="0"/>
        <w:ind w:firstLine="420" w:firstLineChars="200"/>
        <w:rPr>
          <w:szCs w:val="20"/>
        </w:rPr>
      </w:pPr>
      <w:r>
        <w:rPr>
          <w:rFonts w:hint="eastAsia"/>
          <w:szCs w:val="20"/>
        </w:rPr>
        <w:t>——应符合JJG 768中要求的发射光谱仪检定规程和技术指标。</w:t>
      </w:r>
    </w:p>
    <w:p w14:paraId="2952E839">
      <w:pPr>
        <w:pStyle w:val="55"/>
        <w:snapToGrid w:val="0"/>
        <w:spacing w:line="240" w:lineRule="auto"/>
        <w:ind w:firstLine="420" w:firstLineChars="200"/>
        <w:jc w:val="both"/>
      </w:pPr>
      <w:r>
        <w:rPr>
          <w:rFonts w:hint="eastAsia"/>
          <w:szCs w:val="21"/>
        </w:rPr>
        <w:t>——测定元素的推荐分析谱线波长见表2。</w:t>
      </w:r>
    </w:p>
    <w:p w14:paraId="6CA3A414">
      <w:pPr>
        <w:spacing w:before="156" w:beforeLines="50" w:after="156" w:afterLines="50" w:line="300" w:lineRule="exact"/>
        <w:jc w:val="center"/>
        <w:rPr>
          <w:rFonts w:eastAsia="黑体"/>
        </w:rPr>
      </w:pPr>
      <w:r>
        <w:rPr>
          <w:rFonts w:hint="eastAsia" w:eastAsia="黑体"/>
        </w:rPr>
        <w:t>表2 推荐分析谱线波长</w:t>
      </w:r>
    </w:p>
    <w:tbl>
      <w:tblPr>
        <w:tblStyle w:val="24"/>
        <w:tblW w:w="49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55"/>
        <w:gridCol w:w="2355"/>
        <w:gridCol w:w="2357"/>
        <w:gridCol w:w="2358"/>
      </w:tblGrid>
      <w:tr w14:paraId="0F3BD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pct"/>
            <w:tcBorders>
              <w:top w:val="single" w:color="auto" w:sz="8" w:space="0"/>
              <w:left w:val="single" w:color="auto" w:sz="8" w:space="0"/>
              <w:bottom w:val="single" w:color="auto" w:sz="8" w:space="0"/>
              <w:right w:val="single" w:color="auto" w:sz="4" w:space="0"/>
            </w:tcBorders>
            <w:shd w:val="clear" w:color="auto" w:fill="FFFFFF"/>
            <w:noWrap/>
            <w:vAlign w:val="center"/>
          </w:tcPr>
          <w:p w14:paraId="5CDA82A5">
            <w:pPr>
              <w:pStyle w:val="72"/>
              <w:adjustRightInd w:val="0"/>
              <w:snapToGrid w:val="0"/>
              <w:rPr>
                <w:sz w:val="18"/>
              </w:rPr>
            </w:pPr>
            <w:r>
              <w:rPr>
                <w:rFonts w:hint="eastAsia"/>
                <w:sz w:val="18"/>
              </w:rPr>
              <w:t>测定元素</w:t>
            </w:r>
          </w:p>
        </w:tc>
        <w:tc>
          <w:tcPr>
            <w:tcW w:w="1249" w:type="pct"/>
            <w:tcBorders>
              <w:top w:val="single" w:color="auto" w:sz="8" w:space="0"/>
              <w:left w:val="single" w:color="auto" w:sz="4" w:space="0"/>
              <w:bottom w:val="single" w:color="auto" w:sz="8" w:space="0"/>
              <w:right w:val="double" w:color="auto" w:sz="4" w:space="0"/>
            </w:tcBorders>
            <w:shd w:val="clear" w:color="auto" w:fill="FFFFFF"/>
            <w:noWrap/>
            <w:vAlign w:val="center"/>
          </w:tcPr>
          <w:p w14:paraId="45D2E169">
            <w:pPr>
              <w:pStyle w:val="72"/>
              <w:adjustRightInd w:val="0"/>
              <w:snapToGrid w:val="0"/>
              <w:rPr>
                <w:sz w:val="18"/>
              </w:rPr>
            </w:pPr>
            <w:r>
              <w:rPr>
                <w:rFonts w:hint="eastAsia"/>
                <w:sz w:val="18"/>
              </w:rPr>
              <w:t>波长</w:t>
            </w:r>
          </w:p>
          <w:p w14:paraId="461E6172">
            <w:pPr>
              <w:jc w:val="center"/>
            </w:pPr>
            <w:r>
              <w:rPr>
                <w:rFonts w:hint="eastAsia"/>
                <w:sz w:val="18"/>
                <w:szCs w:val="18"/>
              </w:rPr>
              <w:t>nm</w:t>
            </w:r>
          </w:p>
        </w:tc>
        <w:tc>
          <w:tcPr>
            <w:tcW w:w="1250" w:type="pct"/>
            <w:tcBorders>
              <w:top w:val="single" w:color="auto" w:sz="8" w:space="0"/>
              <w:left w:val="double" w:color="auto" w:sz="4" w:space="0"/>
              <w:bottom w:val="single" w:color="auto" w:sz="8" w:space="0"/>
              <w:right w:val="single" w:color="auto" w:sz="4" w:space="0"/>
            </w:tcBorders>
            <w:shd w:val="clear" w:color="auto" w:fill="FFFFFF"/>
            <w:vAlign w:val="center"/>
          </w:tcPr>
          <w:p w14:paraId="168D2643">
            <w:pPr>
              <w:pStyle w:val="72"/>
              <w:adjustRightInd w:val="0"/>
              <w:snapToGrid w:val="0"/>
              <w:rPr>
                <w:sz w:val="18"/>
              </w:rPr>
            </w:pPr>
            <w:r>
              <w:rPr>
                <w:rFonts w:hint="eastAsia"/>
                <w:sz w:val="18"/>
              </w:rPr>
              <w:t>测定元素</w:t>
            </w:r>
          </w:p>
        </w:tc>
        <w:tc>
          <w:tcPr>
            <w:tcW w:w="1250" w:type="pct"/>
            <w:tcBorders>
              <w:top w:val="single" w:color="auto" w:sz="8" w:space="0"/>
              <w:left w:val="single" w:color="auto" w:sz="4" w:space="0"/>
              <w:bottom w:val="single" w:color="auto" w:sz="8" w:space="0"/>
              <w:right w:val="single" w:color="auto" w:sz="8" w:space="0"/>
            </w:tcBorders>
            <w:shd w:val="clear" w:color="auto" w:fill="FFFFFF"/>
            <w:vAlign w:val="center"/>
          </w:tcPr>
          <w:p w14:paraId="400195A2">
            <w:pPr>
              <w:pStyle w:val="72"/>
              <w:adjustRightInd w:val="0"/>
              <w:snapToGrid w:val="0"/>
              <w:rPr>
                <w:sz w:val="18"/>
              </w:rPr>
            </w:pPr>
            <w:r>
              <w:rPr>
                <w:rFonts w:hint="eastAsia"/>
                <w:sz w:val="18"/>
              </w:rPr>
              <w:t>波长</w:t>
            </w:r>
          </w:p>
          <w:p w14:paraId="17D631A9">
            <w:pPr>
              <w:jc w:val="center"/>
            </w:pPr>
            <w:r>
              <w:rPr>
                <w:rFonts w:hint="eastAsia"/>
                <w:sz w:val="18"/>
                <w:szCs w:val="18"/>
              </w:rPr>
              <w:t>nm</w:t>
            </w:r>
          </w:p>
        </w:tc>
      </w:tr>
      <w:tr w14:paraId="5EBBA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8" w:space="0"/>
              <w:left w:val="single" w:color="auto" w:sz="8" w:space="0"/>
              <w:bottom w:val="single" w:color="auto" w:sz="4" w:space="0"/>
              <w:right w:val="single" w:color="auto" w:sz="4" w:space="0"/>
            </w:tcBorders>
            <w:shd w:val="clear" w:color="auto" w:fill="FFFFFF"/>
            <w:noWrap/>
            <w:vAlign w:val="center"/>
          </w:tcPr>
          <w:p w14:paraId="04C04940">
            <w:pPr>
              <w:pStyle w:val="72"/>
              <w:adjustRightInd w:val="0"/>
              <w:snapToGrid w:val="0"/>
              <w:rPr>
                <w:sz w:val="18"/>
              </w:rPr>
            </w:pPr>
            <w:r>
              <w:rPr>
                <w:rFonts w:hint="eastAsia"/>
                <w:sz w:val="18"/>
              </w:rPr>
              <w:t>钙</w:t>
            </w:r>
          </w:p>
        </w:tc>
        <w:tc>
          <w:tcPr>
            <w:tcW w:w="1249" w:type="pct"/>
            <w:tcBorders>
              <w:top w:val="single" w:color="auto" w:sz="8" w:space="0"/>
              <w:left w:val="single" w:color="auto" w:sz="4" w:space="0"/>
              <w:bottom w:val="single" w:color="auto" w:sz="4" w:space="0"/>
              <w:right w:val="double" w:color="auto" w:sz="4" w:space="0"/>
            </w:tcBorders>
            <w:shd w:val="clear" w:color="auto" w:fill="FFFFFF"/>
            <w:noWrap/>
            <w:vAlign w:val="center"/>
          </w:tcPr>
          <w:p w14:paraId="5FC6C0AA">
            <w:pPr>
              <w:pStyle w:val="72"/>
              <w:adjustRightInd w:val="0"/>
              <w:snapToGrid w:val="0"/>
              <w:rPr>
                <w:sz w:val="18"/>
              </w:rPr>
            </w:pPr>
            <w:r>
              <w:rPr>
                <w:rFonts w:hint="eastAsia"/>
                <w:sz w:val="18"/>
              </w:rPr>
              <w:t>396.847、393.366</w:t>
            </w:r>
          </w:p>
        </w:tc>
        <w:tc>
          <w:tcPr>
            <w:tcW w:w="1250" w:type="pct"/>
            <w:tcBorders>
              <w:top w:val="single" w:color="auto" w:sz="8" w:space="0"/>
              <w:left w:val="double" w:color="auto" w:sz="4" w:space="0"/>
              <w:bottom w:val="single" w:color="auto" w:sz="4" w:space="0"/>
              <w:right w:val="single" w:color="auto" w:sz="4" w:space="0"/>
            </w:tcBorders>
            <w:shd w:val="clear" w:color="auto" w:fill="FFFFFF"/>
            <w:vAlign w:val="center"/>
          </w:tcPr>
          <w:p w14:paraId="66DA1E3C">
            <w:pPr>
              <w:pStyle w:val="72"/>
              <w:adjustRightInd w:val="0"/>
              <w:snapToGrid w:val="0"/>
              <w:rPr>
                <w:sz w:val="18"/>
              </w:rPr>
            </w:pPr>
            <w:r>
              <w:rPr>
                <w:rFonts w:hint="eastAsia"/>
                <w:sz w:val="18"/>
              </w:rPr>
              <w:t>锑</w:t>
            </w:r>
          </w:p>
        </w:tc>
        <w:tc>
          <w:tcPr>
            <w:tcW w:w="1250" w:type="pct"/>
            <w:tcBorders>
              <w:top w:val="single" w:color="auto" w:sz="8" w:space="0"/>
              <w:left w:val="single" w:color="auto" w:sz="4" w:space="0"/>
              <w:bottom w:val="single" w:color="auto" w:sz="4" w:space="0"/>
              <w:right w:val="single" w:color="auto" w:sz="8" w:space="0"/>
            </w:tcBorders>
            <w:shd w:val="clear" w:color="auto" w:fill="FFFFFF"/>
            <w:vAlign w:val="center"/>
          </w:tcPr>
          <w:p w14:paraId="58C6D3E3">
            <w:pPr>
              <w:pStyle w:val="72"/>
              <w:adjustRightInd w:val="0"/>
              <w:snapToGrid w:val="0"/>
              <w:rPr>
                <w:sz w:val="18"/>
              </w:rPr>
            </w:pPr>
            <w:r>
              <w:rPr>
                <w:rFonts w:hint="eastAsia"/>
                <w:sz w:val="18"/>
              </w:rPr>
              <w:t>217.582、206.834</w:t>
            </w:r>
          </w:p>
        </w:tc>
      </w:tr>
      <w:tr w14:paraId="0611E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5F2EA261">
            <w:pPr>
              <w:pStyle w:val="72"/>
              <w:adjustRightInd w:val="0"/>
              <w:snapToGrid w:val="0"/>
              <w:rPr>
                <w:sz w:val="18"/>
              </w:rPr>
            </w:pPr>
            <w:r>
              <w:rPr>
                <w:rFonts w:hint="eastAsia"/>
                <w:sz w:val="18"/>
              </w:rPr>
              <w:t>镁</w:t>
            </w:r>
          </w:p>
        </w:tc>
        <w:tc>
          <w:tcPr>
            <w:tcW w:w="1249" w:type="pct"/>
            <w:tcBorders>
              <w:top w:val="single" w:color="auto" w:sz="4" w:space="0"/>
              <w:left w:val="single" w:color="auto" w:sz="4" w:space="0"/>
              <w:bottom w:val="single" w:color="auto" w:sz="4" w:space="0"/>
              <w:right w:val="double" w:color="auto" w:sz="4" w:space="0"/>
            </w:tcBorders>
            <w:shd w:val="clear" w:color="auto" w:fill="FFFFFF"/>
            <w:noWrap/>
            <w:vAlign w:val="center"/>
          </w:tcPr>
          <w:p w14:paraId="1B185402">
            <w:pPr>
              <w:pStyle w:val="72"/>
              <w:adjustRightInd w:val="0"/>
              <w:snapToGrid w:val="0"/>
              <w:rPr>
                <w:sz w:val="18"/>
              </w:rPr>
            </w:pPr>
            <w:r>
              <w:rPr>
                <w:rFonts w:hint="eastAsia"/>
                <w:sz w:val="18"/>
              </w:rPr>
              <w:t>285.213、277.983</w:t>
            </w:r>
          </w:p>
        </w:tc>
        <w:tc>
          <w:tcPr>
            <w:tcW w:w="1250" w:type="pct"/>
            <w:tcBorders>
              <w:top w:val="single" w:color="auto" w:sz="4" w:space="0"/>
              <w:left w:val="double" w:color="auto" w:sz="4" w:space="0"/>
              <w:bottom w:val="single" w:color="auto" w:sz="4" w:space="0"/>
              <w:right w:val="single" w:color="auto" w:sz="4" w:space="0"/>
            </w:tcBorders>
            <w:shd w:val="clear" w:color="auto" w:fill="FFFFFF"/>
            <w:vAlign w:val="center"/>
          </w:tcPr>
          <w:p w14:paraId="0F5B925E">
            <w:pPr>
              <w:pStyle w:val="72"/>
              <w:adjustRightInd w:val="0"/>
              <w:snapToGrid w:val="0"/>
              <w:rPr>
                <w:sz w:val="18"/>
              </w:rPr>
            </w:pPr>
            <w:r>
              <w:rPr>
                <w:rFonts w:hint="eastAsia"/>
                <w:sz w:val="18"/>
              </w:rPr>
              <w:t>铋</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470AD81F">
            <w:pPr>
              <w:pStyle w:val="72"/>
              <w:adjustRightInd w:val="0"/>
              <w:snapToGrid w:val="0"/>
              <w:rPr>
                <w:sz w:val="18"/>
              </w:rPr>
            </w:pPr>
            <w:r>
              <w:rPr>
                <w:rFonts w:hint="eastAsia"/>
                <w:sz w:val="18"/>
              </w:rPr>
              <w:t>223.061、190.171</w:t>
            </w:r>
          </w:p>
        </w:tc>
      </w:tr>
      <w:tr w14:paraId="32D0B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7872A6EF">
            <w:pPr>
              <w:pStyle w:val="72"/>
              <w:adjustRightInd w:val="0"/>
              <w:snapToGrid w:val="0"/>
              <w:rPr>
                <w:sz w:val="18"/>
              </w:rPr>
            </w:pPr>
            <w:r>
              <w:rPr>
                <w:rFonts w:hint="eastAsia"/>
                <w:sz w:val="18"/>
              </w:rPr>
              <w:t>锰</w:t>
            </w:r>
          </w:p>
        </w:tc>
        <w:tc>
          <w:tcPr>
            <w:tcW w:w="1249" w:type="pct"/>
            <w:tcBorders>
              <w:top w:val="single" w:color="auto" w:sz="4" w:space="0"/>
              <w:left w:val="single" w:color="auto" w:sz="4" w:space="0"/>
              <w:bottom w:val="single" w:color="auto" w:sz="4" w:space="0"/>
              <w:right w:val="double" w:color="auto" w:sz="4" w:space="0"/>
            </w:tcBorders>
            <w:shd w:val="clear" w:color="auto" w:fill="FFFFFF"/>
            <w:noWrap/>
            <w:vAlign w:val="center"/>
          </w:tcPr>
          <w:p w14:paraId="617B29E4">
            <w:pPr>
              <w:pStyle w:val="72"/>
              <w:adjustRightInd w:val="0"/>
              <w:snapToGrid w:val="0"/>
              <w:rPr>
                <w:sz w:val="18"/>
              </w:rPr>
            </w:pPr>
            <w:r>
              <w:rPr>
                <w:rFonts w:hint="eastAsia"/>
                <w:sz w:val="18"/>
              </w:rPr>
              <w:t>257.610、260.568</w:t>
            </w:r>
          </w:p>
        </w:tc>
        <w:tc>
          <w:tcPr>
            <w:tcW w:w="1250" w:type="pct"/>
            <w:tcBorders>
              <w:top w:val="single" w:color="auto" w:sz="4" w:space="0"/>
              <w:left w:val="double" w:color="auto" w:sz="4" w:space="0"/>
              <w:bottom w:val="single" w:color="auto" w:sz="4" w:space="0"/>
              <w:right w:val="single" w:color="auto" w:sz="4" w:space="0"/>
            </w:tcBorders>
            <w:shd w:val="clear" w:color="auto" w:fill="FFFFFF"/>
            <w:vAlign w:val="center"/>
          </w:tcPr>
          <w:p w14:paraId="4D02EE76">
            <w:pPr>
              <w:pStyle w:val="72"/>
              <w:adjustRightInd w:val="0"/>
              <w:snapToGrid w:val="0"/>
              <w:rPr>
                <w:sz w:val="18"/>
              </w:rPr>
            </w:pPr>
            <w:r>
              <w:rPr>
                <w:rFonts w:hint="eastAsia"/>
                <w:sz w:val="18"/>
              </w:rPr>
              <w:t>锶</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04830E85">
            <w:pPr>
              <w:pStyle w:val="72"/>
              <w:adjustRightInd w:val="0"/>
              <w:snapToGrid w:val="0"/>
              <w:rPr>
                <w:sz w:val="18"/>
              </w:rPr>
            </w:pPr>
            <w:r>
              <w:rPr>
                <w:rFonts w:hint="eastAsia"/>
                <w:sz w:val="18"/>
              </w:rPr>
              <w:t>407.771、421.552</w:t>
            </w:r>
          </w:p>
        </w:tc>
      </w:tr>
      <w:tr w14:paraId="0DB4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0CCE70EC">
            <w:pPr>
              <w:pStyle w:val="72"/>
              <w:adjustRightInd w:val="0"/>
              <w:snapToGrid w:val="0"/>
              <w:rPr>
                <w:sz w:val="18"/>
              </w:rPr>
            </w:pPr>
            <w:r>
              <w:rPr>
                <w:rFonts w:hint="eastAsia"/>
                <w:sz w:val="18"/>
              </w:rPr>
              <w:t>铝</w:t>
            </w:r>
          </w:p>
        </w:tc>
        <w:tc>
          <w:tcPr>
            <w:tcW w:w="1249" w:type="pct"/>
            <w:tcBorders>
              <w:top w:val="single" w:color="auto" w:sz="4" w:space="0"/>
              <w:left w:val="single" w:color="auto" w:sz="4" w:space="0"/>
              <w:bottom w:val="single" w:color="auto" w:sz="4" w:space="0"/>
              <w:right w:val="double" w:color="auto" w:sz="4" w:space="0"/>
            </w:tcBorders>
            <w:shd w:val="clear" w:color="auto" w:fill="FFFFFF"/>
            <w:noWrap/>
            <w:vAlign w:val="center"/>
          </w:tcPr>
          <w:p w14:paraId="66CEB7EB">
            <w:pPr>
              <w:pStyle w:val="72"/>
              <w:adjustRightInd w:val="0"/>
              <w:snapToGrid w:val="0"/>
              <w:rPr>
                <w:sz w:val="18"/>
              </w:rPr>
            </w:pPr>
            <w:r>
              <w:rPr>
                <w:rFonts w:hint="eastAsia"/>
                <w:sz w:val="18"/>
              </w:rPr>
              <w:t>237.312</w:t>
            </w:r>
          </w:p>
        </w:tc>
        <w:tc>
          <w:tcPr>
            <w:tcW w:w="1250" w:type="pct"/>
            <w:tcBorders>
              <w:top w:val="single" w:color="auto" w:sz="4" w:space="0"/>
              <w:left w:val="double" w:color="auto" w:sz="4" w:space="0"/>
              <w:bottom w:val="single" w:color="auto" w:sz="4" w:space="0"/>
              <w:right w:val="single" w:color="auto" w:sz="4" w:space="0"/>
            </w:tcBorders>
            <w:shd w:val="clear" w:color="auto" w:fill="FFFFFF"/>
            <w:vAlign w:val="center"/>
          </w:tcPr>
          <w:p w14:paraId="23729654">
            <w:pPr>
              <w:pStyle w:val="72"/>
              <w:adjustRightInd w:val="0"/>
              <w:snapToGrid w:val="0"/>
              <w:rPr>
                <w:sz w:val="18"/>
              </w:rPr>
            </w:pPr>
            <w:r>
              <w:rPr>
                <w:rFonts w:hint="eastAsia"/>
                <w:sz w:val="18"/>
              </w:rPr>
              <w:t>磷</w:t>
            </w:r>
          </w:p>
        </w:tc>
        <w:tc>
          <w:tcPr>
            <w:tcW w:w="1250" w:type="pct"/>
            <w:tcBorders>
              <w:top w:val="single" w:color="auto" w:sz="4" w:space="0"/>
              <w:left w:val="single" w:color="auto" w:sz="4" w:space="0"/>
              <w:bottom w:val="single" w:color="auto" w:sz="4" w:space="0"/>
              <w:right w:val="single" w:color="auto" w:sz="8" w:space="0"/>
            </w:tcBorders>
            <w:shd w:val="clear" w:color="auto" w:fill="FFFFFF"/>
            <w:vAlign w:val="center"/>
          </w:tcPr>
          <w:p w14:paraId="7DFDD3D4">
            <w:pPr>
              <w:pStyle w:val="72"/>
              <w:adjustRightInd w:val="0"/>
              <w:snapToGrid w:val="0"/>
              <w:rPr>
                <w:sz w:val="18"/>
              </w:rPr>
            </w:pPr>
            <w:r>
              <w:rPr>
                <w:rFonts w:hint="eastAsia"/>
                <w:sz w:val="18"/>
              </w:rPr>
              <w:t>213.618、177.434</w:t>
            </w:r>
          </w:p>
        </w:tc>
      </w:tr>
      <w:tr w14:paraId="71DE8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9" w:type="pct"/>
            <w:tcBorders>
              <w:top w:val="single" w:color="auto" w:sz="4" w:space="0"/>
              <w:left w:val="single" w:color="auto" w:sz="8" w:space="0"/>
              <w:bottom w:val="single" w:color="auto" w:sz="8" w:space="0"/>
              <w:right w:val="single" w:color="auto" w:sz="4" w:space="0"/>
            </w:tcBorders>
            <w:shd w:val="clear" w:color="auto" w:fill="FFFFFF"/>
            <w:noWrap/>
            <w:vAlign w:val="center"/>
          </w:tcPr>
          <w:p w14:paraId="5AB47407">
            <w:pPr>
              <w:pStyle w:val="72"/>
              <w:adjustRightInd w:val="0"/>
              <w:snapToGrid w:val="0"/>
              <w:rPr>
                <w:sz w:val="18"/>
              </w:rPr>
            </w:pPr>
            <w:r>
              <w:rPr>
                <w:rFonts w:hint="eastAsia"/>
                <w:sz w:val="18"/>
              </w:rPr>
              <w:t>钡</w:t>
            </w:r>
          </w:p>
        </w:tc>
        <w:tc>
          <w:tcPr>
            <w:tcW w:w="1249" w:type="pct"/>
            <w:tcBorders>
              <w:top w:val="single" w:color="auto" w:sz="4" w:space="0"/>
              <w:left w:val="single" w:color="auto" w:sz="4" w:space="0"/>
              <w:bottom w:val="single" w:color="auto" w:sz="8" w:space="0"/>
              <w:right w:val="double" w:color="auto" w:sz="4" w:space="0"/>
            </w:tcBorders>
            <w:shd w:val="clear" w:color="auto" w:fill="FFFFFF"/>
            <w:noWrap/>
            <w:vAlign w:val="center"/>
          </w:tcPr>
          <w:p w14:paraId="57D41399">
            <w:pPr>
              <w:pStyle w:val="72"/>
              <w:adjustRightInd w:val="0"/>
              <w:snapToGrid w:val="0"/>
              <w:rPr>
                <w:sz w:val="18"/>
              </w:rPr>
            </w:pPr>
            <w:r>
              <w:rPr>
                <w:rFonts w:hint="eastAsia"/>
                <w:sz w:val="18"/>
              </w:rPr>
              <w:t>455.403、233.527</w:t>
            </w:r>
          </w:p>
        </w:tc>
        <w:tc>
          <w:tcPr>
            <w:tcW w:w="1250" w:type="pct"/>
            <w:tcBorders>
              <w:top w:val="single" w:color="auto" w:sz="4" w:space="0"/>
              <w:left w:val="double" w:color="auto" w:sz="4" w:space="0"/>
              <w:bottom w:val="single" w:color="auto" w:sz="8" w:space="0"/>
              <w:right w:val="single" w:color="auto" w:sz="4" w:space="0"/>
            </w:tcBorders>
            <w:shd w:val="clear" w:color="auto" w:fill="FFFFFF"/>
            <w:vAlign w:val="center"/>
          </w:tcPr>
          <w:p w14:paraId="7E00B35D">
            <w:pPr>
              <w:pStyle w:val="72"/>
              <w:adjustRightInd w:val="0"/>
              <w:snapToGrid w:val="0"/>
              <w:rPr>
                <w:sz w:val="18"/>
              </w:rPr>
            </w:pPr>
            <w:r>
              <w:rPr>
                <w:rFonts w:hint="eastAsia"/>
                <w:sz w:val="18"/>
              </w:rPr>
              <w:t>钛</w:t>
            </w:r>
          </w:p>
        </w:tc>
        <w:tc>
          <w:tcPr>
            <w:tcW w:w="1250" w:type="pct"/>
            <w:tcBorders>
              <w:top w:val="single" w:color="auto" w:sz="4" w:space="0"/>
              <w:left w:val="single" w:color="auto" w:sz="4" w:space="0"/>
              <w:bottom w:val="single" w:color="auto" w:sz="8" w:space="0"/>
              <w:right w:val="single" w:color="auto" w:sz="8" w:space="0"/>
            </w:tcBorders>
            <w:shd w:val="clear" w:color="auto" w:fill="FFFFFF"/>
            <w:vAlign w:val="center"/>
          </w:tcPr>
          <w:p w14:paraId="7BEDEE5E">
            <w:pPr>
              <w:pStyle w:val="72"/>
              <w:adjustRightInd w:val="0"/>
              <w:snapToGrid w:val="0"/>
              <w:rPr>
                <w:sz w:val="18"/>
              </w:rPr>
            </w:pPr>
            <w:r>
              <w:rPr>
                <w:rFonts w:hint="eastAsia"/>
                <w:sz w:val="18"/>
              </w:rPr>
              <w:t>336.122、308.804</w:t>
            </w:r>
          </w:p>
        </w:tc>
      </w:tr>
    </w:tbl>
    <w:p w14:paraId="0125B12C">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4.4 样品</w:t>
      </w:r>
    </w:p>
    <w:p w14:paraId="1E0A8F2C">
      <w:pPr>
        <w:autoSpaceDE w:val="0"/>
        <w:autoSpaceDN w:val="0"/>
        <w:adjustRightInd w:val="0"/>
        <w:snapToGrid w:val="0"/>
        <w:ind w:firstLine="420" w:firstLineChars="200"/>
        <w:rPr>
          <w:szCs w:val="20"/>
        </w:rPr>
      </w:pPr>
      <w:r>
        <w:rPr>
          <w:rFonts w:hint="eastAsia"/>
          <w:szCs w:val="20"/>
        </w:rPr>
        <w:t>合金样品制成粉末样，过0.125 mm筛。</w:t>
      </w:r>
    </w:p>
    <w:p w14:paraId="16234894">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4.5 试验步骤</w:t>
      </w:r>
    </w:p>
    <w:p w14:paraId="62A42094">
      <w:pPr>
        <w:spacing w:before="156" w:beforeLines="50" w:after="156" w:afterLines="50"/>
        <w:rPr>
          <w:rFonts w:hint="eastAsia" w:ascii="黑体" w:hAnsi="黑体" w:eastAsia="黑体" w:cs="黑体"/>
          <w:szCs w:val="21"/>
        </w:rPr>
      </w:pPr>
      <w:r>
        <w:rPr>
          <w:rFonts w:hint="eastAsia" w:ascii="黑体" w:hAnsi="黑体" w:eastAsia="黑体" w:cs="黑体"/>
          <w:szCs w:val="21"/>
        </w:rPr>
        <w:t>4.5.1 试料</w:t>
      </w:r>
    </w:p>
    <w:p w14:paraId="4D82C8E9">
      <w:pPr>
        <w:autoSpaceDE w:val="0"/>
        <w:autoSpaceDN w:val="0"/>
        <w:adjustRightInd w:val="0"/>
        <w:snapToGrid w:val="0"/>
        <w:ind w:firstLine="420" w:firstLineChars="200"/>
        <w:rPr>
          <w:szCs w:val="20"/>
        </w:rPr>
      </w:pPr>
      <w:r>
        <w:rPr>
          <w:rFonts w:hint="eastAsia"/>
          <w:szCs w:val="20"/>
        </w:rPr>
        <w:t>称取0.10 g样品（4.4），精确至0.000 1 g。</w:t>
      </w:r>
    </w:p>
    <w:p w14:paraId="2D626D76">
      <w:pPr>
        <w:spacing w:before="156" w:beforeLines="50" w:after="156" w:afterLines="50"/>
        <w:rPr>
          <w:rFonts w:hint="eastAsia" w:ascii="黑体" w:hAnsi="黑体" w:eastAsia="黑体" w:cs="黑体"/>
          <w:szCs w:val="21"/>
        </w:rPr>
      </w:pPr>
      <w:r>
        <w:rPr>
          <w:rFonts w:hint="eastAsia" w:ascii="黑体" w:hAnsi="黑体" w:eastAsia="黑体" w:cs="黑体"/>
          <w:szCs w:val="21"/>
        </w:rPr>
        <w:t>4.5.2 平行试验</w:t>
      </w:r>
    </w:p>
    <w:p w14:paraId="340E010A">
      <w:pPr>
        <w:autoSpaceDE w:val="0"/>
        <w:autoSpaceDN w:val="0"/>
        <w:adjustRightInd w:val="0"/>
        <w:snapToGrid w:val="0"/>
        <w:ind w:firstLine="420" w:firstLineChars="200"/>
        <w:rPr>
          <w:szCs w:val="20"/>
        </w:rPr>
      </w:pPr>
      <w:r>
        <w:rPr>
          <w:rFonts w:hint="eastAsia"/>
          <w:szCs w:val="20"/>
        </w:rPr>
        <w:t>平行做两份试验。</w:t>
      </w:r>
    </w:p>
    <w:p w14:paraId="184AA6D1">
      <w:pPr>
        <w:spacing w:before="156" w:beforeLines="50" w:after="156" w:afterLines="50"/>
        <w:rPr>
          <w:rFonts w:hint="eastAsia" w:ascii="黑体" w:hAnsi="黑体" w:eastAsia="黑体" w:cs="黑体"/>
          <w:szCs w:val="21"/>
        </w:rPr>
      </w:pPr>
      <w:r>
        <w:rPr>
          <w:rFonts w:hint="eastAsia" w:ascii="黑体" w:hAnsi="黑体" w:eastAsia="黑体" w:cs="黑体"/>
          <w:szCs w:val="21"/>
        </w:rPr>
        <w:t>4.5.3 空白试验</w:t>
      </w:r>
    </w:p>
    <w:p w14:paraId="02EE4CA9">
      <w:pPr>
        <w:autoSpaceDE w:val="0"/>
        <w:autoSpaceDN w:val="0"/>
        <w:adjustRightInd w:val="0"/>
        <w:snapToGrid w:val="0"/>
        <w:ind w:firstLine="420" w:firstLineChars="200"/>
        <w:rPr>
          <w:szCs w:val="20"/>
        </w:rPr>
      </w:pPr>
      <w:r>
        <w:rPr>
          <w:rFonts w:hint="eastAsia"/>
          <w:szCs w:val="20"/>
        </w:rPr>
        <w:t>随同试料（4.5.1）做空白试验。</w:t>
      </w:r>
    </w:p>
    <w:p w14:paraId="0AFFB3BC">
      <w:pPr>
        <w:spacing w:before="156" w:beforeLines="50" w:after="156" w:afterLines="50"/>
        <w:rPr>
          <w:rFonts w:hint="eastAsia" w:ascii="黑体" w:hAnsi="黑体" w:eastAsia="黑体" w:cs="黑体"/>
          <w:szCs w:val="21"/>
        </w:rPr>
      </w:pPr>
      <w:r>
        <w:rPr>
          <w:rFonts w:hint="eastAsia" w:ascii="黑体" w:hAnsi="黑体" w:eastAsia="黑体" w:cs="黑体"/>
          <w:szCs w:val="21"/>
        </w:rPr>
        <w:t>4.5.4 分析试液的制备</w:t>
      </w:r>
    </w:p>
    <w:p w14:paraId="0E9ED997">
      <w:pPr>
        <w:pStyle w:val="55"/>
        <w:snapToGrid w:val="0"/>
        <w:spacing w:line="240" w:lineRule="auto"/>
        <w:jc w:val="both"/>
        <w:rPr>
          <w:szCs w:val="21"/>
        </w:rPr>
      </w:pPr>
      <w:r>
        <w:rPr>
          <w:rFonts w:hint="eastAsia" w:ascii="黑体" w:hAnsi="黑体" w:eastAsia="黑体" w:cs="黑体"/>
          <w:kern w:val="2"/>
        </w:rPr>
        <w:t>4.5.4.1</w:t>
      </w:r>
      <w:r>
        <w:rPr>
          <w:rFonts w:hint="eastAsia"/>
          <w:szCs w:val="21"/>
        </w:rPr>
        <w:t xml:space="preserve"> 将试料（4.5.1）置于200 mL干燥的聚四氟乙烯烧杯中，加入5 mL硝酸（4.2.2），缓慢滴加2 mL氢氟酸（4.2.3）至激烈反应停止后，低温加热至试料分解完全。加入3 mL高氯酸（4.2.4）低温加热冒烟至试液清亮（剩余体积约3 mL~ 4 mL），取下，稍冷，加入5 mL盐酸（4.2.1）加热溶解盐类，冷却至室温，移入100 mL容量瓶中，用水稀释至刻度，混匀。</w:t>
      </w:r>
    </w:p>
    <w:p w14:paraId="7F0E395A">
      <w:pPr>
        <w:pStyle w:val="55"/>
        <w:snapToGrid w:val="0"/>
        <w:spacing w:line="240" w:lineRule="auto"/>
        <w:jc w:val="both"/>
        <w:rPr>
          <w:szCs w:val="21"/>
        </w:rPr>
      </w:pPr>
      <w:r>
        <w:rPr>
          <w:rFonts w:hint="eastAsia" w:ascii="黑体" w:hAnsi="黑体" w:eastAsia="黑体" w:cs="黑体"/>
          <w:kern w:val="2"/>
        </w:rPr>
        <w:t>4.5.4.2</w:t>
      </w:r>
      <w:r>
        <w:rPr>
          <w:rFonts w:hint="eastAsia"/>
          <w:szCs w:val="21"/>
        </w:rPr>
        <w:t xml:space="preserve"> </w:t>
      </w:r>
      <w:bookmarkStart w:id="5" w:name="_Hlk194958523"/>
      <w:r>
        <w:rPr>
          <w:rFonts w:hint="eastAsia"/>
          <w:szCs w:val="21"/>
        </w:rPr>
        <w:t>根据待测元素含量范围</w:t>
      </w:r>
      <w:bookmarkEnd w:id="5"/>
      <w:r>
        <w:rPr>
          <w:rFonts w:hint="eastAsia"/>
          <w:szCs w:val="21"/>
        </w:rPr>
        <w:t>按表3准确分取试液（4.5.4.1）于50 mL容量瓶中，加入10 mL盐酸（4.2.5），用水稀释至刻度，混匀。</w:t>
      </w:r>
    </w:p>
    <w:p w14:paraId="5FBB3BE6">
      <w:pPr>
        <w:spacing w:before="156" w:beforeLines="50" w:after="156" w:afterLines="50" w:line="360" w:lineRule="exact"/>
        <w:jc w:val="center"/>
        <w:rPr>
          <w:rFonts w:eastAsia="黑体"/>
        </w:rPr>
      </w:pPr>
      <w:r>
        <w:rPr>
          <w:rFonts w:eastAsia="黑体"/>
        </w:rPr>
        <w:t>表</w:t>
      </w:r>
      <w:r>
        <w:rPr>
          <w:rFonts w:hint="eastAsia" w:eastAsia="黑体"/>
        </w:rPr>
        <w:t>3 分取体积</w:t>
      </w:r>
    </w:p>
    <w:tbl>
      <w:tblPr>
        <w:tblStyle w:val="24"/>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2"/>
        <w:gridCol w:w="4662"/>
      </w:tblGrid>
      <w:tr w14:paraId="11EA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2" w:type="dxa"/>
            <w:tcBorders>
              <w:top w:val="single" w:color="auto" w:sz="8" w:space="0"/>
              <w:left w:val="single" w:color="auto" w:sz="8" w:space="0"/>
              <w:bottom w:val="single" w:color="auto" w:sz="8" w:space="0"/>
              <w:right w:val="single" w:color="auto" w:sz="4" w:space="0"/>
            </w:tcBorders>
            <w:vAlign w:val="center"/>
          </w:tcPr>
          <w:p w14:paraId="2CF5D513">
            <w:pPr>
              <w:adjustRightInd w:val="0"/>
              <w:snapToGrid w:val="0"/>
              <w:jc w:val="center"/>
              <w:rPr>
                <w:rFonts w:hint="eastAsia" w:hAnsi="宋体"/>
                <w:sz w:val="18"/>
                <w:szCs w:val="18"/>
              </w:rPr>
            </w:pPr>
            <w:r>
              <w:rPr>
                <w:rFonts w:hint="eastAsia" w:hAnsi="宋体"/>
                <w:sz w:val="18"/>
                <w:szCs w:val="18"/>
              </w:rPr>
              <w:t>质量分数</w:t>
            </w:r>
          </w:p>
          <w:p w14:paraId="6DFC10AB">
            <w:pPr>
              <w:adjustRightInd w:val="0"/>
              <w:snapToGrid w:val="0"/>
              <w:jc w:val="center"/>
              <w:rPr>
                <w:kern w:val="0"/>
                <w:sz w:val="18"/>
                <w:szCs w:val="18"/>
              </w:rPr>
            </w:pPr>
            <w:r>
              <w:rPr>
                <w:rFonts w:hint="eastAsia" w:hAnsi="宋体"/>
                <w:sz w:val="18"/>
                <w:szCs w:val="18"/>
              </w:rPr>
              <w:t>%</w:t>
            </w:r>
          </w:p>
        </w:tc>
        <w:tc>
          <w:tcPr>
            <w:tcW w:w="4662" w:type="dxa"/>
            <w:tcBorders>
              <w:top w:val="single" w:color="auto" w:sz="8" w:space="0"/>
              <w:left w:val="single" w:color="auto" w:sz="4" w:space="0"/>
              <w:bottom w:val="single" w:color="auto" w:sz="8" w:space="0"/>
              <w:right w:val="single" w:color="auto" w:sz="8" w:space="0"/>
            </w:tcBorders>
            <w:vAlign w:val="center"/>
          </w:tcPr>
          <w:p w14:paraId="7A1856FF">
            <w:pPr>
              <w:adjustRightInd w:val="0"/>
              <w:snapToGrid w:val="0"/>
              <w:jc w:val="center"/>
              <w:rPr>
                <w:rFonts w:hint="eastAsia" w:hAnsi="宋体"/>
                <w:sz w:val="18"/>
                <w:szCs w:val="18"/>
              </w:rPr>
            </w:pPr>
            <w:r>
              <w:rPr>
                <w:rFonts w:hint="eastAsia" w:hAnsi="宋体"/>
                <w:sz w:val="18"/>
                <w:szCs w:val="18"/>
              </w:rPr>
              <w:t>分取体积</w:t>
            </w:r>
          </w:p>
          <w:p w14:paraId="12CE5D9D">
            <w:pPr>
              <w:adjustRightInd w:val="0"/>
              <w:snapToGrid w:val="0"/>
              <w:jc w:val="center"/>
              <w:rPr>
                <w:kern w:val="0"/>
                <w:sz w:val="18"/>
                <w:szCs w:val="18"/>
              </w:rPr>
            </w:pPr>
            <w:r>
              <w:rPr>
                <w:rFonts w:hAnsi="宋体"/>
                <w:sz w:val="18"/>
                <w:szCs w:val="18"/>
              </w:rPr>
              <w:t>mL</w:t>
            </w:r>
          </w:p>
        </w:tc>
      </w:tr>
      <w:tr w14:paraId="36C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2" w:type="dxa"/>
            <w:tcBorders>
              <w:top w:val="single" w:color="auto" w:sz="8" w:space="0"/>
              <w:left w:val="single" w:color="auto" w:sz="8" w:space="0"/>
              <w:bottom w:val="single" w:color="auto" w:sz="4" w:space="0"/>
            </w:tcBorders>
          </w:tcPr>
          <w:p w14:paraId="5C58AA72">
            <w:pPr>
              <w:adjustRightInd w:val="0"/>
              <w:jc w:val="center"/>
              <w:rPr>
                <w:kern w:val="0"/>
                <w:sz w:val="18"/>
                <w:szCs w:val="18"/>
              </w:rPr>
            </w:pPr>
            <w:r>
              <w:rPr>
                <w:rFonts w:hint="eastAsia"/>
                <w:sz w:val="18"/>
                <w:szCs w:val="18"/>
              </w:rPr>
              <w:t>0.010</w:t>
            </w:r>
            <w:r>
              <w:rPr>
                <w:rFonts w:hAnsi="宋体"/>
                <w:sz w:val="18"/>
                <w:szCs w:val="18"/>
              </w:rPr>
              <w:t>～</w:t>
            </w:r>
            <w:r>
              <w:rPr>
                <w:rFonts w:hint="eastAsia"/>
                <w:sz w:val="18"/>
                <w:szCs w:val="18"/>
              </w:rPr>
              <w:t>0.10</w:t>
            </w:r>
          </w:p>
        </w:tc>
        <w:tc>
          <w:tcPr>
            <w:tcW w:w="4662" w:type="dxa"/>
            <w:tcBorders>
              <w:top w:val="single" w:color="auto" w:sz="8" w:space="0"/>
              <w:bottom w:val="single" w:color="auto" w:sz="4" w:space="0"/>
              <w:right w:val="single" w:color="auto" w:sz="8" w:space="0"/>
            </w:tcBorders>
          </w:tcPr>
          <w:p w14:paraId="508FC6D5">
            <w:pPr>
              <w:adjustRightInd w:val="0"/>
              <w:jc w:val="center"/>
              <w:rPr>
                <w:kern w:val="0"/>
                <w:sz w:val="18"/>
                <w:szCs w:val="18"/>
              </w:rPr>
            </w:pPr>
            <w:r>
              <w:rPr>
                <w:rFonts w:hint="eastAsia"/>
                <w:sz w:val="18"/>
                <w:szCs w:val="18"/>
              </w:rPr>
              <w:t>全量测定</w:t>
            </w:r>
          </w:p>
        </w:tc>
      </w:tr>
      <w:tr w14:paraId="0B87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2" w:type="dxa"/>
            <w:tcBorders>
              <w:top w:val="single" w:color="auto" w:sz="4" w:space="0"/>
              <w:left w:val="single" w:color="auto" w:sz="8" w:space="0"/>
              <w:bottom w:val="single" w:color="auto" w:sz="8" w:space="0"/>
            </w:tcBorders>
          </w:tcPr>
          <w:p w14:paraId="4039D66C">
            <w:pPr>
              <w:adjustRightInd w:val="0"/>
              <w:jc w:val="center"/>
              <w:rPr>
                <w:kern w:val="0"/>
                <w:sz w:val="18"/>
                <w:szCs w:val="18"/>
              </w:rPr>
            </w:pPr>
            <w:r>
              <w:rPr>
                <w:rFonts w:hint="eastAsia" w:hAnsi="宋体"/>
                <w:sz w:val="18"/>
                <w:szCs w:val="18"/>
              </w:rPr>
              <w:t>&gt;</w:t>
            </w:r>
            <w:r>
              <w:rPr>
                <w:sz w:val="18"/>
                <w:szCs w:val="18"/>
              </w:rPr>
              <w:t>0.10</w:t>
            </w:r>
            <w:r>
              <w:rPr>
                <w:rFonts w:hAnsi="宋体"/>
                <w:sz w:val="18"/>
                <w:szCs w:val="18"/>
              </w:rPr>
              <w:t>～</w:t>
            </w:r>
            <w:r>
              <w:rPr>
                <w:rFonts w:hint="eastAsia"/>
                <w:sz w:val="18"/>
                <w:szCs w:val="18"/>
              </w:rPr>
              <w:t>30</w:t>
            </w:r>
            <w:r>
              <w:rPr>
                <w:sz w:val="18"/>
                <w:szCs w:val="18"/>
              </w:rPr>
              <w:t>.00</w:t>
            </w:r>
          </w:p>
        </w:tc>
        <w:tc>
          <w:tcPr>
            <w:tcW w:w="4662" w:type="dxa"/>
            <w:tcBorders>
              <w:top w:val="single" w:color="auto" w:sz="4" w:space="0"/>
              <w:bottom w:val="single" w:color="auto" w:sz="8" w:space="0"/>
              <w:right w:val="single" w:color="auto" w:sz="8" w:space="0"/>
            </w:tcBorders>
          </w:tcPr>
          <w:p w14:paraId="05E3B445">
            <w:pPr>
              <w:adjustRightInd w:val="0"/>
              <w:jc w:val="center"/>
              <w:rPr>
                <w:kern w:val="0"/>
                <w:sz w:val="18"/>
                <w:szCs w:val="18"/>
              </w:rPr>
            </w:pPr>
            <w:r>
              <w:rPr>
                <w:sz w:val="18"/>
                <w:szCs w:val="18"/>
              </w:rPr>
              <w:t>5.00</w:t>
            </w:r>
          </w:p>
        </w:tc>
      </w:tr>
    </w:tbl>
    <w:p w14:paraId="66C80F3C">
      <w:pPr>
        <w:spacing w:before="156" w:beforeLines="50" w:after="156" w:afterLines="50"/>
        <w:rPr>
          <w:rFonts w:hint="eastAsia" w:ascii="黑体" w:hAnsi="黑体" w:eastAsia="黑体" w:cs="黑体"/>
          <w:szCs w:val="21"/>
        </w:rPr>
      </w:pPr>
      <w:r>
        <w:rPr>
          <w:rFonts w:hint="eastAsia" w:ascii="黑体" w:hAnsi="黑体" w:eastAsia="黑体" w:cs="黑体"/>
          <w:szCs w:val="21"/>
        </w:rPr>
        <w:t>4.5.5 系列标准溶液的配制</w:t>
      </w:r>
    </w:p>
    <w:p w14:paraId="31813CAD">
      <w:pPr>
        <w:autoSpaceDE w:val="0"/>
        <w:autoSpaceDN w:val="0"/>
        <w:adjustRightInd w:val="0"/>
        <w:snapToGrid w:val="0"/>
        <w:rPr>
          <w:rFonts w:hint="default"/>
          <w:szCs w:val="20"/>
          <w:lang w:val="en-US" w:eastAsia="zh-CN"/>
        </w:rPr>
      </w:pPr>
      <w:r>
        <w:rPr>
          <w:rFonts w:hint="eastAsia" w:ascii="黑体" w:hAnsi="黑体" w:eastAsia="黑体" w:cs="黑体"/>
          <w:szCs w:val="20"/>
          <w:lang w:val="en-US" w:eastAsia="zh-CN"/>
        </w:rPr>
        <w:t>4.5.5.1</w:t>
      </w:r>
      <w:r>
        <w:rPr>
          <w:rFonts w:hint="eastAsia"/>
          <w:szCs w:val="20"/>
          <w:lang w:val="en-US" w:eastAsia="zh-CN"/>
        </w:rPr>
        <w:t xml:space="preserve"> 系列标准溶液Ⅰ</w:t>
      </w:r>
    </w:p>
    <w:p w14:paraId="5B02B93E">
      <w:pPr>
        <w:autoSpaceDE w:val="0"/>
        <w:autoSpaceDN w:val="0"/>
        <w:adjustRightInd w:val="0"/>
        <w:snapToGrid w:val="0"/>
        <w:ind w:firstLine="420" w:firstLineChars="200"/>
        <w:rPr>
          <w:rFonts w:hint="default" w:eastAsia="宋体"/>
          <w:szCs w:val="20"/>
          <w:lang w:val="en-US" w:eastAsia="zh-CN"/>
        </w:rPr>
      </w:pPr>
      <w:r>
        <w:rPr>
          <w:rFonts w:hint="eastAsia"/>
          <w:szCs w:val="20"/>
          <w:lang w:val="en-US" w:eastAsia="zh-CN"/>
        </w:rPr>
        <w:t>分别</w:t>
      </w:r>
      <w:r>
        <w:rPr>
          <w:rFonts w:hint="eastAsia"/>
          <w:szCs w:val="20"/>
        </w:rPr>
        <w:t>准确移取</w:t>
      </w:r>
      <w:r>
        <w:rPr>
          <w:rFonts w:hint="eastAsia"/>
          <w:szCs w:val="20"/>
          <w:lang w:val="en-US" w:eastAsia="zh-CN"/>
        </w:rPr>
        <w:t>0 mL、0.10 mL、0.50 mL、1.00 mL、2.50 mL、5.00 mL、10.00 mL</w:t>
      </w:r>
      <w:r>
        <w:rPr>
          <w:rFonts w:hint="eastAsia"/>
          <w:szCs w:val="20"/>
        </w:rPr>
        <w:t>的混合标准溶液I（4.2.</w:t>
      </w:r>
      <w:r>
        <w:rPr>
          <w:rFonts w:hint="eastAsia"/>
          <w:szCs w:val="20"/>
          <w:lang w:val="en-US" w:eastAsia="zh-CN"/>
        </w:rPr>
        <w:t>19</w:t>
      </w:r>
      <w:r>
        <w:rPr>
          <w:rFonts w:hint="eastAsia"/>
          <w:szCs w:val="20"/>
        </w:rPr>
        <w:t>）</w:t>
      </w:r>
      <w:r>
        <w:rPr>
          <w:rFonts w:hint="eastAsia"/>
          <w:szCs w:val="20"/>
          <w:lang w:val="en-US" w:eastAsia="zh-CN"/>
        </w:rPr>
        <w:t>和0 mL、0.10 mL、0.50 mL、1.00 mL、5.00 mL、15.00 mL、30.00 mL镁</w:t>
      </w:r>
      <w:r>
        <w:rPr>
          <w:rFonts w:hint="eastAsia"/>
          <w:szCs w:val="20"/>
        </w:rPr>
        <w:t>标准溶液（4.2.2</w:t>
      </w:r>
      <w:r>
        <w:rPr>
          <w:rFonts w:hint="eastAsia"/>
          <w:szCs w:val="20"/>
          <w:lang w:val="en-US" w:eastAsia="zh-CN"/>
        </w:rPr>
        <w:t>0</w:t>
      </w:r>
      <w:r>
        <w:rPr>
          <w:rFonts w:hint="eastAsia"/>
          <w:szCs w:val="20"/>
        </w:rPr>
        <w:t>）于</w:t>
      </w:r>
      <w:r>
        <w:rPr>
          <w:rFonts w:hint="eastAsia"/>
          <w:szCs w:val="20"/>
          <w:lang w:val="en-US" w:eastAsia="zh-CN"/>
        </w:rPr>
        <w:t>同</w:t>
      </w:r>
      <w:r>
        <w:rPr>
          <w:rFonts w:hint="eastAsia"/>
          <w:szCs w:val="20"/>
        </w:rPr>
        <w:t>一组100 mL容量瓶中，加入8 mL盐酸溶液（4.2.6），用水稀释至刻度，混匀。</w:t>
      </w:r>
      <w:r>
        <w:rPr>
          <w:rFonts w:hint="eastAsia"/>
          <w:szCs w:val="20"/>
          <w:lang w:val="en-US" w:eastAsia="zh-CN"/>
        </w:rPr>
        <w:t>制得系列标准溶液Ⅰ的质量浓度见表4。</w:t>
      </w:r>
    </w:p>
    <w:p w14:paraId="110AC3B2">
      <w:pPr>
        <w:spacing w:before="156" w:beforeLines="50" w:after="156" w:afterLines="50" w:line="360" w:lineRule="exact"/>
        <w:jc w:val="center"/>
        <w:rPr>
          <w:rFonts w:ascii="Times New Roman" w:hAnsi="Times New Roman" w:eastAsia="黑体" w:cs="Times New Roman"/>
        </w:rPr>
      </w:pPr>
      <w:r>
        <w:rPr>
          <w:rFonts w:hint="eastAsia" w:ascii="Times New Roman" w:hAnsi="Times New Roman" w:eastAsia="黑体" w:cs="Times New Roman"/>
        </w:rPr>
        <w:t>表4 系列标准溶液</w:t>
      </w:r>
      <w:r>
        <w:rPr>
          <w:rFonts w:hint="eastAsia" w:ascii="Times New Roman" w:hAnsi="Times New Roman" w:eastAsia="黑体" w:cs="Times New Roman"/>
          <w:lang w:val="en-US" w:eastAsia="zh-CN"/>
        </w:rPr>
        <w:t>Ⅰ质量</w:t>
      </w:r>
      <w:r>
        <w:rPr>
          <w:rFonts w:hint="eastAsia" w:ascii="Times New Roman" w:hAnsi="Times New Roman" w:eastAsia="黑体" w:cs="Times New Roman"/>
        </w:rPr>
        <w:t>浓度</w:t>
      </w:r>
    </w:p>
    <w:tbl>
      <w:tblPr>
        <w:tblStyle w:val="24"/>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
        <w:gridCol w:w="1071"/>
        <w:gridCol w:w="1071"/>
        <w:gridCol w:w="1071"/>
        <w:gridCol w:w="1071"/>
        <w:gridCol w:w="1071"/>
        <w:gridCol w:w="1071"/>
        <w:gridCol w:w="1071"/>
        <w:gridCol w:w="1071"/>
      </w:tblGrid>
      <w:tr w14:paraId="5D425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8" w:space="0"/>
              <w:left w:val="single" w:color="auto" w:sz="8" w:space="0"/>
              <w:bottom w:val="single" w:color="auto" w:sz="8" w:space="0"/>
              <w:right w:val="single" w:color="auto" w:sz="4" w:space="0"/>
              <w:tl2br w:val="nil"/>
            </w:tcBorders>
            <w:shd w:val="clear" w:color="auto" w:fill="FFFFFF"/>
            <w:vAlign w:val="center"/>
          </w:tcPr>
          <w:p w14:paraId="498F5398">
            <w:pPr>
              <w:pStyle w:val="16"/>
              <w:adjustRightInd w:val="0"/>
              <w:snapToGrid w:val="0"/>
              <w:jc w:val="center"/>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序号</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2EF2337B">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钙</w:t>
            </w:r>
          </w:p>
          <w:p w14:paraId="2B834A1D">
            <w:pPr>
              <w:pStyle w:val="16"/>
              <w:adjustRightInd w:val="0"/>
              <w:snapToGrid w:val="0"/>
              <w:jc w:val="center"/>
              <w:rPr>
                <w:rFonts w:hint="eastAsia" w:ascii="Times New Roman" w:hAnsi="Times New Roman" w:cs="Times New Roman" w:eastAsiaTheme="minorEastAsia"/>
                <w:sz w:val="18"/>
                <w:szCs w:val="18"/>
                <w:lang w:eastAsia="zh-CN"/>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589346EB">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铝</w:t>
            </w:r>
          </w:p>
          <w:p w14:paraId="5B647C14">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2D1D43D3">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锑</w:t>
            </w:r>
          </w:p>
          <w:p w14:paraId="1DFA47B2">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0895E1CE">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铋</w:t>
            </w:r>
          </w:p>
          <w:p w14:paraId="7C1F0158">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79B9390B">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锶</w:t>
            </w:r>
          </w:p>
          <w:p w14:paraId="6AC84A0F">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193664AB">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锰</w:t>
            </w:r>
          </w:p>
          <w:p w14:paraId="25EC7EC9">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0B988B08">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钡</w:t>
            </w:r>
          </w:p>
          <w:p w14:paraId="12491135">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c>
          <w:tcPr>
            <w:tcW w:w="560" w:type="pct"/>
            <w:tcBorders>
              <w:top w:val="single" w:color="auto" w:sz="8" w:space="0"/>
              <w:left w:val="single" w:color="auto" w:sz="4" w:space="0"/>
              <w:bottom w:val="single" w:color="auto" w:sz="8" w:space="0"/>
              <w:right w:val="single" w:color="auto" w:sz="4" w:space="0"/>
            </w:tcBorders>
            <w:shd w:val="clear" w:color="auto" w:fill="FFFFFF"/>
            <w:vAlign w:val="center"/>
          </w:tcPr>
          <w:p w14:paraId="3EFF9DB2">
            <w:pPr>
              <w:pStyle w:val="16"/>
              <w:adjustRightInd w:val="0"/>
              <w:snapToGrid w:val="0"/>
              <w:jc w:val="center"/>
              <w:rPr>
                <w:rFonts w:hint="eastAsia" w:ascii="Times New Roman" w:hAnsi="Times New Roman" w:cs="Times New Roman" w:eastAsiaTheme="minorEastAsia"/>
                <w:sz w:val="18"/>
                <w:szCs w:val="18"/>
              </w:rPr>
            </w:pPr>
            <w:r>
              <w:rPr>
                <w:rFonts w:hint="eastAsia" w:ascii="Times New Roman" w:hAnsi="Times New Roman" w:cs="Times New Roman" w:eastAsiaTheme="minorEastAsia"/>
                <w:sz w:val="18"/>
                <w:szCs w:val="18"/>
              </w:rPr>
              <w:t>镁</w:t>
            </w:r>
          </w:p>
          <w:p w14:paraId="587B96B3">
            <w:pPr>
              <w:pStyle w:val="16"/>
              <w:adjustRightInd w:val="0"/>
              <w:snapToGrid w:val="0"/>
              <w:jc w:val="center"/>
              <w:rPr>
                <w:rFonts w:hint="eastAsia" w:ascii="Times New Roman" w:hAnsi="Times New Roman" w:cs="Times New Roman" w:eastAsiaTheme="minorEastAsia"/>
                <w:sz w:val="18"/>
                <w:szCs w:val="18"/>
              </w:rPr>
            </w:pPr>
            <w:r>
              <w:rPr>
                <w:rFonts w:hint="eastAsia"/>
                <w:sz w:val="18"/>
                <w:szCs w:val="18"/>
              </w:rPr>
              <w:t>ug/mL</w:t>
            </w:r>
          </w:p>
        </w:tc>
      </w:tr>
      <w:tr w14:paraId="7E80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8" w:space="0"/>
              <w:left w:val="single" w:color="auto" w:sz="8" w:space="0"/>
              <w:bottom w:val="single" w:color="auto" w:sz="4" w:space="0"/>
              <w:right w:val="single" w:color="auto" w:sz="4" w:space="0"/>
            </w:tcBorders>
            <w:shd w:val="clear" w:color="auto" w:fill="FFFFFF"/>
            <w:vAlign w:val="center"/>
          </w:tcPr>
          <w:p w14:paraId="5667A6B6">
            <w:pPr>
              <w:adjustRightInd w:val="0"/>
              <w:snapToGrid w:val="0"/>
              <w:jc w:val="center"/>
              <w:rPr>
                <w:sz w:val="18"/>
                <w:szCs w:val="18"/>
              </w:rPr>
            </w:pPr>
            <w:r>
              <w:rPr>
                <w:sz w:val="18"/>
                <w:szCs w:val="18"/>
              </w:rPr>
              <w:t>1</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71F6ADA6">
            <w:pPr>
              <w:adjustRightInd w:val="0"/>
              <w:snapToGrid w:val="0"/>
              <w:jc w:val="center"/>
              <w:rPr>
                <w:rFonts w:eastAsiaTheme="minorEastAsia"/>
                <w:sz w:val="18"/>
                <w:szCs w:val="18"/>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2926D6DC">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32A35B5F">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3121A5EB">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27339A3D">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18F7404C">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21F6E13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w:t>
            </w:r>
          </w:p>
        </w:tc>
        <w:tc>
          <w:tcPr>
            <w:tcW w:w="560" w:type="pct"/>
            <w:tcBorders>
              <w:top w:val="single" w:color="auto" w:sz="8" w:space="0"/>
              <w:left w:val="single" w:color="auto" w:sz="4" w:space="0"/>
              <w:bottom w:val="single" w:color="auto" w:sz="4" w:space="0"/>
              <w:right w:val="single" w:color="auto" w:sz="4" w:space="0"/>
            </w:tcBorders>
            <w:shd w:val="clear" w:color="auto" w:fill="FFFFFF"/>
            <w:vAlign w:val="center"/>
          </w:tcPr>
          <w:p w14:paraId="5028267A">
            <w:pPr>
              <w:adjustRightInd w:val="0"/>
              <w:snapToGrid w:val="0"/>
              <w:jc w:val="center"/>
              <w:rPr>
                <w:rFonts w:eastAsiaTheme="minorEastAsia"/>
                <w:sz w:val="18"/>
                <w:szCs w:val="18"/>
              </w:rPr>
            </w:pPr>
            <w:r>
              <w:rPr>
                <w:rFonts w:hint="eastAsia"/>
                <w:sz w:val="18"/>
                <w:szCs w:val="18"/>
              </w:rPr>
              <w:t>0</w:t>
            </w:r>
          </w:p>
        </w:tc>
      </w:tr>
      <w:tr w14:paraId="664E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5BFEA295">
            <w:pPr>
              <w:adjustRightInd w:val="0"/>
              <w:snapToGrid w:val="0"/>
              <w:jc w:val="center"/>
              <w:rPr>
                <w:sz w:val="18"/>
                <w:szCs w:val="18"/>
              </w:rPr>
            </w:pPr>
            <w:r>
              <w:rPr>
                <w:sz w:val="18"/>
                <w:szCs w:val="18"/>
              </w:rPr>
              <w:t>2</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9996281">
            <w:pPr>
              <w:adjustRightInd w:val="0"/>
              <w:snapToGrid w:val="0"/>
              <w:jc w:val="center"/>
              <w:rPr>
                <w:rFonts w:eastAsiaTheme="minorEastAsia"/>
                <w:sz w:val="18"/>
                <w:szCs w:val="18"/>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31FCD69">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4C656C11">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962B252">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06B7CB4">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1A732686">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01855713">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0.10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CB0BA3A">
            <w:pPr>
              <w:adjustRightInd w:val="0"/>
              <w:snapToGrid w:val="0"/>
              <w:jc w:val="center"/>
              <w:rPr>
                <w:rFonts w:eastAsiaTheme="minorEastAsia"/>
                <w:sz w:val="18"/>
                <w:szCs w:val="18"/>
              </w:rPr>
            </w:pPr>
            <w:r>
              <w:rPr>
                <w:rFonts w:hint="eastAsia"/>
                <w:sz w:val="18"/>
                <w:szCs w:val="18"/>
              </w:rPr>
              <w:t>0.10</w:t>
            </w:r>
          </w:p>
        </w:tc>
      </w:tr>
      <w:tr w14:paraId="5A956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5D3A1986">
            <w:pPr>
              <w:adjustRightInd w:val="0"/>
              <w:snapToGrid w:val="0"/>
              <w:jc w:val="center"/>
              <w:rPr>
                <w:sz w:val="18"/>
                <w:szCs w:val="18"/>
              </w:rPr>
            </w:pPr>
            <w:r>
              <w:rPr>
                <w:sz w:val="18"/>
                <w:szCs w:val="18"/>
              </w:rPr>
              <w:t>3</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CF67F7B">
            <w:pPr>
              <w:adjustRightInd w:val="0"/>
              <w:snapToGrid w:val="0"/>
              <w:jc w:val="center"/>
              <w:rPr>
                <w:rFonts w:eastAsiaTheme="minorEastAsia"/>
                <w:sz w:val="18"/>
                <w:szCs w:val="18"/>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55ED7CC">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3DAC272">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412819E">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4149D43">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09CCCA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A6F152E">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0.50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FFDF45B">
            <w:pPr>
              <w:adjustRightInd w:val="0"/>
              <w:snapToGrid w:val="0"/>
              <w:jc w:val="center"/>
              <w:rPr>
                <w:rFonts w:eastAsiaTheme="minorEastAsia"/>
                <w:sz w:val="18"/>
                <w:szCs w:val="18"/>
              </w:rPr>
            </w:pPr>
            <w:r>
              <w:rPr>
                <w:rFonts w:hint="eastAsia"/>
                <w:sz w:val="18"/>
                <w:szCs w:val="18"/>
              </w:rPr>
              <w:t>0.50</w:t>
            </w:r>
          </w:p>
        </w:tc>
      </w:tr>
      <w:tr w14:paraId="374E5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6EDCE43A">
            <w:pPr>
              <w:adjustRightInd w:val="0"/>
              <w:snapToGrid w:val="0"/>
              <w:jc w:val="center"/>
              <w:rPr>
                <w:sz w:val="18"/>
                <w:szCs w:val="18"/>
              </w:rPr>
            </w:pPr>
            <w:r>
              <w:rPr>
                <w:sz w:val="18"/>
                <w:szCs w:val="18"/>
              </w:rPr>
              <w:t>4</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4AB135B">
            <w:pPr>
              <w:adjustRightInd w:val="0"/>
              <w:snapToGrid w:val="0"/>
              <w:jc w:val="center"/>
              <w:rPr>
                <w:rFonts w:eastAsiaTheme="minorEastAsia"/>
                <w:sz w:val="18"/>
                <w:szCs w:val="18"/>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13AF570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12ACDC7F">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3A1C677">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008F518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E822D9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5868B1D">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D35DA70">
            <w:pPr>
              <w:adjustRightInd w:val="0"/>
              <w:snapToGrid w:val="0"/>
              <w:jc w:val="center"/>
              <w:rPr>
                <w:rFonts w:eastAsiaTheme="minorEastAsia"/>
                <w:sz w:val="18"/>
                <w:szCs w:val="18"/>
              </w:rPr>
            </w:pPr>
            <w:r>
              <w:rPr>
                <w:rFonts w:hint="eastAsia"/>
                <w:sz w:val="18"/>
                <w:szCs w:val="18"/>
              </w:rPr>
              <w:t>1.00</w:t>
            </w:r>
          </w:p>
        </w:tc>
      </w:tr>
      <w:tr w14:paraId="24FD1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49857667">
            <w:pPr>
              <w:adjustRightInd w:val="0"/>
              <w:snapToGrid w:val="0"/>
              <w:jc w:val="center"/>
              <w:rPr>
                <w:sz w:val="18"/>
                <w:szCs w:val="18"/>
              </w:rPr>
            </w:pPr>
            <w:r>
              <w:rPr>
                <w:sz w:val="18"/>
                <w:szCs w:val="18"/>
              </w:rPr>
              <w:t>5</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F63CE3E">
            <w:pPr>
              <w:adjustRightInd w:val="0"/>
              <w:snapToGrid w:val="0"/>
              <w:jc w:val="center"/>
              <w:rPr>
                <w:rFonts w:eastAsiaTheme="minorEastAsia"/>
                <w:sz w:val="18"/>
                <w:szCs w:val="18"/>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9968A24">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01A2FC3">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401CDF6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C91F2AD">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693441EE">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A7C18DB">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2.50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1E62F2EB">
            <w:pPr>
              <w:adjustRightInd w:val="0"/>
              <w:snapToGrid w:val="0"/>
              <w:jc w:val="center"/>
              <w:rPr>
                <w:rFonts w:eastAsiaTheme="minorEastAsia"/>
                <w:sz w:val="18"/>
                <w:szCs w:val="18"/>
              </w:rPr>
            </w:pPr>
            <w:r>
              <w:rPr>
                <w:rFonts w:hint="eastAsia"/>
                <w:sz w:val="18"/>
                <w:szCs w:val="18"/>
              </w:rPr>
              <w:t>5.00</w:t>
            </w:r>
          </w:p>
        </w:tc>
      </w:tr>
      <w:tr w14:paraId="2300E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10C37FEF">
            <w:pPr>
              <w:adjustRightInd w:val="0"/>
              <w:snapToGrid w:val="0"/>
              <w:jc w:val="center"/>
              <w:rPr>
                <w:sz w:val="18"/>
                <w:szCs w:val="18"/>
              </w:rPr>
            </w:pPr>
            <w:r>
              <w:rPr>
                <w:sz w:val="18"/>
                <w:szCs w:val="18"/>
              </w:rPr>
              <w:t>6</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0DA0A748">
            <w:pPr>
              <w:adjustRightInd w:val="0"/>
              <w:snapToGrid w:val="0"/>
              <w:jc w:val="center"/>
              <w:rPr>
                <w:rFonts w:eastAsiaTheme="minorEastAsia"/>
                <w:sz w:val="18"/>
                <w:szCs w:val="18"/>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47529349">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FEA74E0">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18828BB">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B7C66E8">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06495ED">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4461E89F">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5.00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EE41774">
            <w:pPr>
              <w:adjustRightInd w:val="0"/>
              <w:snapToGrid w:val="0"/>
              <w:jc w:val="center"/>
              <w:rPr>
                <w:rFonts w:eastAsiaTheme="minorEastAsia"/>
                <w:sz w:val="18"/>
                <w:szCs w:val="18"/>
              </w:rPr>
            </w:pPr>
            <w:r>
              <w:rPr>
                <w:rFonts w:hint="eastAsia"/>
                <w:sz w:val="18"/>
                <w:szCs w:val="18"/>
              </w:rPr>
              <w:t>1</w:t>
            </w:r>
            <w:r>
              <w:rPr>
                <w:rFonts w:hint="eastAsia"/>
                <w:sz w:val="18"/>
                <w:szCs w:val="18"/>
                <w:lang w:val="en-US" w:eastAsia="zh-CN"/>
              </w:rPr>
              <w:t>5</w:t>
            </w:r>
            <w:r>
              <w:rPr>
                <w:rFonts w:hint="eastAsia"/>
                <w:sz w:val="18"/>
                <w:szCs w:val="18"/>
              </w:rPr>
              <w:t>.00</w:t>
            </w:r>
          </w:p>
        </w:tc>
      </w:tr>
      <w:tr w14:paraId="433F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19" w:type="pct"/>
            <w:tcBorders>
              <w:top w:val="single" w:color="auto" w:sz="4" w:space="0"/>
              <w:left w:val="single" w:color="auto" w:sz="8" w:space="0"/>
              <w:bottom w:val="single" w:color="auto" w:sz="4" w:space="0"/>
              <w:right w:val="single" w:color="auto" w:sz="4" w:space="0"/>
            </w:tcBorders>
            <w:shd w:val="clear" w:color="auto" w:fill="FFFFFF"/>
            <w:vAlign w:val="center"/>
          </w:tcPr>
          <w:p w14:paraId="425C0447">
            <w:pPr>
              <w:adjustRightInd w:val="0"/>
              <w:snapToGrid w:val="0"/>
              <w:jc w:val="center"/>
              <w:rPr>
                <w:sz w:val="18"/>
                <w:szCs w:val="18"/>
              </w:rPr>
            </w:pPr>
            <w:r>
              <w:rPr>
                <w:sz w:val="18"/>
                <w:szCs w:val="18"/>
              </w:rPr>
              <w:t>7</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DA066CF">
            <w:pPr>
              <w:adjustRightInd w:val="0"/>
              <w:snapToGrid w:val="0"/>
              <w:jc w:val="center"/>
              <w:rPr>
                <w:rFonts w:eastAsiaTheme="minorEastAsia"/>
                <w:sz w:val="18"/>
                <w:szCs w:val="18"/>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7BB84630">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25D9458F">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0EF4A943">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F1846C2">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38AA9957">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073A8622">
            <w:pPr>
              <w:adjustRightInd w:val="0"/>
              <w:snapToGrid w:val="0"/>
              <w:jc w:val="center"/>
              <w:rPr>
                <w:rFonts w:hint="eastAsia" w:ascii="Times New Roman" w:hAnsi="Times New Roman" w:cs="Times New Roman" w:eastAsiaTheme="minorEastAsia"/>
                <w:kern w:val="2"/>
                <w:sz w:val="18"/>
                <w:szCs w:val="18"/>
                <w:lang w:val="en-US" w:eastAsia="zh-CN" w:bidi="ar-SA"/>
              </w:rPr>
            </w:pPr>
            <w:r>
              <w:rPr>
                <w:rFonts w:hint="eastAsia"/>
                <w:sz w:val="18"/>
                <w:szCs w:val="18"/>
              </w:rPr>
              <w:t>10.00</w:t>
            </w:r>
          </w:p>
        </w:tc>
        <w:tc>
          <w:tcPr>
            <w:tcW w:w="560" w:type="pct"/>
            <w:tcBorders>
              <w:top w:val="single" w:color="auto" w:sz="4" w:space="0"/>
              <w:left w:val="single" w:color="auto" w:sz="4" w:space="0"/>
              <w:bottom w:val="single" w:color="auto" w:sz="4" w:space="0"/>
              <w:right w:val="single" w:color="auto" w:sz="4" w:space="0"/>
            </w:tcBorders>
            <w:shd w:val="clear" w:color="auto" w:fill="FFFFFF"/>
            <w:vAlign w:val="center"/>
          </w:tcPr>
          <w:p w14:paraId="56EB7BDD">
            <w:pPr>
              <w:adjustRightInd w:val="0"/>
              <w:snapToGrid w:val="0"/>
              <w:jc w:val="center"/>
              <w:rPr>
                <w:rFonts w:eastAsiaTheme="minorEastAsia"/>
                <w:sz w:val="18"/>
                <w:szCs w:val="18"/>
              </w:rPr>
            </w:pPr>
            <w:r>
              <w:rPr>
                <w:rFonts w:hint="eastAsia"/>
                <w:sz w:val="18"/>
                <w:szCs w:val="18"/>
                <w:lang w:val="en-US" w:eastAsia="zh-CN"/>
              </w:rPr>
              <w:t>30</w:t>
            </w:r>
            <w:r>
              <w:rPr>
                <w:rFonts w:hint="eastAsia"/>
                <w:sz w:val="18"/>
                <w:szCs w:val="18"/>
              </w:rPr>
              <w:t>.00</w:t>
            </w:r>
          </w:p>
        </w:tc>
      </w:tr>
    </w:tbl>
    <w:p w14:paraId="1231A285">
      <w:pPr>
        <w:autoSpaceDE w:val="0"/>
        <w:autoSpaceDN w:val="0"/>
        <w:adjustRightInd w:val="0"/>
        <w:snapToGrid w:val="0"/>
        <w:rPr>
          <w:rFonts w:hint="eastAsia"/>
          <w:szCs w:val="20"/>
          <w:lang w:val="en-US" w:eastAsia="zh-CN"/>
        </w:rPr>
      </w:pPr>
    </w:p>
    <w:p w14:paraId="0E7356F9">
      <w:pPr>
        <w:autoSpaceDE w:val="0"/>
        <w:autoSpaceDN w:val="0"/>
        <w:adjustRightInd w:val="0"/>
        <w:snapToGrid w:val="0"/>
        <w:rPr>
          <w:rFonts w:hint="default"/>
          <w:szCs w:val="20"/>
          <w:lang w:val="en-US" w:eastAsia="zh-CN"/>
        </w:rPr>
      </w:pPr>
      <w:r>
        <w:rPr>
          <w:rFonts w:hint="eastAsia" w:ascii="黑体" w:hAnsi="黑体" w:eastAsia="黑体" w:cs="黑体"/>
          <w:szCs w:val="20"/>
          <w:lang w:val="en-US" w:eastAsia="zh-CN"/>
        </w:rPr>
        <w:t>4.5.5.2</w:t>
      </w:r>
      <w:r>
        <w:rPr>
          <w:rFonts w:hint="eastAsia"/>
          <w:szCs w:val="20"/>
          <w:lang w:val="en-US" w:eastAsia="zh-CN"/>
        </w:rPr>
        <w:t xml:space="preserve"> 系列标准溶液Ⅱ</w:t>
      </w:r>
    </w:p>
    <w:p w14:paraId="5DCC733A">
      <w:pPr>
        <w:autoSpaceDE w:val="0"/>
        <w:autoSpaceDN w:val="0"/>
        <w:adjustRightInd w:val="0"/>
        <w:snapToGrid w:val="0"/>
        <w:ind w:firstLine="420" w:firstLineChars="200"/>
        <w:rPr>
          <w:rFonts w:hint="eastAsia"/>
          <w:szCs w:val="21"/>
          <w:lang w:eastAsia="zh-CN"/>
        </w:rPr>
      </w:pPr>
      <w:r>
        <w:rPr>
          <w:rFonts w:hint="eastAsia"/>
          <w:szCs w:val="20"/>
          <w:lang w:val="en-US" w:eastAsia="zh-CN"/>
        </w:rPr>
        <w:t>分别</w:t>
      </w:r>
      <w:r>
        <w:rPr>
          <w:rFonts w:hint="eastAsia"/>
          <w:szCs w:val="20"/>
        </w:rPr>
        <w:t>准确移取</w:t>
      </w:r>
      <w:r>
        <w:rPr>
          <w:rFonts w:hint="eastAsia"/>
          <w:szCs w:val="20"/>
          <w:lang w:val="en-US" w:eastAsia="zh-CN"/>
        </w:rPr>
        <w:t>0 mL、0.10 mL、0.50 mL、1.00 mL、2.50 mL、5.00 mL、10.00 mL</w:t>
      </w:r>
      <w:r>
        <w:rPr>
          <w:rFonts w:hint="eastAsia"/>
          <w:szCs w:val="20"/>
        </w:rPr>
        <w:t>的</w:t>
      </w:r>
      <w:r>
        <w:rPr>
          <w:rFonts w:hint="eastAsia"/>
          <w:szCs w:val="20"/>
          <w:lang w:val="en-US" w:eastAsia="zh-CN"/>
        </w:rPr>
        <w:t>磷</w:t>
      </w:r>
      <w:r>
        <w:rPr>
          <w:rFonts w:hint="eastAsia"/>
          <w:szCs w:val="20"/>
        </w:rPr>
        <w:t>标准溶液</w:t>
      </w:r>
      <w:r>
        <w:rPr>
          <w:rFonts w:hint="eastAsia"/>
          <w:szCs w:val="20"/>
          <w:lang w:eastAsia="zh-CN"/>
        </w:rPr>
        <w:t>（</w:t>
      </w:r>
      <w:r>
        <w:rPr>
          <w:rFonts w:hint="eastAsia"/>
          <w:szCs w:val="20"/>
          <w:lang w:val="en-US" w:eastAsia="zh-CN"/>
        </w:rPr>
        <w:t>4.2.21</w:t>
      </w:r>
      <w:r>
        <w:rPr>
          <w:rFonts w:hint="eastAsia"/>
          <w:szCs w:val="20"/>
          <w:lang w:eastAsia="zh-CN"/>
        </w:rPr>
        <w:t>）</w:t>
      </w:r>
      <w:r>
        <w:rPr>
          <w:rFonts w:hint="eastAsia"/>
          <w:szCs w:val="20"/>
        </w:rPr>
        <w:t>于一组100 mL容量瓶中</w:t>
      </w:r>
      <w:r>
        <w:rPr>
          <w:rFonts w:hint="eastAsia"/>
          <w:szCs w:val="20"/>
          <w:lang w:eastAsia="zh-CN"/>
        </w:rPr>
        <w:t>，</w:t>
      </w:r>
      <w:r>
        <w:rPr>
          <w:rFonts w:hint="eastAsia"/>
          <w:szCs w:val="20"/>
          <w:lang w:val="en-US" w:eastAsia="zh-CN"/>
        </w:rPr>
        <w:t>加入</w:t>
      </w:r>
      <w:r>
        <w:rPr>
          <w:rFonts w:hint="eastAsia"/>
          <w:szCs w:val="20"/>
        </w:rPr>
        <w:t>8 mL盐酸（4.2.5），用水稀释至刻度，混匀</w:t>
      </w:r>
      <w:r>
        <w:rPr>
          <w:rFonts w:hint="eastAsia"/>
          <w:szCs w:val="20"/>
          <w:lang w:eastAsia="zh-CN"/>
        </w:rPr>
        <w:t>。</w:t>
      </w:r>
      <w:r>
        <w:rPr>
          <w:rFonts w:hint="eastAsia"/>
          <w:szCs w:val="20"/>
          <w:lang w:val="en-US" w:eastAsia="zh-CN"/>
        </w:rPr>
        <w:t>制得系列标准溶液Ⅱ中磷的质量浓度分别为</w:t>
      </w:r>
      <w:r>
        <w:rPr>
          <w:rFonts w:hint="eastAsia"/>
          <w:szCs w:val="21"/>
        </w:rPr>
        <w:t xml:space="preserve">0 </w:t>
      </w:r>
      <w:r>
        <w:rPr>
          <w:szCs w:val="21"/>
        </w:rPr>
        <w:t>µg /mL</w:t>
      </w:r>
      <w:r>
        <w:rPr>
          <w:rFonts w:hint="eastAsia"/>
          <w:szCs w:val="21"/>
        </w:rPr>
        <w:t xml:space="preserve">、0.1 </w:t>
      </w:r>
      <w:r>
        <w:rPr>
          <w:szCs w:val="21"/>
        </w:rPr>
        <w:t>µg /mL</w:t>
      </w:r>
      <w:r>
        <w:rPr>
          <w:rFonts w:hint="eastAsia"/>
          <w:szCs w:val="21"/>
        </w:rPr>
        <w:t xml:space="preserve">、0.50 </w:t>
      </w:r>
      <w:r>
        <w:rPr>
          <w:szCs w:val="21"/>
        </w:rPr>
        <w:t>µg /mL</w:t>
      </w:r>
      <w:r>
        <w:rPr>
          <w:rFonts w:hint="eastAsia"/>
          <w:szCs w:val="21"/>
        </w:rPr>
        <w:t xml:space="preserve">、1.00 </w:t>
      </w:r>
      <w:r>
        <w:rPr>
          <w:szCs w:val="21"/>
        </w:rPr>
        <w:t>µg /mL</w:t>
      </w:r>
      <w:r>
        <w:rPr>
          <w:rFonts w:hint="eastAsia"/>
          <w:szCs w:val="21"/>
        </w:rPr>
        <w:t xml:space="preserve">、2.50 </w:t>
      </w:r>
      <w:r>
        <w:rPr>
          <w:szCs w:val="21"/>
        </w:rPr>
        <w:t>µg /mL</w:t>
      </w:r>
      <w:r>
        <w:rPr>
          <w:rFonts w:hint="eastAsia"/>
          <w:szCs w:val="21"/>
        </w:rPr>
        <w:t xml:space="preserve">、5.00 </w:t>
      </w:r>
      <w:r>
        <w:rPr>
          <w:szCs w:val="21"/>
        </w:rPr>
        <w:t>µg /mL</w:t>
      </w:r>
      <w:r>
        <w:rPr>
          <w:rFonts w:hint="eastAsia"/>
          <w:szCs w:val="21"/>
        </w:rPr>
        <w:t xml:space="preserve">、10.00 </w:t>
      </w:r>
      <w:r>
        <w:rPr>
          <w:szCs w:val="21"/>
        </w:rPr>
        <w:t>µg /mL</w:t>
      </w:r>
      <w:r>
        <w:rPr>
          <w:rFonts w:hint="eastAsia"/>
          <w:szCs w:val="21"/>
          <w:lang w:eastAsia="zh-CN"/>
        </w:rPr>
        <w:t>。</w:t>
      </w:r>
    </w:p>
    <w:p w14:paraId="52F2FD76">
      <w:pPr>
        <w:autoSpaceDE w:val="0"/>
        <w:autoSpaceDN w:val="0"/>
        <w:adjustRightInd w:val="0"/>
        <w:snapToGrid w:val="0"/>
        <w:rPr>
          <w:rFonts w:hint="default"/>
          <w:szCs w:val="20"/>
          <w:lang w:val="en-US" w:eastAsia="zh-CN"/>
        </w:rPr>
      </w:pPr>
      <w:r>
        <w:rPr>
          <w:rFonts w:hint="eastAsia" w:ascii="黑体" w:hAnsi="黑体" w:eastAsia="黑体" w:cs="黑体"/>
          <w:szCs w:val="20"/>
          <w:lang w:val="en-US" w:eastAsia="zh-CN"/>
        </w:rPr>
        <w:t>4.5.5.3</w:t>
      </w:r>
      <w:r>
        <w:rPr>
          <w:rFonts w:hint="eastAsia"/>
          <w:szCs w:val="20"/>
          <w:lang w:val="en-US" w:eastAsia="zh-CN"/>
        </w:rPr>
        <w:t xml:space="preserve"> 系列标准溶液Ⅲ</w:t>
      </w:r>
    </w:p>
    <w:p w14:paraId="0F590AE6">
      <w:pPr>
        <w:autoSpaceDE w:val="0"/>
        <w:autoSpaceDN w:val="0"/>
        <w:adjustRightInd w:val="0"/>
        <w:snapToGrid w:val="0"/>
        <w:ind w:firstLine="420" w:firstLineChars="200"/>
        <w:rPr>
          <w:rFonts w:hint="eastAsia"/>
          <w:szCs w:val="21"/>
          <w:lang w:eastAsia="zh-CN"/>
        </w:rPr>
      </w:pPr>
      <w:r>
        <w:rPr>
          <w:rFonts w:hint="eastAsia"/>
          <w:szCs w:val="20"/>
          <w:lang w:val="en-US" w:eastAsia="zh-CN"/>
        </w:rPr>
        <w:t>分别</w:t>
      </w:r>
      <w:r>
        <w:rPr>
          <w:rFonts w:hint="eastAsia"/>
          <w:szCs w:val="20"/>
        </w:rPr>
        <w:t>准确移取</w:t>
      </w:r>
      <w:r>
        <w:rPr>
          <w:rFonts w:hint="eastAsia"/>
          <w:szCs w:val="20"/>
          <w:lang w:val="en-US" w:eastAsia="zh-CN"/>
        </w:rPr>
        <w:t>0 mL、0.10 mL、0.50 mL、1.00 mL、2.50 mL、5.00 mL、10.00 mL</w:t>
      </w:r>
      <w:r>
        <w:rPr>
          <w:rFonts w:hint="eastAsia"/>
          <w:szCs w:val="20"/>
        </w:rPr>
        <w:t>的</w:t>
      </w:r>
      <w:r>
        <w:rPr>
          <w:rFonts w:hint="eastAsia"/>
          <w:szCs w:val="20"/>
          <w:lang w:val="en-US" w:eastAsia="zh-CN"/>
        </w:rPr>
        <w:t>钛</w:t>
      </w:r>
      <w:r>
        <w:rPr>
          <w:rFonts w:hint="eastAsia"/>
          <w:szCs w:val="20"/>
        </w:rPr>
        <w:t>标准溶液</w:t>
      </w:r>
      <w:r>
        <w:rPr>
          <w:rFonts w:hint="eastAsia"/>
          <w:szCs w:val="20"/>
          <w:lang w:eastAsia="zh-CN"/>
        </w:rPr>
        <w:t>（</w:t>
      </w:r>
      <w:r>
        <w:rPr>
          <w:rFonts w:hint="eastAsia"/>
          <w:szCs w:val="20"/>
          <w:lang w:val="en-US" w:eastAsia="zh-CN"/>
        </w:rPr>
        <w:t>4.2.22</w:t>
      </w:r>
      <w:r>
        <w:rPr>
          <w:rFonts w:hint="eastAsia"/>
          <w:szCs w:val="20"/>
          <w:lang w:eastAsia="zh-CN"/>
        </w:rPr>
        <w:t>）</w:t>
      </w:r>
      <w:r>
        <w:rPr>
          <w:rFonts w:hint="eastAsia"/>
          <w:szCs w:val="20"/>
        </w:rPr>
        <w:t>于一组100 mL容量瓶中</w:t>
      </w:r>
      <w:r>
        <w:rPr>
          <w:rFonts w:hint="eastAsia"/>
          <w:szCs w:val="20"/>
          <w:lang w:eastAsia="zh-CN"/>
        </w:rPr>
        <w:t>，</w:t>
      </w:r>
      <w:r>
        <w:rPr>
          <w:rFonts w:hint="eastAsia"/>
          <w:szCs w:val="20"/>
          <w:lang w:val="en-US" w:eastAsia="zh-CN"/>
        </w:rPr>
        <w:t>加入</w:t>
      </w:r>
      <w:r>
        <w:rPr>
          <w:rFonts w:hint="eastAsia"/>
          <w:szCs w:val="20"/>
        </w:rPr>
        <w:t>8 mL盐酸（4.2.5），用水稀释至刻度，混匀</w:t>
      </w:r>
      <w:r>
        <w:rPr>
          <w:rFonts w:hint="eastAsia"/>
          <w:szCs w:val="20"/>
          <w:lang w:eastAsia="zh-CN"/>
        </w:rPr>
        <w:t>。</w:t>
      </w:r>
      <w:r>
        <w:rPr>
          <w:rFonts w:hint="eastAsia"/>
          <w:szCs w:val="20"/>
          <w:lang w:val="en-US" w:eastAsia="zh-CN"/>
        </w:rPr>
        <w:t>制得系列标准溶液Ⅲ中钛的质量浓度分别为</w:t>
      </w:r>
      <w:r>
        <w:rPr>
          <w:rFonts w:hint="eastAsia"/>
          <w:szCs w:val="21"/>
        </w:rPr>
        <w:t xml:space="preserve">0 </w:t>
      </w:r>
      <w:r>
        <w:rPr>
          <w:szCs w:val="21"/>
        </w:rPr>
        <w:t>µg /mL</w:t>
      </w:r>
      <w:r>
        <w:rPr>
          <w:rFonts w:hint="eastAsia"/>
          <w:szCs w:val="21"/>
        </w:rPr>
        <w:t xml:space="preserve">、0.1 </w:t>
      </w:r>
      <w:r>
        <w:rPr>
          <w:szCs w:val="21"/>
        </w:rPr>
        <w:t>µg /mL</w:t>
      </w:r>
      <w:r>
        <w:rPr>
          <w:rFonts w:hint="eastAsia"/>
          <w:szCs w:val="21"/>
        </w:rPr>
        <w:t xml:space="preserve">、0.50 </w:t>
      </w:r>
      <w:r>
        <w:rPr>
          <w:szCs w:val="21"/>
        </w:rPr>
        <w:t>µg /mL</w:t>
      </w:r>
      <w:r>
        <w:rPr>
          <w:rFonts w:hint="eastAsia"/>
          <w:szCs w:val="21"/>
        </w:rPr>
        <w:t xml:space="preserve">、1.00 </w:t>
      </w:r>
      <w:r>
        <w:rPr>
          <w:szCs w:val="21"/>
        </w:rPr>
        <w:t>µg /mL</w:t>
      </w:r>
      <w:r>
        <w:rPr>
          <w:rFonts w:hint="eastAsia"/>
          <w:szCs w:val="21"/>
        </w:rPr>
        <w:t xml:space="preserve">、2.50 </w:t>
      </w:r>
      <w:r>
        <w:rPr>
          <w:szCs w:val="21"/>
        </w:rPr>
        <w:t>µg /mL</w:t>
      </w:r>
      <w:r>
        <w:rPr>
          <w:rFonts w:hint="eastAsia"/>
          <w:szCs w:val="21"/>
        </w:rPr>
        <w:t xml:space="preserve">、5.00 </w:t>
      </w:r>
      <w:r>
        <w:rPr>
          <w:szCs w:val="21"/>
        </w:rPr>
        <w:t>µg /mL</w:t>
      </w:r>
      <w:r>
        <w:rPr>
          <w:rFonts w:hint="eastAsia"/>
          <w:szCs w:val="21"/>
        </w:rPr>
        <w:t xml:space="preserve">、10.00 </w:t>
      </w:r>
      <w:r>
        <w:rPr>
          <w:szCs w:val="21"/>
        </w:rPr>
        <w:t>µg /mL</w:t>
      </w:r>
      <w:r>
        <w:rPr>
          <w:rFonts w:hint="eastAsia"/>
          <w:szCs w:val="21"/>
          <w:lang w:eastAsia="zh-CN"/>
        </w:rPr>
        <w:t>。</w:t>
      </w:r>
    </w:p>
    <w:p w14:paraId="2ACA3E8E">
      <w:pPr>
        <w:spacing w:before="156" w:beforeLines="50" w:after="156" w:afterLines="50"/>
        <w:rPr>
          <w:rFonts w:hint="eastAsia" w:ascii="黑体" w:hAnsi="黑体" w:eastAsia="黑体" w:cs="黑体"/>
          <w:szCs w:val="21"/>
        </w:rPr>
      </w:pPr>
      <w:r>
        <w:rPr>
          <w:rFonts w:hint="eastAsia" w:ascii="黑体" w:hAnsi="黑体" w:eastAsia="黑体" w:cs="黑体"/>
          <w:szCs w:val="21"/>
        </w:rPr>
        <w:t>4.5.6 测定</w:t>
      </w:r>
      <w:bookmarkStart w:id="9" w:name="_GoBack"/>
      <w:bookmarkEnd w:id="9"/>
    </w:p>
    <w:p w14:paraId="2BCE9C0A">
      <w:pPr>
        <w:autoSpaceDE w:val="0"/>
        <w:autoSpaceDN w:val="0"/>
        <w:adjustRightInd w:val="0"/>
        <w:snapToGrid w:val="0"/>
        <w:rPr>
          <w:szCs w:val="20"/>
        </w:rPr>
      </w:pPr>
      <w:r>
        <w:rPr>
          <w:rFonts w:hint="eastAsia" w:ascii="黑体" w:hAnsi="黑体" w:eastAsia="黑体" w:cs="黑体"/>
          <w:szCs w:val="20"/>
        </w:rPr>
        <w:t>4.5.6.1</w:t>
      </w:r>
      <w:r>
        <w:rPr>
          <w:rFonts w:hint="eastAsia"/>
          <w:szCs w:val="20"/>
        </w:rPr>
        <w:t xml:space="preserve"> 工作曲线的绘制</w:t>
      </w:r>
    </w:p>
    <w:p w14:paraId="3044FCEE">
      <w:pPr>
        <w:autoSpaceDE w:val="0"/>
        <w:autoSpaceDN w:val="0"/>
        <w:adjustRightInd w:val="0"/>
        <w:snapToGrid w:val="0"/>
        <w:ind w:firstLine="420" w:firstLineChars="200"/>
        <w:rPr>
          <w:szCs w:val="20"/>
        </w:rPr>
      </w:pPr>
      <w:r>
        <w:rPr>
          <w:rFonts w:hint="eastAsia"/>
          <w:szCs w:val="20"/>
        </w:rPr>
        <w:t>在选定仪器工作条件下，将系列标准溶液（4.5.5</w:t>
      </w:r>
      <w:r>
        <w:rPr>
          <w:rFonts w:hint="eastAsia"/>
          <w:szCs w:val="20"/>
          <w:lang w:val="en-US" w:eastAsia="zh-CN"/>
        </w:rPr>
        <w:t>.1~</w:t>
      </w:r>
      <w:r>
        <w:rPr>
          <w:rFonts w:hint="eastAsia"/>
          <w:szCs w:val="20"/>
        </w:rPr>
        <w:t>4.5.5</w:t>
      </w:r>
      <w:r>
        <w:rPr>
          <w:rFonts w:hint="eastAsia"/>
          <w:szCs w:val="20"/>
          <w:lang w:val="en-US" w:eastAsia="zh-CN"/>
        </w:rPr>
        <w:t>.3</w:t>
      </w:r>
      <w:r>
        <w:rPr>
          <w:rFonts w:hint="eastAsia"/>
          <w:szCs w:val="20"/>
        </w:rPr>
        <w:t>）用推荐的分析谱线进行氩等离子体光谱测定。以待测元素光信号强度为纵坐标，系列标准溶液质量浓度为横坐标，绘制工作曲线，线性相关系数应不小于0.999 5。</w:t>
      </w:r>
    </w:p>
    <w:p w14:paraId="61A8135F">
      <w:pPr>
        <w:autoSpaceDE w:val="0"/>
        <w:autoSpaceDN w:val="0"/>
        <w:adjustRightInd w:val="0"/>
        <w:snapToGrid w:val="0"/>
        <w:rPr>
          <w:szCs w:val="20"/>
        </w:rPr>
      </w:pPr>
      <w:r>
        <w:rPr>
          <w:rFonts w:hint="eastAsia" w:ascii="黑体" w:hAnsi="黑体" w:eastAsia="黑体" w:cs="黑体"/>
          <w:szCs w:val="20"/>
        </w:rPr>
        <w:t>4.5.6.2</w:t>
      </w:r>
      <w:r>
        <w:rPr>
          <w:rFonts w:hint="eastAsia"/>
          <w:szCs w:val="20"/>
        </w:rPr>
        <w:t xml:space="preserve"> 空白试液的测定</w:t>
      </w:r>
    </w:p>
    <w:p w14:paraId="07FC0659">
      <w:pPr>
        <w:autoSpaceDE w:val="0"/>
        <w:autoSpaceDN w:val="0"/>
        <w:adjustRightInd w:val="0"/>
        <w:snapToGrid w:val="0"/>
        <w:ind w:firstLine="420" w:firstLineChars="200"/>
        <w:rPr>
          <w:szCs w:val="20"/>
        </w:rPr>
      </w:pPr>
      <w:r>
        <w:rPr>
          <w:rFonts w:hint="eastAsia"/>
          <w:szCs w:val="20"/>
        </w:rPr>
        <w:t>在工作曲线（4.5.6.1）符合测定要求后，将空白试液（4.5.3）用推荐的分析谱线进行氩等离子体光谱测定。仪器根据工作曲线，自动进行数据处理，计算并输出空白试液中待测元素的质量浓度。</w:t>
      </w:r>
    </w:p>
    <w:p w14:paraId="6A8C27D9">
      <w:pPr>
        <w:autoSpaceDE w:val="0"/>
        <w:autoSpaceDN w:val="0"/>
        <w:adjustRightInd w:val="0"/>
        <w:snapToGrid w:val="0"/>
        <w:rPr>
          <w:szCs w:val="20"/>
        </w:rPr>
      </w:pPr>
      <w:r>
        <w:rPr>
          <w:rFonts w:hint="eastAsia" w:ascii="黑体" w:hAnsi="黑体" w:eastAsia="黑体" w:cs="黑体"/>
          <w:szCs w:val="20"/>
        </w:rPr>
        <w:t>4.5.6.3</w:t>
      </w:r>
      <w:r>
        <w:rPr>
          <w:rFonts w:hint="eastAsia"/>
          <w:szCs w:val="20"/>
        </w:rPr>
        <w:t xml:space="preserve"> 分析试液的测定</w:t>
      </w:r>
    </w:p>
    <w:p w14:paraId="1DE18D6B">
      <w:pPr>
        <w:autoSpaceDE w:val="0"/>
        <w:autoSpaceDN w:val="0"/>
        <w:adjustRightInd w:val="0"/>
        <w:snapToGrid w:val="0"/>
        <w:ind w:firstLine="420" w:firstLineChars="200"/>
        <w:rPr>
          <w:szCs w:val="20"/>
        </w:rPr>
      </w:pPr>
      <w:r>
        <w:rPr>
          <w:rFonts w:hint="eastAsia"/>
          <w:szCs w:val="20"/>
        </w:rPr>
        <w:t>在工作曲线（4.5.6.1）符合测定要求后，将分析试液（4.5.4.2）用推荐的分析谱线进行氩等离子体光谱测定。仪器根据工作曲线，自动进行数据处理，计算并输出分析试液中待测元素的质量浓度。</w:t>
      </w:r>
    </w:p>
    <w:p w14:paraId="70FB16B0">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4.6 试验数据处理</w:t>
      </w:r>
    </w:p>
    <w:p w14:paraId="6BA24F74">
      <w:pPr>
        <w:autoSpaceDE w:val="0"/>
        <w:autoSpaceDN w:val="0"/>
        <w:adjustRightInd w:val="0"/>
        <w:snapToGrid w:val="0"/>
        <w:ind w:firstLine="420" w:firstLineChars="200"/>
        <w:rPr>
          <w:szCs w:val="20"/>
        </w:rPr>
      </w:pPr>
      <w:bookmarkStart w:id="6" w:name="_Hlk58576192"/>
      <w:r>
        <w:rPr>
          <w:rFonts w:hint="eastAsia"/>
          <w:szCs w:val="20"/>
        </w:rPr>
        <w:t>待测元素含量质量分数（</w:t>
      </w:r>
      <w:r>
        <w:rPr>
          <w:rFonts w:hint="eastAsia"/>
          <w:i/>
          <w:iCs/>
          <w:szCs w:val="20"/>
        </w:rPr>
        <w:t>w</w:t>
      </w:r>
      <w:r>
        <w:rPr>
          <w:rFonts w:hint="eastAsia"/>
          <w:i/>
          <w:iCs/>
          <w:szCs w:val="20"/>
          <w:vertAlign w:val="subscript"/>
        </w:rPr>
        <w:t>i</w:t>
      </w:r>
      <w:r>
        <w:rPr>
          <w:rFonts w:hint="eastAsia"/>
          <w:szCs w:val="20"/>
        </w:rPr>
        <w:t>）计，按公式（1）计算：</w:t>
      </w:r>
    </w:p>
    <w:p w14:paraId="4CCEF62C">
      <w:pPr>
        <w:snapToGrid w:val="0"/>
        <w:ind w:left="400" w:leftChars="136" w:hanging="115" w:hangingChars="64"/>
        <w:jc w:val="right"/>
        <w:rPr>
          <w:szCs w:val="21"/>
        </w:rPr>
      </w:pPr>
      <w:r>
        <w:rPr>
          <w:rFonts w:hint="eastAsia"/>
          <w:position w:val="-30"/>
          <w:sz w:val="18"/>
        </w:rPr>
        <w:object>
          <v:shape id="_x0000_i1025" o:spt="75" type="#_x0000_t75" style="height:29.25pt;width:211.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szCs w:val="20"/>
        </w:rPr>
        <w:t xml:space="preserve">…………………………………… </w:t>
      </w:r>
      <w:r>
        <w:rPr>
          <w:rFonts w:hint="eastAsia"/>
          <w:kern w:val="0"/>
          <w:szCs w:val="21"/>
        </w:rPr>
        <w:t>(1)</w:t>
      </w:r>
    </w:p>
    <w:p w14:paraId="3AC6D884">
      <w:pPr>
        <w:autoSpaceDE w:val="0"/>
        <w:autoSpaceDN w:val="0"/>
        <w:adjustRightInd w:val="0"/>
        <w:snapToGrid w:val="0"/>
        <w:ind w:firstLine="420" w:firstLineChars="200"/>
        <w:rPr>
          <w:szCs w:val="20"/>
        </w:rPr>
      </w:pPr>
      <w:r>
        <w:rPr>
          <w:rFonts w:hint="eastAsia"/>
          <w:szCs w:val="20"/>
        </w:rPr>
        <w:t>式中：</w:t>
      </w:r>
    </w:p>
    <w:p w14:paraId="796D1452">
      <w:pPr>
        <w:autoSpaceDE w:val="0"/>
        <w:autoSpaceDN w:val="0"/>
        <w:adjustRightInd w:val="0"/>
        <w:snapToGrid w:val="0"/>
        <w:ind w:firstLine="420" w:firstLineChars="200"/>
        <w:rPr>
          <w:szCs w:val="20"/>
        </w:rPr>
      </w:pPr>
      <w:r>
        <w:rPr>
          <w:i/>
          <w:iCs/>
          <w:szCs w:val="21"/>
        </w:rPr>
        <w:t>ρ</w:t>
      </w:r>
      <w:r>
        <w:rPr>
          <w:rFonts w:hint="eastAsia"/>
          <w:i/>
          <w:iCs/>
          <w:szCs w:val="21"/>
          <w:vertAlign w:val="subscript"/>
        </w:rPr>
        <w:t>i</w:t>
      </w:r>
      <w:r>
        <w:rPr>
          <w:rFonts w:hint="eastAsia"/>
          <w:szCs w:val="20"/>
        </w:rPr>
        <w:t>——自工作曲线上查得的或计算机输出的分析试液（4.5.4.2）中待测元素的质量浓度，单位为微克每毫升（µg /mL）；</w:t>
      </w:r>
    </w:p>
    <w:p w14:paraId="68B17BDB">
      <w:pPr>
        <w:autoSpaceDE w:val="0"/>
        <w:autoSpaceDN w:val="0"/>
        <w:adjustRightInd w:val="0"/>
        <w:snapToGrid w:val="0"/>
        <w:ind w:firstLine="420" w:firstLineChars="200"/>
        <w:rPr>
          <w:szCs w:val="20"/>
        </w:rPr>
      </w:pPr>
      <w:r>
        <w:rPr>
          <w:i/>
          <w:iCs/>
          <w:szCs w:val="21"/>
        </w:rPr>
        <w:t>ρ</w:t>
      </w:r>
      <w:r>
        <w:rPr>
          <w:rFonts w:hint="eastAsia"/>
          <w:i/>
          <w:iCs/>
          <w:szCs w:val="21"/>
          <w:vertAlign w:val="subscript"/>
        </w:rPr>
        <w:t>i</w:t>
      </w:r>
      <w:r>
        <w:rPr>
          <w:rFonts w:hint="eastAsia"/>
          <w:szCs w:val="20"/>
          <w:vertAlign w:val="subscript"/>
        </w:rPr>
        <w:t xml:space="preserve">0 </w:t>
      </w:r>
      <w:r>
        <w:rPr>
          <w:rFonts w:hint="eastAsia"/>
          <w:szCs w:val="20"/>
        </w:rPr>
        <w:t>——自工作曲线上查得的或计算机输出的空白试液（4.5.3）中待测元素的质量浓度，单位为微克每毫升（µg/mL）；</w:t>
      </w:r>
    </w:p>
    <w:p w14:paraId="7BE97A50">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0</w:t>
      </w:r>
      <w:r>
        <w:rPr>
          <w:rFonts w:hint="eastAsia"/>
          <w:szCs w:val="20"/>
        </w:rPr>
        <w:t xml:space="preserve"> ——试液（4.5.4.1）的总体积，单位为毫升（mL）；</w:t>
      </w:r>
    </w:p>
    <w:p w14:paraId="470655A2">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1</w:t>
      </w:r>
      <w:r>
        <w:rPr>
          <w:rFonts w:hint="eastAsia"/>
          <w:szCs w:val="20"/>
        </w:rPr>
        <w:t xml:space="preserve"> ——分析试液（4.5.4.2）的体积，单位为毫升（mL）；</w:t>
      </w:r>
    </w:p>
    <w:p w14:paraId="59100A62">
      <w:pPr>
        <w:autoSpaceDE w:val="0"/>
        <w:autoSpaceDN w:val="0"/>
        <w:adjustRightInd w:val="0"/>
        <w:snapToGrid w:val="0"/>
        <w:ind w:firstLine="420" w:firstLineChars="200"/>
        <w:rPr>
          <w:szCs w:val="20"/>
        </w:rPr>
      </w:pPr>
      <w:r>
        <w:rPr>
          <w:rFonts w:hint="eastAsia"/>
          <w:i/>
          <w:iCs/>
          <w:szCs w:val="20"/>
        </w:rPr>
        <w:t>m</w:t>
      </w:r>
      <w:r>
        <w:rPr>
          <w:rFonts w:hint="eastAsia"/>
          <w:i/>
          <w:iCs/>
          <w:szCs w:val="20"/>
          <w:vertAlign w:val="subscript"/>
        </w:rPr>
        <w:t>1</w:t>
      </w:r>
      <w:r>
        <w:rPr>
          <w:rFonts w:hint="eastAsia"/>
          <w:szCs w:val="20"/>
        </w:rPr>
        <w:t xml:space="preserve"> ——试料（4.5.1）的质量，单位为克（g）；</w:t>
      </w:r>
    </w:p>
    <w:p w14:paraId="576B25F8">
      <w:pPr>
        <w:adjustRightInd w:val="0"/>
        <w:snapToGrid w:val="0"/>
        <w:ind w:firstLine="420" w:firstLineChars="200"/>
      </w:pPr>
      <w:r>
        <w:rPr>
          <w:i/>
          <w:iCs/>
        </w:rPr>
        <w:t>V</w:t>
      </w:r>
      <w:r>
        <w:rPr>
          <w:i/>
          <w:iCs/>
          <w:vertAlign w:val="subscript"/>
        </w:rPr>
        <w:t xml:space="preserve">2 </w:t>
      </w:r>
      <w:r>
        <w:rPr>
          <w:rFonts w:hint="eastAsia"/>
          <w:i/>
          <w:iCs/>
          <w:vertAlign w:val="subscript"/>
        </w:rPr>
        <w:t xml:space="preserve"> </w:t>
      </w:r>
      <w:r>
        <w:rPr>
          <w:rFonts w:hint="eastAsia"/>
          <w:szCs w:val="20"/>
        </w:rPr>
        <w:t>——</w:t>
      </w:r>
      <w:r>
        <w:rPr>
          <w:rFonts w:hint="eastAsia"/>
        </w:rPr>
        <w:t>分取试液（4.5.4.1）的体积，单位为毫升（mL）</w:t>
      </w:r>
      <w:r>
        <w:t>。</w:t>
      </w:r>
    </w:p>
    <w:p w14:paraId="449C892A">
      <w:pPr>
        <w:autoSpaceDE w:val="0"/>
        <w:autoSpaceDN w:val="0"/>
        <w:adjustRightInd w:val="0"/>
        <w:snapToGrid w:val="0"/>
        <w:ind w:firstLine="420" w:firstLineChars="200"/>
        <w:rPr>
          <w:szCs w:val="20"/>
        </w:rPr>
      </w:pPr>
      <w:r>
        <w:rPr>
          <w:rFonts w:hint="eastAsia"/>
          <w:szCs w:val="20"/>
        </w:rPr>
        <w:t>两次平行测定结果的绝对差值不大于表5中相应重复性限时，取其平均值作为测定结果，当结果≥0.10</w:t>
      </w:r>
      <w:r>
        <w:rPr>
          <w:rFonts w:hint="eastAsia"/>
          <w:szCs w:val="20"/>
          <w:lang w:val="en-US" w:eastAsia="zh-CN"/>
        </w:rPr>
        <w:t xml:space="preserve"> </w:t>
      </w:r>
      <w:r>
        <w:rPr>
          <w:rFonts w:hint="eastAsia"/>
          <w:szCs w:val="20"/>
        </w:rPr>
        <w:t>%时，结果表示到小数点后两位；当结果小于0.10</w:t>
      </w:r>
      <w:r>
        <w:rPr>
          <w:rFonts w:hint="eastAsia"/>
          <w:szCs w:val="20"/>
          <w:lang w:val="en-US" w:eastAsia="zh-CN"/>
        </w:rPr>
        <w:t xml:space="preserve"> </w:t>
      </w:r>
      <w:r>
        <w:rPr>
          <w:rFonts w:hint="eastAsia"/>
          <w:szCs w:val="20"/>
        </w:rPr>
        <w:t>%时，结果保留两位有效数字</w:t>
      </w:r>
      <w:r>
        <w:rPr>
          <w:rFonts w:hint="eastAsia"/>
          <w:szCs w:val="20"/>
          <w:lang w:eastAsia="zh-CN"/>
        </w:rPr>
        <w:t>。</w:t>
      </w:r>
      <w:r>
        <w:rPr>
          <w:rFonts w:hint="eastAsia"/>
          <w:szCs w:val="20"/>
        </w:rPr>
        <w:t>数值修约按照GB/T 8170规定执行。</w:t>
      </w:r>
    </w:p>
    <w:bookmarkEnd w:id="6"/>
    <w:p w14:paraId="4446E394">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4.7 精密度</w:t>
      </w:r>
    </w:p>
    <w:p w14:paraId="6E957E01">
      <w:pPr>
        <w:spacing w:before="156" w:beforeLines="50" w:after="156" w:afterLines="50"/>
        <w:rPr>
          <w:rFonts w:hint="eastAsia" w:ascii="黑体" w:hAnsi="黑体" w:eastAsia="黑体" w:cs="黑体"/>
          <w:szCs w:val="21"/>
        </w:rPr>
      </w:pPr>
      <w:r>
        <w:rPr>
          <w:rFonts w:hint="eastAsia" w:ascii="黑体" w:hAnsi="黑体" w:eastAsia="黑体" w:cs="黑体"/>
          <w:szCs w:val="21"/>
        </w:rPr>
        <w:t>4.7.1重复性</w:t>
      </w:r>
    </w:p>
    <w:p w14:paraId="780FD303">
      <w:pPr>
        <w:autoSpaceDE w:val="0"/>
        <w:autoSpaceDN w:val="0"/>
        <w:adjustRightInd w:val="0"/>
        <w:snapToGrid w:val="0"/>
        <w:ind w:firstLine="420" w:firstLineChars="200"/>
        <w:rPr>
          <w:szCs w:val="20"/>
        </w:rPr>
      </w:pPr>
      <w:r>
        <w:rPr>
          <w:rFonts w:hint="eastAsia"/>
          <w:szCs w:val="20"/>
        </w:rPr>
        <w:t>在重复性条件下获得的两次独立测试结果的绝对差值不超过重复性限（</w:t>
      </w:r>
      <w:r>
        <w:rPr>
          <w:rFonts w:hint="eastAsia"/>
          <w:i/>
          <w:iCs/>
          <w:szCs w:val="20"/>
        </w:rPr>
        <w:t>r</w:t>
      </w:r>
      <w:r>
        <w:rPr>
          <w:rFonts w:hint="eastAsia"/>
          <w:szCs w:val="20"/>
        </w:rPr>
        <w:t>），超过重复性限（</w:t>
      </w:r>
      <w:r>
        <w:rPr>
          <w:rFonts w:hint="eastAsia"/>
          <w:i/>
          <w:iCs/>
          <w:szCs w:val="20"/>
        </w:rPr>
        <w:t>r</w:t>
      </w:r>
      <w:r>
        <w:rPr>
          <w:rFonts w:hint="eastAsia"/>
          <w:szCs w:val="20"/>
        </w:rPr>
        <w:t>）的情况不超过5%，重复性限（</w:t>
      </w:r>
      <w:r>
        <w:rPr>
          <w:rFonts w:hint="eastAsia"/>
          <w:i/>
          <w:iCs/>
          <w:szCs w:val="20"/>
        </w:rPr>
        <w:t>r</w:t>
      </w:r>
      <w:r>
        <w:rPr>
          <w:rFonts w:hint="eastAsia"/>
          <w:szCs w:val="20"/>
        </w:rPr>
        <w:t>）按表</w:t>
      </w:r>
      <w:r>
        <w:rPr>
          <w:rFonts w:hint="eastAsia"/>
          <w:szCs w:val="20"/>
          <w:lang w:val="en-US" w:eastAsia="zh-CN"/>
        </w:rPr>
        <w:t>5</w:t>
      </w:r>
      <w:r>
        <w:rPr>
          <w:rFonts w:hint="eastAsia"/>
          <w:szCs w:val="20"/>
        </w:rPr>
        <w:t>数据采用线性内插法或外延法求得。</w:t>
      </w:r>
    </w:p>
    <w:p w14:paraId="121F149A">
      <w:pPr>
        <w:spacing w:before="156" w:beforeLines="50" w:after="156" w:afterLines="50" w:line="360" w:lineRule="exact"/>
        <w:jc w:val="center"/>
        <w:rPr>
          <w:rFonts w:eastAsia="黑体"/>
        </w:rPr>
      </w:pPr>
      <w:r>
        <w:rPr>
          <w:rFonts w:eastAsia="黑体"/>
        </w:rPr>
        <w:t>表</w:t>
      </w:r>
      <w:r>
        <w:rPr>
          <w:rFonts w:hint="eastAsia" w:eastAsia="黑体"/>
          <w:lang w:val="en-US" w:eastAsia="zh-CN"/>
        </w:rPr>
        <w:t>5</w:t>
      </w:r>
      <w:r>
        <w:rPr>
          <w:rFonts w:eastAsia="黑体"/>
        </w:rPr>
        <w:t xml:space="preserve"> 重复性限</w:t>
      </w:r>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3"/>
        <w:gridCol w:w="1589"/>
        <w:gridCol w:w="1589"/>
        <w:gridCol w:w="1589"/>
        <w:gridCol w:w="1591"/>
        <w:gridCol w:w="1639"/>
      </w:tblGrid>
      <w:tr w14:paraId="09E1D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18" w:type="pct"/>
            <w:tcBorders>
              <w:top w:val="single" w:color="auto" w:sz="8" w:space="0"/>
              <w:left w:val="single" w:color="auto" w:sz="8" w:space="0"/>
              <w:bottom w:val="single" w:color="auto" w:sz="8" w:space="0"/>
              <w:right w:val="single" w:color="auto" w:sz="4" w:space="0"/>
            </w:tcBorders>
            <w:vAlign w:val="center"/>
          </w:tcPr>
          <w:p w14:paraId="4D660AD2">
            <w:pPr>
              <w:jc w:val="center"/>
              <w:rPr>
                <w:sz w:val="18"/>
                <w:szCs w:val="18"/>
              </w:rPr>
            </w:pPr>
            <w:r>
              <w:rPr>
                <w:rFonts w:hint="eastAsia"/>
                <w:sz w:val="18"/>
                <w:szCs w:val="18"/>
              </w:rPr>
              <w:t>元素</w:t>
            </w:r>
          </w:p>
        </w:tc>
        <w:tc>
          <w:tcPr>
            <w:tcW w:w="831" w:type="pct"/>
            <w:tcBorders>
              <w:top w:val="single" w:color="auto" w:sz="8" w:space="0"/>
              <w:left w:val="single" w:color="auto" w:sz="4" w:space="0"/>
              <w:bottom w:val="single" w:color="auto" w:sz="8" w:space="0"/>
              <w:right w:val="single" w:color="auto" w:sz="4" w:space="0"/>
            </w:tcBorders>
            <w:vAlign w:val="center"/>
          </w:tcPr>
          <w:p w14:paraId="5EBA00F0">
            <w:pPr>
              <w:adjustRightInd w:val="0"/>
              <w:snapToGrid w:val="0"/>
              <w:jc w:val="center"/>
              <w:rPr>
                <w:rFonts w:hint="eastAsia" w:hAnsi="宋体"/>
                <w:sz w:val="18"/>
                <w:szCs w:val="18"/>
              </w:rPr>
            </w:pPr>
            <w:r>
              <w:rPr>
                <w:rFonts w:hint="eastAsia" w:hAnsi="宋体"/>
                <w:sz w:val="18"/>
                <w:szCs w:val="18"/>
              </w:rPr>
              <w:t>质量分数</w:t>
            </w:r>
          </w:p>
          <w:p w14:paraId="20C2F18C">
            <w:pPr>
              <w:adjustRightInd w:val="0"/>
              <w:snapToGrid w:val="0"/>
              <w:jc w:val="center"/>
              <w:rPr>
                <w:rFonts w:hint="eastAsia" w:hAnsi="宋体"/>
                <w:sz w:val="18"/>
                <w:szCs w:val="18"/>
              </w:rPr>
            </w:pPr>
            <w:r>
              <w:rPr>
                <w:rFonts w:hint="eastAsia"/>
                <w:sz w:val="18"/>
                <w:szCs w:val="18"/>
              </w:rPr>
              <w:t>%</w:t>
            </w:r>
          </w:p>
        </w:tc>
        <w:tc>
          <w:tcPr>
            <w:tcW w:w="831" w:type="pct"/>
            <w:tcBorders>
              <w:top w:val="single" w:color="auto" w:sz="8" w:space="0"/>
              <w:left w:val="single" w:color="auto" w:sz="4" w:space="0"/>
              <w:bottom w:val="single" w:color="auto" w:sz="8" w:space="0"/>
              <w:right w:val="double" w:color="auto" w:sz="4" w:space="0"/>
            </w:tcBorders>
            <w:vAlign w:val="center"/>
          </w:tcPr>
          <w:p w14:paraId="71B95316">
            <w:pPr>
              <w:adjustRightInd w:val="0"/>
              <w:snapToGrid w:val="0"/>
              <w:jc w:val="center"/>
              <w:rPr>
                <w:rFonts w:hint="eastAsia" w:hAnsi="宋体"/>
                <w:sz w:val="18"/>
                <w:szCs w:val="18"/>
              </w:rPr>
            </w:pPr>
            <w:r>
              <w:rPr>
                <w:rFonts w:hint="eastAsia" w:hAnsi="宋体"/>
                <w:sz w:val="18"/>
                <w:szCs w:val="18"/>
              </w:rPr>
              <w:t>重复性限（</w:t>
            </w:r>
            <w:r>
              <w:rPr>
                <w:rFonts w:hint="eastAsia" w:hAnsi="宋体"/>
                <w:i/>
                <w:iCs/>
                <w:sz w:val="18"/>
                <w:szCs w:val="18"/>
              </w:rPr>
              <w:t>r</w:t>
            </w:r>
            <w:r>
              <w:rPr>
                <w:rFonts w:hint="eastAsia" w:hAnsi="宋体"/>
                <w:sz w:val="18"/>
                <w:szCs w:val="18"/>
              </w:rPr>
              <w:t>）</w:t>
            </w:r>
          </w:p>
          <w:p w14:paraId="6DB55AEA">
            <w:pPr>
              <w:adjustRightInd w:val="0"/>
              <w:snapToGrid w:val="0"/>
              <w:jc w:val="center"/>
              <w:rPr>
                <w:rFonts w:hint="eastAsia" w:hAnsi="宋体"/>
                <w:sz w:val="18"/>
                <w:szCs w:val="18"/>
              </w:rPr>
            </w:pPr>
            <w:r>
              <w:rPr>
                <w:rFonts w:hint="eastAsia"/>
                <w:sz w:val="18"/>
                <w:szCs w:val="18"/>
              </w:rPr>
              <w:t>%</w:t>
            </w:r>
          </w:p>
        </w:tc>
        <w:tc>
          <w:tcPr>
            <w:tcW w:w="831" w:type="pct"/>
            <w:tcBorders>
              <w:top w:val="single" w:color="auto" w:sz="8" w:space="0"/>
              <w:left w:val="double" w:color="auto" w:sz="4" w:space="0"/>
              <w:bottom w:val="single" w:color="auto" w:sz="8" w:space="0"/>
              <w:right w:val="single" w:color="auto" w:sz="4" w:space="0"/>
            </w:tcBorders>
            <w:vAlign w:val="center"/>
          </w:tcPr>
          <w:p w14:paraId="616DC0D0">
            <w:pPr>
              <w:jc w:val="center"/>
              <w:rPr>
                <w:sz w:val="18"/>
                <w:szCs w:val="18"/>
              </w:rPr>
            </w:pPr>
            <w:r>
              <w:rPr>
                <w:rFonts w:hint="eastAsia"/>
                <w:sz w:val="18"/>
                <w:szCs w:val="18"/>
              </w:rPr>
              <w:t>元素</w:t>
            </w:r>
          </w:p>
        </w:tc>
        <w:tc>
          <w:tcPr>
            <w:tcW w:w="832" w:type="pct"/>
            <w:tcBorders>
              <w:top w:val="single" w:color="auto" w:sz="8" w:space="0"/>
              <w:left w:val="single" w:color="auto" w:sz="4" w:space="0"/>
              <w:bottom w:val="single" w:color="auto" w:sz="8" w:space="0"/>
              <w:right w:val="single" w:color="auto" w:sz="4" w:space="0"/>
            </w:tcBorders>
            <w:vAlign w:val="center"/>
          </w:tcPr>
          <w:p w14:paraId="4A8AC481">
            <w:pPr>
              <w:adjustRightInd w:val="0"/>
              <w:snapToGrid w:val="0"/>
              <w:jc w:val="center"/>
              <w:rPr>
                <w:rFonts w:hint="eastAsia" w:hAnsi="宋体"/>
                <w:sz w:val="18"/>
                <w:szCs w:val="18"/>
              </w:rPr>
            </w:pPr>
            <w:r>
              <w:rPr>
                <w:rFonts w:hint="eastAsia" w:hAnsi="宋体"/>
                <w:sz w:val="18"/>
                <w:szCs w:val="18"/>
              </w:rPr>
              <w:t>质量分数</w:t>
            </w:r>
          </w:p>
          <w:p w14:paraId="48A153A4">
            <w:pPr>
              <w:adjustRightInd w:val="0"/>
              <w:snapToGrid w:val="0"/>
              <w:jc w:val="center"/>
              <w:rPr>
                <w:rFonts w:hint="eastAsia" w:hAnsi="宋体"/>
                <w:sz w:val="18"/>
                <w:szCs w:val="18"/>
              </w:rPr>
            </w:pPr>
            <w:r>
              <w:rPr>
                <w:rFonts w:hint="eastAsia"/>
                <w:sz w:val="18"/>
                <w:szCs w:val="18"/>
              </w:rPr>
              <w:t>%</w:t>
            </w:r>
          </w:p>
        </w:tc>
        <w:tc>
          <w:tcPr>
            <w:tcW w:w="852" w:type="pct"/>
            <w:tcBorders>
              <w:top w:val="single" w:color="auto" w:sz="8" w:space="0"/>
              <w:left w:val="single" w:color="auto" w:sz="4" w:space="0"/>
              <w:bottom w:val="single" w:color="auto" w:sz="8" w:space="0"/>
              <w:right w:val="single" w:color="auto" w:sz="8" w:space="0"/>
            </w:tcBorders>
            <w:vAlign w:val="center"/>
          </w:tcPr>
          <w:p w14:paraId="70129F0E">
            <w:pPr>
              <w:adjustRightInd w:val="0"/>
              <w:snapToGrid w:val="0"/>
              <w:jc w:val="center"/>
              <w:rPr>
                <w:rFonts w:hint="eastAsia" w:hAnsi="宋体"/>
                <w:sz w:val="18"/>
                <w:szCs w:val="18"/>
              </w:rPr>
            </w:pPr>
            <w:r>
              <w:rPr>
                <w:rFonts w:hint="eastAsia" w:hAnsi="宋体"/>
                <w:sz w:val="18"/>
                <w:szCs w:val="18"/>
              </w:rPr>
              <w:t>重复性限（</w:t>
            </w:r>
            <w:r>
              <w:rPr>
                <w:rFonts w:hint="eastAsia" w:hAnsi="宋体"/>
                <w:i/>
                <w:iCs/>
                <w:sz w:val="18"/>
                <w:szCs w:val="18"/>
              </w:rPr>
              <w:t>r</w:t>
            </w:r>
            <w:r>
              <w:rPr>
                <w:rFonts w:hint="eastAsia" w:hAnsi="宋体"/>
                <w:sz w:val="18"/>
                <w:szCs w:val="18"/>
              </w:rPr>
              <w:t>）</w:t>
            </w:r>
          </w:p>
          <w:p w14:paraId="156CCC2E">
            <w:pPr>
              <w:adjustRightInd w:val="0"/>
              <w:snapToGrid w:val="0"/>
              <w:jc w:val="center"/>
              <w:rPr>
                <w:rFonts w:hint="eastAsia" w:hAnsi="宋体"/>
                <w:sz w:val="18"/>
                <w:szCs w:val="18"/>
              </w:rPr>
            </w:pPr>
            <w:r>
              <w:rPr>
                <w:rFonts w:hint="eastAsia"/>
                <w:sz w:val="18"/>
                <w:szCs w:val="18"/>
              </w:rPr>
              <w:t>%</w:t>
            </w:r>
          </w:p>
        </w:tc>
      </w:tr>
      <w:tr w14:paraId="455B2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8" w:space="0"/>
              <w:left w:val="single" w:color="auto" w:sz="8" w:space="0"/>
              <w:bottom w:val="single" w:color="auto" w:sz="4" w:space="0"/>
              <w:right w:val="single" w:color="auto" w:sz="4" w:space="0"/>
            </w:tcBorders>
            <w:vAlign w:val="center"/>
          </w:tcPr>
          <w:p w14:paraId="3703367C">
            <w:pPr>
              <w:jc w:val="center"/>
              <w:rPr>
                <w:sz w:val="18"/>
                <w:szCs w:val="18"/>
              </w:rPr>
            </w:pPr>
            <w:r>
              <w:rPr>
                <w:rFonts w:hint="eastAsia"/>
                <w:sz w:val="18"/>
                <w:szCs w:val="18"/>
              </w:rPr>
              <w:t>钙</w:t>
            </w:r>
          </w:p>
        </w:tc>
        <w:tc>
          <w:tcPr>
            <w:tcW w:w="831" w:type="pct"/>
            <w:tcBorders>
              <w:top w:val="single" w:color="auto" w:sz="8" w:space="0"/>
              <w:left w:val="single" w:color="auto" w:sz="4" w:space="0"/>
              <w:bottom w:val="single" w:color="auto" w:sz="4" w:space="0"/>
              <w:right w:val="single" w:color="auto" w:sz="4" w:space="0"/>
            </w:tcBorders>
            <w:vAlign w:val="center"/>
          </w:tcPr>
          <w:p w14:paraId="114DFD74">
            <w:pPr>
              <w:jc w:val="center"/>
              <w:rPr>
                <w:sz w:val="18"/>
                <w:szCs w:val="18"/>
              </w:rPr>
            </w:pPr>
            <w:r>
              <w:rPr>
                <w:rFonts w:hint="eastAsia"/>
                <w:sz w:val="18"/>
                <w:szCs w:val="18"/>
              </w:rPr>
              <w:t>0.35</w:t>
            </w:r>
          </w:p>
        </w:tc>
        <w:tc>
          <w:tcPr>
            <w:tcW w:w="831" w:type="pct"/>
            <w:tcBorders>
              <w:top w:val="single" w:color="auto" w:sz="8" w:space="0"/>
              <w:left w:val="single" w:color="auto" w:sz="4" w:space="0"/>
              <w:bottom w:val="single" w:color="auto" w:sz="4" w:space="0"/>
              <w:right w:val="double" w:color="auto" w:sz="4" w:space="0"/>
            </w:tcBorders>
            <w:vAlign w:val="center"/>
          </w:tcPr>
          <w:p w14:paraId="78010CC6">
            <w:pPr>
              <w:jc w:val="center"/>
              <w:rPr>
                <w:sz w:val="18"/>
                <w:szCs w:val="18"/>
              </w:rPr>
            </w:pPr>
            <w:r>
              <w:rPr>
                <w:rFonts w:hint="eastAsia"/>
                <w:sz w:val="18"/>
                <w:szCs w:val="18"/>
              </w:rPr>
              <w:t>0.02</w:t>
            </w:r>
          </w:p>
        </w:tc>
        <w:tc>
          <w:tcPr>
            <w:tcW w:w="831" w:type="pct"/>
            <w:vMerge w:val="restart"/>
            <w:tcBorders>
              <w:top w:val="single" w:color="auto" w:sz="8" w:space="0"/>
              <w:left w:val="double" w:color="auto" w:sz="4" w:space="0"/>
              <w:bottom w:val="single" w:color="auto" w:sz="4" w:space="0"/>
              <w:right w:val="single" w:color="auto" w:sz="4" w:space="0"/>
            </w:tcBorders>
            <w:vAlign w:val="center"/>
          </w:tcPr>
          <w:p w14:paraId="5B540CA0">
            <w:pPr>
              <w:jc w:val="center"/>
              <w:rPr>
                <w:sz w:val="18"/>
                <w:szCs w:val="18"/>
              </w:rPr>
            </w:pPr>
            <w:r>
              <w:rPr>
                <w:rFonts w:hint="eastAsia"/>
                <w:sz w:val="18"/>
                <w:szCs w:val="18"/>
              </w:rPr>
              <w:t>锑</w:t>
            </w:r>
          </w:p>
        </w:tc>
        <w:tc>
          <w:tcPr>
            <w:tcW w:w="832" w:type="pct"/>
            <w:tcBorders>
              <w:top w:val="single" w:color="auto" w:sz="8" w:space="0"/>
              <w:left w:val="single" w:color="auto" w:sz="4" w:space="0"/>
              <w:bottom w:val="single" w:color="auto" w:sz="4" w:space="0"/>
              <w:right w:val="single" w:color="auto" w:sz="4" w:space="0"/>
            </w:tcBorders>
            <w:vAlign w:val="center"/>
          </w:tcPr>
          <w:p w14:paraId="42754A57">
            <w:pPr>
              <w:jc w:val="center"/>
              <w:rPr>
                <w:sz w:val="18"/>
                <w:szCs w:val="18"/>
              </w:rPr>
            </w:pPr>
            <w:r>
              <w:rPr>
                <w:rFonts w:hint="eastAsia"/>
                <w:sz w:val="18"/>
                <w:szCs w:val="18"/>
              </w:rPr>
              <w:t>0.10</w:t>
            </w:r>
          </w:p>
        </w:tc>
        <w:tc>
          <w:tcPr>
            <w:tcW w:w="852" w:type="pct"/>
            <w:tcBorders>
              <w:top w:val="single" w:color="auto" w:sz="8" w:space="0"/>
              <w:left w:val="single" w:color="auto" w:sz="4" w:space="0"/>
              <w:bottom w:val="single" w:color="auto" w:sz="4" w:space="0"/>
              <w:right w:val="single" w:color="auto" w:sz="8" w:space="0"/>
            </w:tcBorders>
            <w:vAlign w:val="center"/>
          </w:tcPr>
          <w:p w14:paraId="28B1BAE2">
            <w:pPr>
              <w:jc w:val="center"/>
              <w:rPr>
                <w:sz w:val="18"/>
                <w:szCs w:val="18"/>
              </w:rPr>
            </w:pPr>
            <w:r>
              <w:rPr>
                <w:rFonts w:hint="eastAsia"/>
                <w:sz w:val="18"/>
                <w:szCs w:val="18"/>
              </w:rPr>
              <w:t>0.01</w:t>
            </w:r>
          </w:p>
        </w:tc>
      </w:tr>
      <w:tr w14:paraId="0BE78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55736ACC">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7D4FA3D">
            <w:pPr>
              <w:jc w:val="center"/>
              <w:rPr>
                <w:sz w:val="18"/>
                <w:szCs w:val="18"/>
              </w:rPr>
            </w:pPr>
            <w:r>
              <w:rPr>
                <w:rFonts w:hint="eastAsia"/>
                <w:sz w:val="18"/>
                <w:szCs w:val="18"/>
              </w:rPr>
              <w:t>0.99</w:t>
            </w:r>
          </w:p>
        </w:tc>
        <w:tc>
          <w:tcPr>
            <w:tcW w:w="831" w:type="pct"/>
            <w:tcBorders>
              <w:top w:val="single" w:color="auto" w:sz="4" w:space="0"/>
              <w:left w:val="single" w:color="auto" w:sz="4" w:space="0"/>
              <w:bottom w:val="single" w:color="auto" w:sz="4" w:space="0"/>
              <w:right w:val="double" w:color="auto" w:sz="4" w:space="0"/>
            </w:tcBorders>
            <w:vAlign w:val="center"/>
          </w:tcPr>
          <w:p w14:paraId="5090BFBD">
            <w:pPr>
              <w:jc w:val="center"/>
              <w:rPr>
                <w:sz w:val="18"/>
                <w:szCs w:val="18"/>
              </w:rPr>
            </w:pPr>
            <w:r>
              <w:rPr>
                <w:rFonts w:hint="eastAsia"/>
                <w:sz w:val="18"/>
                <w:szCs w:val="18"/>
              </w:rPr>
              <w:t>0.05</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5C189DB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37681A9A">
            <w:pPr>
              <w:jc w:val="center"/>
              <w:rPr>
                <w:sz w:val="18"/>
                <w:szCs w:val="18"/>
              </w:rPr>
            </w:pPr>
            <w:r>
              <w:rPr>
                <w:rFonts w:hint="eastAsia"/>
                <w:sz w:val="18"/>
                <w:szCs w:val="18"/>
              </w:rPr>
              <w:t>0.72</w:t>
            </w:r>
          </w:p>
        </w:tc>
        <w:tc>
          <w:tcPr>
            <w:tcW w:w="852" w:type="pct"/>
            <w:tcBorders>
              <w:top w:val="single" w:color="auto" w:sz="4" w:space="0"/>
              <w:left w:val="single" w:color="auto" w:sz="4" w:space="0"/>
              <w:bottom w:val="single" w:color="auto" w:sz="4" w:space="0"/>
              <w:right w:val="single" w:color="auto" w:sz="8" w:space="0"/>
            </w:tcBorders>
            <w:vAlign w:val="center"/>
          </w:tcPr>
          <w:p w14:paraId="2FD14F9A">
            <w:pPr>
              <w:jc w:val="center"/>
              <w:rPr>
                <w:sz w:val="18"/>
                <w:szCs w:val="18"/>
              </w:rPr>
            </w:pPr>
            <w:r>
              <w:rPr>
                <w:rFonts w:hint="eastAsia"/>
                <w:sz w:val="18"/>
                <w:szCs w:val="18"/>
              </w:rPr>
              <w:t>0.06</w:t>
            </w:r>
          </w:p>
        </w:tc>
      </w:tr>
      <w:tr w14:paraId="425AC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4D7DCE4E">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E6076BA">
            <w:pPr>
              <w:jc w:val="center"/>
              <w:rPr>
                <w:sz w:val="18"/>
                <w:szCs w:val="18"/>
              </w:rPr>
            </w:pPr>
            <w:r>
              <w:rPr>
                <w:rFonts w:hint="eastAsia"/>
                <w:sz w:val="18"/>
                <w:szCs w:val="18"/>
              </w:rPr>
              <w:t>1.51</w:t>
            </w:r>
          </w:p>
        </w:tc>
        <w:tc>
          <w:tcPr>
            <w:tcW w:w="831" w:type="pct"/>
            <w:tcBorders>
              <w:top w:val="single" w:color="auto" w:sz="4" w:space="0"/>
              <w:left w:val="single" w:color="auto" w:sz="4" w:space="0"/>
              <w:bottom w:val="single" w:color="auto" w:sz="4" w:space="0"/>
              <w:right w:val="double" w:color="auto" w:sz="4" w:space="0"/>
            </w:tcBorders>
            <w:vAlign w:val="center"/>
          </w:tcPr>
          <w:p w14:paraId="05B7A919">
            <w:pPr>
              <w:jc w:val="center"/>
              <w:rPr>
                <w:sz w:val="18"/>
                <w:szCs w:val="18"/>
              </w:rPr>
            </w:pPr>
            <w:r>
              <w:rPr>
                <w:rFonts w:hint="eastAsia"/>
                <w:sz w:val="18"/>
                <w:szCs w:val="18"/>
              </w:rPr>
              <w:t>0.07</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71DECA5E">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B067163">
            <w:pPr>
              <w:jc w:val="center"/>
              <w:rPr>
                <w:sz w:val="18"/>
                <w:szCs w:val="18"/>
              </w:rPr>
            </w:pPr>
            <w:r>
              <w:rPr>
                <w:rFonts w:hint="eastAsia"/>
                <w:sz w:val="18"/>
                <w:szCs w:val="18"/>
              </w:rPr>
              <w:t>1.81</w:t>
            </w:r>
          </w:p>
        </w:tc>
        <w:tc>
          <w:tcPr>
            <w:tcW w:w="852" w:type="pct"/>
            <w:tcBorders>
              <w:top w:val="single" w:color="auto" w:sz="4" w:space="0"/>
              <w:left w:val="single" w:color="auto" w:sz="4" w:space="0"/>
              <w:bottom w:val="single" w:color="auto" w:sz="4" w:space="0"/>
              <w:right w:val="single" w:color="auto" w:sz="8" w:space="0"/>
            </w:tcBorders>
            <w:vAlign w:val="center"/>
          </w:tcPr>
          <w:p w14:paraId="1138928C">
            <w:pPr>
              <w:jc w:val="center"/>
              <w:rPr>
                <w:sz w:val="18"/>
                <w:szCs w:val="18"/>
              </w:rPr>
            </w:pPr>
            <w:r>
              <w:rPr>
                <w:rFonts w:hint="eastAsia"/>
                <w:sz w:val="18"/>
                <w:szCs w:val="18"/>
              </w:rPr>
              <w:t>0.12</w:t>
            </w:r>
          </w:p>
        </w:tc>
      </w:tr>
      <w:tr w14:paraId="73105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2F559649">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1732944">
            <w:pPr>
              <w:jc w:val="center"/>
              <w:rPr>
                <w:sz w:val="18"/>
                <w:szCs w:val="18"/>
              </w:rPr>
            </w:pPr>
            <w:r>
              <w:rPr>
                <w:rFonts w:hint="eastAsia"/>
                <w:sz w:val="18"/>
                <w:szCs w:val="18"/>
              </w:rPr>
              <w:t>6.00</w:t>
            </w:r>
          </w:p>
        </w:tc>
        <w:tc>
          <w:tcPr>
            <w:tcW w:w="831" w:type="pct"/>
            <w:tcBorders>
              <w:top w:val="single" w:color="auto" w:sz="4" w:space="0"/>
              <w:left w:val="single" w:color="auto" w:sz="4" w:space="0"/>
              <w:bottom w:val="single" w:color="auto" w:sz="4" w:space="0"/>
              <w:right w:val="double" w:color="auto" w:sz="4" w:space="0"/>
            </w:tcBorders>
            <w:vAlign w:val="center"/>
          </w:tcPr>
          <w:p w14:paraId="3A02D8C4">
            <w:pPr>
              <w:jc w:val="center"/>
              <w:rPr>
                <w:sz w:val="18"/>
                <w:szCs w:val="18"/>
              </w:rPr>
            </w:pPr>
            <w:r>
              <w:rPr>
                <w:rFonts w:hint="eastAsia"/>
                <w:sz w:val="18"/>
                <w:szCs w:val="18"/>
              </w:rPr>
              <w:t>0.28</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1A42A07D">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9138CB7">
            <w:pPr>
              <w:jc w:val="center"/>
              <w:rPr>
                <w:sz w:val="18"/>
                <w:szCs w:val="18"/>
              </w:rPr>
            </w:pPr>
            <w:r>
              <w:rPr>
                <w:rFonts w:hint="eastAsia"/>
                <w:sz w:val="18"/>
                <w:szCs w:val="18"/>
              </w:rPr>
              <w:t>3.32</w:t>
            </w:r>
          </w:p>
        </w:tc>
        <w:tc>
          <w:tcPr>
            <w:tcW w:w="852" w:type="pct"/>
            <w:tcBorders>
              <w:top w:val="single" w:color="auto" w:sz="4" w:space="0"/>
              <w:left w:val="single" w:color="auto" w:sz="4" w:space="0"/>
              <w:bottom w:val="single" w:color="auto" w:sz="4" w:space="0"/>
              <w:right w:val="single" w:color="auto" w:sz="8" w:space="0"/>
            </w:tcBorders>
            <w:vAlign w:val="center"/>
          </w:tcPr>
          <w:p w14:paraId="4E0A0FE3">
            <w:pPr>
              <w:jc w:val="center"/>
              <w:rPr>
                <w:sz w:val="18"/>
                <w:szCs w:val="18"/>
              </w:rPr>
            </w:pPr>
            <w:r>
              <w:rPr>
                <w:rFonts w:hint="eastAsia"/>
                <w:sz w:val="18"/>
                <w:szCs w:val="18"/>
              </w:rPr>
              <w:t>0.27</w:t>
            </w:r>
          </w:p>
        </w:tc>
      </w:tr>
      <w:tr w14:paraId="4B02F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restart"/>
            <w:tcBorders>
              <w:top w:val="single" w:color="auto" w:sz="4" w:space="0"/>
              <w:left w:val="single" w:color="auto" w:sz="8" w:space="0"/>
              <w:right w:val="single" w:color="auto" w:sz="4" w:space="0"/>
            </w:tcBorders>
            <w:vAlign w:val="center"/>
          </w:tcPr>
          <w:p w14:paraId="54A44827">
            <w:pPr>
              <w:jc w:val="center"/>
              <w:rPr>
                <w:sz w:val="18"/>
                <w:szCs w:val="18"/>
              </w:rPr>
            </w:pPr>
            <w:r>
              <w:rPr>
                <w:rFonts w:hint="eastAsia"/>
                <w:sz w:val="18"/>
                <w:szCs w:val="18"/>
              </w:rPr>
              <w:t>镁</w:t>
            </w:r>
          </w:p>
        </w:tc>
        <w:tc>
          <w:tcPr>
            <w:tcW w:w="831" w:type="pct"/>
            <w:tcBorders>
              <w:top w:val="single" w:color="auto" w:sz="4" w:space="0"/>
              <w:left w:val="single" w:color="auto" w:sz="4" w:space="0"/>
              <w:bottom w:val="single" w:color="auto" w:sz="4" w:space="0"/>
              <w:right w:val="single" w:color="auto" w:sz="4" w:space="0"/>
            </w:tcBorders>
            <w:vAlign w:val="center"/>
          </w:tcPr>
          <w:p w14:paraId="3D70E566">
            <w:pPr>
              <w:jc w:val="center"/>
              <w:rPr>
                <w:sz w:val="18"/>
                <w:szCs w:val="18"/>
              </w:rPr>
            </w:pPr>
            <w:r>
              <w:rPr>
                <w:rFonts w:hint="eastAsia"/>
                <w:sz w:val="18"/>
                <w:szCs w:val="18"/>
              </w:rPr>
              <w:t>0.20</w:t>
            </w:r>
          </w:p>
        </w:tc>
        <w:tc>
          <w:tcPr>
            <w:tcW w:w="831" w:type="pct"/>
            <w:tcBorders>
              <w:top w:val="single" w:color="auto" w:sz="4" w:space="0"/>
              <w:left w:val="single" w:color="auto" w:sz="4" w:space="0"/>
              <w:bottom w:val="single" w:color="auto" w:sz="4" w:space="0"/>
              <w:right w:val="double" w:color="auto" w:sz="4" w:space="0"/>
            </w:tcBorders>
            <w:vAlign w:val="center"/>
          </w:tcPr>
          <w:p w14:paraId="2F1D3CBE">
            <w:pPr>
              <w:jc w:val="center"/>
              <w:rPr>
                <w:sz w:val="18"/>
                <w:szCs w:val="18"/>
              </w:rPr>
            </w:pPr>
            <w:r>
              <w:rPr>
                <w:rFonts w:hint="eastAsia"/>
                <w:sz w:val="18"/>
                <w:szCs w:val="18"/>
              </w:rPr>
              <w:t>0.02</w:t>
            </w:r>
          </w:p>
        </w:tc>
        <w:tc>
          <w:tcPr>
            <w:tcW w:w="831" w:type="pct"/>
            <w:vMerge w:val="restart"/>
            <w:tcBorders>
              <w:top w:val="single" w:color="auto" w:sz="4" w:space="0"/>
              <w:left w:val="double" w:color="auto" w:sz="4" w:space="0"/>
              <w:right w:val="single" w:color="auto" w:sz="4" w:space="0"/>
            </w:tcBorders>
            <w:vAlign w:val="center"/>
          </w:tcPr>
          <w:p w14:paraId="0FB011D4">
            <w:pPr>
              <w:jc w:val="center"/>
              <w:rPr>
                <w:sz w:val="18"/>
                <w:szCs w:val="18"/>
              </w:rPr>
            </w:pPr>
            <w:r>
              <w:rPr>
                <w:rFonts w:hint="eastAsia"/>
                <w:sz w:val="18"/>
                <w:szCs w:val="18"/>
              </w:rPr>
              <w:t>铋</w:t>
            </w:r>
          </w:p>
        </w:tc>
        <w:tc>
          <w:tcPr>
            <w:tcW w:w="832" w:type="pct"/>
            <w:tcBorders>
              <w:top w:val="single" w:color="auto" w:sz="4" w:space="0"/>
              <w:left w:val="single" w:color="auto" w:sz="4" w:space="0"/>
              <w:bottom w:val="single" w:color="auto" w:sz="4" w:space="0"/>
              <w:right w:val="single" w:color="auto" w:sz="4" w:space="0"/>
            </w:tcBorders>
            <w:vAlign w:val="center"/>
          </w:tcPr>
          <w:p w14:paraId="70A8AC75">
            <w:pPr>
              <w:jc w:val="center"/>
              <w:rPr>
                <w:sz w:val="18"/>
                <w:szCs w:val="18"/>
              </w:rPr>
            </w:pPr>
            <w:r>
              <w:rPr>
                <w:rFonts w:hint="eastAsia"/>
                <w:sz w:val="18"/>
                <w:szCs w:val="18"/>
              </w:rPr>
              <w:t>0.11</w:t>
            </w:r>
          </w:p>
        </w:tc>
        <w:tc>
          <w:tcPr>
            <w:tcW w:w="852" w:type="pct"/>
            <w:tcBorders>
              <w:top w:val="single" w:color="auto" w:sz="4" w:space="0"/>
              <w:left w:val="single" w:color="auto" w:sz="4" w:space="0"/>
              <w:bottom w:val="single" w:color="auto" w:sz="4" w:space="0"/>
              <w:right w:val="single" w:color="auto" w:sz="8" w:space="0"/>
            </w:tcBorders>
            <w:vAlign w:val="center"/>
          </w:tcPr>
          <w:p w14:paraId="11ECF86C">
            <w:pPr>
              <w:jc w:val="center"/>
              <w:rPr>
                <w:sz w:val="18"/>
                <w:szCs w:val="18"/>
              </w:rPr>
            </w:pPr>
            <w:r>
              <w:rPr>
                <w:rFonts w:hint="eastAsia"/>
                <w:sz w:val="18"/>
                <w:szCs w:val="18"/>
              </w:rPr>
              <w:t>0.01</w:t>
            </w:r>
          </w:p>
        </w:tc>
      </w:tr>
      <w:tr w14:paraId="6D8CE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right w:val="single" w:color="auto" w:sz="4" w:space="0"/>
            </w:tcBorders>
            <w:vAlign w:val="center"/>
          </w:tcPr>
          <w:p w14:paraId="4C58E9CA">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A0DC3C7">
            <w:pPr>
              <w:jc w:val="center"/>
              <w:rPr>
                <w:sz w:val="18"/>
                <w:szCs w:val="18"/>
              </w:rPr>
            </w:pPr>
            <w:r>
              <w:rPr>
                <w:rFonts w:hint="eastAsia"/>
                <w:sz w:val="18"/>
                <w:szCs w:val="18"/>
              </w:rPr>
              <w:t>1.36</w:t>
            </w:r>
          </w:p>
        </w:tc>
        <w:tc>
          <w:tcPr>
            <w:tcW w:w="831" w:type="pct"/>
            <w:tcBorders>
              <w:top w:val="single" w:color="auto" w:sz="4" w:space="0"/>
              <w:left w:val="single" w:color="auto" w:sz="4" w:space="0"/>
              <w:bottom w:val="single" w:color="auto" w:sz="4" w:space="0"/>
              <w:right w:val="double" w:color="auto" w:sz="4" w:space="0"/>
            </w:tcBorders>
            <w:vAlign w:val="center"/>
          </w:tcPr>
          <w:p w14:paraId="4D1C5128">
            <w:pPr>
              <w:jc w:val="center"/>
              <w:rPr>
                <w:sz w:val="18"/>
                <w:szCs w:val="18"/>
              </w:rPr>
            </w:pPr>
            <w:r>
              <w:rPr>
                <w:rFonts w:hint="eastAsia"/>
                <w:sz w:val="18"/>
                <w:szCs w:val="18"/>
              </w:rPr>
              <w:t>0.07</w:t>
            </w:r>
          </w:p>
        </w:tc>
        <w:tc>
          <w:tcPr>
            <w:tcW w:w="831" w:type="pct"/>
            <w:vMerge w:val="continue"/>
            <w:tcBorders>
              <w:left w:val="double" w:color="auto" w:sz="4" w:space="0"/>
              <w:right w:val="single" w:color="auto" w:sz="4" w:space="0"/>
            </w:tcBorders>
            <w:vAlign w:val="center"/>
          </w:tcPr>
          <w:p w14:paraId="52623748">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1CEFB780">
            <w:pPr>
              <w:jc w:val="center"/>
              <w:rPr>
                <w:sz w:val="18"/>
                <w:szCs w:val="18"/>
              </w:rPr>
            </w:pPr>
            <w:r>
              <w:rPr>
                <w:rFonts w:hint="eastAsia"/>
                <w:sz w:val="18"/>
                <w:szCs w:val="18"/>
              </w:rPr>
              <w:t>0.42</w:t>
            </w:r>
          </w:p>
        </w:tc>
        <w:tc>
          <w:tcPr>
            <w:tcW w:w="852" w:type="pct"/>
            <w:tcBorders>
              <w:top w:val="single" w:color="auto" w:sz="4" w:space="0"/>
              <w:left w:val="single" w:color="auto" w:sz="4" w:space="0"/>
              <w:bottom w:val="single" w:color="auto" w:sz="4" w:space="0"/>
              <w:right w:val="single" w:color="auto" w:sz="8" w:space="0"/>
            </w:tcBorders>
            <w:vAlign w:val="center"/>
          </w:tcPr>
          <w:p w14:paraId="335F6405">
            <w:pPr>
              <w:jc w:val="center"/>
              <w:rPr>
                <w:sz w:val="18"/>
                <w:szCs w:val="18"/>
              </w:rPr>
            </w:pPr>
            <w:r>
              <w:rPr>
                <w:rFonts w:hint="eastAsia"/>
                <w:sz w:val="18"/>
                <w:szCs w:val="18"/>
              </w:rPr>
              <w:t>0.03</w:t>
            </w:r>
          </w:p>
        </w:tc>
      </w:tr>
      <w:tr w14:paraId="752A3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right w:val="single" w:color="auto" w:sz="4" w:space="0"/>
            </w:tcBorders>
            <w:vAlign w:val="center"/>
          </w:tcPr>
          <w:p w14:paraId="51BA00E2">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7C0CF9E">
            <w:pPr>
              <w:jc w:val="center"/>
              <w:rPr>
                <w:sz w:val="18"/>
                <w:szCs w:val="18"/>
              </w:rPr>
            </w:pPr>
            <w:r>
              <w:rPr>
                <w:rFonts w:hint="eastAsia"/>
                <w:sz w:val="18"/>
                <w:szCs w:val="18"/>
              </w:rPr>
              <w:t>6.07</w:t>
            </w:r>
          </w:p>
        </w:tc>
        <w:tc>
          <w:tcPr>
            <w:tcW w:w="831" w:type="pct"/>
            <w:tcBorders>
              <w:top w:val="single" w:color="auto" w:sz="4" w:space="0"/>
              <w:left w:val="single" w:color="auto" w:sz="4" w:space="0"/>
              <w:bottom w:val="single" w:color="auto" w:sz="4" w:space="0"/>
              <w:right w:val="double" w:color="auto" w:sz="4" w:space="0"/>
            </w:tcBorders>
            <w:vAlign w:val="center"/>
          </w:tcPr>
          <w:p w14:paraId="6AE9C15A">
            <w:pPr>
              <w:jc w:val="center"/>
              <w:rPr>
                <w:sz w:val="18"/>
                <w:szCs w:val="18"/>
              </w:rPr>
            </w:pPr>
            <w:r>
              <w:rPr>
                <w:rFonts w:hint="eastAsia"/>
                <w:sz w:val="18"/>
                <w:szCs w:val="18"/>
              </w:rPr>
              <w:t>0.15</w:t>
            </w:r>
          </w:p>
        </w:tc>
        <w:tc>
          <w:tcPr>
            <w:tcW w:w="831" w:type="pct"/>
            <w:vMerge w:val="continue"/>
            <w:tcBorders>
              <w:left w:val="double" w:color="auto" w:sz="4" w:space="0"/>
              <w:right w:val="single" w:color="auto" w:sz="4" w:space="0"/>
            </w:tcBorders>
            <w:vAlign w:val="center"/>
          </w:tcPr>
          <w:p w14:paraId="24AB9B8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667B1B74">
            <w:pPr>
              <w:jc w:val="center"/>
              <w:rPr>
                <w:sz w:val="18"/>
                <w:szCs w:val="18"/>
              </w:rPr>
            </w:pPr>
            <w:r>
              <w:rPr>
                <w:rFonts w:hint="eastAsia"/>
                <w:sz w:val="18"/>
                <w:szCs w:val="18"/>
              </w:rPr>
              <w:t>0.67</w:t>
            </w:r>
          </w:p>
        </w:tc>
        <w:tc>
          <w:tcPr>
            <w:tcW w:w="852" w:type="pct"/>
            <w:tcBorders>
              <w:top w:val="single" w:color="auto" w:sz="4" w:space="0"/>
              <w:left w:val="single" w:color="auto" w:sz="4" w:space="0"/>
              <w:bottom w:val="single" w:color="auto" w:sz="4" w:space="0"/>
              <w:right w:val="single" w:color="auto" w:sz="8" w:space="0"/>
            </w:tcBorders>
            <w:vAlign w:val="center"/>
          </w:tcPr>
          <w:p w14:paraId="1BD929ED">
            <w:pPr>
              <w:jc w:val="center"/>
              <w:rPr>
                <w:sz w:val="18"/>
                <w:szCs w:val="18"/>
              </w:rPr>
            </w:pPr>
            <w:r>
              <w:rPr>
                <w:rFonts w:hint="eastAsia"/>
                <w:sz w:val="18"/>
                <w:szCs w:val="18"/>
              </w:rPr>
              <w:t>0.05</w:t>
            </w:r>
          </w:p>
        </w:tc>
      </w:tr>
      <w:tr w14:paraId="2E5D8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right w:val="single" w:color="auto" w:sz="4" w:space="0"/>
            </w:tcBorders>
            <w:vAlign w:val="center"/>
          </w:tcPr>
          <w:p w14:paraId="70374FCA">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14FCEE66">
            <w:pPr>
              <w:jc w:val="center"/>
              <w:rPr>
                <w:sz w:val="18"/>
                <w:szCs w:val="18"/>
              </w:rPr>
            </w:pPr>
            <w:r>
              <w:rPr>
                <w:rFonts w:hint="eastAsia"/>
                <w:sz w:val="18"/>
                <w:szCs w:val="18"/>
              </w:rPr>
              <w:t>12.17</w:t>
            </w:r>
          </w:p>
        </w:tc>
        <w:tc>
          <w:tcPr>
            <w:tcW w:w="831" w:type="pct"/>
            <w:tcBorders>
              <w:top w:val="single" w:color="auto" w:sz="4" w:space="0"/>
              <w:left w:val="single" w:color="auto" w:sz="4" w:space="0"/>
              <w:bottom w:val="single" w:color="auto" w:sz="4" w:space="0"/>
              <w:right w:val="double" w:color="auto" w:sz="4" w:space="0"/>
            </w:tcBorders>
            <w:vAlign w:val="center"/>
          </w:tcPr>
          <w:p w14:paraId="465275D4">
            <w:pPr>
              <w:jc w:val="center"/>
              <w:rPr>
                <w:sz w:val="18"/>
                <w:szCs w:val="18"/>
              </w:rPr>
            </w:pPr>
            <w:r>
              <w:rPr>
                <w:rFonts w:hint="eastAsia"/>
                <w:sz w:val="18"/>
                <w:szCs w:val="18"/>
              </w:rPr>
              <w:t>0.34</w:t>
            </w:r>
          </w:p>
        </w:tc>
        <w:tc>
          <w:tcPr>
            <w:tcW w:w="831" w:type="pct"/>
            <w:vMerge w:val="continue"/>
            <w:tcBorders>
              <w:left w:val="double" w:color="auto" w:sz="4" w:space="0"/>
              <w:right w:val="single" w:color="auto" w:sz="4" w:space="0"/>
            </w:tcBorders>
            <w:vAlign w:val="center"/>
          </w:tcPr>
          <w:p w14:paraId="647F1763">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7AB114D7">
            <w:pPr>
              <w:jc w:val="center"/>
              <w:rPr>
                <w:sz w:val="18"/>
                <w:szCs w:val="18"/>
              </w:rPr>
            </w:pPr>
            <w:r>
              <w:rPr>
                <w:rFonts w:hint="eastAsia"/>
                <w:sz w:val="18"/>
                <w:szCs w:val="18"/>
              </w:rPr>
              <w:t>1.08</w:t>
            </w:r>
          </w:p>
        </w:tc>
        <w:tc>
          <w:tcPr>
            <w:tcW w:w="852" w:type="pct"/>
            <w:tcBorders>
              <w:top w:val="single" w:color="auto" w:sz="4" w:space="0"/>
              <w:left w:val="single" w:color="auto" w:sz="4" w:space="0"/>
              <w:bottom w:val="single" w:color="auto" w:sz="4" w:space="0"/>
              <w:right w:val="single" w:color="auto" w:sz="8" w:space="0"/>
            </w:tcBorders>
            <w:vAlign w:val="center"/>
          </w:tcPr>
          <w:p w14:paraId="7679812D">
            <w:pPr>
              <w:jc w:val="center"/>
              <w:rPr>
                <w:sz w:val="18"/>
                <w:szCs w:val="18"/>
              </w:rPr>
            </w:pPr>
            <w:r>
              <w:rPr>
                <w:rFonts w:hint="eastAsia"/>
                <w:sz w:val="18"/>
                <w:szCs w:val="18"/>
              </w:rPr>
              <w:t>0.10</w:t>
            </w:r>
          </w:p>
        </w:tc>
      </w:tr>
      <w:tr w14:paraId="6476B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right w:val="single" w:color="auto" w:sz="4" w:space="0"/>
            </w:tcBorders>
            <w:vAlign w:val="center"/>
          </w:tcPr>
          <w:p w14:paraId="55CF5CDE">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F2A9E32">
            <w:pPr>
              <w:jc w:val="center"/>
              <w:rPr>
                <w:sz w:val="18"/>
                <w:szCs w:val="18"/>
              </w:rPr>
            </w:pPr>
            <w:r>
              <w:rPr>
                <w:rFonts w:hint="eastAsia"/>
                <w:sz w:val="18"/>
                <w:szCs w:val="18"/>
              </w:rPr>
              <w:t>14.84</w:t>
            </w:r>
          </w:p>
        </w:tc>
        <w:tc>
          <w:tcPr>
            <w:tcW w:w="831" w:type="pct"/>
            <w:tcBorders>
              <w:top w:val="single" w:color="auto" w:sz="4" w:space="0"/>
              <w:left w:val="single" w:color="auto" w:sz="4" w:space="0"/>
              <w:bottom w:val="single" w:color="auto" w:sz="4" w:space="0"/>
              <w:right w:val="double" w:color="auto" w:sz="4" w:space="0"/>
            </w:tcBorders>
            <w:vAlign w:val="center"/>
          </w:tcPr>
          <w:p w14:paraId="7103AD11">
            <w:pPr>
              <w:jc w:val="center"/>
              <w:rPr>
                <w:sz w:val="18"/>
                <w:szCs w:val="18"/>
              </w:rPr>
            </w:pPr>
            <w:r>
              <w:rPr>
                <w:rFonts w:hint="eastAsia"/>
                <w:sz w:val="18"/>
                <w:szCs w:val="18"/>
              </w:rPr>
              <w:t>0.38</w:t>
            </w:r>
          </w:p>
        </w:tc>
        <w:tc>
          <w:tcPr>
            <w:tcW w:w="831" w:type="pct"/>
            <w:vMerge w:val="continue"/>
            <w:tcBorders>
              <w:left w:val="double" w:color="auto" w:sz="4" w:space="0"/>
              <w:right w:val="single" w:color="auto" w:sz="4" w:space="0"/>
            </w:tcBorders>
            <w:vAlign w:val="center"/>
          </w:tcPr>
          <w:p w14:paraId="35135B44">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42A0FD5F">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3524EBCC">
            <w:pPr>
              <w:jc w:val="center"/>
              <w:rPr>
                <w:sz w:val="18"/>
                <w:szCs w:val="18"/>
              </w:rPr>
            </w:pPr>
            <w:r>
              <w:rPr>
                <w:rFonts w:hint="eastAsia"/>
                <w:sz w:val="18"/>
                <w:szCs w:val="18"/>
              </w:rPr>
              <w:t>-</w:t>
            </w:r>
          </w:p>
        </w:tc>
      </w:tr>
      <w:tr w14:paraId="67570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right w:val="single" w:color="auto" w:sz="4" w:space="0"/>
            </w:tcBorders>
            <w:vAlign w:val="center"/>
          </w:tcPr>
          <w:p w14:paraId="38C28713">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19C4C370">
            <w:pPr>
              <w:jc w:val="center"/>
              <w:rPr>
                <w:sz w:val="18"/>
                <w:szCs w:val="18"/>
              </w:rPr>
            </w:pPr>
            <w:r>
              <w:rPr>
                <w:rFonts w:hint="eastAsia"/>
                <w:sz w:val="18"/>
                <w:szCs w:val="18"/>
              </w:rPr>
              <w:t>20.41</w:t>
            </w:r>
          </w:p>
        </w:tc>
        <w:tc>
          <w:tcPr>
            <w:tcW w:w="831" w:type="pct"/>
            <w:tcBorders>
              <w:top w:val="single" w:color="auto" w:sz="4" w:space="0"/>
              <w:left w:val="single" w:color="auto" w:sz="4" w:space="0"/>
              <w:bottom w:val="single" w:color="auto" w:sz="4" w:space="0"/>
              <w:right w:val="double" w:color="auto" w:sz="4" w:space="0"/>
            </w:tcBorders>
            <w:vAlign w:val="center"/>
          </w:tcPr>
          <w:p w14:paraId="2C8A69DE">
            <w:pPr>
              <w:jc w:val="center"/>
              <w:rPr>
                <w:sz w:val="18"/>
                <w:szCs w:val="18"/>
              </w:rPr>
            </w:pPr>
            <w:r>
              <w:rPr>
                <w:rFonts w:hint="eastAsia"/>
                <w:sz w:val="18"/>
                <w:szCs w:val="18"/>
              </w:rPr>
              <w:t>0.47</w:t>
            </w:r>
          </w:p>
        </w:tc>
        <w:tc>
          <w:tcPr>
            <w:tcW w:w="831" w:type="pct"/>
            <w:vMerge w:val="continue"/>
            <w:tcBorders>
              <w:left w:val="double" w:color="auto" w:sz="4" w:space="0"/>
              <w:right w:val="single" w:color="auto" w:sz="4" w:space="0"/>
            </w:tcBorders>
            <w:vAlign w:val="center"/>
          </w:tcPr>
          <w:p w14:paraId="550C3CBE">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51832FB8">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30CA98DC">
            <w:pPr>
              <w:jc w:val="center"/>
              <w:rPr>
                <w:sz w:val="18"/>
                <w:szCs w:val="18"/>
              </w:rPr>
            </w:pPr>
            <w:r>
              <w:rPr>
                <w:rFonts w:hint="eastAsia"/>
                <w:sz w:val="18"/>
                <w:szCs w:val="18"/>
              </w:rPr>
              <w:t>-</w:t>
            </w:r>
          </w:p>
        </w:tc>
      </w:tr>
      <w:tr w14:paraId="07E83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818" w:type="pct"/>
            <w:vMerge w:val="continue"/>
            <w:tcBorders>
              <w:left w:val="single" w:color="auto" w:sz="8" w:space="0"/>
              <w:bottom w:val="single" w:color="auto" w:sz="4" w:space="0"/>
              <w:right w:val="single" w:color="auto" w:sz="4" w:space="0"/>
            </w:tcBorders>
            <w:vAlign w:val="center"/>
          </w:tcPr>
          <w:p w14:paraId="1012FB8B">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348B626">
            <w:pPr>
              <w:jc w:val="center"/>
              <w:rPr>
                <w:sz w:val="18"/>
                <w:szCs w:val="18"/>
              </w:rPr>
            </w:pPr>
            <w:r>
              <w:rPr>
                <w:rFonts w:hint="eastAsia"/>
                <w:sz w:val="18"/>
                <w:szCs w:val="18"/>
              </w:rPr>
              <w:t>29.15</w:t>
            </w:r>
          </w:p>
        </w:tc>
        <w:tc>
          <w:tcPr>
            <w:tcW w:w="831" w:type="pct"/>
            <w:tcBorders>
              <w:top w:val="single" w:color="auto" w:sz="4" w:space="0"/>
              <w:left w:val="single" w:color="auto" w:sz="4" w:space="0"/>
              <w:bottom w:val="single" w:color="auto" w:sz="4" w:space="0"/>
              <w:right w:val="double" w:color="auto" w:sz="4" w:space="0"/>
            </w:tcBorders>
            <w:vAlign w:val="center"/>
          </w:tcPr>
          <w:p w14:paraId="5780A18D">
            <w:pPr>
              <w:jc w:val="center"/>
              <w:rPr>
                <w:sz w:val="18"/>
                <w:szCs w:val="18"/>
              </w:rPr>
            </w:pPr>
            <w:r>
              <w:rPr>
                <w:rFonts w:hint="eastAsia"/>
                <w:sz w:val="18"/>
                <w:szCs w:val="18"/>
              </w:rPr>
              <w:t>0.53</w:t>
            </w:r>
          </w:p>
        </w:tc>
        <w:tc>
          <w:tcPr>
            <w:tcW w:w="831" w:type="pct"/>
            <w:vMerge w:val="continue"/>
            <w:tcBorders>
              <w:left w:val="double" w:color="auto" w:sz="4" w:space="0"/>
              <w:bottom w:val="single" w:color="auto" w:sz="4" w:space="0"/>
              <w:right w:val="single" w:color="auto" w:sz="4" w:space="0"/>
            </w:tcBorders>
            <w:vAlign w:val="center"/>
          </w:tcPr>
          <w:p w14:paraId="7CC27E94">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4C7EE43C">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3B069E00">
            <w:pPr>
              <w:jc w:val="center"/>
              <w:rPr>
                <w:sz w:val="18"/>
                <w:szCs w:val="18"/>
              </w:rPr>
            </w:pPr>
            <w:r>
              <w:rPr>
                <w:rFonts w:hint="eastAsia"/>
                <w:sz w:val="18"/>
                <w:szCs w:val="18"/>
              </w:rPr>
              <w:t>-</w:t>
            </w:r>
          </w:p>
        </w:tc>
      </w:tr>
      <w:tr w14:paraId="55419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72565EC0">
            <w:pPr>
              <w:jc w:val="center"/>
              <w:rPr>
                <w:sz w:val="18"/>
                <w:szCs w:val="18"/>
              </w:rPr>
            </w:pPr>
            <w:r>
              <w:rPr>
                <w:rFonts w:hint="eastAsia"/>
                <w:sz w:val="18"/>
                <w:szCs w:val="18"/>
              </w:rPr>
              <w:t>锰</w:t>
            </w:r>
          </w:p>
        </w:tc>
        <w:tc>
          <w:tcPr>
            <w:tcW w:w="831" w:type="pct"/>
            <w:tcBorders>
              <w:top w:val="single" w:color="auto" w:sz="4" w:space="0"/>
              <w:left w:val="single" w:color="auto" w:sz="4" w:space="0"/>
              <w:bottom w:val="single" w:color="auto" w:sz="4" w:space="0"/>
              <w:right w:val="single" w:color="auto" w:sz="4" w:space="0"/>
            </w:tcBorders>
            <w:vAlign w:val="center"/>
          </w:tcPr>
          <w:p w14:paraId="767DE8E1">
            <w:pPr>
              <w:jc w:val="center"/>
              <w:rPr>
                <w:sz w:val="18"/>
                <w:szCs w:val="18"/>
              </w:rPr>
            </w:pPr>
            <w:r>
              <w:rPr>
                <w:rFonts w:hint="eastAsia"/>
                <w:sz w:val="18"/>
                <w:szCs w:val="18"/>
              </w:rPr>
              <w:t>0.54</w:t>
            </w:r>
          </w:p>
        </w:tc>
        <w:tc>
          <w:tcPr>
            <w:tcW w:w="831" w:type="pct"/>
            <w:tcBorders>
              <w:top w:val="single" w:color="auto" w:sz="4" w:space="0"/>
              <w:left w:val="single" w:color="auto" w:sz="4" w:space="0"/>
              <w:bottom w:val="single" w:color="auto" w:sz="4" w:space="0"/>
              <w:right w:val="double" w:color="auto" w:sz="4" w:space="0"/>
            </w:tcBorders>
            <w:vAlign w:val="center"/>
          </w:tcPr>
          <w:p w14:paraId="575BE6C3">
            <w:pPr>
              <w:jc w:val="center"/>
              <w:rPr>
                <w:sz w:val="18"/>
                <w:szCs w:val="18"/>
              </w:rPr>
            </w:pPr>
            <w:r>
              <w:rPr>
                <w:rFonts w:hint="eastAsia"/>
                <w:sz w:val="18"/>
                <w:szCs w:val="18"/>
              </w:rPr>
              <w:t>0.03</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7BB0BDBF">
            <w:pPr>
              <w:jc w:val="center"/>
              <w:rPr>
                <w:sz w:val="18"/>
                <w:szCs w:val="18"/>
              </w:rPr>
            </w:pPr>
            <w:r>
              <w:rPr>
                <w:rFonts w:hint="eastAsia"/>
                <w:sz w:val="18"/>
                <w:szCs w:val="18"/>
              </w:rPr>
              <w:t>锶</w:t>
            </w:r>
          </w:p>
        </w:tc>
        <w:tc>
          <w:tcPr>
            <w:tcW w:w="832" w:type="pct"/>
            <w:tcBorders>
              <w:top w:val="single" w:color="auto" w:sz="4" w:space="0"/>
              <w:left w:val="single" w:color="auto" w:sz="4" w:space="0"/>
              <w:bottom w:val="single" w:color="auto" w:sz="4" w:space="0"/>
              <w:right w:val="single" w:color="auto" w:sz="4" w:space="0"/>
            </w:tcBorders>
            <w:vAlign w:val="center"/>
          </w:tcPr>
          <w:p w14:paraId="466C52B4">
            <w:pPr>
              <w:jc w:val="center"/>
              <w:rPr>
                <w:sz w:val="18"/>
                <w:szCs w:val="18"/>
              </w:rPr>
            </w:pPr>
            <w:r>
              <w:rPr>
                <w:rFonts w:hint="eastAsia"/>
                <w:sz w:val="18"/>
                <w:szCs w:val="18"/>
              </w:rPr>
              <w:t>0.18</w:t>
            </w:r>
          </w:p>
        </w:tc>
        <w:tc>
          <w:tcPr>
            <w:tcW w:w="852" w:type="pct"/>
            <w:tcBorders>
              <w:top w:val="single" w:color="auto" w:sz="4" w:space="0"/>
              <w:left w:val="single" w:color="auto" w:sz="4" w:space="0"/>
              <w:bottom w:val="single" w:color="auto" w:sz="4" w:space="0"/>
              <w:right w:val="single" w:color="auto" w:sz="8" w:space="0"/>
            </w:tcBorders>
            <w:vAlign w:val="center"/>
          </w:tcPr>
          <w:p w14:paraId="44ADA938">
            <w:pPr>
              <w:jc w:val="center"/>
              <w:rPr>
                <w:sz w:val="18"/>
                <w:szCs w:val="18"/>
              </w:rPr>
            </w:pPr>
            <w:r>
              <w:rPr>
                <w:rFonts w:hint="eastAsia"/>
                <w:sz w:val="18"/>
                <w:szCs w:val="18"/>
              </w:rPr>
              <w:t>0.01</w:t>
            </w:r>
          </w:p>
        </w:tc>
      </w:tr>
      <w:tr w14:paraId="0103E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5140BDB4">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3BBA8632">
            <w:pPr>
              <w:jc w:val="center"/>
              <w:rPr>
                <w:sz w:val="18"/>
                <w:szCs w:val="18"/>
              </w:rPr>
            </w:pPr>
            <w:r>
              <w:rPr>
                <w:rFonts w:hint="eastAsia"/>
                <w:sz w:val="18"/>
                <w:szCs w:val="18"/>
              </w:rPr>
              <w:t>1.52</w:t>
            </w:r>
          </w:p>
        </w:tc>
        <w:tc>
          <w:tcPr>
            <w:tcW w:w="831" w:type="pct"/>
            <w:tcBorders>
              <w:top w:val="single" w:color="auto" w:sz="4" w:space="0"/>
              <w:left w:val="single" w:color="auto" w:sz="4" w:space="0"/>
              <w:bottom w:val="single" w:color="auto" w:sz="4" w:space="0"/>
              <w:right w:val="double" w:color="auto" w:sz="4" w:space="0"/>
            </w:tcBorders>
            <w:vAlign w:val="center"/>
          </w:tcPr>
          <w:p w14:paraId="7DBB03E7">
            <w:pPr>
              <w:jc w:val="center"/>
              <w:rPr>
                <w:sz w:val="18"/>
                <w:szCs w:val="18"/>
              </w:rPr>
            </w:pPr>
            <w:r>
              <w:rPr>
                <w:rFonts w:hint="eastAsia"/>
                <w:sz w:val="18"/>
                <w:szCs w:val="18"/>
              </w:rPr>
              <w:t>0.10</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0A91A9A9">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11266BE0">
            <w:pPr>
              <w:jc w:val="center"/>
              <w:rPr>
                <w:sz w:val="18"/>
                <w:szCs w:val="18"/>
              </w:rPr>
            </w:pPr>
            <w:r>
              <w:rPr>
                <w:rFonts w:hint="eastAsia"/>
                <w:sz w:val="18"/>
                <w:szCs w:val="18"/>
              </w:rPr>
              <w:t>0.38</w:t>
            </w:r>
          </w:p>
        </w:tc>
        <w:tc>
          <w:tcPr>
            <w:tcW w:w="852" w:type="pct"/>
            <w:tcBorders>
              <w:top w:val="single" w:color="auto" w:sz="4" w:space="0"/>
              <w:left w:val="single" w:color="auto" w:sz="4" w:space="0"/>
              <w:bottom w:val="single" w:color="auto" w:sz="4" w:space="0"/>
              <w:right w:val="single" w:color="auto" w:sz="8" w:space="0"/>
            </w:tcBorders>
            <w:vAlign w:val="center"/>
          </w:tcPr>
          <w:p w14:paraId="0A051BB0">
            <w:pPr>
              <w:jc w:val="center"/>
              <w:rPr>
                <w:sz w:val="18"/>
                <w:szCs w:val="18"/>
              </w:rPr>
            </w:pPr>
            <w:r>
              <w:rPr>
                <w:rFonts w:hint="eastAsia"/>
                <w:sz w:val="18"/>
                <w:szCs w:val="18"/>
              </w:rPr>
              <w:t>0.02</w:t>
            </w:r>
          </w:p>
        </w:tc>
      </w:tr>
      <w:tr w14:paraId="468D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0D008EF6">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97918C1">
            <w:pPr>
              <w:jc w:val="center"/>
              <w:rPr>
                <w:sz w:val="18"/>
                <w:szCs w:val="18"/>
              </w:rPr>
            </w:pPr>
            <w:r>
              <w:rPr>
                <w:rFonts w:hint="eastAsia"/>
                <w:sz w:val="18"/>
                <w:szCs w:val="18"/>
              </w:rPr>
              <w:t>4.81</w:t>
            </w:r>
          </w:p>
        </w:tc>
        <w:tc>
          <w:tcPr>
            <w:tcW w:w="831" w:type="pct"/>
            <w:tcBorders>
              <w:top w:val="single" w:color="auto" w:sz="4" w:space="0"/>
              <w:left w:val="single" w:color="auto" w:sz="4" w:space="0"/>
              <w:bottom w:val="single" w:color="auto" w:sz="4" w:space="0"/>
              <w:right w:val="double" w:color="auto" w:sz="4" w:space="0"/>
            </w:tcBorders>
            <w:vAlign w:val="center"/>
          </w:tcPr>
          <w:p w14:paraId="65B7A1F4">
            <w:pPr>
              <w:jc w:val="center"/>
              <w:rPr>
                <w:sz w:val="18"/>
                <w:szCs w:val="18"/>
              </w:rPr>
            </w:pPr>
            <w:r>
              <w:rPr>
                <w:rFonts w:hint="eastAsia"/>
                <w:sz w:val="18"/>
                <w:szCs w:val="18"/>
              </w:rPr>
              <w:t>0.17</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50CCFD22">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6317E5FA">
            <w:pPr>
              <w:jc w:val="center"/>
              <w:rPr>
                <w:sz w:val="18"/>
                <w:szCs w:val="18"/>
              </w:rPr>
            </w:pPr>
            <w:r>
              <w:rPr>
                <w:rFonts w:hint="eastAsia"/>
                <w:sz w:val="18"/>
                <w:szCs w:val="18"/>
              </w:rPr>
              <w:t>1.91</w:t>
            </w:r>
          </w:p>
        </w:tc>
        <w:tc>
          <w:tcPr>
            <w:tcW w:w="852" w:type="pct"/>
            <w:tcBorders>
              <w:top w:val="single" w:color="auto" w:sz="4" w:space="0"/>
              <w:left w:val="single" w:color="auto" w:sz="4" w:space="0"/>
              <w:bottom w:val="single" w:color="auto" w:sz="4" w:space="0"/>
              <w:right w:val="single" w:color="auto" w:sz="8" w:space="0"/>
            </w:tcBorders>
            <w:vAlign w:val="center"/>
          </w:tcPr>
          <w:p w14:paraId="26DEA5DA">
            <w:pPr>
              <w:jc w:val="center"/>
              <w:rPr>
                <w:sz w:val="18"/>
                <w:szCs w:val="18"/>
              </w:rPr>
            </w:pPr>
            <w:r>
              <w:rPr>
                <w:rFonts w:hint="eastAsia"/>
                <w:sz w:val="18"/>
                <w:szCs w:val="18"/>
              </w:rPr>
              <w:t>0.13</w:t>
            </w:r>
          </w:p>
        </w:tc>
      </w:tr>
      <w:tr w14:paraId="26001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3932E8C2">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71181DD6">
            <w:pPr>
              <w:jc w:val="center"/>
              <w:rPr>
                <w:sz w:val="18"/>
                <w:szCs w:val="18"/>
              </w:rPr>
            </w:pPr>
            <w:r>
              <w:rPr>
                <w:rFonts w:hint="eastAsia"/>
                <w:sz w:val="18"/>
                <w:szCs w:val="18"/>
              </w:rPr>
              <w:t>10.20</w:t>
            </w:r>
          </w:p>
        </w:tc>
        <w:tc>
          <w:tcPr>
            <w:tcW w:w="831" w:type="pct"/>
            <w:tcBorders>
              <w:top w:val="single" w:color="auto" w:sz="4" w:space="0"/>
              <w:left w:val="single" w:color="auto" w:sz="4" w:space="0"/>
              <w:bottom w:val="single" w:color="auto" w:sz="4" w:space="0"/>
              <w:right w:val="double" w:color="auto" w:sz="4" w:space="0"/>
            </w:tcBorders>
            <w:vAlign w:val="center"/>
          </w:tcPr>
          <w:p w14:paraId="453D7FE5">
            <w:pPr>
              <w:jc w:val="center"/>
              <w:rPr>
                <w:sz w:val="18"/>
                <w:szCs w:val="18"/>
              </w:rPr>
            </w:pPr>
            <w:r>
              <w:rPr>
                <w:rFonts w:hint="eastAsia"/>
                <w:sz w:val="18"/>
                <w:szCs w:val="18"/>
              </w:rPr>
              <w:t>0.37</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6360566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1E04C19">
            <w:pPr>
              <w:jc w:val="center"/>
              <w:rPr>
                <w:sz w:val="18"/>
                <w:szCs w:val="18"/>
              </w:rPr>
            </w:pPr>
            <w:r>
              <w:rPr>
                <w:rFonts w:hint="eastAsia"/>
                <w:sz w:val="18"/>
                <w:szCs w:val="18"/>
              </w:rPr>
              <w:t>5.63</w:t>
            </w:r>
          </w:p>
        </w:tc>
        <w:tc>
          <w:tcPr>
            <w:tcW w:w="852" w:type="pct"/>
            <w:tcBorders>
              <w:top w:val="single" w:color="auto" w:sz="4" w:space="0"/>
              <w:left w:val="single" w:color="auto" w:sz="4" w:space="0"/>
              <w:bottom w:val="single" w:color="auto" w:sz="4" w:space="0"/>
              <w:right w:val="single" w:color="auto" w:sz="8" w:space="0"/>
            </w:tcBorders>
            <w:vAlign w:val="center"/>
          </w:tcPr>
          <w:p w14:paraId="14D40CEA">
            <w:pPr>
              <w:jc w:val="center"/>
              <w:rPr>
                <w:sz w:val="18"/>
                <w:szCs w:val="18"/>
              </w:rPr>
            </w:pPr>
            <w:r>
              <w:rPr>
                <w:rFonts w:hint="eastAsia"/>
                <w:sz w:val="18"/>
                <w:szCs w:val="18"/>
              </w:rPr>
              <w:t>0.34</w:t>
            </w:r>
          </w:p>
        </w:tc>
      </w:tr>
      <w:tr w14:paraId="5CEF1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6CB78B8F">
            <w:pPr>
              <w:jc w:val="center"/>
              <w:rPr>
                <w:sz w:val="18"/>
                <w:szCs w:val="18"/>
              </w:rPr>
            </w:pPr>
            <w:r>
              <w:rPr>
                <w:rFonts w:hint="eastAsia"/>
                <w:sz w:val="18"/>
                <w:szCs w:val="18"/>
              </w:rPr>
              <w:t>铝</w:t>
            </w:r>
          </w:p>
        </w:tc>
        <w:tc>
          <w:tcPr>
            <w:tcW w:w="831" w:type="pct"/>
            <w:tcBorders>
              <w:top w:val="single" w:color="auto" w:sz="4" w:space="0"/>
              <w:left w:val="single" w:color="auto" w:sz="4" w:space="0"/>
              <w:bottom w:val="single" w:color="auto" w:sz="4" w:space="0"/>
              <w:right w:val="single" w:color="auto" w:sz="4" w:space="0"/>
            </w:tcBorders>
            <w:vAlign w:val="center"/>
          </w:tcPr>
          <w:p w14:paraId="5871D03A">
            <w:pPr>
              <w:jc w:val="center"/>
              <w:rPr>
                <w:sz w:val="18"/>
                <w:szCs w:val="18"/>
              </w:rPr>
            </w:pPr>
            <w:r>
              <w:rPr>
                <w:rFonts w:hint="eastAsia"/>
                <w:sz w:val="18"/>
                <w:szCs w:val="18"/>
              </w:rPr>
              <w:t>0.32</w:t>
            </w:r>
          </w:p>
        </w:tc>
        <w:tc>
          <w:tcPr>
            <w:tcW w:w="831" w:type="pct"/>
            <w:tcBorders>
              <w:top w:val="single" w:color="auto" w:sz="4" w:space="0"/>
              <w:left w:val="single" w:color="auto" w:sz="4" w:space="0"/>
              <w:bottom w:val="single" w:color="auto" w:sz="4" w:space="0"/>
              <w:right w:val="double" w:color="auto" w:sz="4" w:space="0"/>
            </w:tcBorders>
            <w:vAlign w:val="center"/>
          </w:tcPr>
          <w:p w14:paraId="214E34D6">
            <w:pPr>
              <w:jc w:val="center"/>
              <w:rPr>
                <w:sz w:val="18"/>
                <w:szCs w:val="18"/>
              </w:rPr>
            </w:pPr>
            <w:r>
              <w:rPr>
                <w:rFonts w:hint="eastAsia"/>
                <w:sz w:val="18"/>
                <w:szCs w:val="18"/>
              </w:rPr>
              <w:t>0.02</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504DC192">
            <w:pPr>
              <w:jc w:val="center"/>
              <w:rPr>
                <w:sz w:val="18"/>
                <w:szCs w:val="18"/>
              </w:rPr>
            </w:pPr>
            <w:r>
              <w:rPr>
                <w:rFonts w:hint="eastAsia"/>
                <w:sz w:val="18"/>
                <w:szCs w:val="18"/>
              </w:rPr>
              <w:t>磷</w:t>
            </w:r>
          </w:p>
        </w:tc>
        <w:tc>
          <w:tcPr>
            <w:tcW w:w="832" w:type="pct"/>
            <w:tcBorders>
              <w:top w:val="single" w:color="auto" w:sz="4" w:space="0"/>
              <w:left w:val="single" w:color="auto" w:sz="4" w:space="0"/>
              <w:bottom w:val="single" w:color="auto" w:sz="4" w:space="0"/>
              <w:right w:val="single" w:color="auto" w:sz="4" w:space="0"/>
            </w:tcBorders>
            <w:vAlign w:val="center"/>
          </w:tcPr>
          <w:p w14:paraId="5207D0FC">
            <w:pPr>
              <w:jc w:val="center"/>
              <w:rPr>
                <w:sz w:val="18"/>
                <w:szCs w:val="18"/>
              </w:rPr>
            </w:pPr>
            <w:r>
              <w:rPr>
                <w:rFonts w:hint="eastAsia"/>
                <w:sz w:val="18"/>
                <w:szCs w:val="18"/>
              </w:rPr>
              <w:t>0.015</w:t>
            </w:r>
          </w:p>
        </w:tc>
        <w:tc>
          <w:tcPr>
            <w:tcW w:w="852" w:type="pct"/>
            <w:tcBorders>
              <w:top w:val="single" w:color="auto" w:sz="4" w:space="0"/>
              <w:left w:val="single" w:color="auto" w:sz="4" w:space="0"/>
              <w:bottom w:val="single" w:color="auto" w:sz="4" w:space="0"/>
              <w:right w:val="single" w:color="auto" w:sz="8" w:space="0"/>
            </w:tcBorders>
            <w:vAlign w:val="center"/>
          </w:tcPr>
          <w:p w14:paraId="10E93050">
            <w:pPr>
              <w:jc w:val="center"/>
              <w:rPr>
                <w:sz w:val="18"/>
                <w:szCs w:val="18"/>
              </w:rPr>
            </w:pPr>
            <w:r>
              <w:rPr>
                <w:rFonts w:hint="eastAsia"/>
                <w:sz w:val="18"/>
                <w:szCs w:val="18"/>
              </w:rPr>
              <w:t>0.002</w:t>
            </w:r>
          </w:p>
        </w:tc>
      </w:tr>
      <w:tr w14:paraId="498DD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5C026857">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369AE71">
            <w:pPr>
              <w:jc w:val="center"/>
              <w:rPr>
                <w:sz w:val="18"/>
                <w:szCs w:val="18"/>
              </w:rPr>
            </w:pPr>
            <w:r>
              <w:rPr>
                <w:rFonts w:hint="eastAsia"/>
                <w:sz w:val="18"/>
                <w:szCs w:val="18"/>
              </w:rPr>
              <w:t>0.54</w:t>
            </w:r>
          </w:p>
        </w:tc>
        <w:tc>
          <w:tcPr>
            <w:tcW w:w="831" w:type="pct"/>
            <w:tcBorders>
              <w:top w:val="single" w:color="auto" w:sz="4" w:space="0"/>
              <w:left w:val="single" w:color="auto" w:sz="4" w:space="0"/>
              <w:bottom w:val="single" w:color="auto" w:sz="4" w:space="0"/>
              <w:right w:val="double" w:color="auto" w:sz="4" w:space="0"/>
            </w:tcBorders>
            <w:vAlign w:val="center"/>
          </w:tcPr>
          <w:p w14:paraId="685600E9">
            <w:pPr>
              <w:jc w:val="center"/>
              <w:rPr>
                <w:sz w:val="18"/>
                <w:szCs w:val="18"/>
              </w:rPr>
            </w:pPr>
            <w:r>
              <w:rPr>
                <w:rFonts w:hint="eastAsia"/>
                <w:sz w:val="18"/>
                <w:szCs w:val="18"/>
              </w:rPr>
              <w:t>0.04</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466DDF02">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0112CF1">
            <w:pPr>
              <w:jc w:val="center"/>
              <w:rPr>
                <w:sz w:val="18"/>
                <w:szCs w:val="18"/>
              </w:rPr>
            </w:pPr>
            <w:r>
              <w:rPr>
                <w:rFonts w:hint="eastAsia"/>
                <w:sz w:val="18"/>
                <w:szCs w:val="18"/>
              </w:rPr>
              <w:t>0.045</w:t>
            </w:r>
          </w:p>
        </w:tc>
        <w:tc>
          <w:tcPr>
            <w:tcW w:w="852" w:type="pct"/>
            <w:tcBorders>
              <w:top w:val="single" w:color="auto" w:sz="4" w:space="0"/>
              <w:left w:val="single" w:color="auto" w:sz="4" w:space="0"/>
              <w:bottom w:val="single" w:color="auto" w:sz="4" w:space="0"/>
              <w:right w:val="single" w:color="auto" w:sz="8" w:space="0"/>
            </w:tcBorders>
            <w:vAlign w:val="center"/>
          </w:tcPr>
          <w:p w14:paraId="2DF5CB88">
            <w:pPr>
              <w:jc w:val="center"/>
              <w:rPr>
                <w:sz w:val="18"/>
                <w:szCs w:val="18"/>
              </w:rPr>
            </w:pPr>
            <w:r>
              <w:rPr>
                <w:rFonts w:hint="eastAsia"/>
                <w:sz w:val="18"/>
                <w:szCs w:val="18"/>
              </w:rPr>
              <w:t>0.003</w:t>
            </w:r>
          </w:p>
        </w:tc>
      </w:tr>
      <w:tr w14:paraId="748C4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61E97A31">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55019925">
            <w:pPr>
              <w:jc w:val="center"/>
              <w:rPr>
                <w:sz w:val="18"/>
                <w:szCs w:val="18"/>
              </w:rPr>
            </w:pPr>
            <w:r>
              <w:rPr>
                <w:rFonts w:hint="eastAsia"/>
                <w:sz w:val="18"/>
                <w:szCs w:val="18"/>
              </w:rPr>
              <w:t>1.02</w:t>
            </w:r>
          </w:p>
        </w:tc>
        <w:tc>
          <w:tcPr>
            <w:tcW w:w="831" w:type="pct"/>
            <w:tcBorders>
              <w:top w:val="single" w:color="auto" w:sz="4" w:space="0"/>
              <w:left w:val="single" w:color="auto" w:sz="4" w:space="0"/>
              <w:bottom w:val="single" w:color="auto" w:sz="4" w:space="0"/>
              <w:right w:val="double" w:color="auto" w:sz="4" w:space="0"/>
            </w:tcBorders>
            <w:vAlign w:val="center"/>
          </w:tcPr>
          <w:p w14:paraId="395CF722">
            <w:pPr>
              <w:jc w:val="center"/>
              <w:rPr>
                <w:sz w:val="18"/>
                <w:szCs w:val="18"/>
              </w:rPr>
            </w:pPr>
            <w:r>
              <w:rPr>
                <w:rFonts w:hint="eastAsia"/>
                <w:sz w:val="18"/>
                <w:szCs w:val="18"/>
              </w:rPr>
              <w:t>0.08</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3E81B343">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10C6D800">
            <w:pPr>
              <w:jc w:val="center"/>
              <w:rPr>
                <w:sz w:val="18"/>
                <w:szCs w:val="18"/>
              </w:rPr>
            </w:pPr>
            <w:r>
              <w:rPr>
                <w:rFonts w:hint="eastAsia"/>
                <w:sz w:val="18"/>
                <w:szCs w:val="18"/>
              </w:rPr>
              <w:t>0.12</w:t>
            </w:r>
          </w:p>
        </w:tc>
        <w:tc>
          <w:tcPr>
            <w:tcW w:w="852" w:type="pct"/>
            <w:tcBorders>
              <w:top w:val="single" w:color="auto" w:sz="4" w:space="0"/>
              <w:left w:val="single" w:color="auto" w:sz="4" w:space="0"/>
              <w:bottom w:val="single" w:color="auto" w:sz="4" w:space="0"/>
              <w:right w:val="single" w:color="auto" w:sz="8" w:space="0"/>
            </w:tcBorders>
            <w:vAlign w:val="center"/>
          </w:tcPr>
          <w:p w14:paraId="3759367E">
            <w:pPr>
              <w:jc w:val="center"/>
              <w:rPr>
                <w:sz w:val="18"/>
                <w:szCs w:val="18"/>
              </w:rPr>
            </w:pPr>
            <w:r>
              <w:rPr>
                <w:rFonts w:hint="eastAsia"/>
                <w:sz w:val="18"/>
                <w:szCs w:val="18"/>
              </w:rPr>
              <w:t>0.02</w:t>
            </w:r>
          </w:p>
        </w:tc>
      </w:tr>
      <w:tr w14:paraId="5A900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44658F97">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74272CB">
            <w:pPr>
              <w:jc w:val="center"/>
              <w:rPr>
                <w:sz w:val="18"/>
                <w:szCs w:val="18"/>
              </w:rPr>
            </w:pPr>
            <w:r>
              <w:rPr>
                <w:rFonts w:hint="eastAsia"/>
                <w:sz w:val="18"/>
                <w:szCs w:val="18"/>
              </w:rPr>
              <w:t>2.53</w:t>
            </w:r>
          </w:p>
        </w:tc>
        <w:tc>
          <w:tcPr>
            <w:tcW w:w="831" w:type="pct"/>
            <w:tcBorders>
              <w:top w:val="single" w:color="auto" w:sz="4" w:space="0"/>
              <w:left w:val="single" w:color="auto" w:sz="4" w:space="0"/>
              <w:bottom w:val="single" w:color="auto" w:sz="4" w:space="0"/>
              <w:right w:val="double" w:color="auto" w:sz="4" w:space="0"/>
            </w:tcBorders>
            <w:vAlign w:val="center"/>
          </w:tcPr>
          <w:p w14:paraId="1B3A8E8B">
            <w:pPr>
              <w:jc w:val="center"/>
              <w:rPr>
                <w:sz w:val="18"/>
                <w:szCs w:val="18"/>
              </w:rPr>
            </w:pPr>
            <w:r>
              <w:rPr>
                <w:rFonts w:hint="eastAsia"/>
                <w:sz w:val="18"/>
                <w:szCs w:val="18"/>
              </w:rPr>
              <w:t>0.11</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307B3833">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227BDDE">
            <w:pPr>
              <w:jc w:val="center"/>
              <w:rPr>
                <w:sz w:val="18"/>
                <w:szCs w:val="18"/>
              </w:rPr>
            </w:pPr>
            <w:r>
              <w:rPr>
                <w:rFonts w:hint="eastAsia"/>
                <w:sz w:val="18"/>
                <w:szCs w:val="18"/>
              </w:rPr>
              <w:t>0.54</w:t>
            </w:r>
          </w:p>
        </w:tc>
        <w:tc>
          <w:tcPr>
            <w:tcW w:w="852" w:type="pct"/>
            <w:tcBorders>
              <w:top w:val="single" w:color="auto" w:sz="4" w:space="0"/>
              <w:left w:val="single" w:color="auto" w:sz="4" w:space="0"/>
              <w:bottom w:val="single" w:color="auto" w:sz="4" w:space="0"/>
              <w:right w:val="single" w:color="auto" w:sz="8" w:space="0"/>
            </w:tcBorders>
            <w:vAlign w:val="center"/>
          </w:tcPr>
          <w:p w14:paraId="49ABB01C">
            <w:pPr>
              <w:jc w:val="center"/>
              <w:rPr>
                <w:sz w:val="18"/>
                <w:szCs w:val="18"/>
              </w:rPr>
            </w:pPr>
            <w:r>
              <w:rPr>
                <w:rFonts w:hint="eastAsia"/>
                <w:sz w:val="18"/>
                <w:szCs w:val="18"/>
              </w:rPr>
              <w:t>0.04</w:t>
            </w:r>
          </w:p>
        </w:tc>
      </w:tr>
      <w:tr w14:paraId="07CA7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616D8022">
            <w:pPr>
              <w:jc w:val="center"/>
              <w:rPr>
                <w:sz w:val="18"/>
                <w:szCs w:val="18"/>
              </w:rPr>
            </w:pPr>
            <w:r>
              <w:rPr>
                <w:rFonts w:hint="eastAsia"/>
                <w:sz w:val="18"/>
                <w:szCs w:val="18"/>
              </w:rPr>
              <w:t>钡</w:t>
            </w:r>
          </w:p>
        </w:tc>
        <w:tc>
          <w:tcPr>
            <w:tcW w:w="831" w:type="pct"/>
            <w:tcBorders>
              <w:top w:val="single" w:color="auto" w:sz="4" w:space="0"/>
              <w:left w:val="single" w:color="auto" w:sz="4" w:space="0"/>
              <w:bottom w:val="single" w:color="auto" w:sz="4" w:space="0"/>
              <w:right w:val="single" w:color="auto" w:sz="4" w:space="0"/>
            </w:tcBorders>
            <w:vAlign w:val="center"/>
          </w:tcPr>
          <w:p w14:paraId="40D98213">
            <w:pPr>
              <w:jc w:val="center"/>
              <w:rPr>
                <w:sz w:val="18"/>
                <w:szCs w:val="18"/>
              </w:rPr>
            </w:pPr>
            <w:r>
              <w:rPr>
                <w:rFonts w:hint="eastAsia"/>
                <w:sz w:val="18"/>
                <w:szCs w:val="18"/>
              </w:rPr>
              <w:t>0.12</w:t>
            </w:r>
          </w:p>
        </w:tc>
        <w:tc>
          <w:tcPr>
            <w:tcW w:w="831" w:type="pct"/>
            <w:tcBorders>
              <w:top w:val="single" w:color="auto" w:sz="4" w:space="0"/>
              <w:left w:val="single" w:color="auto" w:sz="4" w:space="0"/>
              <w:bottom w:val="single" w:color="auto" w:sz="4" w:space="0"/>
              <w:right w:val="double" w:color="auto" w:sz="4" w:space="0"/>
            </w:tcBorders>
            <w:vAlign w:val="center"/>
          </w:tcPr>
          <w:p w14:paraId="735FF80D">
            <w:pPr>
              <w:jc w:val="center"/>
              <w:rPr>
                <w:sz w:val="18"/>
                <w:szCs w:val="18"/>
              </w:rPr>
            </w:pPr>
            <w:r>
              <w:rPr>
                <w:rFonts w:hint="eastAsia"/>
                <w:sz w:val="18"/>
                <w:szCs w:val="18"/>
              </w:rPr>
              <w:t>0.01</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43BC132B">
            <w:pPr>
              <w:jc w:val="center"/>
              <w:rPr>
                <w:sz w:val="18"/>
                <w:szCs w:val="18"/>
              </w:rPr>
            </w:pPr>
            <w:r>
              <w:rPr>
                <w:rFonts w:hint="eastAsia"/>
                <w:sz w:val="18"/>
                <w:szCs w:val="18"/>
              </w:rPr>
              <w:t>钛</w:t>
            </w:r>
          </w:p>
        </w:tc>
        <w:tc>
          <w:tcPr>
            <w:tcW w:w="832" w:type="pct"/>
            <w:tcBorders>
              <w:top w:val="single" w:color="auto" w:sz="4" w:space="0"/>
              <w:left w:val="single" w:color="auto" w:sz="4" w:space="0"/>
              <w:bottom w:val="single" w:color="auto" w:sz="4" w:space="0"/>
              <w:right w:val="single" w:color="auto" w:sz="4" w:space="0"/>
            </w:tcBorders>
            <w:vAlign w:val="center"/>
          </w:tcPr>
          <w:p w14:paraId="2138299F">
            <w:pPr>
              <w:jc w:val="center"/>
              <w:rPr>
                <w:sz w:val="18"/>
                <w:szCs w:val="18"/>
              </w:rPr>
            </w:pPr>
            <w:r>
              <w:rPr>
                <w:rFonts w:hint="eastAsia"/>
                <w:sz w:val="18"/>
                <w:szCs w:val="18"/>
              </w:rPr>
              <w:t>0.078</w:t>
            </w:r>
          </w:p>
        </w:tc>
        <w:tc>
          <w:tcPr>
            <w:tcW w:w="852" w:type="pct"/>
            <w:tcBorders>
              <w:top w:val="single" w:color="auto" w:sz="4" w:space="0"/>
              <w:left w:val="single" w:color="auto" w:sz="4" w:space="0"/>
              <w:bottom w:val="single" w:color="auto" w:sz="4" w:space="0"/>
              <w:right w:val="single" w:color="auto" w:sz="8" w:space="0"/>
            </w:tcBorders>
            <w:vAlign w:val="center"/>
          </w:tcPr>
          <w:p w14:paraId="02A179CE">
            <w:pPr>
              <w:jc w:val="center"/>
              <w:rPr>
                <w:sz w:val="18"/>
                <w:szCs w:val="18"/>
              </w:rPr>
            </w:pPr>
            <w:r>
              <w:rPr>
                <w:rFonts w:hint="eastAsia"/>
                <w:sz w:val="18"/>
                <w:szCs w:val="18"/>
              </w:rPr>
              <w:t>0.006</w:t>
            </w:r>
          </w:p>
        </w:tc>
      </w:tr>
      <w:tr w14:paraId="1B219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7DC76FFA">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71FCC7C">
            <w:pPr>
              <w:jc w:val="center"/>
              <w:rPr>
                <w:sz w:val="18"/>
                <w:szCs w:val="18"/>
              </w:rPr>
            </w:pPr>
            <w:r>
              <w:rPr>
                <w:rFonts w:hint="eastAsia"/>
                <w:sz w:val="18"/>
                <w:szCs w:val="18"/>
              </w:rPr>
              <w:t>1.45</w:t>
            </w:r>
          </w:p>
        </w:tc>
        <w:tc>
          <w:tcPr>
            <w:tcW w:w="831" w:type="pct"/>
            <w:tcBorders>
              <w:top w:val="single" w:color="auto" w:sz="4" w:space="0"/>
              <w:left w:val="single" w:color="auto" w:sz="4" w:space="0"/>
              <w:bottom w:val="single" w:color="auto" w:sz="4" w:space="0"/>
              <w:right w:val="double" w:color="auto" w:sz="4" w:space="0"/>
            </w:tcBorders>
            <w:vAlign w:val="center"/>
          </w:tcPr>
          <w:p w14:paraId="49F499B9">
            <w:pPr>
              <w:jc w:val="center"/>
              <w:rPr>
                <w:sz w:val="18"/>
                <w:szCs w:val="18"/>
              </w:rPr>
            </w:pPr>
            <w:r>
              <w:rPr>
                <w:rFonts w:hint="eastAsia"/>
                <w:sz w:val="18"/>
                <w:szCs w:val="18"/>
              </w:rPr>
              <w:t>0.10</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47BA1E88">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4A321675">
            <w:pPr>
              <w:jc w:val="center"/>
              <w:rPr>
                <w:sz w:val="18"/>
                <w:szCs w:val="18"/>
              </w:rPr>
            </w:pPr>
            <w:r>
              <w:rPr>
                <w:rFonts w:hint="eastAsia"/>
                <w:sz w:val="18"/>
                <w:szCs w:val="18"/>
              </w:rPr>
              <w:t>0.86</w:t>
            </w:r>
          </w:p>
        </w:tc>
        <w:tc>
          <w:tcPr>
            <w:tcW w:w="852" w:type="pct"/>
            <w:tcBorders>
              <w:top w:val="single" w:color="auto" w:sz="4" w:space="0"/>
              <w:left w:val="single" w:color="auto" w:sz="4" w:space="0"/>
              <w:bottom w:val="single" w:color="auto" w:sz="4" w:space="0"/>
              <w:right w:val="single" w:color="auto" w:sz="8" w:space="0"/>
            </w:tcBorders>
            <w:vAlign w:val="center"/>
          </w:tcPr>
          <w:p w14:paraId="7E94522E">
            <w:pPr>
              <w:jc w:val="center"/>
              <w:rPr>
                <w:sz w:val="18"/>
                <w:szCs w:val="18"/>
              </w:rPr>
            </w:pPr>
            <w:r>
              <w:rPr>
                <w:rFonts w:hint="eastAsia"/>
                <w:sz w:val="18"/>
                <w:szCs w:val="18"/>
              </w:rPr>
              <w:t>0.05</w:t>
            </w:r>
          </w:p>
        </w:tc>
      </w:tr>
      <w:tr w14:paraId="5FBCB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7320FCB4">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538B86DE">
            <w:pPr>
              <w:jc w:val="center"/>
              <w:rPr>
                <w:sz w:val="18"/>
                <w:szCs w:val="18"/>
              </w:rPr>
            </w:pPr>
            <w:r>
              <w:rPr>
                <w:rFonts w:hint="eastAsia"/>
                <w:sz w:val="18"/>
                <w:szCs w:val="18"/>
              </w:rPr>
              <w:t>5.28</w:t>
            </w:r>
          </w:p>
        </w:tc>
        <w:tc>
          <w:tcPr>
            <w:tcW w:w="831" w:type="pct"/>
            <w:tcBorders>
              <w:top w:val="single" w:color="auto" w:sz="4" w:space="0"/>
              <w:left w:val="single" w:color="auto" w:sz="4" w:space="0"/>
              <w:bottom w:val="single" w:color="auto" w:sz="4" w:space="0"/>
              <w:right w:val="double" w:color="auto" w:sz="4" w:space="0"/>
            </w:tcBorders>
            <w:vAlign w:val="center"/>
          </w:tcPr>
          <w:p w14:paraId="2AC1C7B2">
            <w:pPr>
              <w:jc w:val="center"/>
              <w:rPr>
                <w:sz w:val="18"/>
                <w:szCs w:val="18"/>
              </w:rPr>
            </w:pPr>
            <w:r>
              <w:rPr>
                <w:rFonts w:hint="eastAsia"/>
                <w:sz w:val="18"/>
                <w:szCs w:val="18"/>
              </w:rPr>
              <w:t>0.15</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6716B15B">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6C9EEB03">
            <w:pPr>
              <w:jc w:val="center"/>
              <w:rPr>
                <w:sz w:val="18"/>
                <w:szCs w:val="18"/>
              </w:rPr>
            </w:pPr>
            <w:r>
              <w:rPr>
                <w:rFonts w:hint="eastAsia"/>
                <w:sz w:val="18"/>
                <w:szCs w:val="18"/>
              </w:rPr>
              <w:t>2.58</w:t>
            </w:r>
          </w:p>
        </w:tc>
        <w:tc>
          <w:tcPr>
            <w:tcW w:w="852" w:type="pct"/>
            <w:tcBorders>
              <w:top w:val="single" w:color="auto" w:sz="4" w:space="0"/>
              <w:left w:val="single" w:color="auto" w:sz="4" w:space="0"/>
              <w:bottom w:val="single" w:color="auto" w:sz="4" w:space="0"/>
              <w:right w:val="single" w:color="auto" w:sz="8" w:space="0"/>
            </w:tcBorders>
            <w:vAlign w:val="center"/>
          </w:tcPr>
          <w:p w14:paraId="27AAD511">
            <w:pPr>
              <w:jc w:val="center"/>
              <w:rPr>
                <w:sz w:val="18"/>
                <w:szCs w:val="18"/>
              </w:rPr>
            </w:pPr>
            <w:r>
              <w:rPr>
                <w:rFonts w:hint="eastAsia"/>
                <w:sz w:val="18"/>
                <w:szCs w:val="18"/>
              </w:rPr>
              <w:t>0.12</w:t>
            </w:r>
          </w:p>
        </w:tc>
      </w:tr>
      <w:tr w14:paraId="386E4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655756B7">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2A68691">
            <w:pPr>
              <w:jc w:val="center"/>
              <w:rPr>
                <w:sz w:val="18"/>
                <w:szCs w:val="18"/>
              </w:rPr>
            </w:pPr>
            <w:r>
              <w:rPr>
                <w:rFonts w:hint="eastAsia"/>
                <w:sz w:val="18"/>
                <w:szCs w:val="18"/>
              </w:rPr>
              <w:t>10.57</w:t>
            </w:r>
          </w:p>
        </w:tc>
        <w:tc>
          <w:tcPr>
            <w:tcW w:w="831" w:type="pct"/>
            <w:tcBorders>
              <w:top w:val="single" w:color="auto" w:sz="4" w:space="0"/>
              <w:left w:val="single" w:color="auto" w:sz="4" w:space="0"/>
              <w:bottom w:val="single" w:color="auto" w:sz="4" w:space="0"/>
              <w:right w:val="double" w:color="auto" w:sz="4" w:space="0"/>
            </w:tcBorders>
            <w:vAlign w:val="center"/>
          </w:tcPr>
          <w:p w14:paraId="29854B95">
            <w:pPr>
              <w:jc w:val="center"/>
              <w:rPr>
                <w:sz w:val="18"/>
                <w:szCs w:val="18"/>
              </w:rPr>
            </w:pPr>
            <w:r>
              <w:rPr>
                <w:rFonts w:hint="eastAsia"/>
                <w:sz w:val="18"/>
                <w:szCs w:val="18"/>
              </w:rPr>
              <w:t>0.40</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79B163F9">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25554749">
            <w:pPr>
              <w:jc w:val="center"/>
              <w:rPr>
                <w:sz w:val="18"/>
                <w:szCs w:val="18"/>
              </w:rPr>
            </w:pPr>
            <w:r>
              <w:rPr>
                <w:rFonts w:hint="eastAsia"/>
                <w:sz w:val="18"/>
                <w:szCs w:val="18"/>
              </w:rPr>
              <w:t>4.90</w:t>
            </w:r>
          </w:p>
        </w:tc>
        <w:tc>
          <w:tcPr>
            <w:tcW w:w="852" w:type="pct"/>
            <w:tcBorders>
              <w:top w:val="single" w:color="auto" w:sz="4" w:space="0"/>
              <w:left w:val="single" w:color="auto" w:sz="4" w:space="0"/>
              <w:bottom w:val="single" w:color="auto" w:sz="4" w:space="0"/>
              <w:right w:val="single" w:color="auto" w:sz="8" w:space="0"/>
            </w:tcBorders>
            <w:vAlign w:val="center"/>
          </w:tcPr>
          <w:p w14:paraId="539C90DD">
            <w:pPr>
              <w:jc w:val="center"/>
              <w:rPr>
                <w:sz w:val="18"/>
                <w:szCs w:val="18"/>
              </w:rPr>
            </w:pPr>
            <w:r>
              <w:rPr>
                <w:rFonts w:hint="eastAsia"/>
                <w:sz w:val="18"/>
                <w:szCs w:val="18"/>
              </w:rPr>
              <w:t>0.25</w:t>
            </w:r>
          </w:p>
        </w:tc>
      </w:tr>
      <w:tr w14:paraId="71DD3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000" w:type="pct"/>
            <w:gridSpan w:val="6"/>
            <w:tcBorders>
              <w:top w:val="single" w:color="auto" w:sz="4" w:space="0"/>
              <w:left w:val="single" w:color="auto" w:sz="8" w:space="0"/>
              <w:bottom w:val="single" w:color="auto" w:sz="8" w:space="0"/>
              <w:right w:val="single" w:color="auto" w:sz="8" w:space="0"/>
            </w:tcBorders>
            <w:vAlign w:val="center"/>
          </w:tcPr>
          <w:p w14:paraId="792DECAA">
            <w:pPr>
              <w:rPr>
                <w:sz w:val="18"/>
                <w:szCs w:val="18"/>
              </w:rPr>
            </w:pPr>
            <w:r>
              <w:rPr>
                <w:rFonts w:hint="eastAsia"/>
                <w:sz w:val="18"/>
                <w:szCs w:val="18"/>
              </w:rPr>
              <w:t>注：重复性限（</w:t>
            </w:r>
            <w:r>
              <w:rPr>
                <w:rFonts w:hint="eastAsia"/>
                <w:i/>
                <w:iCs/>
                <w:sz w:val="18"/>
                <w:szCs w:val="18"/>
              </w:rPr>
              <w:t>r</w:t>
            </w:r>
            <w:r>
              <w:rPr>
                <w:rFonts w:hint="eastAsia"/>
                <w:sz w:val="18"/>
                <w:szCs w:val="18"/>
              </w:rPr>
              <w:t>）为2.8×</w:t>
            </w:r>
            <w:r>
              <w:rPr>
                <w:rFonts w:hint="eastAsia"/>
                <w:i/>
                <w:iCs/>
                <w:sz w:val="18"/>
                <w:szCs w:val="18"/>
              </w:rPr>
              <w:t>S</w:t>
            </w:r>
            <w:r>
              <w:rPr>
                <w:rFonts w:hint="eastAsia"/>
                <w:i/>
                <w:iCs/>
                <w:sz w:val="18"/>
                <w:szCs w:val="18"/>
                <w:vertAlign w:val="subscript"/>
              </w:rPr>
              <w:t>r</w:t>
            </w:r>
            <w:r>
              <w:rPr>
                <w:rFonts w:hint="eastAsia"/>
                <w:sz w:val="18"/>
                <w:szCs w:val="18"/>
              </w:rPr>
              <w:t>，</w:t>
            </w:r>
            <w:r>
              <w:rPr>
                <w:rFonts w:hint="eastAsia"/>
                <w:i/>
                <w:iCs/>
                <w:sz w:val="18"/>
                <w:szCs w:val="18"/>
              </w:rPr>
              <w:t>S</w:t>
            </w:r>
            <w:r>
              <w:rPr>
                <w:rFonts w:hint="eastAsia"/>
                <w:i/>
                <w:iCs/>
                <w:sz w:val="18"/>
                <w:szCs w:val="18"/>
                <w:vertAlign w:val="subscript"/>
              </w:rPr>
              <w:t>r</w:t>
            </w:r>
            <w:r>
              <w:rPr>
                <w:rFonts w:hint="eastAsia"/>
                <w:sz w:val="18"/>
                <w:szCs w:val="18"/>
              </w:rPr>
              <w:t>为重复性标准差。</w:t>
            </w:r>
          </w:p>
        </w:tc>
      </w:tr>
    </w:tbl>
    <w:p w14:paraId="4F0FC8AB">
      <w:pPr>
        <w:spacing w:before="156" w:beforeLines="50" w:after="156" w:afterLines="50"/>
        <w:rPr>
          <w:rFonts w:hint="eastAsia" w:ascii="黑体" w:hAnsi="黑体" w:eastAsia="黑体" w:cs="黑体"/>
          <w:szCs w:val="21"/>
        </w:rPr>
      </w:pPr>
      <w:r>
        <w:rPr>
          <w:rFonts w:hint="eastAsia" w:ascii="黑体" w:hAnsi="黑体" w:eastAsia="黑体" w:cs="黑体"/>
          <w:szCs w:val="21"/>
        </w:rPr>
        <w:t>4.7.2 再现性</w:t>
      </w:r>
    </w:p>
    <w:p w14:paraId="2B921CDE">
      <w:pPr>
        <w:autoSpaceDE w:val="0"/>
        <w:autoSpaceDN w:val="0"/>
        <w:adjustRightInd w:val="0"/>
        <w:snapToGrid w:val="0"/>
        <w:ind w:firstLine="420" w:firstLineChars="200"/>
        <w:rPr>
          <w:szCs w:val="20"/>
        </w:rPr>
      </w:pPr>
      <w:r>
        <w:rPr>
          <w:rFonts w:hint="eastAsia"/>
          <w:szCs w:val="20"/>
        </w:rPr>
        <w:t>在再现性条件下获得的两次独立测试结果的绝对差值不大于再现性限（</w:t>
      </w:r>
      <w:r>
        <w:rPr>
          <w:rFonts w:hint="eastAsia"/>
          <w:i/>
          <w:iCs/>
          <w:szCs w:val="20"/>
        </w:rPr>
        <w:t>R</w:t>
      </w:r>
      <w:r>
        <w:rPr>
          <w:rFonts w:hint="eastAsia"/>
          <w:szCs w:val="20"/>
        </w:rPr>
        <w:t>），超过再现性限（</w:t>
      </w:r>
      <w:r>
        <w:rPr>
          <w:rFonts w:hint="eastAsia"/>
          <w:i/>
          <w:iCs/>
          <w:szCs w:val="20"/>
        </w:rPr>
        <w:t>R</w:t>
      </w:r>
      <w:r>
        <w:rPr>
          <w:rFonts w:hint="eastAsia"/>
          <w:szCs w:val="20"/>
        </w:rPr>
        <w:t>）的情况不超过5%，再现性限（</w:t>
      </w:r>
      <w:r>
        <w:rPr>
          <w:rFonts w:hint="eastAsia"/>
          <w:i/>
          <w:iCs/>
          <w:szCs w:val="20"/>
        </w:rPr>
        <w:t>R</w:t>
      </w:r>
      <w:r>
        <w:rPr>
          <w:rFonts w:hint="eastAsia"/>
          <w:szCs w:val="20"/>
        </w:rPr>
        <w:t>）按表</w:t>
      </w:r>
      <w:r>
        <w:rPr>
          <w:rFonts w:hint="eastAsia"/>
          <w:szCs w:val="20"/>
          <w:lang w:val="en-US" w:eastAsia="zh-CN"/>
        </w:rPr>
        <w:t>6</w:t>
      </w:r>
      <w:r>
        <w:rPr>
          <w:rFonts w:hint="eastAsia"/>
          <w:szCs w:val="20"/>
        </w:rPr>
        <w:t>数据采用线性内插法或外延法求得。</w:t>
      </w:r>
    </w:p>
    <w:p w14:paraId="1F6A34D6">
      <w:pPr>
        <w:spacing w:before="156" w:beforeLines="50" w:after="156" w:afterLines="50" w:line="300" w:lineRule="exact"/>
        <w:jc w:val="center"/>
        <w:rPr>
          <w:rFonts w:eastAsia="黑体"/>
        </w:rPr>
      </w:pPr>
      <w:r>
        <w:rPr>
          <w:rFonts w:eastAsia="黑体"/>
        </w:rPr>
        <w:t>表</w:t>
      </w:r>
      <w:r>
        <w:rPr>
          <w:rFonts w:hint="eastAsia" w:eastAsia="黑体"/>
          <w:lang w:val="en-US" w:eastAsia="zh-CN"/>
        </w:rPr>
        <w:t>6</w:t>
      </w:r>
      <w:r>
        <w:rPr>
          <w:rFonts w:eastAsia="黑体"/>
        </w:rPr>
        <w:t xml:space="preserve"> 再现性限</w:t>
      </w:r>
    </w:p>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3"/>
        <w:gridCol w:w="1589"/>
        <w:gridCol w:w="1589"/>
        <w:gridCol w:w="1589"/>
        <w:gridCol w:w="1591"/>
        <w:gridCol w:w="1639"/>
      </w:tblGrid>
      <w:tr w14:paraId="58EC3D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pct"/>
            <w:tcBorders>
              <w:top w:val="single" w:color="auto" w:sz="8" w:space="0"/>
              <w:left w:val="single" w:color="auto" w:sz="8" w:space="0"/>
              <w:bottom w:val="single" w:color="auto" w:sz="8" w:space="0"/>
              <w:right w:val="single" w:color="auto" w:sz="4" w:space="0"/>
            </w:tcBorders>
            <w:vAlign w:val="center"/>
          </w:tcPr>
          <w:p w14:paraId="4879B475">
            <w:pPr>
              <w:jc w:val="center"/>
              <w:rPr>
                <w:sz w:val="18"/>
                <w:szCs w:val="18"/>
              </w:rPr>
            </w:pPr>
            <w:r>
              <w:rPr>
                <w:rFonts w:hint="eastAsia"/>
                <w:sz w:val="18"/>
                <w:szCs w:val="18"/>
              </w:rPr>
              <w:t>元素</w:t>
            </w:r>
          </w:p>
        </w:tc>
        <w:tc>
          <w:tcPr>
            <w:tcW w:w="831" w:type="pct"/>
            <w:tcBorders>
              <w:top w:val="single" w:color="auto" w:sz="8" w:space="0"/>
              <w:left w:val="single" w:color="auto" w:sz="4" w:space="0"/>
              <w:bottom w:val="single" w:color="auto" w:sz="8" w:space="0"/>
              <w:right w:val="single" w:color="auto" w:sz="4" w:space="0"/>
            </w:tcBorders>
            <w:vAlign w:val="center"/>
          </w:tcPr>
          <w:p w14:paraId="000CC79F">
            <w:pPr>
              <w:adjustRightInd w:val="0"/>
              <w:snapToGrid w:val="0"/>
              <w:jc w:val="center"/>
              <w:rPr>
                <w:rFonts w:hint="eastAsia" w:hAnsi="宋体"/>
                <w:sz w:val="18"/>
                <w:szCs w:val="18"/>
              </w:rPr>
            </w:pPr>
            <w:r>
              <w:rPr>
                <w:rFonts w:hint="eastAsia" w:hAnsi="宋体"/>
                <w:sz w:val="18"/>
                <w:szCs w:val="18"/>
              </w:rPr>
              <w:t>质量分数</w:t>
            </w:r>
          </w:p>
          <w:p w14:paraId="0552CD72">
            <w:pPr>
              <w:adjustRightInd w:val="0"/>
              <w:snapToGrid w:val="0"/>
              <w:jc w:val="center"/>
              <w:rPr>
                <w:rFonts w:hint="eastAsia" w:hAnsi="宋体"/>
                <w:sz w:val="18"/>
                <w:szCs w:val="18"/>
              </w:rPr>
            </w:pPr>
            <w:r>
              <w:rPr>
                <w:rFonts w:hint="eastAsia"/>
                <w:sz w:val="18"/>
                <w:szCs w:val="18"/>
              </w:rPr>
              <w:t>%</w:t>
            </w:r>
          </w:p>
        </w:tc>
        <w:tc>
          <w:tcPr>
            <w:tcW w:w="831" w:type="pct"/>
            <w:tcBorders>
              <w:top w:val="single" w:color="auto" w:sz="8" w:space="0"/>
              <w:left w:val="single" w:color="auto" w:sz="4" w:space="0"/>
              <w:bottom w:val="single" w:color="auto" w:sz="8" w:space="0"/>
              <w:right w:val="double" w:color="auto" w:sz="4" w:space="0"/>
            </w:tcBorders>
            <w:vAlign w:val="center"/>
          </w:tcPr>
          <w:p w14:paraId="54A0481C">
            <w:pPr>
              <w:adjustRightInd w:val="0"/>
              <w:snapToGrid w:val="0"/>
              <w:jc w:val="center"/>
              <w:rPr>
                <w:rFonts w:hint="eastAsia" w:hAnsi="宋体"/>
                <w:sz w:val="18"/>
                <w:szCs w:val="18"/>
              </w:rPr>
            </w:pPr>
            <w:r>
              <w:rPr>
                <w:rFonts w:hint="eastAsia" w:hAnsi="宋体"/>
                <w:sz w:val="18"/>
                <w:szCs w:val="18"/>
              </w:rPr>
              <w:t>再现性限（</w:t>
            </w:r>
            <w:r>
              <w:rPr>
                <w:rFonts w:hint="eastAsia" w:hAnsi="宋体"/>
                <w:i/>
                <w:iCs/>
                <w:sz w:val="18"/>
                <w:szCs w:val="18"/>
              </w:rPr>
              <w:t>R</w:t>
            </w:r>
            <w:r>
              <w:rPr>
                <w:rFonts w:hint="eastAsia" w:hAnsi="宋体"/>
                <w:sz w:val="18"/>
                <w:szCs w:val="18"/>
              </w:rPr>
              <w:t>）</w:t>
            </w:r>
          </w:p>
          <w:p w14:paraId="23FB3C6C">
            <w:pPr>
              <w:adjustRightInd w:val="0"/>
              <w:snapToGrid w:val="0"/>
              <w:jc w:val="center"/>
              <w:rPr>
                <w:rFonts w:hint="eastAsia" w:hAnsi="宋体"/>
                <w:sz w:val="18"/>
                <w:szCs w:val="18"/>
              </w:rPr>
            </w:pPr>
            <w:r>
              <w:rPr>
                <w:rFonts w:hint="eastAsia"/>
                <w:sz w:val="18"/>
                <w:szCs w:val="18"/>
              </w:rPr>
              <w:t>%</w:t>
            </w:r>
          </w:p>
        </w:tc>
        <w:tc>
          <w:tcPr>
            <w:tcW w:w="831" w:type="pct"/>
            <w:tcBorders>
              <w:top w:val="single" w:color="auto" w:sz="8" w:space="0"/>
              <w:left w:val="double" w:color="auto" w:sz="4" w:space="0"/>
              <w:bottom w:val="single" w:color="auto" w:sz="8" w:space="0"/>
              <w:right w:val="single" w:color="auto" w:sz="4" w:space="0"/>
            </w:tcBorders>
            <w:vAlign w:val="center"/>
          </w:tcPr>
          <w:p w14:paraId="7849D239">
            <w:pPr>
              <w:jc w:val="center"/>
              <w:rPr>
                <w:sz w:val="18"/>
                <w:szCs w:val="18"/>
              </w:rPr>
            </w:pPr>
            <w:r>
              <w:rPr>
                <w:rFonts w:hint="eastAsia"/>
                <w:sz w:val="18"/>
                <w:szCs w:val="18"/>
              </w:rPr>
              <w:t>元素</w:t>
            </w:r>
          </w:p>
        </w:tc>
        <w:tc>
          <w:tcPr>
            <w:tcW w:w="832" w:type="pct"/>
            <w:tcBorders>
              <w:top w:val="single" w:color="auto" w:sz="8" w:space="0"/>
              <w:left w:val="single" w:color="auto" w:sz="4" w:space="0"/>
              <w:bottom w:val="single" w:color="auto" w:sz="8" w:space="0"/>
              <w:right w:val="single" w:color="auto" w:sz="4" w:space="0"/>
            </w:tcBorders>
            <w:vAlign w:val="center"/>
          </w:tcPr>
          <w:p w14:paraId="4312D07D">
            <w:pPr>
              <w:adjustRightInd w:val="0"/>
              <w:snapToGrid w:val="0"/>
              <w:jc w:val="center"/>
              <w:rPr>
                <w:rFonts w:hint="eastAsia" w:hAnsi="宋体"/>
                <w:sz w:val="18"/>
                <w:szCs w:val="18"/>
              </w:rPr>
            </w:pPr>
            <w:r>
              <w:rPr>
                <w:rFonts w:hint="eastAsia" w:hAnsi="宋体"/>
                <w:sz w:val="18"/>
                <w:szCs w:val="18"/>
              </w:rPr>
              <w:t>质量分数</w:t>
            </w:r>
          </w:p>
          <w:p w14:paraId="43D527F2">
            <w:pPr>
              <w:adjustRightInd w:val="0"/>
              <w:snapToGrid w:val="0"/>
              <w:jc w:val="center"/>
              <w:rPr>
                <w:rFonts w:hint="eastAsia" w:hAnsi="宋体"/>
                <w:sz w:val="18"/>
                <w:szCs w:val="18"/>
              </w:rPr>
            </w:pPr>
            <w:r>
              <w:rPr>
                <w:rFonts w:hint="eastAsia"/>
                <w:sz w:val="18"/>
                <w:szCs w:val="18"/>
              </w:rPr>
              <w:t>%</w:t>
            </w:r>
          </w:p>
        </w:tc>
        <w:tc>
          <w:tcPr>
            <w:tcW w:w="852" w:type="pct"/>
            <w:tcBorders>
              <w:top w:val="single" w:color="auto" w:sz="8" w:space="0"/>
              <w:left w:val="single" w:color="auto" w:sz="4" w:space="0"/>
              <w:bottom w:val="single" w:color="auto" w:sz="8" w:space="0"/>
              <w:right w:val="single" w:color="auto" w:sz="8" w:space="0"/>
            </w:tcBorders>
            <w:vAlign w:val="center"/>
          </w:tcPr>
          <w:p w14:paraId="636A5544">
            <w:pPr>
              <w:adjustRightInd w:val="0"/>
              <w:snapToGrid w:val="0"/>
              <w:jc w:val="center"/>
              <w:rPr>
                <w:rFonts w:hint="eastAsia" w:hAnsi="宋体"/>
                <w:sz w:val="18"/>
                <w:szCs w:val="18"/>
              </w:rPr>
            </w:pPr>
            <w:r>
              <w:rPr>
                <w:rFonts w:hint="eastAsia" w:hAnsi="宋体"/>
                <w:sz w:val="18"/>
                <w:szCs w:val="18"/>
              </w:rPr>
              <w:t>再现性限（</w:t>
            </w:r>
            <w:r>
              <w:rPr>
                <w:rFonts w:hint="eastAsia" w:hAnsi="宋体"/>
                <w:i/>
                <w:iCs/>
                <w:sz w:val="18"/>
                <w:szCs w:val="18"/>
              </w:rPr>
              <w:t>R</w:t>
            </w:r>
            <w:r>
              <w:rPr>
                <w:rFonts w:hint="eastAsia" w:hAnsi="宋体"/>
                <w:sz w:val="18"/>
                <w:szCs w:val="18"/>
              </w:rPr>
              <w:t>）</w:t>
            </w:r>
          </w:p>
          <w:p w14:paraId="0155F031">
            <w:pPr>
              <w:adjustRightInd w:val="0"/>
              <w:snapToGrid w:val="0"/>
              <w:jc w:val="center"/>
              <w:rPr>
                <w:rFonts w:hint="eastAsia" w:hAnsi="宋体"/>
                <w:sz w:val="18"/>
                <w:szCs w:val="18"/>
              </w:rPr>
            </w:pPr>
            <w:r>
              <w:rPr>
                <w:rFonts w:hint="eastAsia"/>
                <w:sz w:val="18"/>
                <w:szCs w:val="18"/>
              </w:rPr>
              <w:t>%</w:t>
            </w:r>
          </w:p>
        </w:tc>
      </w:tr>
      <w:tr w14:paraId="31AEF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8" w:space="0"/>
              <w:left w:val="single" w:color="auto" w:sz="8" w:space="0"/>
              <w:bottom w:val="single" w:color="auto" w:sz="4" w:space="0"/>
              <w:right w:val="single" w:color="auto" w:sz="4" w:space="0"/>
            </w:tcBorders>
            <w:vAlign w:val="center"/>
          </w:tcPr>
          <w:p w14:paraId="79F2C13B">
            <w:pPr>
              <w:jc w:val="center"/>
              <w:rPr>
                <w:sz w:val="18"/>
                <w:szCs w:val="18"/>
              </w:rPr>
            </w:pPr>
            <w:r>
              <w:rPr>
                <w:rFonts w:hint="eastAsia"/>
                <w:sz w:val="18"/>
                <w:szCs w:val="18"/>
              </w:rPr>
              <w:t>钙</w:t>
            </w:r>
          </w:p>
        </w:tc>
        <w:tc>
          <w:tcPr>
            <w:tcW w:w="831" w:type="pct"/>
            <w:tcBorders>
              <w:top w:val="single" w:color="auto" w:sz="8" w:space="0"/>
              <w:left w:val="single" w:color="auto" w:sz="4" w:space="0"/>
              <w:bottom w:val="single" w:color="auto" w:sz="4" w:space="0"/>
              <w:right w:val="single" w:color="auto" w:sz="4" w:space="0"/>
            </w:tcBorders>
            <w:vAlign w:val="center"/>
          </w:tcPr>
          <w:p w14:paraId="70EBE559">
            <w:pPr>
              <w:jc w:val="center"/>
              <w:rPr>
                <w:sz w:val="18"/>
                <w:szCs w:val="18"/>
              </w:rPr>
            </w:pPr>
            <w:r>
              <w:rPr>
                <w:rFonts w:hint="eastAsia"/>
                <w:sz w:val="18"/>
                <w:szCs w:val="18"/>
              </w:rPr>
              <w:t>0.35</w:t>
            </w:r>
          </w:p>
        </w:tc>
        <w:tc>
          <w:tcPr>
            <w:tcW w:w="831" w:type="pct"/>
            <w:tcBorders>
              <w:top w:val="single" w:color="auto" w:sz="8" w:space="0"/>
              <w:left w:val="single" w:color="auto" w:sz="4" w:space="0"/>
              <w:bottom w:val="single" w:color="auto" w:sz="4" w:space="0"/>
              <w:right w:val="double" w:color="auto" w:sz="4" w:space="0"/>
            </w:tcBorders>
            <w:vAlign w:val="center"/>
          </w:tcPr>
          <w:p w14:paraId="24CA7D59">
            <w:pPr>
              <w:jc w:val="center"/>
              <w:rPr>
                <w:sz w:val="18"/>
                <w:szCs w:val="18"/>
              </w:rPr>
            </w:pPr>
            <w:r>
              <w:rPr>
                <w:rFonts w:hint="eastAsia"/>
                <w:sz w:val="18"/>
                <w:szCs w:val="18"/>
              </w:rPr>
              <w:t>0.02</w:t>
            </w:r>
          </w:p>
        </w:tc>
        <w:tc>
          <w:tcPr>
            <w:tcW w:w="831" w:type="pct"/>
            <w:vMerge w:val="restart"/>
            <w:tcBorders>
              <w:top w:val="single" w:color="auto" w:sz="8" w:space="0"/>
              <w:left w:val="double" w:color="auto" w:sz="4" w:space="0"/>
              <w:bottom w:val="single" w:color="auto" w:sz="4" w:space="0"/>
              <w:right w:val="single" w:color="auto" w:sz="4" w:space="0"/>
            </w:tcBorders>
            <w:vAlign w:val="center"/>
          </w:tcPr>
          <w:p w14:paraId="0737761C">
            <w:pPr>
              <w:jc w:val="center"/>
              <w:rPr>
                <w:sz w:val="18"/>
                <w:szCs w:val="18"/>
              </w:rPr>
            </w:pPr>
            <w:r>
              <w:rPr>
                <w:rFonts w:hint="eastAsia"/>
                <w:sz w:val="18"/>
                <w:szCs w:val="18"/>
              </w:rPr>
              <w:t>锑</w:t>
            </w:r>
          </w:p>
        </w:tc>
        <w:tc>
          <w:tcPr>
            <w:tcW w:w="832" w:type="pct"/>
            <w:tcBorders>
              <w:top w:val="single" w:color="auto" w:sz="8" w:space="0"/>
              <w:left w:val="single" w:color="auto" w:sz="4" w:space="0"/>
              <w:bottom w:val="single" w:color="auto" w:sz="4" w:space="0"/>
              <w:right w:val="single" w:color="auto" w:sz="4" w:space="0"/>
            </w:tcBorders>
            <w:vAlign w:val="center"/>
          </w:tcPr>
          <w:p w14:paraId="75BABB2E">
            <w:pPr>
              <w:jc w:val="center"/>
              <w:rPr>
                <w:sz w:val="18"/>
                <w:szCs w:val="18"/>
              </w:rPr>
            </w:pPr>
            <w:r>
              <w:rPr>
                <w:rFonts w:hint="eastAsia"/>
                <w:sz w:val="18"/>
                <w:szCs w:val="18"/>
              </w:rPr>
              <w:t>0.10</w:t>
            </w:r>
          </w:p>
        </w:tc>
        <w:tc>
          <w:tcPr>
            <w:tcW w:w="852" w:type="pct"/>
            <w:tcBorders>
              <w:top w:val="single" w:color="auto" w:sz="8" w:space="0"/>
              <w:left w:val="single" w:color="auto" w:sz="4" w:space="0"/>
              <w:bottom w:val="single" w:color="auto" w:sz="4" w:space="0"/>
              <w:right w:val="single" w:color="auto" w:sz="8" w:space="0"/>
            </w:tcBorders>
            <w:vAlign w:val="center"/>
          </w:tcPr>
          <w:p w14:paraId="17ABB798">
            <w:pPr>
              <w:jc w:val="center"/>
              <w:rPr>
                <w:sz w:val="18"/>
                <w:szCs w:val="18"/>
              </w:rPr>
            </w:pPr>
            <w:r>
              <w:rPr>
                <w:rFonts w:hint="eastAsia"/>
                <w:sz w:val="18"/>
                <w:szCs w:val="18"/>
              </w:rPr>
              <w:t>0.01</w:t>
            </w:r>
          </w:p>
        </w:tc>
      </w:tr>
      <w:tr w14:paraId="2026D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20D236CD">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3B8D2C6A">
            <w:pPr>
              <w:jc w:val="center"/>
              <w:rPr>
                <w:sz w:val="18"/>
                <w:szCs w:val="18"/>
              </w:rPr>
            </w:pPr>
            <w:r>
              <w:rPr>
                <w:rFonts w:hint="eastAsia"/>
                <w:sz w:val="18"/>
                <w:szCs w:val="18"/>
              </w:rPr>
              <w:t>0.99</w:t>
            </w:r>
          </w:p>
        </w:tc>
        <w:tc>
          <w:tcPr>
            <w:tcW w:w="831" w:type="pct"/>
            <w:tcBorders>
              <w:top w:val="single" w:color="auto" w:sz="4" w:space="0"/>
              <w:left w:val="single" w:color="auto" w:sz="4" w:space="0"/>
              <w:bottom w:val="single" w:color="auto" w:sz="4" w:space="0"/>
              <w:right w:val="double" w:color="auto" w:sz="4" w:space="0"/>
            </w:tcBorders>
            <w:vAlign w:val="center"/>
          </w:tcPr>
          <w:p w14:paraId="31EDC576">
            <w:pPr>
              <w:jc w:val="center"/>
              <w:rPr>
                <w:sz w:val="18"/>
                <w:szCs w:val="18"/>
              </w:rPr>
            </w:pPr>
            <w:r>
              <w:rPr>
                <w:rFonts w:hint="eastAsia"/>
                <w:sz w:val="18"/>
                <w:szCs w:val="18"/>
              </w:rPr>
              <w:t>0.05</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09BD0960">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341D629F">
            <w:pPr>
              <w:jc w:val="center"/>
              <w:rPr>
                <w:sz w:val="18"/>
                <w:szCs w:val="18"/>
              </w:rPr>
            </w:pPr>
            <w:r>
              <w:rPr>
                <w:rFonts w:hint="eastAsia"/>
                <w:sz w:val="18"/>
                <w:szCs w:val="18"/>
              </w:rPr>
              <w:t>0.72</w:t>
            </w:r>
          </w:p>
        </w:tc>
        <w:tc>
          <w:tcPr>
            <w:tcW w:w="852" w:type="pct"/>
            <w:tcBorders>
              <w:top w:val="single" w:color="auto" w:sz="4" w:space="0"/>
              <w:left w:val="single" w:color="auto" w:sz="4" w:space="0"/>
              <w:bottom w:val="single" w:color="auto" w:sz="4" w:space="0"/>
              <w:right w:val="single" w:color="auto" w:sz="8" w:space="0"/>
            </w:tcBorders>
            <w:vAlign w:val="center"/>
          </w:tcPr>
          <w:p w14:paraId="665D30D2">
            <w:pPr>
              <w:jc w:val="center"/>
              <w:rPr>
                <w:sz w:val="18"/>
                <w:szCs w:val="18"/>
              </w:rPr>
            </w:pPr>
            <w:r>
              <w:rPr>
                <w:rFonts w:hint="eastAsia"/>
                <w:sz w:val="18"/>
                <w:szCs w:val="18"/>
              </w:rPr>
              <w:t>0.06</w:t>
            </w:r>
          </w:p>
        </w:tc>
      </w:tr>
      <w:tr w14:paraId="1F5AB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0D36B808">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73EB3F9">
            <w:pPr>
              <w:jc w:val="center"/>
              <w:rPr>
                <w:sz w:val="18"/>
                <w:szCs w:val="18"/>
              </w:rPr>
            </w:pPr>
            <w:r>
              <w:rPr>
                <w:rFonts w:hint="eastAsia"/>
                <w:sz w:val="18"/>
                <w:szCs w:val="18"/>
              </w:rPr>
              <w:t>1.51</w:t>
            </w:r>
          </w:p>
        </w:tc>
        <w:tc>
          <w:tcPr>
            <w:tcW w:w="831" w:type="pct"/>
            <w:tcBorders>
              <w:top w:val="single" w:color="auto" w:sz="4" w:space="0"/>
              <w:left w:val="single" w:color="auto" w:sz="4" w:space="0"/>
              <w:bottom w:val="single" w:color="auto" w:sz="4" w:space="0"/>
              <w:right w:val="double" w:color="auto" w:sz="4" w:space="0"/>
            </w:tcBorders>
            <w:vAlign w:val="center"/>
          </w:tcPr>
          <w:p w14:paraId="0B8AF941">
            <w:pPr>
              <w:jc w:val="center"/>
              <w:rPr>
                <w:sz w:val="18"/>
                <w:szCs w:val="18"/>
              </w:rPr>
            </w:pPr>
            <w:r>
              <w:rPr>
                <w:rFonts w:hint="eastAsia"/>
                <w:sz w:val="18"/>
                <w:szCs w:val="18"/>
              </w:rPr>
              <w:t>0.07</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6D88E304">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3779F755">
            <w:pPr>
              <w:jc w:val="center"/>
              <w:rPr>
                <w:sz w:val="18"/>
                <w:szCs w:val="18"/>
              </w:rPr>
            </w:pPr>
            <w:r>
              <w:rPr>
                <w:rFonts w:hint="eastAsia"/>
                <w:sz w:val="18"/>
                <w:szCs w:val="18"/>
              </w:rPr>
              <w:t>1.81</w:t>
            </w:r>
          </w:p>
        </w:tc>
        <w:tc>
          <w:tcPr>
            <w:tcW w:w="852" w:type="pct"/>
            <w:tcBorders>
              <w:top w:val="single" w:color="auto" w:sz="4" w:space="0"/>
              <w:left w:val="single" w:color="auto" w:sz="4" w:space="0"/>
              <w:bottom w:val="single" w:color="auto" w:sz="4" w:space="0"/>
              <w:right w:val="single" w:color="auto" w:sz="8" w:space="0"/>
            </w:tcBorders>
            <w:vAlign w:val="center"/>
          </w:tcPr>
          <w:p w14:paraId="5D123A7D">
            <w:pPr>
              <w:jc w:val="center"/>
              <w:rPr>
                <w:sz w:val="18"/>
                <w:szCs w:val="18"/>
              </w:rPr>
            </w:pPr>
            <w:r>
              <w:rPr>
                <w:rFonts w:hint="eastAsia"/>
                <w:sz w:val="18"/>
                <w:szCs w:val="18"/>
              </w:rPr>
              <w:t>0.13</w:t>
            </w:r>
          </w:p>
        </w:tc>
      </w:tr>
      <w:tr w14:paraId="2C8B2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768F543C">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739F7555">
            <w:pPr>
              <w:jc w:val="center"/>
              <w:rPr>
                <w:sz w:val="18"/>
                <w:szCs w:val="18"/>
              </w:rPr>
            </w:pPr>
            <w:r>
              <w:rPr>
                <w:rFonts w:hint="eastAsia"/>
                <w:sz w:val="18"/>
                <w:szCs w:val="18"/>
              </w:rPr>
              <w:t>6.00</w:t>
            </w:r>
          </w:p>
        </w:tc>
        <w:tc>
          <w:tcPr>
            <w:tcW w:w="831" w:type="pct"/>
            <w:tcBorders>
              <w:top w:val="single" w:color="auto" w:sz="4" w:space="0"/>
              <w:left w:val="single" w:color="auto" w:sz="4" w:space="0"/>
              <w:bottom w:val="single" w:color="auto" w:sz="4" w:space="0"/>
              <w:right w:val="double" w:color="auto" w:sz="4" w:space="0"/>
            </w:tcBorders>
            <w:vAlign w:val="center"/>
          </w:tcPr>
          <w:p w14:paraId="476541AD">
            <w:pPr>
              <w:jc w:val="center"/>
              <w:rPr>
                <w:sz w:val="18"/>
                <w:szCs w:val="18"/>
              </w:rPr>
            </w:pPr>
            <w:r>
              <w:rPr>
                <w:rFonts w:hint="eastAsia"/>
                <w:sz w:val="18"/>
                <w:szCs w:val="18"/>
              </w:rPr>
              <w:t>0.29</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1295772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B0986FD">
            <w:pPr>
              <w:jc w:val="center"/>
              <w:rPr>
                <w:sz w:val="18"/>
                <w:szCs w:val="18"/>
              </w:rPr>
            </w:pPr>
            <w:r>
              <w:rPr>
                <w:rFonts w:hint="eastAsia"/>
                <w:sz w:val="18"/>
                <w:szCs w:val="18"/>
              </w:rPr>
              <w:t>3.32</w:t>
            </w:r>
          </w:p>
        </w:tc>
        <w:tc>
          <w:tcPr>
            <w:tcW w:w="852" w:type="pct"/>
            <w:tcBorders>
              <w:top w:val="single" w:color="auto" w:sz="4" w:space="0"/>
              <w:left w:val="single" w:color="auto" w:sz="4" w:space="0"/>
              <w:bottom w:val="single" w:color="auto" w:sz="4" w:space="0"/>
              <w:right w:val="single" w:color="auto" w:sz="8" w:space="0"/>
            </w:tcBorders>
            <w:vAlign w:val="center"/>
          </w:tcPr>
          <w:p w14:paraId="078C4DA3">
            <w:pPr>
              <w:jc w:val="center"/>
              <w:rPr>
                <w:sz w:val="18"/>
                <w:szCs w:val="18"/>
              </w:rPr>
            </w:pPr>
            <w:r>
              <w:rPr>
                <w:rFonts w:hint="eastAsia"/>
                <w:sz w:val="18"/>
                <w:szCs w:val="18"/>
              </w:rPr>
              <w:t>0.28</w:t>
            </w:r>
          </w:p>
        </w:tc>
      </w:tr>
      <w:tr w14:paraId="27715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right w:val="single" w:color="auto" w:sz="4" w:space="0"/>
            </w:tcBorders>
            <w:vAlign w:val="center"/>
          </w:tcPr>
          <w:p w14:paraId="70C13D52">
            <w:pPr>
              <w:jc w:val="center"/>
              <w:rPr>
                <w:sz w:val="18"/>
                <w:szCs w:val="18"/>
              </w:rPr>
            </w:pPr>
            <w:r>
              <w:rPr>
                <w:rFonts w:hint="eastAsia"/>
                <w:sz w:val="18"/>
                <w:szCs w:val="18"/>
              </w:rPr>
              <w:t>镁</w:t>
            </w:r>
          </w:p>
        </w:tc>
        <w:tc>
          <w:tcPr>
            <w:tcW w:w="831" w:type="pct"/>
            <w:tcBorders>
              <w:top w:val="single" w:color="auto" w:sz="4" w:space="0"/>
              <w:left w:val="single" w:color="auto" w:sz="4" w:space="0"/>
              <w:bottom w:val="single" w:color="auto" w:sz="4" w:space="0"/>
              <w:right w:val="single" w:color="auto" w:sz="4" w:space="0"/>
            </w:tcBorders>
            <w:vAlign w:val="center"/>
          </w:tcPr>
          <w:p w14:paraId="405A729E">
            <w:pPr>
              <w:jc w:val="center"/>
              <w:rPr>
                <w:sz w:val="18"/>
                <w:szCs w:val="18"/>
              </w:rPr>
            </w:pPr>
            <w:r>
              <w:rPr>
                <w:rFonts w:hint="eastAsia"/>
                <w:sz w:val="18"/>
                <w:szCs w:val="18"/>
              </w:rPr>
              <w:t>0.20</w:t>
            </w:r>
          </w:p>
        </w:tc>
        <w:tc>
          <w:tcPr>
            <w:tcW w:w="831" w:type="pct"/>
            <w:tcBorders>
              <w:top w:val="single" w:color="auto" w:sz="4" w:space="0"/>
              <w:left w:val="single" w:color="auto" w:sz="4" w:space="0"/>
              <w:bottom w:val="single" w:color="auto" w:sz="4" w:space="0"/>
              <w:right w:val="double" w:color="auto" w:sz="4" w:space="0"/>
            </w:tcBorders>
            <w:vAlign w:val="center"/>
          </w:tcPr>
          <w:p w14:paraId="68EBECBD">
            <w:pPr>
              <w:jc w:val="center"/>
              <w:rPr>
                <w:sz w:val="18"/>
                <w:szCs w:val="18"/>
              </w:rPr>
            </w:pPr>
            <w:r>
              <w:rPr>
                <w:rFonts w:hint="eastAsia"/>
                <w:sz w:val="18"/>
                <w:szCs w:val="18"/>
              </w:rPr>
              <w:t>0.02</w:t>
            </w:r>
          </w:p>
        </w:tc>
        <w:tc>
          <w:tcPr>
            <w:tcW w:w="831" w:type="pct"/>
            <w:vMerge w:val="restart"/>
            <w:tcBorders>
              <w:top w:val="single" w:color="auto" w:sz="4" w:space="0"/>
              <w:left w:val="double" w:color="auto" w:sz="4" w:space="0"/>
              <w:right w:val="single" w:color="auto" w:sz="4" w:space="0"/>
            </w:tcBorders>
            <w:vAlign w:val="center"/>
          </w:tcPr>
          <w:p w14:paraId="3DE60A98">
            <w:pPr>
              <w:jc w:val="center"/>
              <w:rPr>
                <w:sz w:val="18"/>
                <w:szCs w:val="18"/>
              </w:rPr>
            </w:pPr>
            <w:r>
              <w:rPr>
                <w:rFonts w:hint="eastAsia"/>
                <w:sz w:val="18"/>
                <w:szCs w:val="18"/>
              </w:rPr>
              <w:t>铋</w:t>
            </w:r>
          </w:p>
        </w:tc>
        <w:tc>
          <w:tcPr>
            <w:tcW w:w="832" w:type="pct"/>
            <w:tcBorders>
              <w:top w:val="single" w:color="auto" w:sz="4" w:space="0"/>
              <w:left w:val="single" w:color="auto" w:sz="4" w:space="0"/>
              <w:bottom w:val="single" w:color="auto" w:sz="4" w:space="0"/>
              <w:right w:val="single" w:color="auto" w:sz="4" w:space="0"/>
            </w:tcBorders>
            <w:vAlign w:val="center"/>
          </w:tcPr>
          <w:p w14:paraId="3D312D54">
            <w:pPr>
              <w:jc w:val="center"/>
              <w:rPr>
                <w:sz w:val="18"/>
                <w:szCs w:val="18"/>
              </w:rPr>
            </w:pPr>
            <w:r>
              <w:rPr>
                <w:rFonts w:hint="eastAsia"/>
                <w:sz w:val="18"/>
                <w:szCs w:val="18"/>
              </w:rPr>
              <w:t>0.11</w:t>
            </w:r>
          </w:p>
        </w:tc>
        <w:tc>
          <w:tcPr>
            <w:tcW w:w="852" w:type="pct"/>
            <w:tcBorders>
              <w:top w:val="single" w:color="auto" w:sz="4" w:space="0"/>
              <w:left w:val="single" w:color="auto" w:sz="4" w:space="0"/>
              <w:bottom w:val="single" w:color="auto" w:sz="4" w:space="0"/>
              <w:right w:val="single" w:color="auto" w:sz="8" w:space="0"/>
            </w:tcBorders>
            <w:vAlign w:val="center"/>
          </w:tcPr>
          <w:p w14:paraId="22A4CDA1">
            <w:pPr>
              <w:jc w:val="center"/>
              <w:rPr>
                <w:sz w:val="18"/>
                <w:szCs w:val="18"/>
              </w:rPr>
            </w:pPr>
            <w:r>
              <w:rPr>
                <w:rFonts w:hint="eastAsia"/>
                <w:sz w:val="18"/>
                <w:szCs w:val="18"/>
              </w:rPr>
              <w:t>0.02</w:t>
            </w:r>
          </w:p>
        </w:tc>
      </w:tr>
      <w:tr w14:paraId="33E45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left w:val="single" w:color="auto" w:sz="8" w:space="0"/>
              <w:right w:val="single" w:color="auto" w:sz="4" w:space="0"/>
            </w:tcBorders>
            <w:vAlign w:val="center"/>
          </w:tcPr>
          <w:p w14:paraId="41716817">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36B31DF0">
            <w:pPr>
              <w:jc w:val="center"/>
              <w:rPr>
                <w:sz w:val="18"/>
                <w:szCs w:val="18"/>
              </w:rPr>
            </w:pPr>
            <w:r>
              <w:rPr>
                <w:rFonts w:hint="eastAsia"/>
                <w:sz w:val="18"/>
                <w:szCs w:val="18"/>
              </w:rPr>
              <w:t>1.36</w:t>
            </w:r>
          </w:p>
        </w:tc>
        <w:tc>
          <w:tcPr>
            <w:tcW w:w="831" w:type="pct"/>
            <w:tcBorders>
              <w:top w:val="single" w:color="auto" w:sz="4" w:space="0"/>
              <w:left w:val="single" w:color="auto" w:sz="4" w:space="0"/>
              <w:bottom w:val="single" w:color="auto" w:sz="4" w:space="0"/>
              <w:right w:val="double" w:color="auto" w:sz="4" w:space="0"/>
            </w:tcBorders>
            <w:vAlign w:val="center"/>
          </w:tcPr>
          <w:p w14:paraId="10904307">
            <w:pPr>
              <w:jc w:val="center"/>
              <w:rPr>
                <w:sz w:val="18"/>
                <w:szCs w:val="18"/>
              </w:rPr>
            </w:pPr>
            <w:r>
              <w:rPr>
                <w:rFonts w:hint="eastAsia"/>
                <w:sz w:val="18"/>
                <w:szCs w:val="18"/>
              </w:rPr>
              <w:t>0.08</w:t>
            </w:r>
          </w:p>
        </w:tc>
        <w:tc>
          <w:tcPr>
            <w:tcW w:w="831" w:type="pct"/>
            <w:vMerge w:val="continue"/>
            <w:tcBorders>
              <w:left w:val="double" w:color="auto" w:sz="4" w:space="0"/>
              <w:right w:val="single" w:color="auto" w:sz="4" w:space="0"/>
            </w:tcBorders>
            <w:vAlign w:val="center"/>
          </w:tcPr>
          <w:p w14:paraId="096817E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796A6AEF">
            <w:pPr>
              <w:jc w:val="center"/>
              <w:rPr>
                <w:sz w:val="18"/>
                <w:szCs w:val="18"/>
              </w:rPr>
            </w:pPr>
            <w:r>
              <w:rPr>
                <w:rFonts w:hint="eastAsia"/>
                <w:sz w:val="18"/>
                <w:szCs w:val="18"/>
              </w:rPr>
              <w:t>0.42</w:t>
            </w:r>
          </w:p>
        </w:tc>
        <w:tc>
          <w:tcPr>
            <w:tcW w:w="852" w:type="pct"/>
            <w:tcBorders>
              <w:top w:val="single" w:color="auto" w:sz="4" w:space="0"/>
              <w:left w:val="single" w:color="auto" w:sz="4" w:space="0"/>
              <w:bottom w:val="single" w:color="auto" w:sz="4" w:space="0"/>
              <w:right w:val="single" w:color="auto" w:sz="8" w:space="0"/>
            </w:tcBorders>
            <w:vAlign w:val="center"/>
          </w:tcPr>
          <w:p w14:paraId="0295477E">
            <w:pPr>
              <w:jc w:val="center"/>
              <w:rPr>
                <w:sz w:val="18"/>
                <w:szCs w:val="18"/>
              </w:rPr>
            </w:pPr>
            <w:r>
              <w:rPr>
                <w:rFonts w:hint="eastAsia"/>
                <w:sz w:val="18"/>
                <w:szCs w:val="18"/>
              </w:rPr>
              <w:t>0.03</w:t>
            </w:r>
          </w:p>
        </w:tc>
      </w:tr>
      <w:tr w14:paraId="38409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left w:val="single" w:color="auto" w:sz="8" w:space="0"/>
              <w:right w:val="single" w:color="auto" w:sz="4" w:space="0"/>
            </w:tcBorders>
            <w:vAlign w:val="center"/>
          </w:tcPr>
          <w:p w14:paraId="5A3F1514">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1189468">
            <w:pPr>
              <w:jc w:val="center"/>
              <w:rPr>
                <w:sz w:val="18"/>
                <w:szCs w:val="18"/>
              </w:rPr>
            </w:pPr>
            <w:r>
              <w:rPr>
                <w:rFonts w:hint="eastAsia"/>
                <w:sz w:val="18"/>
                <w:szCs w:val="18"/>
              </w:rPr>
              <w:t>6.07</w:t>
            </w:r>
          </w:p>
        </w:tc>
        <w:tc>
          <w:tcPr>
            <w:tcW w:w="831" w:type="pct"/>
            <w:tcBorders>
              <w:top w:val="single" w:color="auto" w:sz="4" w:space="0"/>
              <w:left w:val="single" w:color="auto" w:sz="4" w:space="0"/>
              <w:bottom w:val="single" w:color="auto" w:sz="4" w:space="0"/>
              <w:right w:val="double" w:color="auto" w:sz="4" w:space="0"/>
            </w:tcBorders>
            <w:vAlign w:val="center"/>
          </w:tcPr>
          <w:p w14:paraId="67022216">
            <w:pPr>
              <w:jc w:val="center"/>
              <w:rPr>
                <w:sz w:val="18"/>
                <w:szCs w:val="18"/>
              </w:rPr>
            </w:pPr>
            <w:r>
              <w:rPr>
                <w:rFonts w:hint="eastAsia"/>
                <w:sz w:val="18"/>
                <w:szCs w:val="18"/>
              </w:rPr>
              <w:t>0.16</w:t>
            </w:r>
          </w:p>
        </w:tc>
        <w:tc>
          <w:tcPr>
            <w:tcW w:w="831" w:type="pct"/>
            <w:vMerge w:val="continue"/>
            <w:tcBorders>
              <w:left w:val="double" w:color="auto" w:sz="4" w:space="0"/>
              <w:right w:val="single" w:color="auto" w:sz="4" w:space="0"/>
            </w:tcBorders>
            <w:vAlign w:val="center"/>
          </w:tcPr>
          <w:p w14:paraId="57E28AB2">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28EFAD4D">
            <w:pPr>
              <w:jc w:val="center"/>
              <w:rPr>
                <w:sz w:val="18"/>
                <w:szCs w:val="18"/>
              </w:rPr>
            </w:pPr>
            <w:r>
              <w:rPr>
                <w:rFonts w:hint="eastAsia"/>
                <w:sz w:val="18"/>
                <w:szCs w:val="18"/>
              </w:rPr>
              <w:t>0.67</w:t>
            </w:r>
          </w:p>
        </w:tc>
        <w:tc>
          <w:tcPr>
            <w:tcW w:w="852" w:type="pct"/>
            <w:tcBorders>
              <w:top w:val="single" w:color="auto" w:sz="4" w:space="0"/>
              <w:left w:val="single" w:color="auto" w:sz="4" w:space="0"/>
              <w:bottom w:val="single" w:color="auto" w:sz="4" w:space="0"/>
              <w:right w:val="single" w:color="auto" w:sz="8" w:space="0"/>
            </w:tcBorders>
            <w:vAlign w:val="center"/>
          </w:tcPr>
          <w:p w14:paraId="0DD82643">
            <w:pPr>
              <w:jc w:val="center"/>
              <w:rPr>
                <w:sz w:val="18"/>
                <w:szCs w:val="18"/>
              </w:rPr>
            </w:pPr>
            <w:r>
              <w:rPr>
                <w:rFonts w:hint="eastAsia"/>
                <w:sz w:val="18"/>
                <w:szCs w:val="18"/>
              </w:rPr>
              <w:t>0.05</w:t>
            </w:r>
          </w:p>
        </w:tc>
      </w:tr>
      <w:tr w14:paraId="456E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818" w:type="pct"/>
            <w:vMerge w:val="continue"/>
            <w:tcBorders>
              <w:left w:val="single" w:color="auto" w:sz="8" w:space="0"/>
              <w:right w:val="single" w:color="auto" w:sz="4" w:space="0"/>
            </w:tcBorders>
            <w:vAlign w:val="center"/>
          </w:tcPr>
          <w:p w14:paraId="1FE75B19">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99E9EA2">
            <w:pPr>
              <w:jc w:val="center"/>
              <w:rPr>
                <w:sz w:val="18"/>
                <w:szCs w:val="18"/>
              </w:rPr>
            </w:pPr>
            <w:r>
              <w:rPr>
                <w:rFonts w:hint="eastAsia"/>
                <w:sz w:val="18"/>
                <w:szCs w:val="18"/>
              </w:rPr>
              <w:t>12.17</w:t>
            </w:r>
          </w:p>
        </w:tc>
        <w:tc>
          <w:tcPr>
            <w:tcW w:w="831" w:type="pct"/>
            <w:tcBorders>
              <w:top w:val="single" w:color="auto" w:sz="4" w:space="0"/>
              <w:left w:val="single" w:color="auto" w:sz="4" w:space="0"/>
              <w:bottom w:val="single" w:color="auto" w:sz="4" w:space="0"/>
              <w:right w:val="double" w:color="auto" w:sz="4" w:space="0"/>
            </w:tcBorders>
            <w:vAlign w:val="center"/>
          </w:tcPr>
          <w:p w14:paraId="25386A72">
            <w:pPr>
              <w:jc w:val="center"/>
              <w:rPr>
                <w:sz w:val="18"/>
                <w:szCs w:val="18"/>
              </w:rPr>
            </w:pPr>
            <w:r>
              <w:rPr>
                <w:rFonts w:hint="eastAsia"/>
                <w:sz w:val="18"/>
                <w:szCs w:val="18"/>
              </w:rPr>
              <w:t>0.35</w:t>
            </w:r>
          </w:p>
        </w:tc>
        <w:tc>
          <w:tcPr>
            <w:tcW w:w="831" w:type="pct"/>
            <w:vMerge w:val="continue"/>
            <w:tcBorders>
              <w:left w:val="double" w:color="auto" w:sz="4" w:space="0"/>
              <w:right w:val="single" w:color="auto" w:sz="4" w:space="0"/>
            </w:tcBorders>
            <w:vAlign w:val="center"/>
          </w:tcPr>
          <w:p w14:paraId="005856B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58040A11">
            <w:pPr>
              <w:jc w:val="center"/>
              <w:rPr>
                <w:sz w:val="18"/>
                <w:szCs w:val="18"/>
              </w:rPr>
            </w:pPr>
            <w:r>
              <w:rPr>
                <w:rFonts w:hint="eastAsia"/>
                <w:sz w:val="18"/>
                <w:szCs w:val="18"/>
              </w:rPr>
              <w:t>1.08</w:t>
            </w:r>
          </w:p>
        </w:tc>
        <w:tc>
          <w:tcPr>
            <w:tcW w:w="852" w:type="pct"/>
            <w:tcBorders>
              <w:top w:val="single" w:color="auto" w:sz="4" w:space="0"/>
              <w:left w:val="single" w:color="auto" w:sz="4" w:space="0"/>
              <w:bottom w:val="single" w:color="auto" w:sz="4" w:space="0"/>
              <w:right w:val="single" w:color="auto" w:sz="8" w:space="0"/>
            </w:tcBorders>
            <w:vAlign w:val="center"/>
          </w:tcPr>
          <w:p w14:paraId="2E03089E">
            <w:pPr>
              <w:jc w:val="center"/>
              <w:rPr>
                <w:sz w:val="18"/>
                <w:szCs w:val="18"/>
              </w:rPr>
            </w:pPr>
            <w:r>
              <w:rPr>
                <w:rFonts w:hint="eastAsia"/>
                <w:sz w:val="18"/>
                <w:szCs w:val="18"/>
              </w:rPr>
              <w:t>0.10</w:t>
            </w:r>
          </w:p>
        </w:tc>
      </w:tr>
      <w:tr w14:paraId="1D4FE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left w:val="single" w:color="auto" w:sz="8" w:space="0"/>
              <w:right w:val="single" w:color="auto" w:sz="4" w:space="0"/>
            </w:tcBorders>
            <w:vAlign w:val="center"/>
          </w:tcPr>
          <w:p w14:paraId="3678024F">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34FD704F">
            <w:pPr>
              <w:jc w:val="center"/>
              <w:rPr>
                <w:sz w:val="18"/>
                <w:szCs w:val="18"/>
              </w:rPr>
            </w:pPr>
            <w:r>
              <w:rPr>
                <w:rFonts w:hint="eastAsia"/>
                <w:sz w:val="18"/>
                <w:szCs w:val="18"/>
              </w:rPr>
              <w:t>14.84</w:t>
            </w:r>
          </w:p>
        </w:tc>
        <w:tc>
          <w:tcPr>
            <w:tcW w:w="831" w:type="pct"/>
            <w:tcBorders>
              <w:top w:val="single" w:color="auto" w:sz="4" w:space="0"/>
              <w:left w:val="single" w:color="auto" w:sz="4" w:space="0"/>
              <w:bottom w:val="single" w:color="auto" w:sz="4" w:space="0"/>
              <w:right w:val="double" w:color="auto" w:sz="4" w:space="0"/>
            </w:tcBorders>
            <w:vAlign w:val="center"/>
          </w:tcPr>
          <w:p w14:paraId="79CA57D8">
            <w:pPr>
              <w:jc w:val="center"/>
              <w:rPr>
                <w:sz w:val="18"/>
                <w:szCs w:val="18"/>
              </w:rPr>
            </w:pPr>
            <w:r>
              <w:rPr>
                <w:rFonts w:hint="eastAsia"/>
                <w:sz w:val="18"/>
                <w:szCs w:val="18"/>
              </w:rPr>
              <w:t>0.44</w:t>
            </w:r>
          </w:p>
        </w:tc>
        <w:tc>
          <w:tcPr>
            <w:tcW w:w="831" w:type="pct"/>
            <w:vMerge w:val="continue"/>
            <w:tcBorders>
              <w:left w:val="double" w:color="auto" w:sz="4" w:space="0"/>
              <w:right w:val="single" w:color="auto" w:sz="4" w:space="0"/>
            </w:tcBorders>
            <w:vAlign w:val="center"/>
          </w:tcPr>
          <w:p w14:paraId="6298EECE">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200E4010">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5DBC5684">
            <w:pPr>
              <w:jc w:val="center"/>
              <w:rPr>
                <w:sz w:val="18"/>
                <w:szCs w:val="18"/>
              </w:rPr>
            </w:pPr>
            <w:r>
              <w:rPr>
                <w:rFonts w:hint="eastAsia"/>
                <w:sz w:val="18"/>
                <w:szCs w:val="18"/>
              </w:rPr>
              <w:t>-</w:t>
            </w:r>
          </w:p>
        </w:tc>
      </w:tr>
      <w:tr w14:paraId="48222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left w:val="single" w:color="auto" w:sz="8" w:space="0"/>
              <w:right w:val="single" w:color="auto" w:sz="4" w:space="0"/>
            </w:tcBorders>
            <w:vAlign w:val="center"/>
          </w:tcPr>
          <w:p w14:paraId="1CAAFC06">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693328B">
            <w:pPr>
              <w:jc w:val="center"/>
              <w:rPr>
                <w:sz w:val="18"/>
                <w:szCs w:val="18"/>
              </w:rPr>
            </w:pPr>
            <w:r>
              <w:rPr>
                <w:rFonts w:hint="eastAsia"/>
                <w:sz w:val="18"/>
                <w:szCs w:val="18"/>
              </w:rPr>
              <w:t>20.41</w:t>
            </w:r>
          </w:p>
        </w:tc>
        <w:tc>
          <w:tcPr>
            <w:tcW w:w="831" w:type="pct"/>
            <w:tcBorders>
              <w:top w:val="single" w:color="auto" w:sz="4" w:space="0"/>
              <w:left w:val="single" w:color="auto" w:sz="4" w:space="0"/>
              <w:bottom w:val="single" w:color="auto" w:sz="4" w:space="0"/>
              <w:right w:val="double" w:color="auto" w:sz="4" w:space="0"/>
            </w:tcBorders>
            <w:vAlign w:val="center"/>
          </w:tcPr>
          <w:p w14:paraId="3806D976">
            <w:pPr>
              <w:jc w:val="center"/>
              <w:rPr>
                <w:sz w:val="18"/>
                <w:szCs w:val="18"/>
              </w:rPr>
            </w:pPr>
            <w:r>
              <w:rPr>
                <w:rFonts w:hint="eastAsia"/>
                <w:sz w:val="18"/>
                <w:szCs w:val="18"/>
              </w:rPr>
              <w:t>0.54</w:t>
            </w:r>
          </w:p>
        </w:tc>
        <w:tc>
          <w:tcPr>
            <w:tcW w:w="831" w:type="pct"/>
            <w:vMerge w:val="continue"/>
            <w:tcBorders>
              <w:left w:val="double" w:color="auto" w:sz="4" w:space="0"/>
              <w:right w:val="single" w:color="auto" w:sz="4" w:space="0"/>
            </w:tcBorders>
            <w:vAlign w:val="center"/>
          </w:tcPr>
          <w:p w14:paraId="79D14AF9">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6D361AC1">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4FAD5852">
            <w:pPr>
              <w:jc w:val="center"/>
              <w:rPr>
                <w:sz w:val="18"/>
                <w:szCs w:val="18"/>
              </w:rPr>
            </w:pPr>
            <w:r>
              <w:rPr>
                <w:rFonts w:hint="eastAsia"/>
                <w:sz w:val="18"/>
                <w:szCs w:val="18"/>
              </w:rPr>
              <w:t>-</w:t>
            </w:r>
          </w:p>
        </w:tc>
      </w:tr>
      <w:tr w14:paraId="18D84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left w:val="single" w:color="auto" w:sz="8" w:space="0"/>
              <w:bottom w:val="single" w:color="auto" w:sz="4" w:space="0"/>
              <w:right w:val="single" w:color="auto" w:sz="4" w:space="0"/>
            </w:tcBorders>
            <w:vAlign w:val="center"/>
          </w:tcPr>
          <w:p w14:paraId="61063016">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56FB4DA">
            <w:pPr>
              <w:jc w:val="center"/>
              <w:rPr>
                <w:sz w:val="18"/>
                <w:szCs w:val="18"/>
              </w:rPr>
            </w:pPr>
            <w:r>
              <w:rPr>
                <w:rFonts w:hint="eastAsia"/>
                <w:sz w:val="18"/>
                <w:szCs w:val="18"/>
              </w:rPr>
              <w:t>29.15</w:t>
            </w:r>
          </w:p>
        </w:tc>
        <w:tc>
          <w:tcPr>
            <w:tcW w:w="831" w:type="pct"/>
            <w:tcBorders>
              <w:top w:val="single" w:color="auto" w:sz="4" w:space="0"/>
              <w:left w:val="single" w:color="auto" w:sz="4" w:space="0"/>
              <w:bottom w:val="single" w:color="auto" w:sz="4" w:space="0"/>
              <w:right w:val="double" w:color="auto" w:sz="4" w:space="0"/>
            </w:tcBorders>
            <w:vAlign w:val="center"/>
          </w:tcPr>
          <w:p w14:paraId="6979E882">
            <w:pPr>
              <w:jc w:val="center"/>
              <w:rPr>
                <w:sz w:val="18"/>
                <w:szCs w:val="18"/>
              </w:rPr>
            </w:pPr>
            <w:r>
              <w:rPr>
                <w:rFonts w:hint="eastAsia"/>
                <w:sz w:val="18"/>
                <w:szCs w:val="18"/>
              </w:rPr>
              <w:t>0.62</w:t>
            </w:r>
          </w:p>
        </w:tc>
        <w:tc>
          <w:tcPr>
            <w:tcW w:w="831" w:type="pct"/>
            <w:vMerge w:val="continue"/>
            <w:tcBorders>
              <w:left w:val="double" w:color="auto" w:sz="4" w:space="0"/>
              <w:bottom w:val="single" w:color="auto" w:sz="4" w:space="0"/>
              <w:right w:val="single" w:color="auto" w:sz="4" w:space="0"/>
            </w:tcBorders>
            <w:vAlign w:val="center"/>
          </w:tcPr>
          <w:p w14:paraId="04D9B0DA">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2E6244B5">
            <w:pPr>
              <w:jc w:val="center"/>
              <w:rPr>
                <w:sz w:val="18"/>
                <w:szCs w:val="18"/>
              </w:rPr>
            </w:pPr>
            <w:r>
              <w:rPr>
                <w:rFonts w:hint="eastAsia"/>
                <w:sz w:val="18"/>
                <w:szCs w:val="18"/>
              </w:rPr>
              <w:t>-</w:t>
            </w:r>
          </w:p>
        </w:tc>
        <w:tc>
          <w:tcPr>
            <w:tcW w:w="852" w:type="pct"/>
            <w:tcBorders>
              <w:top w:val="single" w:color="auto" w:sz="4" w:space="0"/>
              <w:left w:val="single" w:color="auto" w:sz="4" w:space="0"/>
              <w:bottom w:val="single" w:color="auto" w:sz="4" w:space="0"/>
              <w:right w:val="single" w:color="auto" w:sz="8" w:space="0"/>
            </w:tcBorders>
            <w:vAlign w:val="center"/>
          </w:tcPr>
          <w:p w14:paraId="0AF29F5C">
            <w:pPr>
              <w:jc w:val="center"/>
              <w:rPr>
                <w:sz w:val="18"/>
                <w:szCs w:val="18"/>
              </w:rPr>
            </w:pPr>
            <w:r>
              <w:rPr>
                <w:rFonts w:hint="eastAsia"/>
                <w:sz w:val="18"/>
                <w:szCs w:val="18"/>
              </w:rPr>
              <w:t>-</w:t>
            </w:r>
          </w:p>
        </w:tc>
      </w:tr>
      <w:tr w14:paraId="4007A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3CAD79FE">
            <w:pPr>
              <w:jc w:val="center"/>
              <w:rPr>
                <w:sz w:val="18"/>
                <w:szCs w:val="18"/>
              </w:rPr>
            </w:pPr>
            <w:r>
              <w:rPr>
                <w:rFonts w:hint="eastAsia"/>
                <w:sz w:val="18"/>
                <w:szCs w:val="18"/>
              </w:rPr>
              <w:t>锰</w:t>
            </w:r>
          </w:p>
        </w:tc>
        <w:tc>
          <w:tcPr>
            <w:tcW w:w="831" w:type="pct"/>
            <w:tcBorders>
              <w:top w:val="single" w:color="auto" w:sz="4" w:space="0"/>
              <w:left w:val="single" w:color="auto" w:sz="4" w:space="0"/>
              <w:bottom w:val="single" w:color="auto" w:sz="4" w:space="0"/>
              <w:right w:val="single" w:color="auto" w:sz="4" w:space="0"/>
            </w:tcBorders>
            <w:vAlign w:val="center"/>
          </w:tcPr>
          <w:p w14:paraId="662DD90B">
            <w:pPr>
              <w:jc w:val="center"/>
              <w:rPr>
                <w:sz w:val="18"/>
                <w:szCs w:val="18"/>
              </w:rPr>
            </w:pPr>
            <w:r>
              <w:rPr>
                <w:rFonts w:hint="eastAsia"/>
                <w:sz w:val="18"/>
                <w:szCs w:val="18"/>
              </w:rPr>
              <w:t>0.54</w:t>
            </w:r>
          </w:p>
        </w:tc>
        <w:tc>
          <w:tcPr>
            <w:tcW w:w="831" w:type="pct"/>
            <w:tcBorders>
              <w:top w:val="single" w:color="auto" w:sz="4" w:space="0"/>
              <w:left w:val="single" w:color="auto" w:sz="4" w:space="0"/>
              <w:bottom w:val="single" w:color="auto" w:sz="4" w:space="0"/>
              <w:right w:val="double" w:color="auto" w:sz="4" w:space="0"/>
            </w:tcBorders>
            <w:vAlign w:val="center"/>
          </w:tcPr>
          <w:p w14:paraId="07EC57B0">
            <w:pPr>
              <w:jc w:val="center"/>
              <w:rPr>
                <w:sz w:val="18"/>
                <w:szCs w:val="18"/>
              </w:rPr>
            </w:pPr>
            <w:r>
              <w:rPr>
                <w:rFonts w:hint="eastAsia"/>
                <w:sz w:val="18"/>
                <w:szCs w:val="18"/>
              </w:rPr>
              <w:t>0.03</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10ECA281">
            <w:pPr>
              <w:jc w:val="center"/>
              <w:rPr>
                <w:sz w:val="18"/>
                <w:szCs w:val="18"/>
              </w:rPr>
            </w:pPr>
            <w:r>
              <w:rPr>
                <w:rFonts w:hint="eastAsia"/>
                <w:sz w:val="18"/>
                <w:szCs w:val="18"/>
              </w:rPr>
              <w:t>锶</w:t>
            </w:r>
          </w:p>
        </w:tc>
        <w:tc>
          <w:tcPr>
            <w:tcW w:w="832" w:type="pct"/>
            <w:tcBorders>
              <w:top w:val="single" w:color="auto" w:sz="4" w:space="0"/>
              <w:left w:val="single" w:color="auto" w:sz="4" w:space="0"/>
              <w:bottom w:val="single" w:color="auto" w:sz="4" w:space="0"/>
              <w:right w:val="single" w:color="auto" w:sz="4" w:space="0"/>
            </w:tcBorders>
            <w:vAlign w:val="center"/>
          </w:tcPr>
          <w:p w14:paraId="6122DEBE">
            <w:pPr>
              <w:jc w:val="center"/>
              <w:rPr>
                <w:sz w:val="18"/>
                <w:szCs w:val="18"/>
              </w:rPr>
            </w:pPr>
            <w:r>
              <w:rPr>
                <w:rFonts w:hint="eastAsia"/>
                <w:sz w:val="18"/>
                <w:szCs w:val="18"/>
              </w:rPr>
              <w:t>0.18</w:t>
            </w:r>
          </w:p>
        </w:tc>
        <w:tc>
          <w:tcPr>
            <w:tcW w:w="852" w:type="pct"/>
            <w:tcBorders>
              <w:top w:val="single" w:color="auto" w:sz="4" w:space="0"/>
              <w:left w:val="single" w:color="auto" w:sz="4" w:space="0"/>
              <w:bottom w:val="single" w:color="auto" w:sz="4" w:space="0"/>
              <w:right w:val="single" w:color="auto" w:sz="8" w:space="0"/>
            </w:tcBorders>
            <w:vAlign w:val="center"/>
          </w:tcPr>
          <w:p w14:paraId="11C7FB7D">
            <w:pPr>
              <w:jc w:val="center"/>
              <w:rPr>
                <w:sz w:val="18"/>
                <w:szCs w:val="18"/>
              </w:rPr>
            </w:pPr>
            <w:r>
              <w:rPr>
                <w:rFonts w:hint="eastAsia"/>
                <w:sz w:val="18"/>
                <w:szCs w:val="18"/>
              </w:rPr>
              <w:t>0.02</w:t>
            </w:r>
          </w:p>
        </w:tc>
      </w:tr>
      <w:tr w14:paraId="4B922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00159592">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5717B703">
            <w:pPr>
              <w:jc w:val="center"/>
              <w:rPr>
                <w:sz w:val="18"/>
                <w:szCs w:val="18"/>
              </w:rPr>
            </w:pPr>
            <w:r>
              <w:rPr>
                <w:rFonts w:hint="eastAsia"/>
                <w:sz w:val="18"/>
                <w:szCs w:val="18"/>
              </w:rPr>
              <w:t>1.52</w:t>
            </w:r>
          </w:p>
        </w:tc>
        <w:tc>
          <w:tcPr>
            <w:tcW w:w="831" w:type="pct"/>
            <w:tcBorders>
              <w:top w:val="single" w:color="auto" w:sz="4" w:space="0"/>
              <w:left w:val="single" w:color="auto" w:sz="4" w:space="0"/>
              <w:bottom w:val="single" w:color="auto" w:sz="4" w:space="0"/>
              <w:right w:val="double" w:color="auto" w:sz="4" w:space="0"/>
            </w:tcBorders>
            <w:vAlign w:val="center"/>
          </w:tcPr>
          <w:p w14:paraId="43D4D80A">
            <w:pPr>
              <w:jc w:val="center"/>
              <w:rPr>
                <w:sz w:val="18"/>
                <w:szCs w:val="18"/>
              </w:rPr>
            </w:pPr>
            <w:r>
              <w:rPr>
                <w:rFonts w:hint="eastAsia"/>
                <w:sz w:val="18"/>
                <w:szCs w:val="18"/>
              </w:rPr>
              <w:t>0.10</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5770D8F7">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1F4053B3">
            <w:pPr>
              <w:jc w:val="center"/>
              <w:rPr>
                <w:sz w:val="18"/>
                <w:szCs w:val="18"/>
              </w:rPr>
            </w:pPr>
            <w:r>
              <w:rPr>
                <w:rFonts w:hint="eastAsia"/>
                <w:sz w:val="18"/>
                <w:szCs w:val="18"/>
              </w:rPr>
              <w:t>0.38</w:t>
            </w:r>
          </w:p>
        </w:tc>
        <w:tc>
          <w:tcPr>
            <w:tcW w:w="852" w:type="pct"/>
            <w:tcBorders>
              <w:top w:val="single" w:color="auto" w:sz="4" w:space="0"/>
              <w:left w:val="single" w:color="auto" w:sz="4" w:space="0"/>
              <w:bottom w:val="single" w:color="auto" w:sz="4" w:space="0"/>
              <w:right w:val="single" w:color="auto" w:sz="8" w:space="0"/>
            </w:tcBorders>
            <w:vAlign w:val="center"/>
          </w:tcPr>
          <w:p w14:paraId="01D7B6F3">
            <w:pPr>
              <w:jc w:val="center"/>
              <w:rPr>
                <w:sz w:val="18"/>
                <w:szCs w:val="18"/>
              </w:rPr>
            </w:pPr>
            <w:r>
              <w:rPr>
                <w:rFonts w:hint="eastAsia"/>
                <w:sz w:val="18"/>
                <w:szCs w:val="18"/>
              </w:rPr>
              <w:t>0.02</w:t>
            </w:r>
          </w:p>
        </w:tc>
      </w:tr>
      <w:tr w14:paraId="5248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422B2263">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0BD2F7AD">
            <w:pPr>
              <w:jc w:val="center"/>
              <w:rPr>
                <w:sz w:val="18"/>
                <w:szCs w:val="18"/>
              </w:rPr>
            </w:pPr>
            <w:r>
              <w:rPr>
                <w:rFonts w:hint="eastAsia"/>
                <w:sz w:val="18"/>
                <w:szCs w:val="18"/>
              </w:rPr>
              <w:t>4.81</w:t>
            </w:r>
          </w:p>
        </w:tc>
        <w:tc>
          <w:tcPr>
            <w:tcW w:w="831" w:type="pct"/>
            <w:tcBorders>
              <w:top w:val="single" w:color="auto" w:sz="4" w:space="0"/>
              <w:left w:val="single" w:color="auto" w:sz="4" w:space="0"/>
              <w:bottom w:val="single" w:color="auto" w:sz="4" w:space="0"/>
              <w:right w:val="double" w:color="auto" w:sz="4" w:space="0"/>
            </w:tcBorders>
            <w:vAlign w:val="center"/>
          </w:tcPr>
          <w:p w14:paraId="377454CE">
            <w:pPr>
              <w:jc w:val="center"/>
              <w:rPr>
                <w:sz w:val="18"/>
                <w:szCs w:val="18"/>
              </w:rPr>
            </w:pPr>
            <w:r>
              <w:rPr>
                <w:rFonts w:hint="eastAsia"/>
                <w:sz w:val="18"/>
                <w:szCs w:val="18"/>
              </w:rPr>
              <w:t>0.18</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04E63C14">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F9B8B8F">
            <w:pPr>
              <w:jc w:val="center"/>
              <w:rPr>
                <w:sz w:val="18"/>
                <w:szCs w:val="18"/>
              </w:rPr>
            </w:pPr>
            <w:r>
              <w:rPr>
                <w:rFonts w:hint="eastAsia"/>
                <w:sz w:val="18"/>
                <w:szCs w:val="18"/>
              </w:rPr>
              <w:t>1.91</w:t>
            </w:r>
          </w:p>
        </w:tc>
        <w:tc>
          <w:tcPr>
            <w:tcW w:w="852" w:type="pct"/>
            <w:tcBorders>
              <w:top w:val="single" w:color="auto" w:sz="4" w:space="0"/>
              <w:left w:val="single" w:color="auto" w:sz="4" w:space="0"/>
              <w:bottom w:val="single" w:color="auto" w:sz="4" w:space="0"/>
              <w:right w:val="single" w:color="auto" w:sz="8" w:space="0"/>
            </w:tcBorders>
            <w:vAlign w:val="center"/>
          </w:tcPr>
          <w:p w14:paraId="5D459A94">
            <w:pPr>
              <w:jc w:val="center"/>
              <w:rPr>
                <w:sz w:val="18"/>
                <w:szCs w:val="18"/>
              </w:rPr>
            </w:pPr>
            <w:r>
              <w:rPr>
                <w:rFonts w:hint="eastAsia"/>
                <w:sz w:val="18"/>
                <w:szCs w:val="18"/>
              </w:rPr>
              <w:t>0.14</w:t>
            </w:r>
          </w:p>
        </w:tc>
      </w:tr>
      <w:tr w14:paraId="62C7A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31CEB7FC">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27515E9">
            <w:pPr>
              <w:jc w:val="center"/>
              <w:rPr>
                <w:sz w:val="18"/>
                <w:szCs w:val="18"/>
              </w:rPr>
            </w:pPr>
            <w:r>
              <w:rPr>
                <w:rFonts w:hint="eastAsia"/>
                <w:sz w:val="18"/>
                <w:szCs w:val="18"/>
              </w:rPr>
              <w:t>10.20</w:t>
            </w:r>
          </w:p>
        </w:tc>
        <w:tc>
          <w:tcPr>
            <w:tcW w:w="831" w:type="pct"/>
            <w:tcBorders>
              <w:top w:val="single" w:color="auto" w:sz="4" w:space="0"/>
              <w:left w:val="single" w:color="auto" w:sz="4" w:space="0"/>
              <w:bottom w:val="single" w:color="auto" w:sz="4" w:space="0"/>
              <w:right w:val="double" w:color="auto" w:sz="4" w:space="0"/>
            </w:tcBorders>
            <w:vAlign w:val="center"/>
          </w:tcPr>
          <w:p w14:paraId="40D683E8">
            <w:pPr>
              <w:jc w:val="center"/>
              <w:rPr>
                <w:sz w:val="18"/>
                <w:szCs w:val="18"/>
              </w:rPr>
            </w:pPr>
            <w:r>
              <w:rPr>
                <w:rFonts w:hint="eastAsia"/>
                <w:sz w:val="18"/>
                <w:szCs w:val="18"/>
              </w:rPr>
              <w:t>0.38</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008F2337">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E46B6D9">
            <w:pPr>
              <w:jc w:val="center"/>
              <w:rPr>
                <w:sz w:val="18"/>
                <w:szCs w:val="18"/>
              </w:rPr>
            </w:pPr>
            <w:r>
              <w:rPr>
                <w:rFonts w:hint="eastAsia"/>
                <w:sz w:val="18"/>
                <w:szCs w:val="18"/>
              </w:rPr>
              <w:t>5.63</w:t>
            </w:r>
          </w:p>
        </w:tc>
        <w:tc>
          <w:tcPr>
            <w:tcW w:w="852" w:type="pct"/>
            <w:tcBorders>
              <w:top w:val="single" w:color="auto" w:sz="4" w:space="0"/>
              <w:left w:val="single" w:color="auto" w:sz="4" w:space="0"/>
              <w:bottom w:val="single" w:color="auto" w:sz="4" w:space="0"/>
              <w:right w:val="single" w:color="auto" w:sz="8" w:space="0"/>
            </w:tcBorders>
            <w:vAlign w:val="center"/>
          </w:tcPr>
          <w:p w14:paraId="49E14959">
            <w:pPr>
              <w:jc w:val="center"/>
              <w:rPr>
                <w:sz w:val="18"/>
                <w:szCs w:val="18"/>
              </w:rPr>
            </w:pPr>
            <w:r>
              <w:rPr>
                <w:rFonts w:hint="eastAsia"/>
                <w:sz w:val="18"/>
                <w:szCs w:val="18"/>
              </w:rPr>
              <w:t>0.35</w:t>
            </w:r>
          </w:p>
        </w:tc>
      </w:tr>
      <w:tr w14:paraId="0EFB6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208E5101">
            <w:pPr>
              <w:jc w:val="center"/>
              <w:rPr>
                <w:sz w:val="18"/>
                <w:szCs w:val="18"/>
              </w:rPr>
            </w:pPr>
            <w:r>
              <w:rPr>
                <w:rFonts w:hint="eastAsia"/>
                <w:sz w:val="18"/>
                <w:szCs w:val="18"/>
              </w:rPr>
              <w:t>铝</w:t>
            </w:r>
          </w:p>
        </w:tc>
        <w:tc>
          <w:tcPr>
            <w:tcW w:w="831" w:type="pct"/>
            <w:tcBorders>
              <w:top w:val="single" w:color="auto" w:sz="4" w:space="0"/>
              <w:left w:val="single" w:color="auto" w:sz="4" w:space="0"/>
              <w:bottom w:val="single" w:color="auto" w:sz="4" w:space="0"/>
              <w:right w:val="single" w:color="auto" w:sz="4" w:space="0"/>
            </w:tcBorders>
            <w:vAlign w:val="center"/>
          </w:tcPr>
          <w:p w14:paraId="0EC65E38">
            <w:pPr>
              <w:jc w:val="center"/>
              <w:rPr>
                <w:sz w:val="18"/>
                <w:szCs w:val="18"/>
              </w:rPr>
            </w:pPr>
            <w:r>
              <w:rPr>
                <w:rFonts w:hint="eastAsia"/>
                <w:sz w:val="18"/>
                <w:szCs w:val="18"/>
              </w:rPr>
              <w:t>0.32</w:t>
            </w:r>
          </w:p>
        </w:tc>
        <w:tc>
          <w:tcPr>
            <w:tcW w:w="831" w:type="pct"/>
            <w:tcBorders>
              <w:top w:val="single" w:color="auto" w:sz="4" w:space="0"/>
              <w:left w:val="single" w:color="auto" w:sz="4" w:space="0"/>
              <w:bottom w:val="single" w:color="auto" w:sz="4" w:space="0"/>
              <w:right w:val="double" w:color="auto" w:sz="4" w:space="0"/>
            </w:tcBorders>
            <w:vAlign w:val="center"/>
          </w:tcPr>
          <w:p w14:paraId="6B194F6D">
            <w:pPr>
              <w:jc w:val="center"/>
              <w:rPr>
                <w:sz w:val="18"/>
                <w:szCs w:val="18"/>
              </w:rPr>
            </w:pPr>
            <w:r>
              <w:rPr>
                <w:rFonts w:hint="eastAsia"/>
                <w:sz w:val="18"/>
                <w:szCs w:val="18"/>
              </w:rPr>
              <w:t>0.02</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4508F492">
            <w:pPr>
              <w:jc w:val="center"/>
              <w:rPr>
                <w:sz w:val="18"/>
                <w:szCs w:val="18"/>
              </w:rPr>
            </w:pPr>
            <w:r>
              <w:rPr>
                <w:rFonts w:hint="eastAsia"/>
                <w:sz w:val="18"/>
                <w:szCs w:val="18"/>
              </w:rPr>
              <w:t>磷</w:t>
            </w:r>
          </w:p>
        </w:tc>
        <w:tc>
          <w:tcPr>
            <w:tcW w:w="832" w:type="pct"/>
            <w:tcBorders>
              <w:top w:val="single" w:color="auto" w:sz="4" w:space="0"/>
              <w:left w:val="single" w:color="auto" w:sz="4" w:space="0"/>
              <w:bottom w:val="single" w:color="auto" w:sz="4" w:space="0"/>
              <w:right w:val="single" w:color="auto" w:sz="4" w:space="0"/>
            </w:tcBorders>
            <w:vAlign w:val="center"/>
          </w:tcPr>
          <w:p w14:paraId="039B5524">
            <w:pPr>
              <w:jc w:val="center"/>
              <w:rPr>
                <w:sz w:val="18"/>
                <w:szCs w:val="18"/>
              </w:rPr>
            </w:pPr>
            <w:r>
              <w:rPr>
                <w:rFonts w:hint="eastAsia"/>
                <w:sz w:val="18"/>
                <w:szCs w:val="18"/>
              </w:rPr>
              <w:t>0.015</w:t>
            </w:r>
          </w:p>
        </w:tc>
        <w:tc>
          <w:tcPr>
            <w:tcW w:w="852" w:type="pct"/>
            <w:tcBorders>
              <w:top w:val="single" w:color="auto" w:sz="4" w:space="0"/>
              <w:left w:val="single" w:color="auto" w:sz="4" w:space="0"/>
              <w:bottom w:val="single" w:color="auto" w:sz="4" w:space="0"/>
              <w:right w:val="single" w:color="auto" w:sz="8" w:space="0"/>
            </w:tcBorders>
            <w:vAlign w:val="center"/>
          </w:tcPr>
          <w:p w14:paraId="791E0038">
            <w:pPr>
              <w:jc w:val="center"/>
              <w:rPr>
                <w:sz w:val="18"/>
                <w:szCs w:val="18"/>
              </w:rPr>
            </w:pPr>
            <w:r>
              <w:rPr>
                <w:rFonts w:hint="eastAsia"/>
                <w:sz w:val="18"/>
                <w:szCs w:val="18"/>
              </w:rPr>
              <w:t>0.002</w:t>
            </w:r>
          </w:p>
        </w:tc>
      </w:tr>
      <w:tr w14:paraId="4C332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5D0823B5">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1C4ECD4B">
            <w:pPr>
              <w:jc w:val="center"/>
              <w:rPr>
                <w:sz w:val="18"/>
                <w:szCs w:val="18"/>
              </w:rPr>
            </w:pPr>
            <w:r>
              <w:rPr>
                <w:rFonts w:hint="eastAsia"/>
                <w:sz w:val="18"/>
                <w:szCs w:val="18"/>
              </w:rPr>
              <w:t>0.54</w:t>
            </w:r>
          </w:p>
        </w:tc>
        <w:tc>
          <w:tcPr>
            <w:tcW w:w="831" w:type="pct"/>
            <w:tcBorders>
              <w:top w:val="single" w:color="auto" w:sz="4" w:space="0"/>
              <w:left w:val="single" w:color="auto" w:sz="4" w:space="0"/>
              <w:bottom w:val="single" w:color="auto" w:sz="4" w:space="0"/>
              <w:right w:val="double" w:color="auto" w:sz="4" w:space="0"/>
            </w:tcBorders>
            <w:vAlign w:val="center"/>
          </w:tcPr>
          <w:p w14:paraId="1626775D">
            <w:pPr>
              <w:jc w:val="center"/>
              <w:rPr>
                <w:sz w:val="18"/>
                <w:szCs w:val="18"/>
              </w:rPr>
            </w:pPr>
            <w:r>
              <w:rPr>
                <w:rFonts w:hint="eastAsia"/>
                <w:sz w:val="18"/>
                <w:szCs w:val="18"/>
              </w:rPr>
              <w:t>0.04</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5CBDD857">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7A216C3A">
            <w:pPr>
              <w:jc w:val="center"/>
              <w:rPr>
                <w:sz w:val="18"/>
                <w:szCs w:val="18"/>
              </w:rPr>
            </w:pPr>
            <w:r>
              <w:rPr>
                <w:rFonts w:hint="eastAsia"/>
                <w:sz w:val="18"/>
                <w:szCs w:val="18"/>
              </w:rPr>
              <w:t>0.045</w:t>
            </w:r>
          </w:p>
        </w:tc>
        <w:tc>
          <w:tcPr>
            <w:tcW w:w="852" w:type="pct"/>
            <w:tcBorders>
              <w:top w:val="single" w:color="auto" w:sz="4" w:space="0"/>
              <w:left w:val="single" w:color="auto" w:sz="4" w:space="0"/>
              <w:bottom w:val="single" w:color="auto" w:sz="4" w:space="0"/>
              <w:right w:val="single" w:color="auto" w:sz="8" w:space="0"/>
            </w:tcBorders>
            <w:vAlign w:val="center"/>
          </w:tcPr>
          <w:p w14:paraId="6F41D91D">
            <w:pPr>
              <w:jc w:val="center"/>
              <w:rPr>
                <w:sz w:val="18"/>
                <w:szCs w:val="18"/>
              </w:rPr>
            </w:pPr>
            <w:r>
              <w:rPr>
                <w:rFonts w:hint="eastAsia"/>
                <w:sz w:val="18"/>
                <w:szCs w:val="18"/>
              </w:rPr>
              <w:t>0.003</w:t>
            </w:r>
          </w:p>
        </w:tc>
      </w:tr>
      <w:tr w14:paraId="75A0A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62070210">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1E6FB13">
            <w:pPr>
              <w:jc w:val="center"/>
              <w:rPr>
                <w:sz w:val="18"/>
                <w:szCs w:val="18"/>
              </w:rPr>
            </w:pPr>
            <w:r>
              <w:rPr>
                <w:rFonts w:hint="eastAsia"/>
                <w:sz w:val="18"/>
                <w:szCs w:val="18"/>
              </w:rPr>
              <w:t>1.02</w:t>
            </w:r>
          </w:p>
        </w:tc>
        <w:tc>
          <w:tcPr>
            <w:tcW w:w="831" w:type="pct"/>
            <w:tcBorders>
              <w:top w:val="single" w:color="auto" w:sz="4" w:space="0"/>
              <w:left w:val="single" w:color="auto" w:sz="4" w:space="0"/>
              <w:bottom w:val="single" w:color="auto" w:sz="4" w:space="0"/>
              <w:right w:val="double" w:color="auto" w:sz="4" w:space="0"/>
            </w:tcBorders>
            <w:vAlign w:val="center"/>
          </w:tcPr>
          <w:p w14:paraId="553AEAE2">
            <w:pPr>
              <w:jc w:val="center"/>
              <w:rPr>
                <w:sz w:val="18"/>
                <w:szCs w:val="18"/>
              </w:rPr>
            </w:pPr>
            <w:r>
              <w:rPr>
                <w:rFonts w:hint="eastAsia"/>
                <w:sz w:val="18"/>
                <w:szCs w:val="18"/>
              </w:rPr>
              <w:t>0.09</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5051B7EB">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6A0987B6">
            <w:pPr>
              <w:jc w:val="center"/>
              <w:rPr>
                <w:sz w:val="18"/>
                <w:szCs w:val="18"/>
              </w:rPr>
            </w:pPr>
            <w:r>
              <w:rPr>
                <w:rFonts w:hint="eastAsia"/>
                <w:sz w:val="18"/>
                <w:szCs w:val="18"/>
              </w:rPr>
              <w:t>0.12</w:t>
            </w:r>
          </w:p>
        </w:tc>
        <w:tc>
          <w:tcPr>
            <w:tcW w:w="852" w:type="pct"/>
            <w:tcBorders>
              <w:top w:val="single" w:color="auto" w:sz="4" w:space="0"/>
              <w:left w:val="single" w:color="auto" w:sz="4" w:space="0"/>
              <w:bottom w:val="single" w:color="auto" w:sz="4" w:space="0"/>
              <w:right w:val="single" w:color="auto" w:sz="8" w:space="0"/>
            </w:tcBorders>
            <w:vAlign w:val="center"/>
          </w:tcPr>
          <w:p w14:paraId="0AA84D0D">
            <w:pPr>
              <w:jc w:val="center"/>
              <w:rPr>
                <w:sz w:val="18"/>
                <w:szCs w:val="18"/>
              </w:rPr>
            </w:pPr>
            <w:r>
              <w:rPr>
                <w:rFonts w:hint="eastAsia"/>
                <w:sz w:val="18"/>
                <w:szCs w:val="18"/>
              </w:rPr>
              <w:t>0.02</w:t>
            </w:r>
          </w:p>
        </w:tc>
      </w:tr>
      <w:tr w14:paraId="6D55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30865C7D">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2D9706A5">
            <w:pPr>
              <w:jc w:val="center"/>
              <w:rPr>
                <w:sz w:val="18"/>
                <w:szCs w:val="18"/>
              </w:rPr>
            </w:pPr>
            <w:r>
              <w:rPr>
                <w:rFonts w:hint="eastAsia"/>
                <w:sz w:val="18"/>
                <w:szCs w:val="18"/>
              </w:rPr>
              <w:t>2.53</w:t>
            </w:r>
          </w:p>
        </w:tc>
        <w:tc>
          <w:tcPr>
            <w:tcW w:w="831" w:type="pct"/>
            <w:tcBorders>
              <w:top w:val="single" w:color="auto" w:sz="4" w:space="0"/>
              <w:left w:val="single" w:color="auto" w:sz="4" w:space="0"/>
              <w:bottom w:val="single" w:color="auto" w:sz="4" w:space="0"/>
              <w:right w:val="double" w:color="auto" w:sz="4" w:space="0"/>
            </w:tcBorders>
            <w:vAlign w:val="center"/>
          </w:tcPr>
          <w:p w14:paraId="15E6BC9D">
            <w:pPr>
              <w:jc w:val="center"/>
              <w:rPr>
                <w:sz w:val="18"/>
                <w:szCs w:val="18"/>
              </w:rPr>
            </w:pPr>
            <w:r>
              <w:rPr>
                <w:rFonts w:hint="eastAsia"/>
                <w:sz w:val="18"/>
                <w:szCs w:val="18"/>
              </w:rPr>
              <w:t>0.11</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4FDE9040">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2850D073">
            <w:pPr>
              <w:jc w:val="center"/>
              <w:rPr>
                <w:sz w:val="18"/>
                <w:szCs w:val="18"/>
              </w:rPr>
            </w:pPr>
            <w:r>
              <w:rPr>
                <w:rFonts w:hint="eastAsia"/>
                <w:sz w:val="18"/>
                <w:szCs w:val="18"/>
              </w:rPr>
              <w:t>0.54</w:t>
            </w:r>
          </w:p>
        </w:tc>
        <w:tc>
          <w:tcPr>
            <w:tcW w:w="852" w:type="pct"/>
            <w:tcBorders>
              <w:top w:val="single" w:color="auto" w:sz="4" w:space="0"/>
              <w:left w:val="single" w:color="auto" w:sz="4" w:space="0"/>
              <w:bottom w:val="single" w:color="auto" w:sz="4" w:space="0"/>
              <w:right w:val="single" w:color="auto" w:sz="8" w:space="0"/>
            </w:tcBorders>
            <w:vAlign w:val="center"/>
          </w:tcPr>
          <w:p w14:paraId="3F59A684">
            <w:pPr>
              <w:jc w:val="center"/>
              <w:rPr>
                <w:sz w:val="18"/>
                <w:szCs w:val="18"/>
              </w:rPr>
            </w:pPr>
            <w:r>
              <w:rPr>
                <w:rFonts w:hint="eastAsia"/>
                <w:sz w:val="18"/>
                <w:szCs w:val="18"/>
              </w:rPr>
              <w:t>0.04</w:t>
            </w:r>
          </w:p>
        </w:tc>
      </w:tr>
      <w:tr w14:paraId="0BD84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restart"/>
            <w:tcBorders>
              <w:top w:val="single" w:color="auto" w:sz="4" w:space="0"/>
              <w:left w:val="single" w:color="auto" w:sz="8" w:space="0"/>
              <w:bottom w:val="single" w:color="auto" w:sz="4" w:space="0"/>
              <w:right w:val="single" w:color="auto" w:sz="4" w:space="0"/>
            </w:tcBorders>
            <w:vAlign w:val="center"/>
          </w:tcPr>
          <w:p w14:paraId="14AC329F">
            <w:pPr>
              <w:jc w:val="center"/>
              <w:rPr>
                <w:sz w:val="18"/>
                <w:szCs w:val="18"/>
              </w:rPr>
            </w:pPr>
            <w:r>
              <w:rPr>
                <w:rFonts w:hint="eastAsia"/>
                <w:sz w:val="18"/>
                <w:szCs w:val="18"/>
              </w:rPr>
              <w:t>钡</w:t>
            </w:r>
          </w:p>
        </w:tc>
        <w:tc>
          <w:tcPr>
            <w:tcW w:w="831" w:type="pct"/>
            <w:tcBorders>
              <w:top w:val="single" w:color="auto" w:sz="4" w:space="0"/>
              <w:left w:val="single" w:color="auto" w:sz="4" w:space="0"/>
              <w:bottom w:val="single" w:color="auto" w:sz="4" w:space="0"/>
              <w:right w:val="single" w:color="auto" w:sz="4" w:space="0"/>
            </w:tcBorders>
            <w:vAlign w:val="center"/>
          </w:tcPr>
          <w:p w14:paraId="2D1EAA32">
            <w:pPr>
              <w:jc w:val="center"/>
              <w:rPr>
                <w:sz w:val="18"/>
                <w:szCs w:val="18"/>
              </w:rPr>
            </w:pPr>
            <w:r>
              <w:rPr>
                <w:rFonts w:hint="eastAsia"/>
                <w:sz w:val="18"/>
                <w:szCs w:val="18"/>
              </w:rPr>
              <w:t>0.12</w:t>
            </w:r>
          </w:p>
        </w:tc>
        <w:tc>
          <w:tcPr>
            <w:tcW w:w="831" w:type="pct"/>
            <w:tcBorders>
              <w:top w:val="single" w:color="auto" w:sz="4" w:space="0"/>
              <w:left w:val="single" w:color="auto" w:sz="4" w:space="0"/>
              <w:bottom w:val="single" w:color="auto" w:sz="4" w:space="0"/>
              <w:right w:val="double" w:color="auto" w:sz="4" w:space="0"/>
            </w:tcBorders>
            <w:vAlign w:val="center"/>
          </w:tcPr>
          <w:p w14:paraId="0C740EFE">
            <w:pPr>
              <w:jc w:val="center"/>
              <w:rPr>
                <w:sz w:val="18"/>
                <w:szCs w:val="18"/>
              </w:rPr>
            </w:pPr>
            <w:r>
              <w:rPr>
                <w:rFonts w:hint="eastAsia"/>
                <w:sz w:val="18"/>
                <w:szCs w:val="18"/>
              </w:rPr>
              <w:t>0.01</w:t>
            </w:r>
          </w:p>
        </w:tc>
        <w:tc>
          <w:tcPr>
            <w:tcW w:w="831" w:type="pct"/>
            <w:vMerge w:val="restart"/>
            <w:tcBorders>
              <w:top w:val="single" w:color="auto" w:sz="4" w:space="0"/>
              <w:left w:val="double" w:color="auto" w:sz="4" w:space="0"/>
              <w:bottom w:val="single" w:color="auto" w:sz="4" w:space="0"/>
              <w:right w:val="single" w:color="auto" w:sz="4" w:space="0"/>
            </w:tcBorders>
            <w:vAlign w:val="center"/>
          </w:tcPr>
          <w:p w14:paraId="5B6FDD0B">
            <w:pPr>
              <w:jc w:val="center"/>
              <w:rPr>
                <w:sz w:val="18"/>
                <w:szCs w:val="18"/>
              </w:rPr>
            </w:pPr>
            <w:r>
              <w:rPr>
                <w:rFonts w:hint="eastAsia"/>
                <w:sz w:val="18"/>
                <w:szCs w:val="18"/>
              </w:rPr>
              <w:t>钛</w:t>
            </w:r>
          </w:p>
        </w:tc>
        <w:tc>
          <w:tcPr>
            <w:tcW w:w="832" w:type="pct"/>
            <w:tcBorders>
              <w:top w:val="single" w:color="auto" w:sz="4" w:space="0"/>
              <w:left w:val="single" w:color="auto" w:sz="4" w:space="0"/>
              <w:bottom w:val="single" w:color="auto" w:sz="4" w:space="0"/>
              <w:right w:val="single" w:color="auto" w:sz="4" w:space="0"/>
            </w:tcBorders>
            <w:vAlign w:val="center"/>
          </w:tcPr>
          <w:p w14:paraId="6D7FE6BB">
            <w:pPr>
              <w:jc w:val="center"/>
              <w:rPr>
                <w:sz w:val="18"/>
                <w:szCs w:val="18"/>
              </w:rPr>
            </w:pPr>
            <w:r>
              <w:rPr>
                <w:rFonts w:hint="eastAsia"/>
                <w:sz w:val="18"/>
                <w:szCs w:val="18"/>
              </w:rPr>
              <w:t>0.078</w:t>
            </w:r>
          </w:p>
        </w:tc>
        <w:tc>
          <w:tcPr>
            <w:tcW w:w="852" w:type="pct"/>
            <w:tcBorders>
              <w:top w:val="single" w:color="auto" w:sz="4" w:space="0"/>
              <w:left w:val="single" w:color="auto" w:sz="4" w:space="0"/>
              <w:bottom w:val="single" w:color="auto" w:sz="4" w:space="0"/>
              <w:right w:val="single" w:color="auto" w:sz="8" w:space="0"/>
            </w:tcBorders>
            <w:vAlign w:val="center"/>
          </w:tcPr>
          <w:p w14:paraId="5EC377D0">
            <w:pPr>
              <w:jc w:val="center"/>
              <w:rPr>
                <w:sz w:val="18"/>
                <w:szCs w:val="18"/>
              </w:rPr>
            </w:pPr>
            <w:r>
              <w:rPr>
                <w:rFonts w:hint="eastAsia"/>
                <w:sz w:val="18"/>
                <w:szCs w:val="18"/>
              </w:rPr>
              <w:t>0.007</w:t>
            </w:r>
          </w:p>
        </w:tc>
      </w:tr>
      <w:tr w14:paraId="0F9EE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02E9388F">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482B7587">
            <w:pPr>
              <w:jc w:val="center"/>
              <w:rPr>
                <w:sz w:val="18"/>
                <w:szCs w:val="18"/>
              </w:rPr>
            </w:pPr>
            <w:r>
              <w:rPr>
                <w:rFonts w:hint="eastAsia"/>
                <w:sz w:val="18"/>
                <w:szCs w:val="18"/>
              </w:rPr>
              <w:t>1.45</w:t>
            </w:r>
          </w:p>
        </w:tc>
        <w:tc>
          <w:tcPr>
            <w:tcW w:w="831" w:type="pct"/>
            <w:tcBorders>
              <w:top w:val="single" w:color="auto" w:sz="4" w:space="0"/>
              <w:left w:val="single" w:color="auto" w:sz="4" w:space="0"/>
              <w:bottom w:val="single" w:color="auto" w:sz="4" w:space="0"/>
              <w:right w:val="double" w:color="auto" w:sz="4" w:space="0"/>
            </w:tcBorders>
            <w:vAlign w:val="center"/>
          </w:tcPr>
          <w:p w14:paraId="4648A2FF">
            <w:pPr>
              <w:jc w:val="center"/>
              <w:rPr>
                <w:sz w:val="18"/>
                <w:szCs w:val="18"/>
              </w:rPr>
            </w:pPr>
            <w:r>
              <w:rPr>
                <w:rFonts w:hint="eastAsia"/>
                <w:sz w:val="18"/>
                <w:szCs w:val="18"/>
              </w:rPr>
              <w:t>0.10</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6BA1F124">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3EACF07C">
            <w:pPr>
              <w:jc w:val="center"/>
              <w:rPr>
                <w:sz w:val="18"/>
                <w:szCs w:val="18"/>
              </w:rPr>
            </w:pPr>
            <w:r>
              <w:rPr>
                <w:rFonts w:hint="eastAsia"/>
                <w:sz w:val="18"/>
                <w:szCs w:val="18"/>
              </w:rPr>
              <w:t>0.86</w:t>
            </w:r>
          </w:p>
        </w:tc>
        <w:tc>
          <w:tcPr>
            <w:tcW w:w="852" w:type="pct"/>
            <w:tcBorders>
              <w:top w:val="single" w:color="auto" w:sz="4" w:space="0"/>
              <w:left w:val="single" w:color="auto" w:sz="4" w:space="0"/>
              <w:bottom w:val="single" w:color="auto" w:sz="4" w:space="0"/>
              <w:right w:val="single" w:color="auto" w:sz="8" w:space="0"/>
            </w:tcBorders>
            <w:vAlign w:val="center"/>
          </w:tcPr>
          <w:p w14:paraId="0B928903">
            <w:pPr>
              <w:jc w:val="center"/>
              <w:rPr>
                <w:sz w:val="18"/>
                <w:szCs w:val="18"/>
              </w:rPr>
            </w:pPr>
            <w:r>
              <w:rPr>
                <w:rFonts w:hint="eastAsia"/>
                <w:sz w:val="18"/>
                <w:szCs w:val="18"/>
              </w:rPr>
              <w:t>0.05</w:t>
            </w:r>
          </w:p>
        </w:tc>
      </w:tr>
      <w:tr w14:paraId="5E916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5D4D1C07">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723932D3">
            <w:pPr>
              <w:jc w:val="center"/>
              <w:rPr>
                <w:sz w:val="18"/>
                <w:szCs w:val="18"/>
              </w:rPr>
            </w:pPr>
            <w:r>
              <w:rPr>
                <w:rFonts w:hint="eastAsia"/>
                <w:sz w:val="18"/>
                <w:szCs w:val="18"/>
              </w:rPr>
              <w:t>5.28</w:t>
            </w:r>
          </w:p>
        </w:tc>
        <w:tc>
          <w:tcPr>
            <w:tcW w:w="831" w:type="pct"/>
            <w:tcBorders>
              <w:top w:val="single" w:color="auto" w:sz="4" w:space="0"/>
              <w:left w:val="single" w:color="auto" w:sz="4" w:space="0"/>
              <w:bottom w:val="single" w:color="auto" w:sz="4" w:space="0"/>
              <w:right w:val="double" w:color="auto" w:sz="4" w:space="0"/>
            </w:tcBorders>
            <w:vAlign w:val="center"/>
          </w:tcPr>
          <w:p w14:paraId="175FB347">
            <w:pPr>
              <w:jc w:val="center"/>
              <w:rPr>
                <w:sz w:val="18"/>
                <w:szCs w:val="18"/>
              </w:rPr>
            </w:pPr>
            <w:r>
              <w:rPr>
                <w:rFonts w:hint="eastAsia"/>
                <w:sz w:val="18"/>
                <w:szCs w:val="18"/>
              </w:rPr>
              <w:t>0.15</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4D6D708D">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7A83AF2E">
            <w:pPr>
              <w:jc w:val="center"/>
              <w:rPr>
                <w:sz w:val="18"/>
                <w:szCs w:val="18"/>
              </w:rPr>
            </w:pPr>
            <w:r>
              <w:rPr>
                <w:rFonts w:hint="eastAsia"/>
                <w:sz w:val="18"/>
                <w:szCs w:val="18"/>
              </w:rPr>
              <w:t>2.58</w:t>
            </w:r>
          </w:p>
        </w:tc>
        <w:tc>
          <w:tcPr>
            <w:tcW w:w="852" w:type="pct"/>
            <w:tcBorders>
              <w:top w:val="single" w:color="auto" w:sz="4" w:space="0"/>
              <w:left w:val="single" w:color="auto" w:sz="4" w:space="0"/>
              <w:bottom w:val="single" w:color="auto" w:sz="4" w:space="0"/>
              <w:right w:val="single" w:color="auto" w:sz="8" w:space="0"/>
            </w:tcBorders>
            <w:vAlign w:val="center"/>
          </w:tcPr>
          <w:p w14:paraId="28E46F60">
            <w:pPr>
              <w:jc w:val="center"/>
              <w:rPr>
                <w:sz w:val="18"/>
                <w:szCs w:val="18"/>
              </w:rPr>
            </w:pPr>
            <w:r>
              <w:rPr>
                <w:rFonts w:hint="eastAsia"/>
                <w:sz w:val="18"/>
                <w:szCs w:val="18"/>
              </w:rPr>
              <w:t>0.13</w:t>
            </w:r>
          </w:p>
        </w:tc>
      </w:tr>
      <w:tr w14:paraId="62F2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818" w:type="pct"/>
            <w:vMerge w:val="continue"/>
            <w:tcBorders>
              <w:top w:val="single" w:color="auto" w:sz="4" w:space="0"/>
              <w:left w:val="single" w:color="auto" w:sz="8" w:space="0"/>
              <w:bottom w:val="single" w:color="auto" w:sz="4" w:space="0"/>
              <w:right w:val="single" w:color="auto" w:sz="4" w:space="0"/>
            </w:tcBorders>
            <w:vAlign w:val="center"/>
          </w:tcPr>
          <w:p w14:paraId="0BFC2DF0">
            <w:pPr>
              <w:jc w:val="center"/>
              <w:rPr>
                <w:sz w:val="18"/>
                <w:szCs w:val="18"/>
              </w:rPr>
            </w:pPr>
          </w:p>
        </w:tc>
        <w:tc>
          <w:tcPr>
            <w:tcW w:w="831" w:type="pct"/>
            <w:tcBorders>
              <w:top w:val="single" w:color="auto" w:sz="4" w:space="0"/>
              <w:left w:val="single" w:color="auto" w:sz="4" w:space="0"/>
              <w:bottom w:val="single" w:color="auto" w:sz="4" w:space="0"/>
              <w:right w:val="single" w:color="auto" w:sz="4" w:space="0"/>
            </w:tcBorders>
            <w:vAlign w:val="center"/>
          </w:tcPr>
          <w:p w14:paraId="647B15F2">
            <w:pPr>
              <w:jc w:val="center"/>
              <w:rPr>
                <w:sz w:val="18"/>
                <w:szCs w:val="18"/>
              </w:rPr>
            </w:pPr>
            <w:r>
              <w:rPr>
                <w:rFonts w:hint="eastAsia"/>
                <w:sz w:val="18"/>
                <w:szCs w:val="18"/>
              </w:rPr>
              <w:t>10.57</w:t>
            </w:r>
          </w:p>
        </w:tc>
        <w:tc>
          <w:tcPr>
            <w:tcW w:w="831" w:type="pct"/>
            <w:tcBorders>
              <w:top w:val="single" w:color="auto" w:sz="4" w:space="0"/>
              <w:left w:val="single" w:color="auto" w:sz="4" w:space="0"/>
              <w:bottom w:val="single" w:color="auto" w:sz="4" w:space="0"/>
              <w:right w:val="double" w:color="auto" w:sz="4" w:space="0"/>
            </w:tcBorders>
            <w:vAlign w:val="center"/>
          </w:tcPr>
          <w:p w14:paraId="6105C2DF">
            <w:pPr>
              <w:jc w:val="center"/>
              <w:rPr>
                <w:sz w:val="18"/>
                <w:szCs w:val="18"/>
              </w:rPr>
            </w:pPr>
            <w:r>
              <w:rPr>
                <w:rFonts w:hint="eastAsia"/>
                <w:sz w:val="18"/>
                <w:szCs w:val="18"/>
              </w:rPr>
              <w:t>0.42</w:t>
            </w:r>
          </w:p>
        </w:tc>
        <w:tc>
          <w:tcPr>
            <w:tcW w:w="831" w:type="pct"/>
            <w:vMerge w:val="continue"/>
            <w:tcBorders>
              <w:top w:val="single" w:color="auto" w:sz="4" w:space="0"/>
              <w:left w:val="double" w:color="auto" w:sz="4" w:space="0"/>
              <w:bottom w:val="single" w:color="auto" w:sz="4" w:space="0"/>
              <w:right w:val="single" w:color="auto" w:sz="4" w:space="0"/>
            </w:tcBorders>
            <w:vAlign w:val="center"/>
          </w:tcPr>
          <w:p w14:paraId="3511DCAC">
            <w:pPr>
              <w:jc w:val="center"/>
              <w:rPr>
                <w:sz w:val="18"/>
                <w:szCs w:val="18"/>
              </w:rPr>
            </w:pPr>
          </w:p>
        </w:tc>
        <w:tc>
          <w:tcPr>
            <w:tcW w:w="832" w:type="pct"/>
            <w:tcBorders>
              <w:top w:val="single" w:color="auto" w:sz="4" w:space="0"/>
              <w:left w:val="single" w:color="auto" w:sz="4" w:space="0"/>
              <w:bottom w:val="single" w:color="auto" w:sz="4" w:space="0"/>
              <w:right w:val="single" w:color="auto" w:sz="4" w:space="0"/>
            </w:tcBorders>
            <w:vAlign w:val="center"/>
          </w:tcPr>
          <w:p w14:paraId="094B8F66">
            <w:pPr>
              <w:jc w:val="center"/>
              <w:rPr>
                <w:sz w:val="18"/>
                <w:szCs w:val="18"/>
              </w:rPr>
            </w:pPr>
            <w:r>
              <w:rPr>
                <w:rFonts w:hint="eastAsia"/>
                <w:sz w:val="18"/>
                <w:szCs w:val="18"/>
              </w:rPr>
              <w:t>4.90</w:t>
            </w:r>
          </w:p>
        </w:tc>
        <w:tc>
          <w:tcPr>
            <w:tcW w:w="852" w:type="pct"/>
            <w:tcBorders>
              <w:top w:val="single" w:color="auto" w:sz="4" w:space="0"/>
              <w:left w:val="single" w:color="auto" w:sz="4" w:space="0"/>
              <w:bottom w:val="single" w:color="auto" w:sz="4" w:space="0"/>
              <w:right w:val="single" w:color="auto" w:sz="8" w:space="0"/>
            </w:tcBorders>
            <w:vAlign w:val="center"/>
          </w:tcPr>
          <w:p w14:paraId="32C8F886">
            <w:pPr>
              <w:jc w:val="center"/>
              <w:rPr>
                <w:sz w:val="18"/>
                <w:szCs w:val="18"/>
              </w:rPr>
            </w:pPr>
            <w:r>
              <w:rPr>
                <w:rFonts w:hint="eastAsia"/>
                <w:sz w:val="18"/>
                <w:szCs w:val="18"/>
              </w:rPr>
              <w:t>0.26</w:t>
            </w:r>
          </w:p>
        </w:tc>
      </w:tr>
      <w:tr w14:paraId="2819C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5000" w:type="pct"/>
            <w:gridSpan w:val="6"/>
            <w:tcBorders>
              <w:top w:val="single" w:color="auto" w:sz="4" w:space="0"/>
              <w:left w:val="single" w:color="auto" w:sz="8" w:space="0"/>
              <w:bottom w:val="single" w:color="auto" w:sz="8" w:space="0"/>
              <w:right w:val="single" w:color="auto" w:sz="8" w:space="0"/>
            </w:tcBorders>
            <w:vAlign w:val="center"/>
          </w:tcPr>
          <w:p w14:paraId="1DE9A989">
            <w:pPr>
              <w:rPr>
                <w:sz w:val="18"/>
                <w:szCs w:val="18"/>
              </w:rPr>
            </w:pPr>
            <w:r>
              <w:rPr>
                <w:rFonts w:hint="eastAsia"/>
                <w:sz w:val="18"/>
                <w:szCs w:val="18"/>
              </w:rPr>
              <w:t>注：再现性限（</w:t>
            </w:r>
            <w:r>
              <w:rPr>
                <w:rFonts w:hint="eastAsia"/>
                <w:i/>
                <w:iCs/>
                <w:sz w:val="18"/>
                <w:szCs w:val="18"/>
              </w:rPr>
              <w:t>R</w:t>
            </w:r>
            <w:r>
              <w:rPr>
                <w:rFonts w:hint="eastAsia"/>
                <w:sz w:val="18"/>
                <w:szCs w:val="18"/>
              </w:rPr>
              <w:t>）为2.8×</w:t>
            </w:r>
            <w:r>
              <w:rPr>
                <w:rFonts w:hint="eastAsia"/>
                <w:i/>
                <w:iCs/>
                <w:sz w:val="18"/>
                <w:szCs w:val="18"/>
              </w:rPr>
              <w:t>S</w:t>
            </w:r>
            <w:r>
              <w:rPr>
                <w:rFonts w:hint="eastAsia"/>
                <w:i/>
                <w:iCs/>
                <w:sz w:val="18"/>
                <w:szCs w:val="18"/>
                <w:vertAlign w:val="subscript"/>
              </w:rPr>
              <w:t>R</w:t>
            </w:r>
            <w:r>
              <w:rPr>
                <w:rFonts w:hint="eastAsia"/>
                <w:sz w:val="18"/>
                <w:szCs w:val="18"/>
              </w:rPr>
              <w:t>，</w:t>
            </w:r>
            <w:r>
              <w:rPr>
                <w:rFonts w:hint="eastAsia"/>
                <w:i/>
                <w:iCs/>
                <w:sz w:val="18"/>
                <w:szCs w:val="18"/>
              </w:rPr>
              <w:t>S</w:t>
            </w:r>
            <w:r>
              <w:rPr>
                <w:rFonts w:hint="eastAsia"/>
                <w:i/>
                <w:iCs/>
                <w:sz w:val="18"/>
                <w:szCs w:val="18"/>
                <w:vertAlign w:val="subscript"/>
              </w:rPr>
              <w:t>R</w:t>
            </w:r>
            <w:r>
              <w:rPr>
                <w:rFonts w:hint="eastAsia"/>
                <w:sz w:val="18"/>
                <w:szCs w:val="18"/>
              </w:rPr>
              <w:t>为再现性标准差。</w:t>
            </w:r>
          </w:p>
        </w:tc>
      </w:tr>
      <w:bookmarkEnd w:id="3"/>
    </w:tbl>
    <w:p w14:paraId="7F248901">
      <w:pPr>
        <w:widowControl/>
        <w:autoSpaceDE w:val="0"/>
        <w:autoSpaceDN w:val="0"/>
        <w:spacing w:line="360" w:lineRule="exact"/>
        <w:rPr>
          <w:rFonts w:eastAsia="黑体"/>
          <w:szCs w:val="21"/>
        </w:rPr>
      </w:pPr>
    </w:p>
    <w:p w14:paraId="37A8F2AF">
      <w:pPr>
        <w:pStyle w:val="52"/>
        <w:numPr>
          <w:ilvl w:val="0"/>
          <w:numId w:val="4"/>
        </w:numPr>
        <w:tabs>
          <w:tab w:val="left" w:pos="6256"/>
        </w:tabs>
        <w:snapToGrid w:val="0"/>
        <w:spacing w:before="312" w:beforeLines="100" w:after="312" w:afterLines="100"/>
        <w:ind w:firstLineChars="0"/>
        <w:outlineLvl w:val="1"/>
        <w:rPr>
          <w:rFonts w:eastAsia="黑体"/>
          <w:szCs w:val="21"/>
        </w:rPr>
      </w:pPr>
      <w:r>
        <w:rPr>
          <w:rFonts w:hint="eastAsia" w:eastAsia="黑体"/>
          <w:szCs w:val="21"/>
        </w:rPr>
        <w:t xml:space="preserve">  EDTA滴定法测定镁含量（方法2）</w:t>
      </w:r>
    </w:p>
    <w:p w14:paraId="6772FF36">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5.1 方法提要</w:t>
      </w:r>
    </w:p>
    <w:p w14:paraId="41B59A13">
      <w:pPr>
        <w:autoSpaceDE w:val="0"/>
        <w:autoSpaceDN w:val="0"/>
        <w:adjustRightInd w:val="0"/>
        <w:snapToGrid w:val="0"/>
        <w:ind w:firstLine="420" w:firstLineChars="200"/>
        <w:rPr>
          <w:szCs w:val="20"/>
        </w:rPr>
      </w:pPr>
      <w:r>
        <w:rPr>
          <w:rFonts w:hint="eastAsia"/>
          <w:szCs w:val="20"/>
        </w:rPr>
        <w:t>试料经硝酸和氢氟酸分解，高氯酸冒烟，稀盐酸提取后，加入硫酸，分离钡、锶；加入过量氢氧化钠，过滤分离铝、磷等元素；沉淀溶解后，在氯化铵存在下，用氨水沉淀分离稀土、铁、锰等。三乙醇胺作掩蔽剂，以铬黑T为指示剂，在pH≈10 时，EDTA标准滴定溶液滴定钙、镁合量；以钙红为指示剂，在pH &gt; 12时，EDTA标准滴定溶液滴定钙量，用差减法求得镁量。</w:t>
      </w:r>
    </w:p>
    <w:p w14:paraId="6EE4B479">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5.2 试剂或材料</w:t>
      </w:r>
    </w:p>
    <w:p w14:paraId="56EC8389">
      <w:pPr>
        <w:autoSpaceDE w:val="0"/>
        <w:autoSpaceDN w:val="0"/>
        <w:adjustRightInd w:val="0"/>
        <w:snapToGrid w:val="0"/>
        <w:ind w:firstLine="420" w:firstLineChars="200"/>
        <w:rPr>
          <w:szCs w:val="20"/>
        </w:rPr>
      </w:pPr>
      <w:r>
        <w:rPr>
          <w:rFonts w:hint="eastAsia"/>
          <w:szCs w:val="20"/>
        </w:rPr>
        <w:t>除非另有说明，在分析中仅使用确认为分析纯及以上试剂和符合GB/T 6682规定的二级及以上蒸馏水或去离子水或纯度相当的水。</w:t>
      </w:r>
    </w:p>
    <w:p w14:paraId="4A7F0918">
      <w:pPr>
        <w:autoSpaceDE w:val="0"/>
        <w:autoSpaceDN w:val="0"/>
        <w:adjustRightInd w:val="0"/>
        <w:snapToGrid w:val="0"/>
        <w:rPr>
          <w:szCs w:val="20"/>
        </w:rPr>
      </w:pPr>
      <w:r>
        <w:rPr>
          <w:rFonts w:hint="eastAsia" w:ascii="黑体" w:hAnsi="黑体" w:eastAsia="黑体" w:cs="黑体"/>
          <w:szCs w:val="20"/>
        </w:rPr>
        <w:t>5.2.1</w:t>
      </w:r>
      <w:r>
        <w:rPr>
          <w:rFonts w:hint="eastAsia"/>
          <w:szCs w:val="20"/>
        </w:rPr>
        <w:t xml:space="preserve"> 氯化铵。</w:t>
      </w:r>
    </w:p>
    <w:p w14:paraId="068CADE5">
      <w:pPr>
        <w:autoSpaceDE w:val="0"/>
        <w:autoSpaceDN w:val="0"/>
        <w:adjustRightInd w:val="0"/>
        <w:snapToGrid w:val="0"/>
        <w:rPr>
          <w:szCs w:val="20"/>
        </w:rPr>
      </w:pPr>
      <w:r>
        <w:rPr>
          <w:rFonts w:hint="eastAsia" w:ascii="黑体" w:hAnsi="黑体" w:eastAsia="黑体" w:cs="黑体"/>
          <w:szCs w:val="20"/>
        </w:rPr>
        <w:t>5.2.2</w:t>
      </w:r>
      <w:r>
        <w:rPr>
          <w:rFonts w:hint="eastAsia"/>
          <w:szCs w:val="20"/>
        </w:rPr>
        <w:t xml:space="preserve"> 盐酸羟胺。</w:t>
      </w:r>
    </w:p>
    <w:p w14:paraId="5DF7EB4D">
      <w:pPr>
        <w:autoSpaceDE w:val="0"/>
        <w:autoSpaceDN w:val="0"/>
        <w:adjustRightInd w:val="0"/>
        <w:snapToGrid w:val="0"/>
        <w:rPr>
          <w:szCs w:val="20"/>
        </w:rPr>
      </w:pPr>
      <w:r>
        <w:rPr>
          <w:rFonts w:hint="eastAsia" w:ascii="黑体" w:hAnsi="黑体" w:eastAsia="黑体" w:cs="黑体"/>
          <w:szCs w:val="20"/>
        </w:rPr>
        <w:t>5.2.3</w:t>
      </w:r>
      <w:r>
        <w:rPr>
          <w:rFonts w:hint="eastAsia"/>
          <w:szCs w:val="20"/>
        </w:rPr>
        <w:t xml:space="preserve"> 盐酸（</w:t>
      </w:r>
      <w:r>
        <w:rPr>
          <w:i/>
          <w:iCs/>
          <w:szCs w:val="21"/>
        </w:rPr>
        <w:t>ρ</w:t>
      </w:r>
      <w:r>
        <w:rPr>
          <w:rFonts w:hint="eastAsia"/>
          <w:szCs w:val="20"/>
        </w:rPr>
        <w:t>=1.19 g/mL）。</w:t>
      </w:r>
    </w:p>
    <w:p w14:paraId="0B0AE342">
      <w:pPr>
        <w:autoSpaceDE w:val="0"/>
        <w:autoSpaceDN w:val="0"/>
        <w:adjustRightInd w:val="0"/>
        <w:snapToGrid w:val="0"/>
        <w:rPr>
          <w:szCs w:val="20"/>
        </w:rPr>
      </w:pPr>
      <w:r>
        <w:rPr>
          <w:rFonts w:hint="eastAsia" w:ascii="黑体" w:hAnsi="黑体" w:eastAsia="黑体" w:cs="黑体"/>
          <w:szCs w:val="20"/>
        </w:rPr>
        <w:t>5.2.4</w:t>
      </w:r>
      <w:r>
        <w:rPr>
          <w:rFonts w:hint="eastAsia"/>
          <w:szCs w:val="20"/>
        </w:rPr>
        <w:t xml:space="preserve"> 硝酸（</w:t>
      </w:r>
      <w:r>
        <w:rPr>
          <w:i/>
          <w:iCs/>
          <w:szCs w:val="21"/>
        </w:rPr>
        <w:t>ρ=</w:t>
      </w:r>
      <w:r>
        <w:rPr>
          <w:rFonts w:hint="eastAsia"/>
          <w:szCs w:val="20"/>
        </w:rPr>
        <w:t>1.42 g/mL）。</w:t>
      </w:r>
    </w:p>
    <w:p w14:paraId="3BBD1F3D">
      <w:pPr>
        <w:autoSpaceDE w:val="0"/>
        <w:autoSpaceDN w:val="0"/>
        <w:adjustRightInd w:val="0"/>
        <w:snapToGrid w:val="0"/>
        <w:rPr>
          <w:szCs w:val="20"/>
        </w:rPr>
      </w:pPr>
      <w:r>
        <w:rPr>
          <w:rFonts w:hint="eastAsia" w:ascii="黑体" w:hAnsi="黑体" w:eastAsia="黑体" w:cs="黑体"/>
          <w:szCs w:val="20"/>
        </w:rPr>
        <w:t xml:space="preserve">5.2.5 </w:t>
      </w:r>
      <w:r>
        <w:rPr>
          <w:rFonts w:hint="eastAsia"/>
          <w:szCs w:val="20"/>
        </w:rPr>
        <w:t>氢氟酸（</w:t>
      </w:r>
      <w:r>
        <w:rPr>
          <w:i/>
          <w:iCs/>
          <w:szCs w:val="21"/>
        </w:rPr>
        <w:t>ρ</w:t>
      </w:r>
      <w:r>
        <w:rPr>
          <w:rFonts w:hint="eastAsia"/>
          <w:szCs w:val="20"/>
        </w:rPr>
        <w:t>=1.15 g/mL）。</w:t>
      </w:r>
    </w:p>
    <w:p w14:paraId="61642CD7">
      <w:pPr>
        <w:autoSpaceDE w:val="0"/>
        <w:autoSpaceDN w:val="0"/>
        <w:adjustRightInd w:val="0"/>
        <w:snapToGrid w:val="0"/>
        <w:rPr>
          <w:szCs w:val="20"/>
        </w:rPr>
      </w:pPr>
      <w:r>
        <w:rPr>
          <w:rFonts w:hint="eastAsia" w:ascii="黑体" w:hAnsi="黑体" w:eastAsia="黑体" w:cs="黑体"/>
          <w:szCs w:val="20"/>
        </w:rPr>
        <w:t>5.2.6</w:t>
      </w:r>
      <w:r>
        <w:rPr>
          <w:rFonts w:hint="eastAsia"/>
          <w:szCs w:val="20"/>
        </w:rPr>
        <w:t xml:space="preserve"> 高氯酸（</w:t>
      </w:r>
      <w:r>
        <w:rPr>
          <w:i/>
          <w:iCs/>
          <w:szCs w:val="21"/>
        </w:rPr>
        <w:t>ρ</w:t>
      </w:r>
      <w:r>
        <w:rPr>
          <w:rFonts w:hint="eastAsia"/>
          <w:szCs w:val="20"/>
        </w:rPr>
        <w:t>=1.66 g/mL）。</w:t>
      </w:r>
    </w:p>
    <w:p w14:paraId="5B193176">
      <w:pPr>
        <w:autoSpaceDE w:val="0"/>
        <w:autoSpaceDN w:val="0"/>
        <w:adjustRightInd w:val="0"/>
        <w:snapToGrid w:val="0"/>
        <w:rPr>
          <w:szCs w:val="20"/>
        </w:rPr>
      </w:pPr>
      <w:r>
        <w:rPr>
          <w:rFonts w:hint="eastAsia" w:ascii="黑体" w:hAnsi="黑体" w:eastAsia="黑体" w:cs="黑体"/>
          <w:szCs w:val="20"/>
        </w:rPr>
        <w:t>5.2.7</w:t>
      </w:r>
      <w:r>
        <w:rPr>
          <w:rFonts w:hint="eastAsia"/>
          <w:szCs w:val="20"/>
        </w:rPr>
        <w:t xml:space="preserve"> 过氧化氢</w:t>
      </w:r>
      <w:r>
        <w:rPr>
          <w:rFonts w:hint="eastAsia" w:ascii="宋体" w:hAnsi="宋体" w:cs="宋体"/>
          <w:szCs w:val="21"/>
        </w:rPr>
        <w:t>[</w:t>
      </w:r>
      <w:r>
        <w:rPr>
          <w:i/>
          <w:color w:val="000000"/>
          <w:szCs w:val="21"/>
        </w:rPr>
        <w:t>w</w:t>
      </w:r>
      <w:r>
        <w:t>（H</w:t>
      </w:r>
      <w:r>
        <w:rPr>
          <w:vertAlign w:val="subscript"/>
        </w:rPr>
        <w:t>2</w:t>
      </w:r>
      <w:r>
        <w:t>O</w:t>
      </w:r>
      <w:r>
        <w:rPr>
          <w:vertAlign w:val="subscript"/>
        </w:rPr>
        <w:t>2</w:t>
      </w:r>
      <w:r>
        <w:t>）</w:t>
      </w:r>
      <w:r>
        <w:rPr>
          <w:rFonts w:hint="eastAsia" w:ascii="宋体" w:hAnsi="宋体" w:cs="宋体"/>
          <w:szCs w:val="21"/>
        </w:rPr>
        <w:t>≥</w:t>
      </w:r>
      <w:r>
        <w:rPr>
          <w:szCs w:val="21"/>
        </w:rPr>
        <w:t>30%</w:t>
      </w:r>
      <w:r>
        <w:rPr>
          <w:rFonts w:hint="eastAsia" w:ascii="宋体" w:hAnsi="宋体" w:cs="宋体"/>
          <w:szCs w:val="21"/>
        </w:rPr>
        <w:t>]</w:t>
      </w:r>
      <w:r>
        <w:rPr>
          <w:rFonts w:hint="eastAsia"/>
          <w:szCs w:val="20"/>
        </w:rPr>
        <w:t>。</w:t>
      </w:r>
    </w:p>
    <w:p w14:paraId="708B5148">
      <w:pPr>
        <w:autoSpaceDE w:val="0"/>
        <w:autoSpaceDN w:val="0"/>
        <w:adjustRightInd w:val="0"/>
        <w:snapToGrid w:val="0"/>
        <w:rPr>
          <w:szCs w:val="20"/>
        </w:rPr>
      </w:pPr>
      <w:r>
        <w:rPr>
          <w:rFonts w:hint="eastAsia" w:ascii="黑体" w:hAnsi="黑体" w:eastAsia="黑体" w:cs="黑体"/>
          <w:szCs w:val="20"/>
        </w:rPr>
        <w:t xml:space="preserve">5.2.8 </w:t>
      </w:r>
      <w:r>
        <w:rPr>
          <w:rFonts w:hint="eastAsia"/>
          <w:szCs w:val="20"/>
        </w:rPr>
        <w:t>氨水（</w:t>
      </w:r>
      <w:r>
        <w:rPr>
          <w:i/>
          <w:iCs/>
          <w:szCs w:val="21"/>
        </w:rPr>
        <w:t>ρ</w:t>
      </w:r>
      <w:r>
        <w:rPr>
          <w:rFonts w:hint="eastAsia"/>
          <w:szCs w:val="20"/>
        </w:rPr>
        <w:t>=0.90 g/mL）。</w:t>
      </w:r>
    </w:p>
    <w:p w14:paraId="2BBA3A0F">
      <w:pPr>
        <w:autoSpaceDE w:val="0"/>
        <w:autoSpaceDN w:val="0"/>
        <w:adjustRightInd w:val="0"/>
        <w:snapToGrid w:val="0"/>
        <w:rPr>
          <w:szCs w:val="20"/>
        </w:rPr>
      </w:pPr>
      <w:r>
        <w:rPr>
          <w:rFonts w:hint="eastAsia" w:ascii="黑体" w:hAnsi="黑体" w:eastAsia="黑体" w:cs="黑体"/>
          <w:szCs w:val="20"/>
        </w:rPr>
        <w:t>5.2.9</w:t>
      </w:r>
      <w:r>
        <w:rPr>
          <w:rFonts w:hint="eastAsia"/>
          <w:szCs w:val="20"/>
        </w:rPr>
        <w:t xml:space="preserve"> 盐酸（1+1）。</w:t>
      </w:r>
    </w:p>
    <w:p w14:paraId="22521184">
      <w:pPr>
        <w:autoSpaceDE w:val="0"/>
        <w:autoSpaceDN w:val="0"/>
        <w:adjustRightInd w:val="0"/>
        <w:snapToGrid w:val="0"/>
        <w:rPr>
          <w:szCs w:val="20"/>
        </w:rPr>
      </w:pPr>
      <w:r>
        <w:rPr>
          <w:rFonts w:hint="eastAsia" w:ascii="黑体" w:hAnsi="黑体" w:eastAsia="黑体" w:cs="黑体"/>
          <w:szCs w:val="20"/>
        </w:rPr>
        <w:t>5.2.10</w:t>
      </w:r>
      <w:r>
        <w:rPr>
          <w:rFonts w:hint="eastAsia"/>
          <w:szCs w:val="20"/>
        </w:rPr>
        <w:t xml:space="preserve"> 硫酸（1+1）。</w:t>
      </w:r>
    </w:p>
    <w:p w14:paraId="4176B40B">
      <w:pPr>
        <w:autoSpaceDE w:val="0"/>
        <w:autoSpaceDN w:val="0"/>
        <w:adjustRightInd w:val="0"/>
        <w:snapToGrid w:val="0"/>
        <w:rPr>
          <w:szCs w:val="20"/>
        </w:rPr>
      </w:pPr>
      <w:r>
        <w:rPr>
          <w:rFonts w:hint="eastAsia" w:ascii="黑体" w:hAnsi="黑体" w:eastAsia="黑体" w:cs="黑体"/>
          <w:szCs w:val="20"/>
        </w:rPr>
        <w:t>5.2.11</w:t>
      </w:r>
      <w:r>
        <w:rPr>
          <w:rFonts w:hint="eastAsia"/>
          <w:szCs w:val="20"/>
        </w:rPr>
        <w:t xml:space="preserve"> 氨水（1+1）。</w:t>
      </w:r>
    </w:p>
    <w:p w14:paraId="01E5E197">
      <w:pPr>
        <w:autoSpaceDE w:val="0"/>
        <w:autoSpaceDN w:val="0"/>
        <w:adjustRightInd w:val="0"/>
        <w:snapToGrid w:val="0"/>
        <w:rPr>
          <w:szCs w:val="20"/>
        </w:rPr>
      </w:pPr>
      <w:r>
        <w:rPr>
          <w:rFonts w:hint="eastAsia" w:ascii="黑体" w:hAnsi="黑体" w:eastAsia="黑体" w:cs="黑体"/>
          <w:szCs w:val="20"/>
        </w:rPr>
        <w:t>5.2.12</w:t>
      </w:r>
      <w:r>
        <w:rPr>
          <w:rFonts w:hint="eastAsia"/>
          <w:szCs w:val="20"/>
        </w:rPr>
        <w:t xml:space="preserve"> 氢氧化钠溶液（400 g/L）。</w:t>
      </w:r>
    </w:p>
    <w:p w14:paraId="6B0C1E4B">
      <w:pPr>
        <w:autoSpaceDE w:val="0"/>
        <w:autoSpaceDN w:val="0"/>
        <w:adjustRightInd w:val="0"/>
        <w:snapToGrid w:val="0"/>
        <w:rPr>
          <w:szCs w:val="20"/>
        </w:rPr>
      </w:pPr>
      <w:r>
        <w:rPr>
          <w:rFonts w:hint="eastAsia" w:ascii="黑体" w:hAnsi="黑体" w:eastAsia="黑体" w:cs="黑体"/>
          <w:szCs w:val="20"/>
        </w:rPr>
        <w:t xml:space="preserve">5.2.13 </w:t>
      </w:r>
      <w:r>
        <w:rPr>
          <w:rFonts w:hint="eastAsia"/>
          <w:szCs w:val="20"/>
        </w:rPr>
        <w:t>氢氧化钠洗液（2 g/L）。</w:t>
      </w:r>
    </w:p>
    <w:p w14:paraId="4AF3052E">
      <w:pPr>
        <w:autoSpaceDE w:val="0"/>
        <w:autoSpaceDN w:val="0"/>
        <w:adjustRightInd w:val="0"/>
        <w:snapToGrid w:val="0"/>
        <w:rPr>
          <w:szCs w:val="20"/>
        </w:rPr>
      </w:pPr>
      <w:r>
        <w:rPr>
          <w:rFonts w:hint="eastAsia" w:ascii="黑体" w:hAnsi="黑体" w:eastAsia="黑体" w:cs="黑体"/>
          <w:szCs w:val="20"/>
        </w:rPr>
        <w:t>5.2.14</w:t>
      </w:r>
      <w:r>
        <w:rPr>
          <w:rFonts w:hint="eastAsia"/>
          <w:szCs w:val="20"/>
        </w:rPr>
        <w:t xml:space="preserve"> 氯化铵洗液（20 g/L）：称取20 g氯化铵于锥形瓶中加水至1 L溶解加入20 mL氨水（5.2.11）调节溶液pH≈9，煮沸备用。</w:t>
      </w:r>
    </w:p>
    <w:p w14:paraId="681A8FB3">
      <w:pPr>
        <w:autoSpaceDE w:val="0"/>
        <w:autoSpaceDN w:val="0"/>
        <w:adjustRightInd w:val="0"/>
        <w:snapToGrid w:val="0"/>
        <w:rPr>
          <w:szCs w:val="20"/>
        </w:rPr>
      </w:pPr>
      <w:r>
        <w:rPr>
          <w:rFonts w:hint="eastAsia" w:ascii="黑体" w:hAnsi="黑体" w:eastAsia="黑体" w:cs="黑体"/>
          <w:szCs w:val="20"/>
        </w:rPr>
        <w:t>5.2.15</w:t>
      </w:r>
      <w:r>
        <w:rPr>
          <w:rFonts w:hint="eastAsia"/>
          <w:szCs w:val="20"/>
        </w:rPr>
        <w:t xml:space="preserve"> 三乙醇胺（1+1）。</w:t>
      </w:r>
    </w:p>
    <w:p w14:paraId="5E07A5A2">
      <w:pPr>
        <w:autoSpaceDE w:val="0"/>
        <w:autoSpaceDN w:val="0"/>
        <w:adjustRightInd w:val="0"/>
        <w:snapToGrid w:val="0"/>
        <w:rPr>
          <w:szCs w:val="20"/>
        </w:rPr>
      </w:pPr>
      <w:r>
        <w:rPr>
          <w:rFonts w:hint="eastAsia" w:ascii="黑体" w:hAnsi="黑体" w:eastAsia="黑体" w:cs="黑体"/>
          <w:szCs w:val="20"/>
        </w:rPr>
        <w:t>5.2.16</w:t>
      </w:r>
      <w:r>
        <w:rPr>
          <w:rFonts w:hint="eastAsia"/>
          <w:szCs w:val="20"/>
        </w:rPr>
        <w:t xml:space="preserve"> 氢氧化钾溶液（400 g/L）。</w:t>
      </w:r>
    </w:p>
    <w:p w14:paraId="666A2F5C">
      <w:pPr>
        <w:autoSpaceDE w:val="0"/>
        <w:autoSpaceDN w:val="0"/>
        <w:adjustRightInd w:val="0"/>
        <w:snapToGrid w:val="0"/>
        <w:rPr>
          <w:szCs w:val="20"/>
        </w:rPr>
      </w:pPr>
      <w:r>
        <w:rPr>
          <w:rFonts w:hint="eastAsia" w:ascii="黑体" w:hAnsi="黑体" w:eastAsia="黑体" w:cs="黑体"/>
          <w:szCs w:val="20"/>
        </w:rPr>
        <w:t>5.2.17</w:t>
      </w:r>
      <w:r>
        <w:rPr>
          <w:rFonts w:hint="eastAsia"/>
          <w:szCs w:val="20"/>
        </w:rPr>
        <w:t xml:space="preserve"> 氨性缓冲溶液（pH≈10）：称取67.5 g氯化铵，溶于水中，加入570 mL氨水（5.2.8），以水稀释至1000 mL，混匀。</w:t>
      </w:r>
    </w:p>
    <w:p w14:paraId="12A7D1C3">
      <w:pPr>
        <w:autoSpaceDE w:val="0"/>
        <w:autoSpaceDN w:val="0"/>
        <w:adjustRightInd w:val="0"/>
        <w:snapToGrid w:val="0"/>
        <w:rPr>
          <w:szCs w:val="20"/>
        </w:rPr>
      </w:pPr>
      <w:r>
        <w:rPr>
          <w:rFonts w:hint="eastAsia" w:ascii="黑体" w:hAnsi="黑体" w:eastAsia="黑体" w:cs="黑体"/>
          <w:szCs w:val="20"/>
        </w:rPr>
        <w:t>5.2.18</w:t>
      </w:r>
      <w:r>
        <w:rPr>
          <w:rFonts w:hint="eastAsia"/>
          <w:szCs w:val="20"/>
        </w:rPr>
        <w:t xml:space="preserve"> 六次甲基四胺缓冲溶液：400 g六次甲基四胺溶于200 mL水中，加70 mL盐酸（5.2.9），用水稀释至1000 mL，混匀。</w:t>
      </w:r>
    </w:p>
    <w:p w14:paraId="4B26EA8C">
      <w:pPr>
        <w:autoSpaceDE w:val="0"/>
        <w:autoSpaceDN w:val="0"/>
        <w:adjustRightInd w:val="0"/>
        <w:snapToGrid w:val="0"/>
        <w:rPr>
          <w:szCs w:val="20"/>
        </w:rPr>
      </w:pPr>
      <w:r>
        <w:rPr>
          <w:rFonts w:hint="eastAsia" w:ascii="黑体" w:hAnsi="黑体" w:eastAsia="黑体" w:cs="黑体"/>
          <w:szCs w:val="20"/>
        </w:rPr>
        <w:t>5.2.19</w:t>
      </w:r>
      <w:r>
        <w:rPr>
          <w:rFonts w:hint="eastAsia"/>
          <w:szCs w:val="20"/>
        </w:rPr>
        <w:t xml:space="preserve"> 锌标准溶液[c(Zn)=0.01000 mol/L]：准确称取0.81379 g于800 ℃±5 ℃的高温炉中灼烧至恒重的氧化锌基准试剂，用少量水润湿，加20 mL盐酸（5.2.9）溶解，移入1000 mL容量瓶中，用水稀释至刻度，混匀。</w:t>
      </w:r>
    </w:p>
    <w:p w14:paraId="2F00EC5B">
      <w:pPr>
        <w:autoSpaceDE w:val="0"/>
        <w:autoSpaceDN w:val="0"/>
        <w:adjustRightInd w:val="0"/>
        <w:snapToGrid w:val="0"/>
        <w:rPr>
          <w:szCs w:val="20"/>
        </w:rPr>
      </w:pPr>
      <w:r>
        <w:rPr>
          <w:rFonts w:hint="eastAsia" w:ascii="黑体" w:hAnsi="黑体" w:eastAsia="黑体" w:cs="黑体"/>
          <w:szCs w:val="20"/>
        </w:rPr>
        <w:t xml:space="preserve">5.2.20 </w:t>
      </w:r>
      <w:r>
        <w:rPr>
          <w:rFonts w:hint="eastAsia"/>
          <w:szCs w:val="20"/>
        </w:rPr>
        <w:t>乙二胺四乙酸二钠（EDTA）标准滴定溶液[c(EDTA)≈0.01 mol/L]。</w:t>
      </w:r>
    </w:p>
    <w:p w14:paraId="51781D53">
      <w:pPr>
        <w:autoSpaceDE w:val="0"/>
        <w:autoSpaceDN w:val="0"/>
        <w:adjustRightInd w:val="0"/>
        <w:snapToGrid w:val="0"/>
        <w:rPr>
          <w:szCs w:val="20"/>
        </w:rPr>
      </w:pPr>
      <w:r>
        <w:rPr>
          <w:rFonts w:hint="eastAsia" w:ascii="黑体" w:hAnsi="黑体" w:eastAsia="黑体" w:cs="黑体"/>
          <w:szCs w:val="20"/>
        </w:rPr>
        <w:t>5.2.20.1</w:t>
      </w:r>
      <w:r>
        <w:rPr>
          <w:rFonts w:hint="eastAsia"/>
          <w:szCs w:val="20"/>
        </w:rPr>
        <w:t>配制：称取3.7 g的EDTA</w:t>
      </w:r>
      <w:r>
        <w:rPr>
          <w:rFonts w:hint="eastAsia"/>
          <w:szCs w:val="20"/>
          <w:lang w:eastAsia="zh-CN"/>
        </w:rPr>
        <w:t>（</w:t>
      </w:r>
      <w:r>
        <w:rPr>
          <w:rFonts w:hint="eastAsia"/>
          <w:szCs w:val="20"/>
        </w:rPr>
        <w:t>C</w:t>
      </w:r>
      <w:r>
        <w:rPr>
          <w:rFonts w:hint="eastAsia"/>
          <w:szCs w:val="20"/>
          <w:vertAlign w:val="subscript"/>
        </w:rPr>
        <w:t>10</w:t>
      </w:r>
      <w:r>
        <w:rPr>
          <w:rFonts w:hint="eastAsia"/>
          <w:szCs w:val="20"/>
        </w:rPr>
        <w:t>H</w:t>
      </w:r>
      <w:r>
        <w:rPr>
          <w:rFonts w:hint="eastAsia"/>
          <w:szCs w:val="20"/>
          <w:vertAlign w:val="subscript"/>
        </w:rPr>
        <w:t>14</w:t>
      </w:r>
      <w:r>
        <w:rPr>
          <w:rFonts w:hint="eastAsia"/>
          <w:szCs w:val="20"/>
        </w:rPr>
        <w:t>N</w:t>
      </w:r>
      <w:r>
        <w:rPr>
          <w:rFonts w:hint="eastAsia"/>
          <w:szCs w:val="20"/>
          <w:vertAlign w:val="subscript"/>
        </w:rPr>
        <w:t>2</w:t>
      </w:r>
      <w:r>
        <w:rPr>
          <w:rFonts w:hint="eastAsia"/>
          <w:szCs w:val="20"/>
        </w:rPr>
        <w:t>O</w:t>
      </w:r>
      <w:r>
        <w:rPr>
          <w:rFonts w:hint="eastAsia"/>
          <w:szCs w:val="20"/>
          <w:vertAlign w:val="subscript"/>
        </w:rPr>
        <w:t>8</w:t>
      </w:r>
      <w:r>
        <w:rPr>
          <w:rFonts w:hint="eastAsia"/>
          <w:szCs w:val="20"/>
        </w:rPr>
        <w:t>Na</w:t>
      </w:r>
      <w:r>
        <w:rPr>
          <w:rFonts w:hint="eastAsia"/>
          <w:szCs w:val="20"/>
          <w:vertAlign w:val="subscript"/>
        </w:rPr>
        <w:t>2</w:t>
      </w:r>
      <w:r>
        <w:rPr>
          <w:rFonts w:hint="eastAsia"/>
          <w:szCs w:val="20"/>
        </w:rPr>
        <w:t>·2H</w:t>
      </w:r>
      <w:r>
        <w:rPr>
          <w:rFonts w:hint="eastAsia"/>
          <w:szCs w:val="20"/>
          <w:vertAlign w:val="subscript"/>
        </w:rPr>
        <w:t>2</w:t>
      </w:r>
      <w:r>
        <w:rPr>
          <w:rFonts w:hint="eastAsia"/>
          <w:szCs w:val="20"/>
        </w:rPr>
        <w:t>O）于500 mL烧杯中，加水约200 mL，加热溶解，冷却至室温后移入1000 mL容量瓶中，用水稀释至刻度，混匀。</w:t>
      </w:r>
    </w:p>
    <w:p w14:paraId="0809D0D2">
      <w:pPr>
        <w:autoSpaceDE w:val="0"/>
        <w:autoSpaceDN w:val="0"/>
        <w:adjustRightInd w:val="0"/>
        <w:snapToGrid w:val="0"/>
        <w:rPr>
          <w:szCs w:val="20"/>
        </w:rPr>
      </w:pPr>
      <w:r>
        <w:rPr>
          <w:rFonts w:hint="eastAsia" w:ascii="黑体" w:hAnsi="黑体" w:eastAsia="黑体" w:cs="黑体"/>
          <w:szCs w:val="20"/>
        </w:rPr>
        <w:t>5.2.20.2</w:t>
      </w:r>
      <w:r>
        <w:rPr>
          <w:rFonts w:hint="eastAsia"/>
          <w:szCs w:val="20"/>
        </w:rPr>
        <w:t>标定：移取15.00 mL锌标准溶液（5.2.19）于300 mL三角瓶中，用水稀释至约100 mL，2滴对硝基酚指示剂（5.2.21），用氨水（5.2.11）调节溶液变黄，再用盐酸（5.2.9）调节溶液变无色，加5 mL六次甲基四胺缓冲溶液（5.2.18），2滴二甲酚橙指示剂（5.2.22），用EDTA标准滴定溶液（5.2.20）滴定至溶液由紫红色变为亮黄色，即为终点。标定平行样数量及标定结果相对极差按GB/T 601执行。</w:t>
      </w:r>
    </w:p>
    <w:p w14:paraId="7B9CCFB1">
      <w:pPr>
        <w:autoSpaceDE w:val="0"/>
        <w:autoSpaceDN w:val="0"/>
        <w:adjustRightInd w:val="0"/>
        <w:snapToGrid w:val="0"/>
        <w:ind w:firstLine="420" w:firstLineChars="200"/>
        <w:rPr>
          <w:szCs w:val="20"/>
        </w:rPr>
      </w:pPr>
      <w:r>
        <w:rPr>
          <w:rFonts w:hint="eastAsia"/>
          <w:szCs w:val="20"/>
        </w:rPr>
        <w:t>EDTA标准滴定溶液（5.2.20.1）的浓度以</w:t>
      </w:r>
      <w:r>
        <w:rPr>
          <w:i/>
          <w:iCs/>
          <w:szCs w:val="20"/>
        </w:rPr>
        <w:t>c</w:t>
      </w:r>
      <w:r>
        <w:rPr>
          <w:i/>
          <w:iCs/>
          <w:szCs w:val="20"/>
          <w:vertAlign w:val="subscript"/>
        </w:rPr>
        <w:t>1</w:t>
      </w:r>
      <w:r>
        <w:rPr>
          <w:rFonts w:hint="eastAsia"/>
          <w:szCs w:val="20"/>
        </w:rPr>
        <w:t>计，按公式（2）计算：</w:t>
      </w:r>
    </w:p>
    <w:p w14:paraId="49D8BD79">
      <w:pPr>
        <w:autoSpaceDE w:val="0"/>
        <w:autoSpaceDN w:val="0"/>
        <w:adjustRightInd w:val="0"/>
        <w:snapToGrid w:val="0"/>
        <w:ind w:firstLine="420" w:firstLineChars="200"/>
        <w:jc w:val="right"/>
        <w:rPr>
          <w:szCs w:val="20"/>
        </w:rPr>
      </w:pPr>
      <w:r>
        <w:rPr>
          <w:rFonts w:hint="eastAsia"/>
          <w:szCs w:val="20"/>
        </w:rPr>
        <w:object>
          <v:shape id="_x0000_i1026" o:spt="75" type="#_x0000_t75" style="height:34.5pt;width:56.2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szCs w:val="20"/>
        </w:rPr>
        <w:t xml:space="preserve">     …………………………………… （2）</w:t>
      </w:r>
    </w:p>
    <w:p w14:paraId="1AE9B4AF">
      <w:pPr>
        <w:autoSpaceDE w:val="0"/>
        <w:autoSpaceDN w:val="0"/>
        <w:adjustRightInd w:val="0"/>
        <w:snapToGrid w:val="0"/>
        <w:ind w:firstLine="420" w:firstLineChars="200"/>
        <w:rPr>
          <w:szCs w:val="20"/>
        </w:rPr>
      </w:pPr>
      <w:r>
        <w:rPr>
          <w:rFonts w:hint="eastAsia"/>
          <w:szCs w:val="20"/>
        </w:rPr>
        <w:t>式中：</w:t>
      </w:r>
    </w:p>
    <w:p w14:paraId="12C55C5E">
      <w:pPr>
        <w:autoSpaceDE w:val="0"/>
        <w:autoSpaceDN w:val="0"/>
        <w:adjustRightInd w:val="0"/>
        <w:snapToGrid w:val="0"/>
        <w:ind w:firstLine="420" w:firstLineChars="200"/>
        <w:rPr>
          <w:szCs w:val="20"/>
        </w:rPr>
      </w:pPr>
      <w:r>
        <w:rPr>
          <w:rFonts w:hint="eastAsia"/>
          <w:i/>
          <w:iCs/>
          <w:szCs w:val="20"/>
        </w:rPr>
        <w:t>c</w:t>
      </w:r>
      <w:r>
        <w:rPr>
          <w:rFonts w:hint="eastAsia"/>
          <w:i/>
          <w:iCs/>
          <w:szCs w:val="20"/>
          <w:vertAlign w:val="subscript"/>
        </w:rPr>
        <w:t xml:space="preserve">0  </w:t>
      </w:r>
      <w:r>
        <w:rPr>
          <w:rFonts w:hint="eastAsia"/>
          <w:szCs w:val="20"/>
        </w:rPr>
        <w:t>——锌标准溶液（5.2.19）的物质的量浓度，单位为摩尔每升（mol/L）；</w:t>
      </w:r>
    </w:p>
    <w:p w14:paraId="38753DDE">
      <w:pPr>
        <w:autoSpaceDE w:val="0"/>
        <w:autoSpaceDN w:val="0"/>
        <w:adjustRightInd w:val="0"/>
        <w:snapToGrid w:val="0"/>
        <w:ind w:firstLine="420" w:firstLineChars="200"/>
        <w:rPr>
          <w:szCs w:val="20"/>
        </w:rPr>
      </w:pPr>
      <w:r>
        <w:rPr>
          <w:rFonts w:hint="eastAsia"/>
          <w:i/>
          <w:iCs/>
          <w:szCs w:val="20"/>
        </w:rPr>
        <w:t>V</w:t>
      </w:r>
      <w:r>
        <w:rPr>
          <w:rFonts w:hint="eastAsia"/>
          <w:i/>
          <w:iCs/>
          <w:szCs w:val="20"/>
          <w:vertAlign w:val="subscript"/>
        </w:rPr>
        <w:t xml:space="preserve">3  </w:t>
      </w:r>
      <w:r>
        <w:rPr>
          <w:rFonts w:hint="eastAsia"/>
          <w:szCs w:val="20"/>
        </w:rPr>
        <w:t>——移取锌标准溶液（5.2.19）的体积，单位为毫升（mL）；</w:t>
      </w:r>
    </w:p>
    <w:p w14:paraId="04D33E93">
      <w:pPr>
        <w:autoSpaceDE w:val="0"/>
        <w:autoSpaceDN w:val="0"/>
        <w:adjustRightInd w:val="0"/>
        <w:snapToGrid w:val="0"/>
        <w:ind w:firstLine="420" w:firstLineChars="200"/>
        <w:rPr>
          <w:szCs w:val="20"/>
        </w:rPr>
      </w:pPr>
      <w:r>
        <w:rPr>
          <w:rFonts w:hint="eastAsia"/>
          <w:i/>
          <w:iCs/>
          <w:szCs w:val="20"/>
        </w:rPr>
        <w:t>V</w:t>
      </w:r>
      <w:r>
        <w:rPr>
          <w:rFonts w:hint="eastAsia"/>
          <w:i/>
          <w:iCs/>
          <w:szCs w:val="20"/>
          <w:vertAlign w:val="subscript"/>
        </w:rPr>
        <w:t xml:space="preserve">4  </w:t>
      </w:r>
      <w:r>
        <w:rPr>
          <w:rFonts w:hint="eastAsia"/>
          <w:szCs w:val="20"/>
        </w:rPr>
        <w:t>——滴定锌消耗EDTA标准滴定溶液（5.2.20）的体积，单位为毫升（mL）。</w:t>
      </w:r>
    </w:p>
    <w:p w14:paraId="37144779">
      <w:pPr>
        <w:autoSpaceDE w:val="0"/>
        <w:autoSpaceDN w:val="0"/>
        <w:adjustRightInd w:val="0"/>
        <w:snapToGrid w:val="0"/>
        <w:rPr>
          <w:szCs w:val="20"/>
        </w:rPr>
      </w:pPr>
      <w:r>
        <w:rPr>
          <w:rFonts w:hint="eastAsia" w:ascii="黑体" w:hAnsi="黑体" w:eastAsia="黑体" w:cs="黑体"/>
          <w:szCs w:val="20"/>
        </w:rPr>
        <w:t xml:space="preserve">5.2.21 </w:t>
      </w:r>
      <w:r>
        <w:rPr>
          <w:rFonts w:hint="eastAsia"/>
          <w:szCs w:val="20"/>
        </w:rPr>
        <w:t>对硝基酚指示剂（2 g/L）。</w:t>
      </w:r>
    </w:p>
    <w:p w14:paraId="2006BE08">
      <w:pPr>
        <w:autoSpaceDE w:val="0"/>
        <w:autoSpaceDN w:val="0"/>
        <w:adjustRightInd w:val="0"/>
        <w:snapToGrid w:val="0"/>
        <w:rPr>
          <w:szCs w:val="20"/>
        </w:rPr>
      </w:pPr>
      <w:r>
        <w:rPr>
          <w:rFonts w:hint="eastAsia" w:ascii="黑体" w:hAnsi="黑体" w:eastAsia="黑体" w:cs="黑体"/>
          <w:szCs w:val="20"/>
        </w:rPr>
        <w:t>5.2.22</w:t>
      </w:r>
      <w:r>
        <w:rPr>
          <w:rFonts w:hint="eastAsia"/>
          <w:szCs w:val="20"/>
        </w:rPr>
        <w:t xml:space="preserve"> 二甲酚橙指示剂（2 g/L）。</w:t>
      </w:r>
    </w:p>
    <w:p w14:paraId="3DB500EA">
      <w:pPr>
        <w:autoSpaceDE w:val="0"/>
        <w:autoSpaceDN w:val="0"/>
        <w:adjustRightInd w:val="0"/>
        <w:snapToGrid w:val="0"/>
        <w:rPr>
          <w:szCs w:val="20"/>
        </w:rPr>
      </w:pPr>
      <w:r>
        <w:rPr>
          <w:rFonts w:hint="eastAsia" w:ascii="黑体" w:hAnsi="黑体" w:eastAsia="黑体" w:cs="黑体"/>
          <w:szCs w:val="20"/>
        </w:rPr>
        <w:t>5.2.23</w:t>
      </w:r>
      <w:r>
        <w:rPr>
          <w:rFonts w:hint="eastAsia"/>
          <w:szCs w:val="20"/>
        </w:rPr>
        <w:t xml:space="preserve"> </w:t>
      </w:r>
      <w:r>
        <w:rPr>
          <w:rFonts w:hint="eastAsia"/>
          <w:color w:val="auto"/>
          <w:szCs w:val="20"/>
        </w:rPr>
        <w:t>钙红</w:t>
      </w:r>
      <w:r>
        <w:rPr>
          <w:rFonts w:hint="eastAsia"/>
          <w:szCs w:val="20"/>
        </w:rPr>
        <w:t>（C</w:t>
      </w:r>
      <w:r>
        <w:rPr>
          <w:rFonts w:hint="eastAsia"/>
          <w:szCs w:val="20"/>
          <w:vertAlign w:val="subscript"/>
        </w:rPr>
        <w:t>21</w:t>
      </w:r>
      <w:r>
        <w:rPr>
          <w:rFonts w:hint="eastAsia"/>
          <w:szCs w:val="20"/>
        </w:rPr>
        <w:t>H</w:t>
      </w:r>
      <w:r>
        <w:rPr>
          <w:rFonts w:hint="eastAsia"/>
          <w:szCs w:val="20"/>
          <w:vertAlign w:val="subscript"/>
        </w:rPr>
        <w:t>14</w:t>
      </w:r>
      <w:r>
        <w:rPr>
          <w:rFonts w:hint="eastAsia"/>
          <w:szCs w:val="20"/>
        </w:rPr>
        <w:t>N</w:t>
      </w:r>
      <w:r>
        <w:rPr>
          <w:rFonts w:hint="eastAsia"/>
          <w:szCs w:val="20"/>
          <w:vertAlign w:val="subscript"/>
        </w:rPr>
        <w:t>2</w:t>
      </w:r>
      <w:r>
        <w:rPr>
          <w:rFonts w:hint="eastAsia"/>
          <w:szCs w:val="20"/>
        </w:rPr>
        <w:t>O</w:t>
      </w:r>
      <w:r>
        <w:rPr>
          <w:rFonts w:hint="eastAsia"/>
          <w:szCs w:val="20"/>
          <w:vertAlign w:val="subscript"/>
        </w:rPr>
        <w:t>7</w:t>
      </w:r>
      <w:r>
        <w:rPr>
          <w:rFonts w:hint="eastAsia"/>
          <w:szCs w:val="20"/>
        </w:rPr>
        <w:t>S）指示剂：称取1 g钙红指示剂与99 g氯化钠固体研磨，混匀，保存于磨口瓶中备用。</w:t>
      </w:r>
    </w:p>
    <w:p w14:paraId="63F0D9D6">
      <w:pPr>
        <w:autoSpaceDE w:val="0"/>
        <w:autoSpaceDN w:val="0"/>
        <w:adjustRightInd w:val="0"/>
        <w:snapToGrid w:val="0"/>
        <w:rPr>
          <w:szCs w:val="20"/>
        </w:rPr>
      </w:pPr>
      <w:r>
        <w:rPr>
          <w:rFonts w:hint="eastAsia" w:ascii="黑体" w:hAnsi="黑体" w:eastAsia="黑体" w:cs="黑体"/>
          <w:szCs w:val="20"/>
        </w:rPr>
        <w:t xml:space="preserve">5.2.24 </w:t>
      </w:r>
      <w:r>
        <w:rPr>
          <w:rFonts w:hint="eastAsia"/>
          <w:szCs w:val="20"/>
        </w:rPr>
        <w:t>铬黑T指示剂：称取1 g铬黑T指示剂与99 g氯化钠固体研磨，混匀，保存于磨口瓶中备用。</w:t>
      </w:r>
    </w:p>
    <w:p w14:paraId="29E1D5DD">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5.3  样品</w:t>
      </w:r>
    </w:p>
    <w:p w14:paraId="57D64112">
      <w:pPr>
        <w:autoSpaceDE w:val="0"/>
        <w:autoSpaceDN w:val="0"/>
        <w:adjustRightInd w:val="0"/>
        <w:snapToGrid w:val="0"/>
        <w:ind w:firstLine="420" w:firstLineChars="200"/>
        <w:rPr>
          <w:szCs w:val="20"/>
        </w:rPr>
      </w:pPr>
      <w:r>
        <w:rPr>
          <w:rFonts w:hint="eastAsia"/>
          <w:szCs w:val="20"/>
        </w:rPr>
        <w:t>合金样品制成粉末样，过0.125 mm筛。</w:t>
      </w:r>
    </w:p>
    <w:p w14:paraId="518B3BCF">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5.4  试验步骤</w:t>
      </w:r>
    </w:p>
    <w:p w14:paraId="65826018">
      <w:pPr>
        <w:spacing w:before="156" w:beforeLines="50" w:after="156" w:afterLines="50"/>
        <w:rPr>
          <w:rFonts w:hint="eastAsia" w:ascii="黑体" w:hAnsi="黑体" w:eastAsia="黑体" w:cs="黑体"/>
          <w:szCs w:val="21"/>
        </w:rPr>
      </w:pPr>
      <w:r>
        <w:rPr>
          <w:rFonts w:hint="eastAsia" w:ascii="黑体" w:hAnsi="黑体" w:eastAsia="黑体" w:cs="黑体"/>
          <w:szCs w:val="21"/>
        </w:rPr>
        <w:t>5.4.1  试料</w:t>
      </w:r>
    </w:p>
    <w:p w14:paraId="55AD6823">
      <w:pPr>
        <w:autoSpaceDE w:val="0"/>
        <w:autoSpaceDN w:val="0"/>
        <w:adjustRightInd w:val="0"/>
        <w:snapToGrid w:val="0"/>
        <w:ind w:firstLine="420" w:firstLineChars="200"/>
        <w:rPr>
          <w:szCs w:val="20"/>
        </w:rPr>
      </w:pPr>
      <w:r>
        <w:rPr>
          <w:rFonts w:hint="eastAsia"/>
          <w:szCs w:val="20"/>
        </w:rPr>
        <w:t>称取0.30 g样品（5.3），精确至0.0001 g。</w:t>
      </w:r>
    </w:p>
    <w:p w14:paraId="7880E45F">
      <w:pPr>
        <w:spacing w:before="156" w:beforeLines="50" w:after="156" w:afterLines="50"/>
        <w:rPr>
          <w:rFonts w:hint="eastAsia" w:ascii="黑体" w:hAnsi="黑体" w:eastAsia="黑体" w:cs="黑体"/>
          <w:szCs w:val="21"/>
        </w:rPr>
      </w:pPr>
      <w:r>
        <w:rPr>
          <w:rFonts w:hint="eastAsia" w:ascii="黑体" w:hAnsi="黑体" w:eastAsia="黑体" w:cs="黑体"/>
          <w:szCs w:val="21"/>
        </w:rPr>
        <w:t>5.4.2  平行试验</w:t>
      </w:r>
    </w:p>
    <w:p w14:paraId="03C612AB">
      <w:pPr>
        <w:autoSpaceDE w:val="0"/>
        <w:autoSpaceDN w:val="0"/>
        <w:adjustRightInd w:val="0"/>
        <w:snapToGrid w:val="0"/>
        <w:ind w:firstLine="420" w:firstLineChars="200"/>
        <w:rPr>
          <w:szCs w:val="20"/>
        </w:rPr>
      </w:pPr>
      <w:r>
        <w:rPr>
          <w:rFonts w:hint="eastAsia"/>
          <w:szCs w:val="20"/>
        </w:rPr>
        <w:t>平行做两份试验。</w:t>
      </w:r>
    </w:p>
    <w:p w14:paraId="60C6CADD">
      <w:pPr>
        <w:spacing w:before="156" w:beforeLines="50" w:after="156" w:afterLines="50"/>
        <w:rPr>
          <w:rFonts w:hint="eastAsia" w:ascii="黑体" w:hAnsi="黑体" w:eastAsia="黑体" w:cs="黑体"/>
          <w:szCs w:val="21"/>
        </w:rPr>
      </w:pPr>
      <w:r>
        <w:rPr>
          <w:rFonts w:hint="eastAsia" w:ascii="黑体" w:hAnsi="黑体" w:eastAsia="黑体" w:cs="黑体"/>
          <w:szCs w:val="21"/>
        </w:rPr>
        <w:t>5.4.3  空白试验</w:t>
      </w:r>
    </w:p>
    <w:p w14:paraId="45616896">
      <w:pPr>
        <w:autoSpaceDE w:val="0"/>
        <w:autoSpaceDN w:val="0"/>
        <w:adjustRightInd w:val="0"/>
        <w:snapToGrid w:val="0"/>
        <w:ind w:firstLine="420" w:firstLineChars="200"/>
        <w:rPr>
          <w:szCs w:val="20"/>
        </w:rPr>
      </w:pPr>
      <w:r>
        <w:rPr>
          <w:rFonts w:hint="eastAsia"/>
          <w:szCs w:val="20"/>
        </w:rPr>
        <w:t>随同试料（5.5.1）做空白试验。</w:t>
      </w:r>
    </w:p>
    <w:p w14:paraId="44F61656">
      <w:pPr>
        <w:spacing w:before="156" w:beforeLines="50" w:after="156" w:afterLines="50"/>
        <w:rPr>
          <w:rFonts w:hint="eastAsia" w:ascii="黑体" w:hAnsi="黑体" w:eastAsia="黑体" w:cs="黑体"/>
          <w:szCs w:val="21"/>
        </w:rPr>
      </w:pPr>
      <w:r>
        <w:rPr>
          <w:rFonts w:hint="eastAsia" w:ascii="黑体" w:hAnsi="黑体" w:eastAsia="黑体" w:cs="黑体"/>
          <w:szCs w:val="21"/>
        </w:rPr>
        <w:t>5.4.4  分析试液的制备</w:t>
      </w:r>
    </w:p>
    <w:p w14:paraId="2FC3C4E6">
      <w:pPr>
        <w:autoSpaceDE w:val="0"/>
        <w:autoSpaceDN w:val="0"/>
        <w:adjustRightInd w:val="0"/>
        <w:snapToGrid w:val="0"/>
        <w:rPr>
          <w:bCs/>
          <w:szCs w:val="21"/>
        </w:rPr>
      </w:pPr>
      <w:r>
        <w:rPr>
          <w:rFonts w:hint="eastAsia" w:ascii="黑体" w:hAnsi="黑体" w:eastAsia="黑体" w:cs="黑体"/>
          <w:szCs w:val="20"/>
        </w:rPr>
        <w:t>5.4.4.1</w:t>
      </w:r>
      <w:r>
        <w:rPr>
          <w:rFonts w:hint="eastAsia"/>
          <w:szCs w:val="20"/>
        </w:rPr>
        <w:t xml:space="preserve"> </w:t>
      </w:r>
      <w:r>
        <w:rPr>
          <w:rFonts w:hint="eastAsia"/>
          <w:bCs/>
          <w:szCs w:val="21"/>
        </w:rPr>
        <w:t>将试料（5.4.1）置于200 mL干燥的聚四氟乙烯烧杯中，加入</w:t>
      </w:r>
      <w:r>
        <w:rPr>
          <w:bCs/>
          <w:szCs w:val="21"/>
        </w:rPr>
        <w:t>10</w:t>
      </w:r>
      <w:r>
        <w:rPr>
          <w:rFonts w:hint="eastAsia"/>
          <w:bCs/>
          <w:szCs w:val="21"/>
        </w:rPr>
        <w:t xml:space="preserve"> mL硝酸（5.2.4），摇动下滴加5 mL氢氟酸（5.2.5）至剧</w:t>
      </w:r>
      <w:r>
        <w:rPr>
          <w:rFonts w:hint="eastAsia"/>
          <w:szCs w:val="21"/>
        </w:rPr>
        <w:t>烈反应停止后，低温加热</w:t>
      </w:r>
      <w:r>
        <w:rPr>
          <w:rFonts w:hint="eastAsia"/>
          <w:bCs/>
          <w:szCs w:val="21"/>
        </w:rPr>
        <w:t xml:space="preserve">溶解试样，加入5 mL高氯酸（5.2.6），在低温电炉上加热冒高氯酸烟，并蒸发至近干。取下，稍冷，加入5 </w:t>
      </w:r>
      <w:r>
        <w:rPr>
          <w:bCs/>
          <w:szCs w:val="21"/>
        </w:rPr>
        <w:t>mL</w:t>
      </w:r>
      <w:r>
        <w:rPr>
          <w:rFonts w:hint="eastAsia"/>
          <w:bCs/>
          <w:szCs w:val="21"/>
        </w:rPr>
        <w:t>盐酸（5.2.9）溶解样品。将溶液</w:t>
      </w:r>
      <w:r>
        <w:rPr>
          <w:rFonts w:hint="eastAsia"/>
          <w:szCs w:val="20"/>
        </w:rPr>
        <w:t>取下冷却。移入100 mL容量瓶中，用水稀释至刻度，混匀。</w:t>
      </w:r>
    </w:p>
    <w:p w14:paraId="0465755D">
      <w:pPr>
        <w:autoSpaceDE w:val="0"/>
        <w:autoSpaceDN w:val="0"/>
        <w:adjustRightInd w:val="0"/>
        <w:snapToGrid w:val="0"/>
        <w:rPr>
          <w:bCs/>
          <w:szCs w:val="21"/>
        </w:rPr>
      </w:pPr>
      <w:r>
        <w:rPr>
          <w:rFonts w:hint="eastAsia" w:ascii="黑体" w:hAnsi="黑体" w:eastAsia="黑体" w:cs="黑体"/>
          <w:szCs w:val="20"/>
        </w:rPr>
        <w:t xml:space="preserve">5.4.4.2 </w:t>
      </w:r>
      <w:r>
        <w:rPr>
          <w:rFonts w:hint="eastAsia"/>
          <w:bCs/>
          <w:szCs w:val="21"/>
        </w:rPr>
        <w:t>如试料（5.4.1）中钡和锶的含量大于0.20 %时，在5.4.4.1加盐酸溶解后的溶液</w:t>
      </w:r>
      <w:r>
        <w:rPr>
          <w:rFonts w:hint="eastAsia"/>
          <w:szCs w:val="20"/>
        </w:rPr>
        <w:t>中</w:t>
      </w:r>
      <w:r>
        <w:rPr>
          <w:rFonts w:hint="eastAsia"/>
          <w:bCs/>
          <w:szCs w:val="21"/>
        </w:rPr>
        <w:t xml:space="preserve">加入10 </w:t>
      </w:r>
      <w:r>
        <w:rPr>
          <w:bCs/>
          <w:szCs w:val="21"/>
        </w:rPr>
        <w:t>mL</w:t>
      </w:r>
      <w:r>
        <w:rPr>
          <w:rFonts w:hint="eastAsia"/>
          <w:bCs/>
          <w:szCs w:val="21"/>
        </w:rPr>
        <w:t>硫酸（5.2.10），加热至沸，取下冷却。移入100 mL容量瓶中，用水稀释至刻度，混匀。静置10 min后，慢速定量滤纸干过滤。</w:t>
      </w:r>
    </w:p>
    <w:p w14:paraId="4354210A">
      <w:pPr>
        <w:autoSpaceDE w:val="0"/>
        <w:autoSpaceDN w:val="0"/>
        <w:adjustRightInd w:val="0"/>
        <w:snapToGrid w:val="0"/>
        <w:rPr>
          <w:szCs w:val="20"/>
        </w:rPr>
      </w:pPr>
      <w:r>
        <w:rPr>
          <w:rFonts w:hint="eastAsia" w:ascii="黑体" w:hAnsi="黑体" w:eastAsia="黑体" w:cs="黑体"/>
          <w:szCs w:val="20"/>
        </w:rPr>
        <w:t>5.4.4.3</w:t>
      </w:r>
      <w:r>
        <w:rPr>
          <w:rFonts w:hint="eastAsia"/>
          <w:szCs w:val="20"/>
        </w:rPr>
        <w:t xml:space="preserve"> 按表</w:t>
      </w:r>
      <w:r>
        <w:rPr>
          <w:rFonts w:hint="eastAsia"/>
          <w:szCs w:val="20"/>
          <w:lang w:val="en-US" w:eastAsia="zh-CN"/>
        </w:rPr>
        <w:t>7</w:t>
      </w:r>
      <w:r>
        <w:rPr>
          <w:rFonts w:hint="eastAsia"/>
          <w:szCs w:val="20"/>
        </w:rPr>
        <w:t>分取试液（5.4.4.1或5.4.4.2）两份</w:t>
      </w:r>
      <w:r>
        <w:rPr>
          <w:rFonts w:hint="eastAsia"/>
          <w:bCs/>
          <w:szCs w:val="20"/>
        </w:rPr>
        <w:t>于两个</w:t>
      </w:r>
      <w:r>
        <w:rPr>
          <w:rFonts w:hint="eastAsia"/>
          <w:szCs w:val="20"/>
        </w:rPr>
        <w:t>250 mL</w:t>
      </w:r>
      <w:r>
        <w:rPr>
          <w:rFonts w:hint="eastAsia"/>
          <w:bCs/>
          <w:szCs w:val="20"/>
        </w:rPr>
        <w:t>烧杯中</w:t>
      </w:r>
      <w:r>
        <w:rPr>
          <w:bCs/>
          <w:szCs w:val="20"/>
        </w:rPr>
        <w:t>，</w:t>
      </w:r>
      <w:r>
        <w:rPr>
          <w:rFonts w:hint="eastAsia"/>
          <w:bCs/>
          <w:szCs w:val="20"/>
        </w:rPr>
        <w:t>并标记为</w:t>
      </w:r>
      <w:r>
        <w:rPr>
          <w:bCs/>
          <w:szCs w:val="20"/>
        </w:rPr>
        <w:t>A</w:t>
      </w:r>
      <w:r>
        <w:rPr>
          <w:rFonts w:hint="eastAsia"/>
          <w:bCs/>
          <w:szCs w:val="20"/>
        </w:rPr>
        <w:t>液</w:t>
      </w:r>
      <w:r>
        <w:rPr>
          <w:bCs/>
          <w:szCs w:val="20"/>
        </w:rPr>
        <w:t>和B</w:t>
      </w:r>
      <w:r>
        <w:rPr>
          <w:rFonts w:hint="eastAsia"/>
          <w:bCs/>
          <w:szCs w:val="20"/>
        </w:rPr>
        <w:t>液，按照5.4.4.4及5.4.4.5操作后，一份进行钙、镁合量的滴定，另一份进行钙量滴定</w:t>
      </w:r>
      <w:r>
        <w:rPr>
          <w:rFonts w:hint="eastAsia"/>
          <w:szCs w:val="20"/>
        </w:rPr>
        <w:t>。</w:t>
      </w:r>
    </w:p>
    <w:p w14:paraId="0D845593">
      <w:pPr>
        <w:spacing w:before="156" w:beforeLines="50" w:after="156" w:afterLines="50" w:line="360" w:lineRule="exact"/>
        <w:jc w:val="center"/>
        <w:rPr>
          <w:rFonts w:eastAsia="黑体"/>
        </w:rPr>
      </w:pPr>
      <w:r>
        <w:rPr>
          <w:rFonts w:eastAsia="黑体"/>
        </w:rPr>
        <w:t>表</w:t>
      </w:r>
      <w:r>
        <w:rPr>
          <w:rFonts w:hint="eastAsia" w:eastAsia="黑体"/>
          <w:lang w:val="en-US" w:eastAsia="zh-CN"/>
        </w:rPr>
        <w:t>7</w:t>
      </w:r>
      <w:r>
        <w:rPr>
          <w:rFonts w:hint="eastAsia" w:eastAsia="黑体"/>
        </w:rPr>
        <w:t xml:space="preserve"> 分取体积</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6"/>
      </w:tblGrid>
      <w:tr w14:paraId="2AD3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5" w:type="dxa"/>
            <w:tcBorders>
              <w:top w:val="single" w:color="auto" w:sz="8" w:space="0"/>
              <w:left w:val="single" w:color="auto" w:sz="8" w:space="0"/>
              <w:bottom w:val="single" w:color="auto" w:sz="8" w:space="0"/>
              <w:right w:val="single" w:color="auto" w:sz="4" w:space="0"/>
            </w:tcBorders>
            <w:vAlign w:val="center"/>
          </w:tcPr>
          <w:p w14:paraId="28D3B32F">
            <w:pPr>
              <w:adjustRightInd w:val="0"/>
              <w:snapToGrid w:val="0"/>
              <w:jc w:val="center"/>
              <w:rPr>
                <w:rFonts w:hint="eastAsia" w:hAnsi="宋体"/>
                <w:sz w:val="18"/>
                <w:szCs w:val="18"/>
              </w:rPr>
            </w:pPr>
            <w:r>
              <w:rPr>
                <w:rFonts w:hint="eastAsia" w:hAnsi="宋体"/>
                <w:sz w:val="18"/>
                <w:szCs w:val="18"/>
              </w:rPr>
              <w:t>质量分数</w:t>
            </w:r>
          </w:p>
          <w:p w14:paraId="5C8DD030">
            <w:pPr>
              <w:adjustRightInd w:val="0"/>
              <w:snapToGrid w:val="0"/>
              <w:jc w:val="center"/>
              <w:rPr>
                <w:rFonts w:hint="eastAsia" w:hAnsi="宋体"/>
                <w:sz w:val="18"/>
                <w:szCs w:val="18"/>
              </w:rPr>
            </w:pPr>
            <w:r>
              <w:rPr>
                <w:rFonts w:hint="eastAsia" w:hAnsi="宋体"/>
                <w:sz w:val="18"/>
                <w:szCs w:val="18"/>
              </w:rPr>
              <w:t>%</w:t>
            </w:r>
          </w:p>
        </w:tc>
        <w:tc>
          <w:tcPr>
            <w:tcW w:w="4726" w:type="dxa"/>
            <w:tcBorders>
              <w:top w:val="single" w:color="auto" w:sz="8" w:space="0"/>
              <w:left w:val="single" w:color="auto" w:sz="4" w:space="0"/>
              <w:bottom w:val="single" w:color="auto" w:sz="8" w:space="0"/>
              <w:right w:val="single" w:color="auto" w:sz="8" w:space="0"/>
            </w:tcBorders>
            <w:vAlign w:val="center"/>
          </w:tcPr>
          <w:p w14:paraId="4778B188">
            <w:pPr>
              <w:adjustRightInd w:val="0"/>
              <w:snapToGrid w:val="0"/>
              <w:jc w:val="center"/>
              <w:rPr>
                <w:rFonts w:hint="eastAsia" w:hAnsi="宋体"/>
                <w:sz w:val="18"/>
                <w:szCs w:val="18"/>
              </w:rPr>
            </w:pPr>
            <w:r>
              <w:rPr>
                <w:rFonts w:hint="eastAsia" w:hAnsi="宋体"/>
                <w:sz w:val="18"/>
                <w:szCs w:val="18"/>
              </w:rPr>
              <w:t>分取体积</w:t>
            </w:r>
          </w:p>
          <w:p w14:paraId="7C3F7E0D">
            <w:pPr>
              <w:adjustRightInd w:val="0"/>
              <w:snapToGrid w:val="0"/>
              <w:jc w:val="center"/>
              <w:rPr>
                <w:rFonts w:hint="eastAsia" w:hAnsi="宋体"/>
                <w:sz w:val="18"/>
                <w:szCs w:val="18"/>
              </w:rPr>
            </w:pPr>
            <w:r>
              <w:rPr>
                <w:rFonts w:hAnsi="宋体"/>
                <w:sz w:val="18"/>
                <w:szCs w:val="18"/>
              </w:rPr>
              <w:t>mL</w:t>
            </w:r>
          </w:p>
        </w:tc>
      </w:tr>
      <w:tr w14:paraId="067E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5" w:type="dxa"/>
            <w:tcBorders>
              <w:top w:val="single" w:color="auto" w:sz="8" w:space="0"/>
              <w:left w:val="single" w:color="auto" w:sz="8" w:space="0"/>
              <w:bottom w:val="single" w:color="auto" w:sz="4" w:space="0"/>
              <w:right w:val="single" w:color="auto" w:sz="4" w:space="0"/>
            </w:tcBorders>
            <w:vAlign w:val="center"/>
          </w:tcPr>
          <w:p w14:paraId="17E5C85C">
            <w:pPr>
              <w:adjustRightInd w:val="0"/>
              <w:jc w:val="center"/>
              <w:rPr>
                <w:kern w:val="0"/>
                <w:sz w:val="18"/>
                <w:szCs w:val="18"/>
              </w:rPr>
            </w:pPr>
            <w:r>
              <w:rPr>
                <w:rFonts w:hint="eastAsia" w:hAnsi="宋体"/>
                <w:sz w:val="18"/>
                <w:szCs w:val="18"/>
              </w:rPr>
              <w:t>5.00</w:t>
            </w:r>
            <w:r>
              <w:rPr>
                <w:rFonts w:hAnsi="宋体"/>
                <w:sz w:val="18"/>
                <w:szCs w:val="18"/>
              </w:rPr>
              <w:t>～10</w:t>
            </w:r>
            <w:r>
              <w:rPr>
                <w:rFonts w:hint="eastAsia" w:hAnsi="宋体"/>
                <w:sz w:val="18"/>
                <w:szCs w:val="18"/>
              </w:rPr>
              <w:t>.00</w:t>
            </w:r>
          </w:p>
        </w:tc>
        <w:tc>
          <w:tcPr>
            <w:tcW w:w="4726" w:type="dxa"/>
            <w:tcBorders>
              <w:top w:val="single" w:color="auto" w:sz="8" w:space="0"/>
              <w:left w:val="single" w:color="auto" w:sz="4" w:space="0"/>
              <w:bottom w:val="single" w:color="auto" w:sz="4" w:space="0"/>
              <w:right w:val="single" w:color="auto" w:sz="8" w:space="0"/>
            </w:tcBorders>
            <w:vAlign w:val="center"/>
          </w:tcPr>
          <w:p w14:paraId="654440FE">
            <w:pPr>
              <w:adjustRightInd w:val="0"/>
              <w:jc w:val="center"/>
              <w:rPr>
                <w:kern w:val="0"/>
                <w:sz w:val="18"/>
                <w:szCs w:val="18"/>
              </w:rPr>
            </w:pPr>
            <w:r>
              <w:rPr>
                <w:rFonts w:hint="eastAsia" w:hAnsi="宋体"/>
                <w:sz w:val="18"/>
                <w:szCs w:val="18"/>
              </w:rPr>
              <w:t>2</w:t>
            </w:r>
            <w:r>
              <w:rPr>
                <w:rFonts w:hAnsi="宋体"/>
                <w:sz w:val="18"/>
                <w:szCs w:val="18"/>
              </w:rPr>
              <w:t>0</w:t>
            </w:r>
          </w:p>
        </w:tc>
      </w:tr>
      <w:tr w14:paraId="0D2A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5" w:type="dxa"/>
            <w:tcBorders>
              <w:top w:val="single" w:color="auto" w:sz="4" w:space="0"/>
              <w:left w:val="single" w:color="auto" w:sz="8" w:space="0"/>
              <w:bottom w:val="single" w:color="auto" w:sz="4" w:space="0"/>
              <w:right w:val="single" w:color="auto" w:sz="4" w:space="0"/>
            </w:tcBorders>
            <w:vAlign w:val="center"/>
          </w:tcPr>
          <w:p w14:paraId="36527076">
            <w:pPr>
              <w:adjustRightInd w:val="0"/>
              <w:jc w:val="center"/>
              <w:rPr>
                <w:kern w:val="0"/>
                <w:sz w:val="18"/>
                <w:szCs w:val="18"/>
              </w:rPr>
            </w:pPr>
            <w:r>
              <w:rPr>
                <w:rFonts w:hint="eastAsia" w:hAnsi="宋体"/>
                <w:sz w:val="18"/>
                <w:szCs w:val="18"/>
              </w:rPr>
              <w:t>&gt;</w:t>
            </w:r>
            <w:r>
              <w:rPr>
                <w:sz w:val="18"/>
                <w:szCs w:val="18"/>
              </w:rPr>
              <w:t>10</w:t>
            </w:r>
            <w:r>
              <w:rPr>
                <w:rFonts w:hint="eastAsia"/>
                <w:sz w:val="18"/>
                <w:szCs w:val="18"/>
              </w:rPr>
              <w:t>.00</w:t>
            </w:r>
            <w:r>
              <w:rPr>
                <w:rFonts w:hAnsi="宋体"/>
                <w:sz w:val="18"/>
                <w:szCs w:val="18"/>
              </w:rPr>
              <w:t>～</w:t>
            </w:r>
            <w:r>
              <w:rPr>
                <w:rFonts w:hint="eastAsia"/>
                <w:sz w:val="18"/>
                <w:szCs w:val="18"/>
              </w:rPr>
              <w:t>20.00</w:t>
            </w:r>
          </w:p>
        </w:tc>
        <w:tc>
          <w:tcPr>
            <w:tcW w:w="4726" w:type="dxa"/>
            <w:tcBorders>
              <w:top w:val="single" w:color="auto" w:sz="4" w:space="0"/>
              <w:left w:val="single" w:color="auto" w:sz="4" w:space="0"/>
              <w:bottom w:val="single" w:color="auto" w:sz="4" w:space="0"/>
              <w:right w:val="single" w:color="auto" w:sz="8" w:space="0"/>
            </w:tcBorders>
            <w:vAlign w:val="center"/>
          </w:tcPr>
          <w:p w14:paraId="13B12022">
            <w:pPr>
              <w:adjustRightInd w:val="0"/>
              <w:jc w:val="center"/>
              <w:rPr>
                <w:kern w:val="0"/>
                <w:sz w:val="18"/>
                <w:szCs w:val="18"/>
              </w:rPr>
            </w:pPr>
            <w:r>
              <w:rPr>
                <w:rFonts w:hint="eastAsia" w:hAnsi="宋体"/>
                <w:sz w:val="18"/>
                <w:szCs w:val="18"/>
              </w:rPr>
              <w:t>10</w:t>
            </w:r>
          </w:p>
        </w:tc>
      </w:tr>
      <w:tr w14:paraId="6CE0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725" w:type="dxa"/>
            <w:tcBorders>
              <w:top w:val="single" w:color="auto" w:sz="4" w:space="0"/>
              <w:left w:val="single" w:color="auto" w:sz="8" w:space="0"/>
              <w:bottom w:val="single" w:color="auto" w:sz="8" w:space="0"/>
              <w:right w:val="single" w:color="auto" w:sz="4" w:space="0"/>
            </w:tcBorders>
            <w:vAlign w:val="center"/>
          </w:tcPr>
          <w:p w14:paraId="30AB07DA">
            <w:pPr>
              <w:adjustRightInd w:val="0"/>
              <w:jc w:val="center"/>
              <w:rPr>
                <w:kern w:val="0"/>
                <w:sz w:val="18"/>
                <w:szCs w:val="18"/>
              </w:rPr>
            </w:pPr>
            <w:r>
              <w:rPr>
                <w:rFonts w:hint="eastAsia" w:hAnsi="宋体"/>
                <w:sz w:val="18"/>
                <w:szCs w:val="18"/>
              </w:rPr>
              <w:t>&gt;20.00</w:t>
            </w:r>
            <w:r>
              <w:rPr>
                <w:rFonts w:hAnsi="宋体"/>
                <w:sz w:val="18"/>
                <w:szCs w:val="18"/>
              </w:rPr>
              <w:t>～</w:t>
            </w:r>
            <w:r>
              <w:rPr>
                <w:rFonts w:hint="eastAsia" w:hAnsi="宋体"/>
                <w:sz w:val="18"/>
                <w:szCs w:val="18"/>
              </w:rPr>
              <w:t>30</w:t>
            </w:r>
            <w:r>
              <w:rPr>
                <w:rFonts w:hAnsi="宋体"/>
                <w:sz w:val="18"/>
                <w:szCs w:val="18"/>
              </w:rPr>
              <w:t>.00</w:t>
            </w:r>
          </w:p>
        </w:tc>
        <w:tc>
          <w:tcPr>
            <w:tcW w:w="4726" w:type="dxa"/>
            <w:tcBorders>
              <w:top w:val="single" w:color="auto" w:sz="4" w:space="0"/>
              <w:left w:val="single" w:color="auto" w:sz="4" w:space="0"/>
              <w:bottom w:val="single" w:color="auto" w:sz="8" w:space="0"/>
              <w:right w:val="single" w:color="auto" w:sz="8" w:space="0"/>
            </w:tcBorders>
            <w:vAlign w:val="center"/>
          </w:tcPr>
          <w:p w14:paraId="2C58FCA1">
            <w:pPr>
              <w:adjustRightInd w:val="0"/>
              <w:jc w:val="center"/>
              <w:rPr>
                <w:kern w:val="0"/>
                <w:sz w:val="18"/>
                <w:szCs w:val="18"/>
              </w:rPr>
            </w:pPr>
            <w:r>
              <w:rPr>
                <w:rFonts w:hint="eastAsia" w:hAnsi="宋体"/>
                <w:sz w:val="18"/>
                <w:szCs w:val="18"/>
              </w:rPr>
              <w:t>5</w:t>
            </w:r>
          </w:p>
        </w:tc>
      </w:tr>
    </w:tbl>
    <w:p w14:paraId="7B12A741">
      <w:pPr>
        <w:autoSpaceDE w:val="0"/>
        <w:autoSpaceDN w:val="0"/>
        <w:adjustRightInd w:val="0"/>
        <w:snapToGrid w:val="0"/>
        <w:rPr>
          <w:szCs w:val="20"/>
        </w:rPr>
      </w:pPr>
    </w:p>
    <w:p w14:paraId="15A76F6A">
      <w:pPr>
        <w:autoSpaceDE w:val="0"/>
        <w:autoSpaceDN w:val="0"/>
        <w:adjustRightInd w:val="0"/>
        <w:snapToGrid w:val="0"/>
        <w:rPr>
          <w:szCs w:val="20"/>
        </w:rPr>
      </w:pPr>
      <w:r>
        <w:rPr>
          <w:rFonts w:hint="eastAsia" w:ascii="黑体" w:hAnsi="黑体" w:eastAsia="黑体" w:cs="黑体"/>
          <w:szCs w:val="20"/>
        </w:rPr>
        <w:t xml:space="preserve">5.4.4.4 </w:t>
      </w:r>
      <w:r>
        <w:rPr>
          <w:rFonts w:hint="eastAsia"/>
          <w:bCs/>
          <w:szCs w:val="21"/>
        </w:rPr>
        <w:t>如试料（5.4.1）中铝含量大于1.0%时，将试液（5.4.4.3）</w:t>
      </w:r>
      <w:r>
        <w:rPr>
          <w:rFonts w:hint="eastAsia"/>
          <w:szCs w:val="20"/>
        </w:rPr>
        <w:t>加水至100 mL，滴加氢氧化钠溶液（5.2.12）至有沉淀析出，并过量3 mL，加热煮沸1 min，用中速定量滤纸过滤，以热氢氧化钠洗液（5.2.13）洗涤烧杯3次，沉淀7 ~ 8次。将沉淀连同滤纸放回原烧杯中，加入15 mL硝酸（5.2.4），5 mL高氯酸（5.2.6），盖上表面皿，加热溶解沉淀、破坏滤纸，并冒高氯酸烟至体积约1 mL，取下冷却，加入1 mL盐酸（5.2.9），用水吹洗表面皿及烧杯壁。</w:t>
      </w:r>
      <w:r>
        <w:rPr>
          <w:rFonts w:hint="eastAsia"/>
          <w:bCs/>
          <w:szCs w:val="21"/>
        </w:rPr>
        <w:t>如试料（5.4.1）中铝含量小于1.0 %时，不进行此步操作。</w:t>
      </w:r>
    </w:p>
    <w:p w14:paraId="5369E04A">
      <w:pPr>
        <w:autoSpaceDE w:val="0"/>
        <w:autoSpaceDN w:val="0"/>
        <w:adjustRightInd w:val="0"/>
        <w:snapToGrid w:val="0"/>
        <w:rPr>
          <w:szCs w:val="20"/>
        </w:rPr>
      </w:pPr>
      <w:r>
        <w:rPr>
          <w:rFonts w:hint="eastAsia" w:ascii="黑体" w:hAnsi="黑体" w:eastAsia="黑体" w:cs="黑体"/>
          <w:szCs w:val="20"/>
        </w:rPr>
        <w:t xml:space="preserve">5.4.4.5 </w:t>
      </w:r>
      <w:r>
        <w:rPr>
          <w:rFonts w:hint="eastAsia"/>
          <w:szCs w:val="20"/>
        </w:rPr>
        <w:t>将（5.4.4.4）加水至80 mL，加入2 g氯化铵（5.2.1），加热溶解氯化铵，加入氨水（5.2.11）至沉淀出现，加入1 mL过氧化氢（5.2.7），并过量15 mL氨水（5.2.11），迅速加热煮沸，取下，补加5 mL氨水（5.2.11）。用中速定量滤纸过滤于400 mL 烧杯中，用热的氯化铵洗液（5.2.14）洗烧杯3次，沉淀7~8次，控制滤液体积为150 mL ~ 175 mL左右，弃去沉淀。</w:t>
      </w:r>
    </w:p>
    <w:p w14:paraId="1FCE6C39">
      <w:pPr>
        <w:autoSpaceDE w:val="0"/>
        <w:autoSpaceDN w:val="0"/>
        <w:adjustRightInd w:val="0"/>
        <w:snapToGrid w:val="0"/>
        <w:rPr>
          <w:szCs w:val="20"/>
        </w:rPr>
      </w:pPr>
      <w:r>
        <w:rPr>
          <w:rFonts w:hint="eastAsia" w:ascii="黑体" w:hAnsi="黑体" w:eastAsia="黑体" w:cs="黑体"/>
          <w:szCs w:val="20"/>
        </w:rPr>
        <w:t xml:space="preserve">5.4.4.6 </w:t>
      </w:r>
      <w:r>
        <w:rPr>
          <w:rFonts w:hint="eastAsia"/>
          <w:szCs w:val="20"/>
        </w:rPr>
        <w:t>钙、镁合量的滴定：在A液中加入0.5 g盐酸羟胺（5.2.2），10 mL三乙醇胺（5.2.15），10 mL氨性缓冲溶液（5.2.17），约0.05 g铬黑T指示剂（5.2.24），用EDTA标准滴定溶液（5.2.20）滴定至溶液由酒红色变为纯蓝色即为终点，记下滴定体积V</w:t>
      </w:r>
      <w:r>
        <w:rPr>
          <w:rFonts w:hint="eastAsia"/>
          <w:szCs w:val="20"/>
          <w:vertAlign w:val="subscript"/>
        </w:rPr>
        <w:t>8</w:t>
      </w:r>
      <w:r>
        <w:rPr>
          <w:rFonts w:hint="eastAsia"/>
          <w:szCs w:val="20"/>
        </w:rPr>
        <w:t>。</w:t>
      </w:r>
    </w:p>
    <w:p w14:paraId="4D1A8B6A">
      <w:pPr>
        <w:autoSpaceDE w:val="0"/>
        <w:autoSpaceDN w:val="0"/>
        <w:adjustRightInd w:val="0"/>
        <w:snapToGrid w:val="0"/>
        <w:rPr>
          <w:szCs w:val="20"/>
        </w:rPr>
      </w:pPr>
      <w:r>
        <w:rPr>
          <w:rFonts w:hint="eastAsia" w:ascii="黑体" w:hAnsi="黑体" w:eastAsia="黑体" w:cs="黑体"/>
          <w:szCs w:val="20"/>
        </w:rPr>
        <w:t>5.4.4.7</w:t>
      </w:r>
      <w:r>
        <w:rPr>
          <w:rFonts w:hint="eastAsia"/>
          <w:szCs w:val="20"/>
        </w:rPr>
        <w:t xml:space="preserve"> 钙量的滴定：在B液中加入0.5 g盐酸羟胺（5.2.2），10 mL三乙醇胺（5.2.15），20 mL氢氧化钾溶液（5.2.16）、约0.05 g</w:t>
      </w:r>
      <w:r>
        <w:rPr>
          <w:rFonts w:hint="eastAsia"/>
          <w:color w:val="auto"/>
          <w:szCs w:val="20"/>
        </w:rPr>
        <w:t>钙红</w:t>
      </w:r>
      <w:r>
        <w:rPr>
          <w:rFonts w:hint="eastAsia"/>
          <w:szCs w:val="20"/>
        </w:rPr>
        <w:t>指示剂（5.2.23），用EDTA标准滴定溶液（5.2.20）滴定，溶液由紫红色变成纯蓝色即为终点，记下滴定体积V</w:t>
      </w:r>
      <w:r>
        <w:rPr>
          <w:rFonts w:hint="eastAsia"/>
          <w:szCs w:val="20"/>
          <w:vertAlign w:val="subscript"/>
        </w:rPr>
        <w:t>10</w:t>
      </w:r>
      <w:r>
        <w:rPr>
          <w:rFonts w:hint="eastAsia"/>
          <w:szCs w:val="20"/>
        </w:rPr>
        <w:t>。用差减法求得镁量。</w:t>
      </w:r>
    </w:p>
    <w:p w14:paraId="0E635101">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5.5  试验数据处理</w:t>
      </w:r>
    </w:p>
    <w:p w14:paraId="132751A2">
      <w:pPr>
        <w:autoSpaceDE w:val="0"/>
        <w:autoSpaceDN w:val="0"/>
        <w:adjustRightInd w:val="0"/>
        <w:snapToGrid w:val="0"/>
        <w:ind w:firstLine="420" w:firstLineChars="200"/>
        <w:rPr>
          <w:szCs w:val="20"/>
        </w:rPr>
      </w:pPr>
      <w:r>
        <w:rPr>
          <w:rFonts w:hint="eastAsia"/>
          <w:szCs w:val="20"/>
        </w:rPr>
        <w:t>待测元素量以质量分数（</w:t>
      </w:r>
      <w:r>
        <w:rPr>
          <w:rFonts w:hint="eastAsia"/>
          <w:i/>
          <w:iCs/>
          <w:szCs w:val="20"/>
        </w:rPr>
        <w:t>w</w:t>
      </w:r>
      <w:r>
        <w:rPr>
          <w:rFonts w:hint="eastAsia"/>
          <w:szCs w:val="20"/>
        </w:rPr>
        <w:t xml:space="preserve">）计，按式（3）计算： </w:t>
      </w:r>
    </w:p>
    <w:p w14:paraId="66736527">
      <w:pPr>
        <w:autoSpaceDE w:val="0"/>
        <w:autoSpaceDN w:val="0"/>
        <w:adjustRightInd w:val="0"/>
        <w:snapToGrid w:val="0"/>
        <w:ind w:firstLine="420" w:firstLineChars="200"/>
        <w:jc w:val="right"/>
        <w:rPr>
          <w:rFonts w:hint="eastAsia" w:eastAsia="宋体"/>
          <w:szCs w:val="20"/>
          <w:lang w:eastAsia="zh-CN"/>
        </w:rPr>
      </w:pPr>
      <w:r>
        <w:rPr>
          <w:rFonts w:hint="eastAsia"/>
          <w:color w:val="0000FF"/>
          <w:position w:val="-30"/>
          <w:szCs w:val="20"/>
        </w:rPr>
        <w:object>
          <v:shape id="_x0000_i1027" o:spt="75" type="#_x0000_t75" style="height:36.75pt;width:252.7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color w:val="0000FF"/>
          <w:position w:val="-30"/>
          <w:szCs w:val="20"/>
        </w:rPr>
        <w:t xml:space="preserve"> </w:t>
      </w:r>
      <w:r>
        <w:rPr>
          <w:rFonts w:hint="eastAsia"/>
          <w:szCs w:val="20"/>
        </w:rPr>
        <w:t>………………………………</w:t>
      </w:r>
      <w:r>
        <w:rPr>
          <w:rFonts w:hint="eastAsia"/>
          <w:szCs w:val="20"/>
          <w:lang w:eastAsia="zh-CN"/>
        </w:rPr>
        <w:t>（</w:t>
      </w:r>
      <w:r>
        <w:rPr>
          <w:rFonts w:hint="eastAsia"/>
          <w:szCs w:val="20"/>
        </w:rPr>
        <w:t>3</w:t>
      </w:r>
      <w:r>
        <w:rPr>
          <w:rFonts w:hint="eastAsia"/>
          <w:szCs w:val="20"/>
          <w:lang w:eastAsia="zh-CN"/>
        </w:rPr>
        <w:t>）</w:t>
      </w:r>
    </w:p>
    <w:p w14:paraId="73FC76EF">
      <w:pPr>
        <w:autoSpaceDE w:val="0"/>
        <w:autoSpaceDN w:val="0"/>
        <w:adjustRightInd w:val="0"/>
        <w:snapToGrid w:val="0"/>
        <w:ind w:firstLine="420" w:firstLineChars="200"/>
        <w:rPr>
          <w:szCs w:val="20"/>
        </w:rPr>
      </w:pPr>
      <w:r>
        <w:rPr>
          <w:rFonts w:hint="eastAsia"/>
          <w:szCs w:val="20"/>
        </w:rPr>
        <w:t>式中：</w:t>
      </w:r>
    </w:p>
    <w:p w14:paraId="376BB300">
      <w:pPr>
        <w:autoSpaceDE w:val="0"/>
        <w:autoSpaceDN w:val="0"/>
        <w:adjustRightInd w:val="0"/>
        <w:snapToGrid w:val="0"/>
        <w:ind w:firstLine="420" w:firstLineChars="200"/>
        <w:rPr>
          <w:szCs w:val="20"/>
        </w:rPr>
      </w:pPr>
      <w:r>
        <w:rPr>
          <w:rFonts w:hint="eastAsia"/>
          <w:szCs w:val="20"/>
        </w:rPr>
        <w:t>c  ——EDTA标准滴定溶液（5.2.20）的浓度，单位为摩尔每升（mol/L）；</w:t>
      </w:r>
    </w:p>
    <w:p w14:paraId="39BECA5C">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5</w:t>
      </w:r>
      <w:r>
        <w:rPr>
          <w:rFonts w:hint="eastAsia"/>
          <w:szCs w:val="20"/>
        </w:rPr>
        <w:t xml:space="preserve">  ——移取试液体积，单位为毫升（mL）；</w:t>
      </w:r>
    </w:p>
    <w:p w14:paraId="67661093">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6</w:t>
      </w:r>
      <w:r>
        <w:rPr>
          <w:rFonts w:hint="eastAsia"/>
          <w:szCs w:val="20"/>
        </w:rPr>
        <w:t xml:space="preserve">  ——试液总体积，单位为毫升（mL）；</w:t>
      </w:r>
    </w:p>
    <w:p w14:paraId="5196B97C">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7</w:t>
      </w:r>
      <w:r>
        <w:rPr>
          <w:rFonts w:hint="eastAsia"/>
          <w:szCs w:val="20"/>
        </w:rPr>
        <w:t xml:space="preserve">  ——滴定钙、镁合量空白所消耗EDTA标准滴定溶液（5.2.20）的体积，单位为毫升（mL）；</w:t>
      </w:r>
    </w:p>
    <w:p w14:paraId="1E569AF9">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8</w:t>
      </w:r>
      <w:r>
        <w:rPr>
          <w:rFonts w:hint="eastAsia"/>
          <w:szCs w:val="20"/>
        </w:rPr>
        <w:t xml:space="preserve">  ——滴定钙、镁合量所消耗EDTA标准滴定溶液（5.2.20）的体积，单位为毫升（mL）；</w:t>
      </w:r>
    </w:p>
    <w:p w14:paraId="7B83FC86">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9</w:t>
      </w:r>
      <w:r>
        <w:rPr>
          <w:rFonts w:hint="eastAsia"/>
          <w:szCs w:val="20"/>
        </w:rPr>
        <w:t xml:space="preserve">  ——滴定钙量空白所消耗EDTA标准滴定溶液（5.2.20）的体积，单位为毫升（mL）；</w:t>
      </w:r>
    </w:p>
    <w:p w14:paraId="117B981E">
      <w:pPr>
        <w:autoSpaceDE w:val="0"/>
        <w:autoSpaceDN w:val="0"/>
        <w:adjustRightInd w:val="0"/>
        <w:snapToGrid w:val="0"/>
        <w:ind w:firstLine="420" w:firstLineChars="200"/>
        <w:rPr>
          <w:szCs w:val="20"/>
        </w:rPr>
      </w:pPr>
      <w:r>
        <w:rPr>
          <w:rFonts w:hint="eastAsia"/>
          <w:i/>
          <w:iCs/>
          <w:szCs w:val="20"/>
        </w:rPr>
        <w:t>V</w:t>
      </w:r>
      <w:r>
        <w:rPr>
          <w:rFonts w:hint="eastAsia"/>
          <w:szCs w:val="20"/>
          <w:vertAlign w:val="subscript"/>
        </w:rPr>
        <w:t>10</w:t>
      </w:r>
      <w:r>
        <w:rPr>
          <w:rFonts w:hint="eastAsia"/>
          <w:szCs w:val="20"/>
        </w:rPr>
        <w:t xml:space="preserve">  ——滴定钙量所消耗EDTA标准滴定溶液（5.2.20）的体积，单位为毫升（mL）；</w:t>
      </w:r>
    </w:p>
    <w:p w14:paraId="4D877F0E">
      <w:pPr>
        <w:autoSpaceDE w:val="0"/>
        <w:autoSpaceDN w:val="0"/>
        <w:adjustRightInd w:val="0"/>
        <w:snapToGrid w:val="0"/>
        <w:ind w:firstLine="420" w:firstLineChars="200"/>
        <w:rPr>
          <w:szCs w:val="20"/>
        </w:rPr>
      </w:pPr>
      <w:r>
        <w:rPr>
          <w:rFonts w:hint="eastAsia"/>
          <w:szCs w:val="20"/>
        </w:rPr>
        <w:t>24.305 ——镁的摩尔质量，单位为克每摩尔（g/ mol）；</w:t>
      </w:r>
    </w:p>
    <w:p w14:paraId="622212DA">
      <w:pPr>
        <w:autoSpaceDE w:val="0"/>
        <w:autoSpaceDN w:val="0"/>
        <w:adjustRightInd w:val="0"/>
        <w:snapToGrid w:val="0"/>
        <w:ind w:firstLine="420" w:firstLineChars="200"/>
        <w:rPr>
          <w:szCs w:val="20"/>
        </w:rPr>
      </w:pPr>
      <w:r>
        <w:rPr>
          <w:rFonts w:hint="eastAsia"/>
          <w:i/>
          <w:iCs/>
          <w:szCs w:val="20"/>
        </w:rPr>
        <w:t>m</w:t>
      </w:r>
      <w:r>
        <w:rPr>
          <w:rFonts w:hint="eastAsia"/>
          <w:i/>
          <w:iCs/>
          <w:szCs w:val="20"/>
          <w:vertAlign w:val="subscript"/>
        </w:rPr>
        <w:t>2</w:t>
      </w:r>
      <w:r>
        <w:rPr>
          <w:rFonts w:hint="eastAsia"/>
          <w:szCs w:val="20"/>
        </w:rPr>
        <w:t xml:space="preserve">  ——试料的质量，单位为克（g）。</w:t>
      </w:r>
    </w:p>
    <w:p w14:paraId="503A1C12">
      <w:pPr>
        <w:autoSpaceDE w:val="0"/>
        <w:autoSpaceDN w:val="0"/>
        <w:adjustRightInd w:val="0"/>
        <w:snapToGrid w:val="0"/>
        <w:ind w:firstLine="420" w:firstLineChars="200"/>
        <w:rPr>
          <w:szCs w:val="20"/>
        </w:rPr>
      </w:pPr>
      <w:r>
        <w:rPr>
          <w:rFonts w:hint="eastAsia"/>
          <w:szCs w:val="20"/>
        </w:rPr>
        <w:t>两次平行测定结果的绝对差值不大于表</w:t>
      </w:r>
      <w:r>
        <w:rPr>
          <w:rFonts w:hint="eastAsia"/>
          <w:szCs w:val="20"/>
          <w:lang w:val="en-US" w:eastAsia="zh-CN"/>
        </w:rPr>
        <w:t>8</w:t>
      </w:r>
      <w:r>
        <w:rPr>
          <w:rFonts w:hint="eastAsia"/>
          <w:szCs w:val="20"/>
        </w:rPr>
        <w:t>中相应重复性限时，取其平均值作为测定结果，所得结果表示到小数点后两位，数值修约按照GB/T 8170规定执行。</w:t>
      </w:r>
    </w:p>
    <w:p w14:paraId="6053C770">
      <w:pPr>
        <w:pStyle w:val="52"/>
        <w:snapToGrid w:val="0"/>
        <w:spacing w:before="156" w:beforeLines="50" w:after="156" w:afterLines="50"/>
        <w:ind w:firstLine="0" w:firstLineChars="0"/>
        <w:outlineLvl w:val="1"/>
        <w:rPr>
          <w:rFonts w:hint="eastAsia" w:ascii="黑体" w:hAnsi="黑体" w:eastAsia="黑体" w:cs="黑体"/>
          <w:szCs w:val="21"/>
        </w:rPr>
      </w:pPr>
      <w:r>
        <w:rPr>
          <w:rFonts w:hint="eastAsia" w:ascii="黑体" w:hAnsi="黑体" w:eastAsia="黑体" w:cs="黑体"/>
          <w:szCs w:val="21"/>
        </w:rPr>
        <w:t>5.6  精密度</w:t>
      </w:r>
    </w:p>
    <w:p w14:paraId="0916F8EB">
      <w:pPr>
        <w:spacing w:before="156" w:beforeLines="50" w:after="156" w:afterLines="50"/>
        <w:rPr>
          <w:rFonts w:hint="eastAsia" w:ascii="黑体" w:hAnsi="黑体" w:eastAsia="黑体" w:cs="黑体"/>
          <w:szCs w:val="21"/>
        </w:rPr>
      </w:pPr>
      <w:r>
        <w:rPr>
          <w:rFonts w:hint="eastAsia" w:ascii="黑体" w:hAnsi="黑体" w:eastAsia="黑体" w:cs="黑体"/>
          <w:szCs w:val="21"/>
        </w:rPr>
        <w:t>5.6.1重复性</w:t>
      </w:r>
    </w:p>
    <w:p w14:paraId="5158120E">
      <w:pPr>
        <w:autoSpaceDE w:val="0"/>
        <w:autoSpaceDN w:val="0"/>
        <w:adjustRightInd w:val="0"/>
        <w:snapToGrid w:val="0"/>
        <w:ind w:firstLine="420" w:firstLineChars="200"/>
        <w:rPr>
          <w:szCs w:val="20"/>
        </w:rPr>
      </w:pPr>
      <w:r>
        <w:rPr>
          <w:rFonts w:hint="eastAsia"/>
          <w:szCs w:val="20"/>
        </w:rPr>
        <w:t>在重复性条件下获得的两次独立测试结果的绝对差值不超过重复性限（</w:t>
      </w:r>
      <w:r>
        <w:rPr>
          <w:rFonts w:hint="eastAsia"/>
          <w:i/>
          <w:iCs/>
          <w:szCs w:val="20"/>
        </w:rPr>
        <w:t>r</w:t>
      </w:r>
      <w:r>
        <w:rPr>
          <w:rFonts w:hint="eastAsia"/>
          <w:szCs w:val="20"/>
        </w:rPr>
        <w:t>），超过重复性限（</w:t>
      </w:r>
      <w:r>
        <w:rPr>
          <w:rFonts w:hint="eastAsia"/>
          <w:i/>
          <w:iCs/>
          <w:szCs w:val="20"/>
        </w:rPr>
        <w:t>r</w:t>
      </w:r>
      <w:r>
        <w:rPr>
          <w:rFonts w:hint="eastAsia"/>
          <w:szCs w:val="20"/>
        </w:rPr>
        <w:t>）的情况不超过5 %，重复性限（</w:t>
      </w:r>
      <w:r>
        <w:rPr>
          <w:rFonts w:hint="eastAsia"/>
          <w:i/>
          <w:iCs/>
          <w:szCs w:val="20"/>
        </w:rPr>
        <w:t>r</w:t>
      </w:r>
      <w:r>
        <w:rPr>
          <w:rFonts w:hint="eastAsia"/>
          <w:szCs w:val="20"/>
        </w:rPr>
        <w:t>）按表</w:t>
      </w:r>
      <w:r>
        <w:rPr>
          <w:rFonts w:hint="eastAsia"/>
          <w:szCs w:val="20"/>
          <w:lang w:val="en-US" w:eastAsia="zh-CN"/>
        </w:rPr>
        <w:t>8</w:t>
      </w:r>
      <w:r>
        <w:rPr>
          <w:rFonts w:hint="eastAsia"/>
          <w:szCs w:val="20"/>
        </w:rPr>
        <w:t>数据采用线性内插法或外延法求得。</w:t>
      </w:r>
    </w:p>
    <w:p w14:paraId="3AB99640">
      <w:pPr>
        <w:spacing w:before="156" w:beforeLines="50" w:after="156" w:afterLines="50" w:line="360" w:lineRule="exact"/>
        <w:jc w:val="center"/>
        <w:rPr>
          <w:rFonts w:eastAsia="黑体"/>
        </w:rPr>
      </w:pPr>
      <w:r>
        <w:rPr>
          <w:rFonts w:eastAsia="黑体"/>
        </w:rPr>
        <w:t>表</w:t>
      </w:r>
      <w:r>
        <w:rPr>
          <w:rFonts w:hint="eastAsia" w:eastAsia="黑体"/>
          <w:lang w:val="en-US" w:eastAsia="zh-CN"/>
        </w:rPr>
        <w:t>8</w:t>
      </w:r>
      <w:r>
        <w:rPr>
          <w:rFonts w:eastAsia="黑体"/>
        </w:rPr>
        <w:t xml:space="preserve"> 重复性限</w:t>
      </w:r>
    </w:p>
    <w:tbl>
      <w:tblPr>
        <w:tblStyle w:val="24"/>
        <w:tblW w:w="5052" w:type="pct"/>
        <w:tblInd w:w="-15"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3087"/>
        <w:gridCol w:w="3188"/>
        <w:gridCol w:w="3196"/>
      </w:tblGrid>
      <w:tr w14:paraId="6543CF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tcBorders>
              <w:top w:val="single" w:color="auto" w:sz="8" w:space="0"/>
              <w:left w:val="single" w:color="auto" w:sz="8" w:space="0"/>
              <w:bottom w:val="single" w:color="auto" w:sz="8" w:space="0"/>
              <w:right w:val="single" w:color="auto" w:sz="4" w:space="0"/>
            </w:tcBorders>
            <w:vAlign w:val="center"/>
          </w:tcPr>
          <w:p w14:paraId="7CC5F60E">
            <w:pPr>
              <w:adjustRightInd w:val="0"/>
              <w:jc w:val="center"/>
              <w:rPr>
                <w:sz w:val="18"/>
                <w:szCs w:val="18"/>
              </w:rPr>
            </w:pPr>
            <w:r>
              <w:rPr>
                <w:rFonts w:hint="eastAsia"/>
                <w:kern w:val="0"/>
                <w:sz w:val="18"/>
                <w:szCs w:val="18"/>
              </w:rPr>
              <w:t>元素</w:t>
            </w:r>
          </w:p>
        </w:tc>
        <w:tc>
          <w:tcPr>
            <w:tcW w:w="1683" w:type="pct"/>
            <w:tcBorders>
              <w:top w:val="single" w:color="auto" w:sz="8" w:space="0"/>
              <w:left w:val="single" w:color="auto" w:sz="4" w:space="0"/>
              <w:bottom w:val="single" w:color="auto" w:sz="8" w:space="0"/>
            </w:tcBorders>
            <w:vAlign w:val="center"/>
          </w:tcPr>
          <w:p w14:paraId="517D6B00">
            <w:pPr>
              <w:adjustRightInd w:val="0"/>
              <w:jc w:val="center"/>
              <w:rPr>
                <w:kern w:val="0"/>
                <w:sz w:val="18"/>
                <w:szCs w:val="18"/>
              </w:rPr>
            </w:pPr>
            <w:r>
              <w:rPr>
                <w:kern w:val="0"/>
                <w:sz w:val="18"/>
                <w:szCs w:val="18"/>
              </w:rPr>
              <w:t>质量分数</w:t>
            </w:r>
          </w:p>
          <w:p w14:paraId="537EB8D7">
            <w:pPr>
              <w:adjustRightInd w:val="0"/>
              <w:jc w:val="center"/>
              <w:rPr>
                <w:kern w:val="0"/>
                <w:sz w:val="18"/>
                <w:szCs w:val="18"/>
              </w:rPr>
            </w:pPr>
            <w:r>
              <w:rPr>
                <w:rFonts w:hint="eastAsia"/>
                <w:sz w:val="18"/>
                <w:szCs w:val="18"/>
              </w:rPr>
              <w:t>%</w:t>
            </w:r>
          </w:p>
        </w:tc>
        <w:tc>
          <w:tcPr>
            <w:tcW w:w="1686" w:type="pct"/>
            <w:tcBorders>
              <w:top w:val="single" w:color="auto" w:sz="8" w:space="0"/>
              <w:left w:val="single" w:color="auto" w:sz="4" w:space="0"/>
              <w:bottom w:val="single" w:color="auto" w:sz="8" w:space="0"/>
              <w:right w:val="single" w:color="auto" w:sz="8" w:space="0"/>
            </w:tcBorders>
            <w:vAlign w:val="center"/>
          </w:tcPr>
          <w:p w14:paraId="3F85E1C7">
            <w:pPr>
              <w:jc w:val="center"/>
              <w:rPr>
                <w:sz w:val="18"/>
                <w:szCs w:val="18"/>
              </w:rPr>
            </w:pPr>
            <w:r>
              <w:rPr>
                <w:sz w:val="18"/>
                <w:szCs w:val="18"/>
              </w:rPr>
              <w:t>重复性限（</w:t>
            </w:r>
            <w:r>
              <w:rPr>
                <w:i/>
                <w:sz w:val="18"/>
                <w:szCs w:val="18"/>
              </w:rPr>
              <w:t>r</w:t>
            </w:r>
            <w:r>
              <w:rPr>
                <w:sz w:val="18"/>
                <w:szCs w:val="18"/>
              </w:rPr>
              <w:t>）</w:t>
            </w:r>
          </w:p>
          <w:p w14:paraId="0E3368B0">
            <w:pPr>
              <w:jc w:val="center"/>
              <w:rPr>
                <w:sz w:val="18"/>
                <w:szCs w:val="18"/>
              </w:rPr>
            </w:pPr>
            <w:r>
              <w:rPr>
                <w:rFonts w:hint="eastAsia"/>
                <w:sz w:val="18"/>
                <w:szCs w:val="18"/>
              </w:rPr>
              <w:t>%</w:t>
            </w:r>
          </w:p>
        </w:tc>
      </w:tr>
      <w:tr w14:paraId="28E56F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vMerge w:val="restart"/>
            <w:tcBorders>
              <w:top w:val="single" w:color="auto" w:sz="8" w:space="0"/>
              <w:left w:val="single" w:color="auto" w:sz="8" w:space="0"/>
              <w:right w:val="single" w:color="auto" w:sz="4" w:space="0"/>
            </w:tcBorders>
            <w:vAlign w:val="center"/>
          </w:tcPr>
          <w:p w14:paraId="7587B739">
            <w:pPr>
              <w:adjustRightInd w:val="0"/>
              <w:jc w:val="center"/>
              <w:rPr>
                <w:rFonts w:hint="eastAsia" w:hAnsi="宋体"/>
                <w:sz w:val="18"/>
                <w:szCs w:val="18"/>
              </w:rPr>
            </w:pPr>
            <w:r>
              <w:rPr>
                <w:rFonts w:hint="eastAsia" w:hAnsi="宋体"/>
                <w:sz w:val="18"/>
                <w:szCs w:val="18"/>
              </w:rPr>
              <w:t>镁</w:t>
            </w:r>
          </w:p>
        </w:tc>
        <w:tc>
          <w:tcPr>
            <w:tcW w:w="1683" w:type="pct"/>
            <w:tcBorders>
              <w:top w:val="single" w:color="auto" w:sz="8" w:space="0"/>
              <w:left w:val="single" w:color="auto" w:sz="4" w:space="0"/>
              <w:bottom w:val="single" w:color="auto" w:sz="4" w:space="0"/>
            </w:tcBorders>
            <w:vAlign w:val="center"/>
          </w:tcPr>
          <w:p w14:paraId="728CF80B">
            <w:pPr>
              <w:adjustRightInd w:val="0"/>
              <w:jc w:val="center"/>
              <w:rPr>
                <w:rFonts w:hint="eastAsia" w:hAnsi="宋体"/>
                <w:sz w:val="18"/>
                <w:szCs w:val="18"/>
              </w:rPr>
            </w:pPr>
            <w:r>
              <w:rPr>
                <w:rFonts w:hint="eastAsia" w:hAnsi="宋体"/>
                <w:sz w:val="18"/>
                <w:szCs w:val="18"/>
              </w:rPr>
              <w:t>5.50</w:t>
            </w:r>
          </w:p>
        </w:tc>
        <w:tc>
          <w:tcPr>
            <w:tcW w:w="1686" w:type="pct"/>
            <w:tcBorders>
              <w:top w:val="single" w:color="auto" w:sz="8" w:space="0"/>
              <w:left w:val="single" w:color="auto" w:sz="4" w:space="0"/>
              <w:bottom w:val="single" w:color="auto" w:sz="4" w:space="0"/>
              <w:right w:val="single" w:color="auto" w:sz="8" w:space="0"/>
            </w:tcBorders>
            <w:vAlign w:val="center"/>
          </w:tcPr>
          <w:p w14:paraId="2514C565">
            <w:pPr>
              <w:adjustRightInd w:val="0"/>
              <w:jc w:val="center"/>
              <w:rPr>
                <w:rFonts w:hint="eastAsia" w:hAnsi="宋体"/>
                <w:sz w:val="18"/>
                <w:szCs w:val="18"/>
              </w:rPr>
            </w:pPr>
            <w:r>
              <w:rPr>
                <w:rFonts w:hint="eastAsia" w:hAnsi="宋体"/>
                <w:sz w:val="18"/>
                <w:szCs w:val="18"/>
              </w:rPr>
              <w:t>0.20</w:t>
            </w:r>
          </w:p>
        </w:tc>
      </w:tr>
      <w:tr w14:paraId="53E16C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vMerge w:val="continue"/>
            <w:tcBorders>
              <w:left w:val="single" w:color="auto" w:sz="8" w:space="0"/>
              <w:right w:val="single" w:color="auto" w:sz="4" w:space="0"/>
            </w:tcBorders>
            <w:vAlign w:val="center"/>
          </w:tcPr>
          <w:p w14:paraId="05011F4C">
            <w:pPr>
              <w:adjustRightInd w:val="0"/>
              <w:jc w:val="center"/>
              <w:rPr>
                <w:rFonts w:hint="eastAsia" w:hAnsi="宋体"/>
                <w:sz w:val="18"/>
                <w:szCs w:val="18"/>
              </w:rPr>
            </w:pPr>
          </w:p>
        </w:tc>
        <w:tc>
          <w:tcPr>
            <w:tcW w:w="1683" w:type="pct"/>
            <w:tcBorders>
              <w:top w:val="single" w:color="auto" w:sz="4" w:space="0"/>
              <w:left w:val="single" w:color="auto" w:sz="4" w:space="0"/>
              <w:bottom w:val="single" w:color="auto" w:sz="4" w:space="0"/>
            </w:tcBorders>
            <w:vAlign w:val="center"/>
          </w:tcPr>
          <w:p w14:paraId="171A47F5">
            <w:pPr>
              <w:adjustRightInd w:val="0"/>
              <w:jc w:val="center"/>
              <w:rPr>
                <w:rFonts w:hint="eastAsia" w:hAnsi="宋体"/>
                <w:sz w:val="18"/>
                <w:szCs w:val="18"/>
              </w:rPr>
            </w:pPr>
            <w:r>
              <w:rPr>
                <w:rFonts w:hint="eastAsia" w:hAnsi="宋体"/>
                <w:sz w:val="18"/>
                <w:szCs w:val="18"/>
              </w:rPr>
              <w:t>12.14</w:t>
            </w:r>
          </w:p>
        </w:tc>
        <w:tc>
          <w:tcPr>
            <w:tcW w:w="1686" w:type="pct"/>
            <w:tcBorders>
              <w:top w:val="single" w:color="auto" w:sz="4" w:space="0"/>
              <w:left w:val="single" w:color="auto" w:sz="4" w:space="0"/>
              <w:bottom w:val="single" w:color="auto" w:sz="4" w:space="0"/>
              <w:right w:val="single" w:color="auto" w:sz="8" w:space="0"/>
            </w:tcBorders>
            <w:vAlign w:val="center"/>
          </w:tcPr>
          <w:p w14:paraId="66472EF5">
            <w:pPr>
              <w:adjustRightInd w:val="0"/>
              <w:jc w:val="center"/>
              <w:rPr>
                <w:rFonts w:hint="eastAsia" w:hAnsi="宋体"/>
                <w:sz w:val="18"/>
                <w:szCs w:val="18"/>
              </w:rPr>
            </w:pPr>
            <w:r>
              <w:rPr>
                <w:rFonts w:hint="eastAsia" w:hAnsi="宋体"/>
                <w:sz w:val="18"/>
                <w:szCs w:val="18"/>
              </w:rPr>
              <w:t>0.38</w:t>
            </w:r>
          </w:p>
        </w:tc>
      </w:tr>
      <w:tr w14:paraId="52680F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vMerge w:val="continue"/>
            <w:tcBorders>
              <w:left w:val="single" w:color="auto" w:sz="8" w:space="0"/>
              <w:right w:val="single" w:color="auto" w:sz="4" w:space="0"/>
            </w:tcBorders>
            <w:vAlign w:val="center"/>
          </w:tcPr>
          <w:p w14:paraId="0A105CF7">
            <w:pPr>
              <w:adjustRightInd w:val="0"/>
              <w:jc w:val="center"/>
              <w:rPr>
                <w:rFonts w:hint="eastAsia" w:hAnsi="宋体"/>
                <w:sz w:val="18"/>
                <w:szCs w:val="18"/>
              </w:rPr>
            </w:pPr>
          </w:p>
        </w:tc>
        <w:tc>
          <w:tcPr>
            <w:tcW w:w="1683" w:type="pct"/>
            <w:tcBorders>
              <w:top w:val="single" w:color="auto" w:sz="4" w:space="0"/>
              <w:left w:val="single" w:color="auto" w:sz="4" w:space="0"/>
              <w:bottom w:val="single" w:color="auto" w:sz="4" w:space="0"/>
            </w:tcBorders>
            <w:vAlign w:val="center"/>
          </w:tcPr>
          <w:p w14:paraId="30CB1D5D">
            <w:pPr>
              <w:adjustRightInd w:val="0"/>
              <w:jc w:val="center"/>
              <w:rPr>
                <w:rFonts w:hint="eastAsia" w:hAnsi="宋体"/>
                <w:sz w:val="18"/>
                <w:szCs w:val="18"/>
              </w:rPr>
            </w:pPr>
            <w:r>
              <w:rPr>
                <w:rFonts w:hint="eastAsia" w:hAnsi="宋体"/>
                <w:sz w:val="18"/>
                <w:szCs w:val="18"/>
              </w:rPr>
              <w:t>14.67</w:t>
            </w:r>
          </w:p>
        </w:tc>
        <w:tc>
          <w:tcPr>
            <w:tcW w:w="1686" w:type="pct"/>
            <w:tcBorders>
              <w:top w:val="single" w:color="auto" w:sz="4" w:space="0"/>
              <w:left w:val="single" w:color="auto" w:sz="4" w:space="0"/>
              <w:bottom w:val="single" w:color="auto" w:sz="4" w:space="0"/>
              <w:right w:val="single" w:color="auto" w:sz="8" w:space="0"/>
            </w:tcBorders>
            <w:vAlign w:val="center"/>
          </w:tcPr>
          <w:p w14:paraId="7B324403">
            <w:pPr>
              <w:adjustRightInd w:val="0"/>
              <w:jc w:val="center"/>
              <w:rPr>
                <w:rFonts w:hint="eastAsia" w:hAnsi="宋体"/>
                <w:sz w:val="18"/>
                <w:szCs w:val="18"/>
              </w:rPr>
            </w:pPr>
            <w:r>
              <w:rPr>
                <w:rFonts w:hint="eastAsia" w:hAnsi="宋体"/>
                <w:sz w:val="18"/>
                <w:szCs w:val="18"/>
              </w:rPr>
              <w:t xml:space="preserve">0.40 </w:t>
            </w:r>
          </w:p>
        </w:tc>
      </w:tr>
      <w:tr w14:paraId="05CD0C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vMerge w:val="continue"/>
            <w:tcBorders>
              <w:left w:val="single" w:color="auto" w:sz="8" w:space="0"/>
              <w:right w:val="single" w:color="auto" w:sz="4" w:space="0"/>
            </w:tcBorders>
            <w:vAlign w:val="center"/>
          </w:tcPr>
          <w:p w14:paraId="7D14E3E4">
            <w:pPr>
              <w:adjustRightInd w:val="0"/>
              <w:jc w:val="center"/>
              <w:rPr>
                <w:rFonts w:hint="eastAsia" w:hAnsi="宋体"/>
                <w:sz w:val="18"/>
                <w:szCs w:val="18"/>
              </w:rPr>
            </w:pPr>
          </w:p>
        </w:tc>
        <w:tc>
          <w:tcPr>
            <w:tcW w:w="1683" w:type="pct"/>
            <w:tcBorders>
              <w:top w:val="single" w:color="auto" w:sz="4" w:space="0"/>
              <w:left w:val="single" w:color="auto" w:sz="4" w:space="0"/>
              <w:bottom w:val="single" w:color="auto" w:sz="4" w:space="0"/>
            </w:tcBorders>
            <w:vAlign w:val="center"/>
          </w:tcPr>
          <w:p w14:paraId="2577A10F">
            <w:pPr>
              <w:adjustRightInd w:val="0"/>
              <w:jc w:val="center"/>
              <w:rPr>
                <w:rFonts w:hint="eastAsia" w:hAnsi="宋体"/>
                <w:sz w:val="18"/>
                <w:szCs w:val="18"/>
              </w:rPr>
            </w:pPr>
            <w:r>
              <w:rPr>
                <w:rFonts w:hint="eastAsia" w:hAnsi="宋体"/>
                <w:sz w:val="18"/>
                <w:szCs w:val="18"/>
              </w:rPr>
              <w:t>20.24</w:t>
            </w:r>
          </w:p>
        </w:tc>
        <w:tc>
          <w:tcPr>
            <w:tcW w:w="1686" w:type="pct"/>
            <w:tcBorders>
              <w:top w:val="single" w:color="auto" w:sz="4" w:space="0"/>
              <w:left w:val="single" w:color="auto" w:sz="4" w:space="0"/>
              <w:bottom w:val="single" w:color="auto" w:sz="4" w:space="0"/>
              <w:right w:val="single" w:color="auto" w:sz="8" w:space="0"/>
            </w:tcBorders>
            <w:vAlign w:val="center"/>
          </w:tcPr>
          <w:p w14:paraId="796A8068">
            <w:pPr>
              <w:adjustRightInd w:val="0"/>
              <w:jc w:val="center"/>
              <w:rPr>
                <w:rFonts w:hint="eastAsia" w:hAnsi="宋体"/>
                <w:sz w:val="18"/>
                <w:szCs w:val="18"/>
              </w:rPr>
            </w:pPr>
            <w:r>
              <w:rPr>
                <w:rFonts w:hint="eastAsia" w:hAnsi="宋体"/>
                <w:sz w:val="18"/>
                <w:szCs w:val="18"/>
              </w:rPr>
              <w:t>0.55</w:t>
            </w:r>
          </w:p>
        </w:tc>
      </w:tr>
      <w:tr w14:paraId="6DA7BF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1630" w:type="pct"/>
            <w:vMerge w:val="continue"/>
            <w:tcBorders>
              <w:left w:val="single" w:color="auto" w:sz="8" w:space="0"/>
              <w:bottom w:val="single" w:color="auto" w:sz="4" w:space="0"/>
              <w:right w:val="single" w:color="auto" w:sz="4" w:space="0"/>
            </w:tcBorders>
            <w:vAlign w:val="center"/>
          </w:tcPr>
          <w:p w14:paraId="265E670E">
            <w:pPr>
              <w:adjustRightInd w:val="0"/>
              <w:jc w:val="center"/>
              <w:rPr>
                <w:rFonts w:hint="eastAsia" w:hAnsi="宋体"/>
                <w:sz w:val="18"/>
                <w:szCs w:val="18"/>
              </w:rPr>
            </w:pPr>
          </w:p>
        </w:tc>
        <w:tc>
          <w:tcPr>
            <w:tcW w:w="1683" w:type="pct"/>
            <w:tcBorders>
              <w:top w:val="single" w:color="auto" w:sz="4" w:space="0"/>
              <w:left w:val="single" w:color="auto" w:sz="4" w:space="0"/>
              <w:bottom w:val="single" w:color="auto" w:sz="4" w:space="0"/>
            </w:tcBorders>
            <w:vAlign w:val="center"/>
          </w:tcPr>
          <w:p w14:paraId="0EA43F95">
            <w:pPr>
              <w:adjustRightInd w:val="0"/>
              <w:jc w:val="center"/>
              <w:rPr>
                <w:rFonts w:hint="eastAsia" w:hAnsi="宋体"/>
                <w:sz w:val="18"/>
                <w:szCs w:val="18"/>
              </w:rPr>
            </w:pPr>
            <w:r>
              <w:rPr>
                <w:rFonts w:hint="eastAsia" w:hAnsi="宋体"/>
                <w:sz w:val="18"/>
                <w:szCs w:val="18"/>
              </w:rPr>
              <w:t>29.16</w:t>
            </w:r>
          </w:p>
        </w:tc>
        <w:tc>
          <w:tcPr>
            <w:tcW w:w="1686" w:type="pct"/>
            <w:tcBorders>
              <w:top w:val="single" w:color="auto" w:sz="4" w:space="0"/>
              <w:left w:val="single" w:color="auto" w:sz="4" w:space="0"/>
              <w:bottom w:val="single" w:color="auto" w:sz="4" w:space="0"/>
              <w:right w:val="single" w:color="auto" w:sz="8" w:space="0"/>
            </w:tcBorders>
            <w:vAlign w:val="center"/>
          </w:tcPr>
          <w:p w14:paraId="4E27F325">
            <w:pPr>
              <w:adjustRightInd w:val="0"/>
              <w:jc w:val="center"/>
              <w:rPr>
                <w:rFonts w:hint="eastAsia" w:hAnsi="宋体"/>
                <w:sz w:val="18"/>
                <w:szCs w:val="18"/>
              </w:rPr>
            </w:pPr>
            <w:r>
              <w:rPr>
                <w:rFonts w:hint="eastAsia" w:hAnsi="宋体"/>
                <w:sz w:val="18"/>
                <w:szCs w:val="18"/>
              </w:rPr>
              <w:t>0.62</w:t>
            </w:r>
          </w:p>
        </w:tc>
      </w:tr>
      <w:tr w14:paraId="25FA9F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5000" w:type="pct"/>
            <w:gridSpan w:val="3"/>
            <w:tcBorders>
              <w:top w:val="single" w:color="auto" w:sz="4" w:space="0"/>
              <w:left w:val="single" w:color="auto" w:sz="8" w:space="0"/>
              <w:bottom w:val="single" w:color="auto" w:sz="8" w:space="0"/>
              <w:right w:val="single" w:color="auto" w:sz="8" w:space="0"/>
            </w:tcBorders>
            <w:vAlign w:val="center"/>
          </w:tcPr>
          <w:p w14:paraId="5760571C">
            <w:pPr>
              <w:widowControl/>
              <w:jc w:val="left"/>
              <w:textAlignment w:val="center"/>
              <w:rPr>
                <w:sz w:val="18"/>
                <w:szCs w:val="18"/>
              </w:rPr>
            </w:pPr>
            <w:r>
              <w:rPr>
                <w:rFonts w:hint="eastAsia"/>
                <w:sz w:val="18"/>
                <w:szCs w:val="18"/>
              </w:rPr>
              <w:t>注：重复性限（</w:t>
            </w:r>
            <w:r>
              <w:rPr>
                <w:rFonts w:hint="eastAsia"/>
                <w:i/>
                <w:iCs/>
                <w:sz w:val="18"/>
                <w:szCs w:val="18"/>
              </w:rPr>
              <w:t>r</w:t>
            </w:r>
            <w:r>
              <w:rPr>
                <w:rFonts w:hint="eastAsia"/>
                <w:sz w:val="18"/>
                <w:szCs w:val="18"/>
              </w:rPr>
              <w:t>）为2.8×</w:t>
            </w:r>
            <w:r>
              <w:rPr>
                <w:rFonts w:hint="eastAsia"/>
                <w:i/>
                <w:iCs/>
                <w:sz w:val="18"/>
                <w:szCs w:val="18"/>
              </w:rPr>
              <w:t>S</w:t>
            </w:r>
            <w:r>
              <w:rPr>
                <w:rFonts w:hint="eastAsia"/>
                <w:i/>
                <w:iCs/>
                <w:sz w:val="18"/>
                <w:szCs w:val="18"/>
                <w:vertAlign w:val="subscript"/>
              </w:rPr>
              <w:t>r</w:t>
            </w:r>
            <w:r>
              <w:rPr>
                <w:rFonts w:hint="eastAsia"/>
                <w:sz w:val="18"/>
                <w:szCs w:val="18"/>
              </w:rPr>
              <w:t>，</w:t>
            </w:r>
            <w:r>
              <w:rPr>
                <w:rFonts w:hint="eastAsia"/>
                <w:i/>
                <w:iCs/>
                <w:sz w:val="18"/>
                <w:szCs w:val="18"/>
              </w:rPr>
              <w:t>S</w:t>
            </w:r>
            <w:r>
              <w:rPr>
                <w:rFonts w:hint="eastAsia"/>
                <w:i/>
                <w:iCs/>
                <w:sz w:val="18"/>
                <w:szCs w:val="18"/>
                <w:vertAlign w:val="subscript"/>
              </w:rPr>
              <w:t>r</w:t>
            </w:r>
            <w:r>
              <w:rPr>
                <w:rFonts w:hint="eastAsia"/>
                <w:sz w:val="18"/>
                <w:szCs w:val="18"/>
              </w:rPr>
              <w:t>为重复性标准差。</w:t>
            </w:r>
          </w:p>
        </w:tc>
      </w:tr>
    </w:tbl>
    <w:p w14:paraId="1AD1FC2E">
      <w:pPr>
        <w:spacing w:before="156" w:beforeLines="50" w:after="156" w:afterLines="50"/>
        <w:rPr>
          <w:rFonts w:hint="eastAsia" w:ascii="黑体" w:hAnsi="黑体" w:eastAsia="黑体" w:cs="黑体"/>
          <w:szCs w:val="21"/>
        </w:rPr>
      </w:pPr>
      <w:r>
        <w:rPr>
          <w:rFonts w:hint="eastAsia" w:ascii="黑体" w:hAnsi="黑体" w:eastAsia="黑体" w:cs="黑体"/>
          <w:szCs w:val="21"/>
        </w:rPr>
        <w:t>5.6.2 再现性</w:t>
      </w:r>
    </w:p>
    <w:p w14:paraId="04C42FBB">
      <w:pPr>
        <w:autoSpaceDE w:val="0"/>
        <w:autoSpaceDN w:val="0"/>
        <w:adjustRightInd w:val="0"/>
        <w:snapToGrid w:val="0"/>
        <w:ind w:firstLine="420" w:firstLineChars="200"/>
        <w:rPr>
          <w:szCs w:val="20"/>
        </w:rPr>
      </w:pPr>
      <w:r>
        <w:rPr>
          <w:rFonts w:hint="eastAsia"/>
          <w:szCs w:val="20"/>
        </w:rPr>
        <w:t>在再现性条件下获得的两次独立测试结果的绝对差值不大于再现性限（</w:t>
      </w:r>
      <w:r>
        <w:rPr>
          <w:rFonts w:hint="eastAsia"/>
          <w:i/>
          <w:iCs/>
          <w:szCs w:val="20"/>
        </w:rPr>
        <w:t>R</w:t>
      </w:r>
      <w:r>
        <w:rPr>
          <w:rFonts w:hint="eastAsia"/>
          <w:szCs w:val="20"/>
        </w:rPr>
        <w:t>），超过再现性限（</w:t>
      </w:r>
      <w:r>
        <w:rPr>
          <w:rFonts w:hint="eastAsia"/>
          <w:i/>
          <w:iCs/>
          <w:szCs w:val="20"/>
        </w:rPr>
        <w:t>R</w:t>
      </w:r>
      <w:r>
        <w:rPr>
          <w:rFonts w:hint="eastAsia"/>
          <w:szCs w:val="20"/>
        </w:rPr>
        <w:t>）的情况不超过5 %，再现性限（</w:t>
      </w:r>
      <w:r>
        <w:rPr>
          <w:rFonts w:hint="eastAsia"/>
          <w:i/>
          <w:iCs/>
          <w:szCs w:val="20"/>
        </w:rPr>
        <w:t>R</w:t>
      </w:r>
      <w:r>
        <w:rPr>
          <w:rFonts w:hint="eastAsia"/>
          <w:szCs w:val="20"/>
        </w:rPr>
        <w:t>）按表</w:t>
      </w:r>
      <w:r>
        <w:rPr>
          <w:rFonts w:hint="eastAsia"/>
          <w:szCs w:val="20"/>
          <w:lang w:val="en-US" w:eastAsia="zh-CN"/>
        </w:rPr>
        <w:t>9</w:t>
      </w:r>
      <w:r>
        <w:rPr>
          <w:rFonts w:hint="eastAsia"/>
          <w:szCs w:val="20"/>
        </w:rPr>
        <w:t>数据采用线性内插法或外延法求得。</w:t>
      </w:r>
    </w:p>
    <w:p w14:paraId="62DBE3E2">
      <w:pPr>
        <w:spacing w:before="156" w:beforeLines="50" w:after="156" w:afterLines="50" w:line="300" w:lineRule="exact"/>
        <w:jc w:val="center"/>
        <w:rPr>
          <w:rFonts w:eastAsia="黑体"/>
        </w:rPr>
      </w:pPr>
      <w:r>
        <w:rPr>
          <w:rFonts w:eastAsia="黑体"/>
        </w:rPr>
        <w:t>表</w:t>
      </w:r>
      <w:r>
        <w:rPr>
          <w:rFonts w:hint="eastAsia" w:eastAsia="黑体"/>
          <w:lang w:val="en-US" w:eastAsia="zh-CN"/>
        </w:rPr>
        <w:t>9</w:t>
      </w:r>
      <w:r>
        <w:rPr>
          <w:rFonts w:eastAsia="黑体"/>
        </w:rPr>
        <w:t xml:space="preserve"> 再现性限</w:t>
      </w:r>
    </w:p>
    <w:tbl>
      <w:tblPr>
        <w:tblStyle w:val="24"/>
        <w:tblW w:w="5068"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93"/>
        <w:gridCol w:w="3200"/>
        <w:gridCol w:w="3208"/>
      </w:tblGrid>
      <w:tr w14:paraId="3B40D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628" w:type="pct"/>
            <w:tcBorders>
              <w:top w:val="single" w:color="auto" w:sz="8" w:space="0"/>
              <w:left w:val="single" w:color="auto" w:sz="8" w:space="0"/>
              <w:bottom w:val="single" w:color="auto" w:sz="8" w:space="0"/>
            </w:tcBorders>
            <w:vAlign w:val="center"/>
          </w:tcPr>
          <w:p w14:paraId="28B819BA">
            <w:pPr>
              <w:adjustRightInd w:val="0"/>
              <w:jc w:val="center"/>
              <w:rPr>
                <w:rFonts w:hint="eastAsia" w:hAnsi="宋体"/>
                <w:sz w:val="18"/>
                <w:szCs w:val="18"/>
              </w:rPr>
            </w:pPr>
            <w:r>
              <w:rPr>
                <w:rFonts w:hint="eastAsia" w:hAnsi="宋体"/>
                <w:sz w:val="18"/>
                <w:szCs w:val="18"/>
              </w:rPr>
              <w:t>元素</w:t>
            </w:r>
          </w:p>
        </w:tc>
        <w:tc>
          <w:tcPr>
            <w:tcW w:w="1684" w:type="pct"/>
            <w:tcBorders>
              <w:top w:val="single" w:color="auto" w:sz="8" w:space="0"/>
              <w:bottom w:val="single" w:color="auto" w:sz="8" w:space="0"/>
            </w:tcBorders>
            <w:vAlign w:val="center"/>
          </w:tcPr>
          <w:p w14:paraId="39BFAFD7">
            <w:pPr>
              <w:adjustRightInd w:val="0"/>
              <w:jc w:val="center"/>
              <w:rPr>
                <w:kern w:val="0"/>
                <w:sz w:val="18"/>
                <w:szCs w:val="20"/>
              </w:rPr>
            </w:pPr>
            <w:r>
              <w:rPr>
                <w:kern w:val="0"/>
                <w:sz w:val="18"/>
                <w:szCs w:val="20"/>
              </w:rPr>
              <w:t>质量分数</w:t>
            </w:r>
          </w:p>
          <w:p w14:paraId="09C99896">
            <w:pPr>
              <w:adjustRightInd w:val="0"/>
              <w:jc w:val="center"/>
              <w:rPr>
                <w:kern w:val="0"/>
                <w:sz w:val="18"/>
                <w:szCs w:val="20"/>
              </w:rPr>
            </w:pPr>
            <w:r>
              <w:rPr>
                <w:rFonts w:hint="eastAsia"/>
                <w:sz w:val="18"/>
                <w:szCs w:val="18"/>
              </w:rPr>
              <w:t>%</w:t>
            </w:r>
          </w:p>
        </w:tc>
        <w:tc>
          <w:tcPr>
            <w:tcW w:w="1686" w:type="pct"/>
            <w:tcBorders>
              <w:top w:val="single" w:color="auto" w:sz="8" w:space="0"/>
              <w:bottom w:val="single" w:color="auto" w:sz="8" w:space="0"/>
              <w:right w:val="single" w:color="auto" w:sz="8" w:space="0"/>
            </w:tcBorders>
            <w:vAlign w:val="center"/>
          </w:tcPr>
          <w:p w14:paraId="15EF5EED">
            <w:pPr>
              <w:jc w:val="center"/>
              <w:rPr>
                <w:sz w:val="18"/>
                <w:szCs w:val="18"/>
              </w:rPr>
            </w:pPr>
            <w:r>
              <w:rPr>
                <w:sz w:val="18"/>
                <w:szCs w:val="18"/>
              </w:rPr>
              <w:t>再现性限（</w:t>
            </w:r>
            <w:r>
              <w:rPr>
                <w:i/>
                <w:sz w:val="18"/>
                <w:szCs w:val="18"/>
              </w:rPr>
              <w:t>R</w:t>
            </w:r>
            <w:r>
              <w:rPr>
                <w:sz w:val="18"/>
                <w:szCs w:val="18"/>
              </w:rPr>
              <w:t>）</w:t>
            </w:r>
          </w:p>
          <w:p w14:paraId="1B1978ED">
            <w:pPr>
              <w:jc w:val="center"/>
              <w:rPr>
                <w:sz w:val="18"/>
                <w:szCs w:val="18"/>
              </w:rPr>
            </w:pPr>
            <w:r>
              <w:rPr>
                <w:rFonts w:hint="eastAsia"/>
                <w:sz w:val="18"/>
                <w:szCs w:val="18"/>
              </w:rPr>
              <w:t>%</w:t>
            </w:r>
          </w:p>
        </w:tc>
      </w:tr>
      <w:tr w14:paraId="3B46E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628" w:type="pct"/>
            <w:vMerge w:val="restart"/>
            <w:tcBorders>
              <w:top w:val="single" w:color="auto" w:sz="8" w:space="0"/>
              <w:left w:val="single" w:color="auto" w:sz="8" w:space="0"/>
            </w:tcBorders>
            <w:vAlign w:val="center"/>
          </w:tcPr>
          <w:p w14:paraId="40E68662">
            <w:pPr>
              <w:adjustRightInd w:val="0"/>
              <w:jc w:val="center"/>
              <w:rPr>
                <w:rFonts w:hint="eastAsia" w:hAnsi="宋体"/>
                <w:sz w:val="18"/>
                <w:szCs w:val="18"/>
              </w:rPr>
            </w:pPr>
            <w:r>
              <w:rPr>
                <w:rFonts w:hint="eastAsia" w:hAnsi="宋体"/>
                <w:sz w:val="18"/>
                <w:szCs w:val="18"/>
              </w:rPr>
              <w:t>镁</w:t>
            </w:r>
          </w:p>
        </w:tc>
        <w:tc>
          <w:tcPr>
            <w:tcW w:w="1684" w:type="pct"/>
            <w:tcBorders>
              <w:top w:val="single" w:color="auto" w:sz="8" w:space="0"/>
              <w:bottom w:val="single" w:color="auto" w:sz="4" w:space="0"/>
            </w:tcBorders>
            <w:vAlign w:val="center"/>
          </w:tcPr>
          <w:p w14:paraId="66BE417B">
            <w:pPr>
              <w:adjustRightInd w:val="0"/>
              <w:jc w:val="center"/>
              <w:rPr>
                <w:rFonts w:hint="eastAsia" w:hAnsi="宋体"/>
                <w:sz w:val="18"/>
                <w:szCs w:val="18"/>
              </w:rPr>
            </w:pPr>
            <w:r>
              <w:rPr>
                <w:rFonts w:hint="eastAsia" w:hAnsi="宋体"/>
                <w:sz w:val="18"/>
                <w:szCs w:val="18"/>
              </w:rPr>
              <w:t>5.50</w:t>
            </w:r>
          </w:p>
        </w:tc>
        <w:tc>
          <w:tcPr>
            <w:tcW w:w="1686" w:type="pct"/>
            <w:tcBorders>
              <w:top w:val="single" w:color="auto" w:sz="8" w:space="0"/>
              <w:bottom w:val="single" w:color="auto" w:sz="4" w:space="0"/>
              <w:right w:val="single" w:color="auto" w:sz="8" w:space="0"/>
            </w:tcBorders>
            <w:vAlign w:val="center"/>
          </w:tcPr>
          <w:p w14:paraId="2BE2EA65">
            <w:pPr>
              <w:adjustRightInd w:val="0"/>
              <w:jc w:val="center"/>
              <w:rPr>
                <w:rFonts w:hint="eastAsia" w:hAnsi="宋体"/>
                <w:sz w:val="18"/>
                <w:szCs w:val="18"/>
              </w:rPr>
            </w:pPr>
            <w:r>
              <w:rPr>
                <w:rFonts w:hint="eastAsia" w:hAnsi="宋体"/>
                <w:sz w:val="18"/>
                <w:szCs w:val="18"/>
              </w:rPr>
              <w:t xml:space="preserve">0.20 </w:t>
            </w:r>
          </w:p>
        </w:tc>
      </w:tr>
      <w:tr w14:paraId="0803D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628" w:type="pct"/>
            <w:vMerge w:val="continue"/>
            <w:tcBorders>
              <w:left w:val="single" w:color="auto" w:sz="8" w:space="0"/>
            </w:tcBorders>
            <w:vAlign w:val="center"/>
          </w:tcPr>
          <w:p w14:paraId="2B4993FB">
            <w:pPr>
              <w:adjustRightInd w:val="0"/>
              <w:jc w:val="center"/>
              <w:rPr>
                <w:rFonts w:hint="eastAsia" w:hAnsi="宋体"/>
                <w:sz w:val="18"/>
                <w:szCs w:val="18"/>
              </w:rPr>
            </w:pPr>
          </w:p>
        </w:tc>
        <w:tc>
          <w:tcPr>
            <w:tcW w:w="1684" w:type="pct"/>
            <w:tcBorders>
              <w:top w:val="single" w:color="auto" w:sz="4" w:space="0"/>
              <w:bottom w:val="single" w:color="auto" w:sz="4" w:space="0"/>
            </w:tcBorders>
            <w:vAlign w:val="center"/>
          </w:tcPr>
          <w:p w14:paraId="40BEC466">
            <w:pPr>
              <w:adjustRightInd w:val="0"/>
              <w:jc w:val="center"/>
              <w:rPr>
                <w:rFonts w:hint="eastAsia" w:hAnsi="宋体"/>
                <w:sz w:val="18"/>
                <w:szCs w:val="18"/>
              </w:rPr>
            </w:pPr>
            <w:r>
              <w:rPr>
                <w:rFonts w:hint="eastAsia" w:hAnsi="宋体"/>
                <w:sz w:val="18"/>
                <w:szCs w:val="18"/>
              </w:rPr>
              <w:t>12.14</w:t>
            </w:r>
          </w:p>
        </w:tc>
        <w:tc>
          <w:tcPr>
            <w:tcW w:w="1686" w:type="pct"/>
            <w:tcBorders>
              <w:top w:val="single" w:color="auto" w:sz="4" w:space="0"/>
              <w:bottom w:val="single" w:color="auto" w:sz="4" w:space="0"/>
              <w:right w:val="single" w:color="auto" w:sz="8" w:space="0"/>
            </w:tcBorders>
            <w:vAlign w:val="center"/>
          </w:tcPr>
          <w:p w14:paraId="71814A14">
            <w:pPr>
              <w:adjustRightInd w:val="0"/>
              <w:jc w:val="center"/>
              <w:rPr>
                <w:rFonts w:hint="eastAsia" w:hAnsi="宋体"/>
                <w:sz w:val="18"/>
                <w:szCs w:val="18"/>
              </w:rPr>
            </w:pPr>
            <w:r>
              <w:rPr>
                <w:rFonts w:hint="eastAsia" w:hAnsi="宋体"/>
                <w:sz w:val="18"/>
                <w:szCs w:val="18"/>
              </w:rPr>
              <w:t>0.39</w:t>
            </w:r>
          </w:p>
        </w:tc>
      </w:tr>
      <w:tr w14:paraId="498D3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628" w:type="pct"/>
            <w:vMerge w:val="continue"/>
            <w:tcBorders>
              <w:left w:val="single" w:color="auto" w:sz="8" w:space="0"/>
            </w:tcBorders>
            <w:vAlign w:val="center"/>
          </w:tcPr>
          <w:p w14:paraId="165B1C73">
            <w:pPr>
              <w:adjustRightInd w:val="0"/>
              <w:jc w:val="center"/>
              <w:rPr>
                <w:rFonts w:hint="eastAsia" w:hAnsi="宋体"/>
                <w:sz w:val="18"/>
                <w:szCs w:val="18"/>
              </w:rPr>
            </w:pPr>
          </w:p>
        </w:tc>
        <w:tc>
          <w:tcPr>
            <w:tcW w:w="1684" w:type="pct"/>
            <w:tcBorders>
              <w:top w:val="single" w:color="auto" w:sz="4" w:space="0"/>
              <w:bottom w:val="single" w:color="auto" w:sz="4" w:space="0"/>
            </w:tcBorders>
            <w:vAlign w:val="center"/>
          </w:tcPr>
          <w:p w14:paraId="405F2345">
            <w:pPr>
              <w:adjustRightInd w:val="0"/>
              <w:jc w:val="center"/>
              <w:rPr>
                <w:rFonts w:hint="eastAsia" w:hAnsi="宋体"/>
                <w:sz w:val="18"/>
                <w:szCs w:val="18"/>
              </w:rPr>
            </w:pPr>
            <w:r>
              <w:rPr>
                <w:rFonts w:hint="eastAsia" w:hAnsi="宋体"/>
                <w:sz w:val="18"/>
                <w:szCs w:val="18"/>
              </w:rPr>
              <w:t>14.67</w:t>
            </w:r>
          </w:p>
        </w:tc>
        <w:tc>
          <w:tcPr>
            <w:tcW w:w="1686" w:type="pct"/>
            <w:tcBorders>
              <w:top w:val="single" w:color="auto" w:sz="4" w:space="0"/>
              <w:bottom w:val="single" w:color="auto" w:sz="4" w:space="0"/>
              <w:right w:val="single" w:color="auto" w:sz="8" w:space="0"/>
            </w:tcBorders>
            <w:vAlign w:val="center"/>
          </w:tcPr>
          <w:p w14:paraId="1CD8F073">
            <w:pPr>
              <w:adjustRightInd w:val="0"/>
              <w:jc w:val="center"/>
              <w:rPr>
                <w:rFonts w:hint="eastAsia" w:hAnsi="宋体"/>
                <w:sz w:val="18"/>
                <w:szCs w:val="18"/>
              </w:rPr>
            </w:pPr>
            <w:r>
              <w:rPr>
                <w:rFonts w:hint="eastAsia" w:hAnsi="宋体"/>
                <w:sz w:val="18"/>
                <w:szCs w:val="18"/>
              </w:rPr>
              <w:t>0.41</w:t>
            </w:r>
          </w:p>
        </w:tc>
      </w:tr>
      <w:tr w14:paraId="21B2D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628" w:type="pct"/>
            <w:vMerge w:val="continue"/>
            <w:tcBorders>
              <w:left w:val="single" w:color="auto" w:sz="8" w:space="0"/>
            </w:tcBorders>
            <w:vAlign w:val="center"/>
          </w:tcPr>
          <w:p w14:paraId="48CC1191">
            <w:pPr>
              <w:adjustRightInd w:val="0"/>
              <w:jc w:val="center"/>
              <w:rPr>
                <w:rFonts w:hint="eastAsia" w:hAnsi="宋体"/>
                <w:sz w:val="18"/>
                <w:szCs w:val="18"/>
              </w:rPr>
            </w:pPr>
          </w:p>
        </w:tc>
        <w:tc>
          <w:tcPr>
            <w:tcW w:w="1684" w:type="pct"/>
            <w:tcBorders>
              <w:top w:val="single" w:color="auto" w:sz="4" w:space="0"/>
              <w:bottom w:val="single" w:color="auto" w:sz="4" w:space="0"/>
            </w:tcBorders>
            <w:vAlign w:val="center"/>
          </w:tcPr>
          <w:p w14:paraId="57CABA3F">
            <w:pPr>
              <w:adjustRightInd w:val="0"/>
              <w:jc w:val="center"/>
              <w:rPr>
                <w:rFonts w:hint="eastAsia" w:hAnsi="宋体"/>
                <w:sz w:val="18"/>
                <w:szCs w:val="18"/>
              </w:rPr>
            </w:pPr>
            <w:r>
              <w:rPr>
                <w:rFonts w:hint="eastAsia" w:hAnsi="宋体"/>
                <w:sz w:val="18"/>
                <w:szCs w:val="18"/>
              </w:rPr>
              <w:t>20.24</w:t>
            </w:r>
          </w:p>
        </w:tc>
        <w:tc>
          <w:tcPr>
            <w:tcW w:w="1686" w:type="pct"/>
            <w:tcBorders>
              <w:top w:val="single" w:color="auto" w:sz="4" w:space="0"/>
              <w:bottom w:val="single" w:color="auto" w:sz="4" w:space="0"/>
              <w:right w:val="single" w:color="auto" w:sz="8" w:space="0"/>
            </w:tcBorders>
            <w:vAlign w:val="center"/>
          </w:tcPr>
          <w:p w14:paraId="1757E32C">
            <w:pPr>
              <w:adjustRightInd w:val="0"/>
              <w:jc w:val="center"/>
              <w:rPr>
                <w:rFonts w:hint="eastAsia" w:hAnsi="宋体"/>
                <w:sz w:val="18"/>
                <w:szCs w:val="18"/>
              </w:rPr>
            </w:pPr>
            <w:r>
              <w:rPr>
                <w:rFonts w:hint="eastAsia" w:hAnsi="宋体"/>
                <w:sz w:val="18"/>
                <w:szCs w:val="18"/>
              </w:rPr>
              <w:t>0.55</w:t>
            </w:r>
          </w:p>
        </w:tc>
      </w:tr>
      <w:tr w14:paraId="1292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1628" w:type="pct"/>
            <w:vMerge w:val="continue"/>
            <w:tcBorders>
              <w:left w:val="single" w:color="auto" w:sz="8" w:space="0"/>
              <w:bottom w:val="single" w:color="auto" w:sz="4" w:space="0"/>
            </w:tcBorders>
            <w:vAlign w:val="center"/>
          </w:tcPr>
          <w:p w14:paraId="6433BF82">
            <w:pPr>
              <w:adjustRightInd w:val="0"/>
              <w:jc w:val="center"/>
              <w:rPr>
                <w:rFonts w:hint="eastAsia" w:hAnsi="宋体"/>
                <w:sz w:val="18"/>
                <w:szCs w:val="18"/>
              </w:rPr>
            </w:pPr>
          </w:p>
        </w:tc>
        <w:tc>
          <w:tcPr>
            <w:tcW w:w="1684" w:type="pct"/>
            <w:tcBorders>
              <w:top w:val="single" w:color="auto" w:sz="4" w:space="0"/>
              <w:bottom w:val="single" w:color="auto" w:sz="4" w:space="0"/>
            </w:tcBorders>
            <w:vAlign w:val="center"/>
          </w:tcPr>
          <w:p w14:paraId="3046CCAC">
            <w:pPr>
              <w:adjustRightInd w:val="0"/>
              <w:jc w:val="center"/>
              <w:rPr>
                <w:rFonts w:hint="eastAsia" w:hAnsi="宋体"/>
                <w:sz w:val="18"/>
                <w:szCs w:val="18"/>
              </w:rPr>
            </w:pPr>
            <w:r>
              <w:rPr>
                <w:rFonts w:hint="eastAsia" w:hAnsi="宋体"/>
                <w:sz w:val="18"/>
                <w:szCs w:val="18"/>
              </w:rPr>
              <w:t>29.16</w:t>
            </w:r>
          </w:p>
        </w:tc>
        <w:tc>
          <w:tcPr>
            <w:tcW w:w="1686" w:type="pct"/>
            <w:tcBorders>
              <w:top w:val="single" w:color="auto" w:sz="4" w:space="0"/>
              <w:bottom w:val="single" w:color="auto" w:sz="4" w:space="0"/>
              <w:right w:val="single" w:color="auto" w:sz="8" w:space="0"/>
            </w:tcBorders>
            <w:vAlign w:val="center"/>
          </w:tcPr>
          <w:p w14:paraId="2726B249">
            <w:pPr>
              <w:adjustRightInd w:val="0"/>
              <w:jc w:val="center"/>
              <w:rPr>
                <w:rFonts w:hint="eastAsia" w:hAnsi="宋体"/>
                <w:sz w:val="18"/>
                <w:szCs w:val="18"/>
              </w:rPr>
            </w:pPr>
            <w:r>
              <w:rPr>
                <w:rFonts w:hint="eastAsia" w:hAnsi="宋体"/>
                <w:sz w:val="18"/>
                <w:szCs w:val="18"/>
              </w:rPr>
              <w:t>0.64</w:t>
            </w:r>
          </w:p>
        </w:tc>
      </w:tr>
      <w:tr w14:paraId="3F86C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5000" w:type="pct"/>
            <w:gridSpan w:val="3"/>
            <w:tcBorders>
              <w:top w:val="single" w:color="auto" w:sz="4" w:space="0"/>
              <w:left w:val="single" w:color="auto" w:sz="8" w:space="0"/>
              <w:bottom w:val="single" w:color="auto" w:sz="8" w:space="0"/>
              <w:right w:val="single" w:color="auto" w:sz="8" w:space="0"/>
            </w:tcBorders>
            <w:vAlign w:val="center"/>
          </w:tcPr>
          <w:p w14:paraId="145943B2">
            <w:pPr>
              <w:adjustRightInd w:val="0"/>
              <w:jc w:val="left"/>
              <w:rPr>
                <w:sz w:val="18"/>
                <w:szCs w:val="18"/>
              </w:rPr>
            </w:pPr>
            <w:r>
              <w:rPr>
                <w:rFonts w:hint="eastAsia"/>
                <w:sz w:val="18"/>
                <w:szCs w:val="18"/>
              </w:rPr>
              <w:t>注：再现性限（</w:t>
            </w:r>
            <w:r>
              <w:rPr>
                <w:rFonts w:hint="eastAsia"/>
                <w:i/>
                <w:iCs/>
                <w:sz w:val="18"/>
                <w:szCs w:val="18"/>
              </w:rPr>
              <w:t>R</w:t>
            </w:r>
            <w:r>
              <w:rPr>
                <w:rFonts w:hint="eastAsia"/>
                <w:sz w:val="18"/>
                <w:szCs w:val="18"/>
              </w:rPr>
              <w:t>）为2.8×</w:t>
            </w:r>
            <w:r>
              <w:rPr>
                <w:rFonts w:hint="eastAsia"/>
                <w:i/>
                <w:iCs/>
                <w:sz w:val="18"/>
                <w:szCs w:val="18"/>
              </w:rPr>
              <w:t>S</w:t>
            </w:r>
            <w:r>
              <w:rPr>
                <w:rFonts w:hint="eastAsia"/>
                <w:i/>
                <w:iCs/>
                <w:sz w:val="18"/>
                <w:szCs w:val="18"/>
                <w:vertAlign w:val="subscript"/>
              </w:rPr>
              <w:t>R</w:t>
            </w:r>
            <w:r>
              <w:rPr>
                <w:rFonts w:hint="eastAsia"/>
                <w:sz w:val="18"/>
                <w:szCs w:val="18"/>
              </w:rPr>
              <w:t>，</w:t>
            </w:r>
            <w:r>
              <w:rPr>
                <w:rFonts w:hint="eastAsia"/>
                <w:i/>
                <w:iCs/>
                <w:sz w:val="18"/>
                <w:szCs w:val="18"/>
              </w:rPr>
              <w:t>S</w:t>
            </w:r>
            <w:r>
              <w:rPr>
                <w:rFonts w:hint="eastAsia"/>
                <w:i/>
                <w:iCs/>
                <w:sz w:val="18"/>
                <w:szCs w:val="18"/>
                <w:vertAlign w:val="subscript"/>
              </w:rPr>
              <w:t>R</w:t>
            </w:r>
            <w:r>
              <w:rPr>
                <w:rFonts w:hint="eastAsia"/>
                <w:sz w:val="18"/>
                <w:szCs w:val="18"/>
              </w:rPr>
              <w:t>为再现性标准差。</w:t>
            </w:r>
          </w:p>
        </w:tc>
      </w:tr>
    </w:tbl>
    <w:p w14:paraId="3068B804">
      <w:pPr>
        <w:widowControl/>
        <w:autoSpaceDE w:val="0"/>
        <w:autoSpaceDN w:val="0"/>
        <w:spacing w:line="360" w:lineRule="exact"/>
        <w:rPr>
          <w:rFonts w:hint="eastAsia" w:ascii="黑体" w:hAnsi="黑体" w:eastAsia="黑体" w:cs="黑体"/>
          <w:b/>
          <w:bCs/>
          <w:szCs w:val="21"/>
        </w:rPr>
      </w:pPr>
    </w:p>
    <w:p w14:paraId="3C683C62">
      <w:pPr>
        <w:ind w:firstLine="720" w:firstLineChars="200"/>
        <w:jc w:val="center"/>
        <w:rPr>
          <w:rFonts w:eastAsia="黑体"/>
        </w:rPr>
      </w:pPr>
      <w:r>
        <w:rPr>
          <w:rFonts w:ascii="黑体" w:hAnsi="黑体" w:eastAsia="黑体" w:cs="黑体"/>
          <w:b/>
          <w:bCs/>
          <w:sz w:val="36"/>
          <w:szCs w:val="36"/>
          <w:lang w:bidi="en-US"/>
        </w:rPr>
        <w:t>———————————</w:t>
      </w:r>
    </w:p>
    <w:p w14:paraId="05E147A8">
      <w:pPr>
        <w:widowControl/>
        <w:autoSpaceDE w:val="0"/>
        <w:autoSpaceDN w:val="0"/>
        <w:spacing w:line="360" w:lineRule="exact"/>
        <w:rPr>
          <w:rFonts w:hint="eastAsia" w:ascii="黑体" w:hAnsi="黑体" w:eastAsia="黑体" w:cs="黑体"/>
          <w:b/>
          <w:bCs/>
          <w:szCs w:val="21"/>
        </w:rPr>
      </w:pPr>
    </w:p>
    <w:sectPr>
      <w:headerReference r:id="rId11" w:type="first"/>
      <w:footerReference r:id="rId13" w:type="first"/>
      <w:headerReference r:id="rId9" w:type="default"/>
      <w:footerReference r:id="rId12" w:type="default"/>
      <w:headerReference r:id="rId10" w:type="even"/>
      <w:pgSz w:w="11906" w:h="16838"/>
      <w:pgMar w:top="2268" w:right="1134" w:bottom="851" w:left="1418" w:header="1418" w:footer="680"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D673">
    <w:pPr>
      <w:pStyle w:val="47"/>
      <w:rPr>
        <w:rStyle w:val="28"/>
      </w:rPr>
    </w:pPr>
    <w:r>
      <w:fldChar w:fldCharType="begin"/>
    </w:r>
    <w:r>
      <w:rPr>
        <w:rStyle w:val="28"/>
      </w:rPr>
      <w:instrText xml:space="preserve">PAGE  </w:instrText>
    </w:r>
    <w:r>
      <w:fldChar w:fldCharType="separate"/>
    </w:r>
    <w:r>
      <w:rPr>
        <w:rStyle w:val="2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6481">
    <w:pPr>
      <w:pStyle w:val="57"/>
      <w:rPr>
        <w:rStyle w:val="28"/>
      </w:rPr>
    </w:pPr>
    <w:r>
      <w:fldChar w:fldCharType="begin"/>
    </w:r>
    <w:r>
      <w:rPr>
        <w:rStyle w:val="28"/>
      </w:rPr>
      <w:instrText xml:space="preserve">PAGE  </w:instrText>
    </w:r>
    <w:r>
      <w:fldChar w:fldCharType="separate"/>
    </w:r>
    <w:r>
      <w:rPr>
        <w:rStyle w:val="28"/>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8DF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458C">
    <w:pPr>
      <w:pStyle w:val="19"/>
      <w:jc w:val="right"/>
    </w:pPr>
    <w:r>
      <w:fldChar w:fldCharType="begin"/>
    </w:r>
    <w:r>
      <w:instrText xml:space="preserve"> PAGE   \* MERGEFORMAT </w:instrText>
    </w:r>
    <w:r>
      <w:fldChar w:fldCharType="separate"/>
    </w:r>
    <w:r>
      <w:rPr>
        <w:lang w:val="zh-CN"/>
      </w:rPr>
      <w:t>11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17FE1">
    <w:pPr>
      <w:pStyle w:val="19"/>
      <w:jc w:val="right"/>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6EE0">
    <w:pPr>
      <w:pStyle w:val="64"/>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C48AF">
    <w:pPr>
      <w:pStyle w:val="63"/>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D008">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F4AF0">
    <w:pPr>
      <w:pStyle w:val="20"/>
      <w:pBdr>
        <w:bottom w:val="none" w:color="auto" w:sz="0" w:space="0"/>
      </w:pBdr>
      <w:jc w:val="right"/>
      <w:rPr>
        <w:sz w:val="21"/>
        <w:szCs w:val="21"/>
      </w:rPr>
    </w:pPr>
    <w:r>
      <w:rPr>
        <w:sz w:val="21"/>
        <w:szCs w:val="21"/>
      </w:rPr>
      <w:t>GB/T 16477.2-202X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16AF">
    <w:pPr>
      <w:pStyle w:val="20"/>
      <w:pBdr>
        <w:bottom w:val="none" w:color="auto" w:sz="0" w:space="0"/>
      </w:pBdr>
      <w:jc w:val="both"/>
      <w:rPr>
        <w:sz w:val="21"/>
        <w:szCs w:val="21"/>
      </w:rPr>
    </w:pPr>
    <w:r>
      <w:rPr>
        <w:rFonts w:eastAsia="黑体"/>
        <w:sz w:val="21"/>
        <w:szCs w:val="21"/>
      </w:rPr>
      <w:t>GB/T 16477.2—202X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E00C">
    <w:pPr>
      <w:pStyle w:val="20"/>
      <w:pBdr>
        <w:bottom w:val="none" w:color="auto" w:sz="0" w:space="0"/>
      </w:pBdr>
      <w:jc w:val="right"/>
      <w:rPr>
        <w:rFonts w:hint="eastAsia" w:ascii="黑体" w:hAnsi="黑体" w:eastAsia="黑体"/>
        <w:sz w:val="21"/>
        <w:szCs w:val="21"/>
      </w:rPr>
    </w:pPr>
    <w:r>
      <w:rPr>
        <w:rFonts w:eastAsia="黑体"/>
        <w:sz w:val="21"/>
        <w:szCs w:val="21"/>
      </w:rPr>
      <w:t>GB/T 16477.2—202X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E656C"/>
    <w:multiLevelType w:val="multilevel"/>
    <w:tmpl w:val="339E656C"/>
    <w:lvl w:ilvl="0" w:tentative="0">
      <w:start w:val="1"/>
      <w:numFmt w:val="decimal"/>
      <w:suff w:val="nothing"/>
      <w:lvlText w:val="%1"/>
      <w:lvlJc w:val="left"/>
      <w:pPr>
        <w:ind w:left="420" w:hanging="420"/>
      </w:pPr>
      <w:rPr>
        <w:rFonts w:hint="default" w:ascii="黑体" w:hAnsi="黑体" w:eastAsia="黑体" w:cs="黑体"/>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1">
    <w:nsid w:val="35FCE585"/>
    <w:multiLevelType w:val="singleLevel"/>
    <w:tmpl w:val="35FCE585"/>
    <w:lvl w:ilvl="0" w:tentative="0">
      <w:start w:val="1"/>
      <w:numFmt w:val="lowerLetter"/>
      <w:suff w:val="space"/>
      <w:lvlText w:val="%1)"/>
      <w:lvlJc w:val="left"/>
    </w:lvl>
  </w:abstractNum>
  <w:abstractNum w:abstractNumId="2">
    <w:nsid w:val="39246A1E"/>
    <w:multiLevelType w:val="multilevel"/>
    <w:tmpl w:val="39246A1E"/>
    <w:lvl w:ilvl="0" w:tentative="0">
      <w:start w:val="6"/>
      <w:numFmt w:val="decimal"/>
      <w:pStyle w:val="59"/>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3">
    <w:nsid w:val="39E42C35"/>
    <w:multiLevelType w:val="multilevel"/>
    <w:tmpl w:val="39E42C35"/>
    <w:lvl w:ilvl="0" w:tentative="0">
      <w:start w:val="1"/>
      <w:numFmt w:val="chineseCountingThousand"/>
      <w:pStyle w:val="2"/>
      <w:suff w:val="nothing"/>
      <w:lvlText w:val="第%1章"/>
      <w:lvlJc w:val="left"/>
      <w:pPr>
        <w:ind w:left="0" w:firstLine="0"/>
      </w:pPr>
      <w:rPr>
        <w:rFonts w:hint="default"/>
      </w:rPr>
    </w:lvl>
    <w:lvl w:ilvl="1" w:tentative="0">
      <w:start w:val="1"/>
      <w:numFmt w:val="none"/>
      <w:pStyle w:val="3"/>
      <w:suff w:val="nothing"/>
      <w:lvlText w:val=""/>
      <w:lvlJc w:val="left"/>
      <w:pPr>
        <w:ind w:left="0" w:firstLine="0"/>
      </w:pPr>
      <w:rPr>
        <w:rFonts w:hint="default"/>
      </w:rPr>
    </w:lvl>
    <w:lvl w:ilvl="2" w:tentative="0">
      <w:start w:val="1"/>
      <w:numFmt w:val="none"/>
      <w:pStyle w:val="4"/>
      <w:suff w:val="nothing"/>
      <w:lvlText w:val=""/>
      <w:lvlJc w:val="left"/>
      <w:pPr>
        <w:ind w:left="0" w:firstLine="0"/>
      </w:pPr>
      <w:rPr>
        <w:rFonts w:hint="default"/>
      </w:rPr>
    </w:lvl>
    <w:lvl w:ilvl="3" w:tentative="0">
      <w:start w:val="1"/>
      <w:numFmt w:val="none"/>
      <w:pStyle w:val="5"/>
      <w:suff w:val="nothing"/>
      <w:lvlText w:val=""/>
      <w:lvlJc w:val="left"/>
      <w:pPr>
        <w:ind w:left="0" w:firstLine="0"/>
      </w:pPr>
      <w:rPr>
        <w:rFonts w:hint="default"/>
      </w:rPr>
    </w:lvl>
    <w:lvl w:ilvl="4" w:tentative="0">
      <w:start w:val="1"/>
      <w:numFmt w:val="none"/>
      <w:pStyle w:val="6"/>
      <w:suff w:val="nothing"/>
      <w:lvlText w:val=""/>
      <w:lvlJc w:val="left"/>
      <w:pPr>
        <w:ind w:left="0" w:firstLine="0"/>
      </w:pPr>
      <w:rPr>
        <w:rFonts w:hint="default"/>
      </w:rPr>
    </w:lvl>
    <w:lvl w:ilvl="5" w:tentative="0">
      <w:start w:val="1"/>
      <w:numFmt w:val="none"/>
      <w:pStyle w:val="7"/>
      <w:suff w:val="nothing"/>
      <w:lvlText w:val=""/>
      <w:lvlJc w:val="left"/>
      <w:pPr>
        <w:ind w:left="0" w:firstLine="0"/>
      </w:pPr>
      <w:rPr>
        <w:rFonts w:hint="default"/>
      </w:rPr>
    </w:lvl>
    <w:lvl w:ilvl="6" w:tentative="0">
      <w:start w:val="1"/>
      <w:numFmt w:val="none"/>
      <w:pStyle w:val="8"/>
      <w:suff w:val="nothing"/>
      <w:lvlText w:val=""/>
      <w:lvlJc w:val="left"/>
      <w:pPr>
        <w:ind w:left="0" w:firstLine="0"/>
      </w:pPr>
      <w:rPr>
        <w:rFonts w:hint="default"/>
      </w:rPr>
    </w:lvl>
    <w:lvl w:ilvl="7" w:tentative="0">
      <w:start w:val="1"/>
      <w:numFmt w:val="none"/>
      <w:pStyle w:val="9"/>
      <w:suff w:val="nothing"/>
      <w:lvlText w:val=""/>
      <w:lvlJc w:val="left"/>
      <w:pPr>
        <w:ind w:left="0" w:firstLine="0"/>
      </w:pPr>
      <w:rPr>
        <w:rFonts w:hint="default"/>
      </w:rPr>
    </w:lvl>
    <w:lvl w:ilvl="8" w:tentative="0">
      <w:start w:val="1"/>
      <w:numFmt w:val="none"/>
      <w:pStyle w:val="10"/>
      <w:suff w:val="nothing"/>
      <w:lvlText w:val=""/>
      <w:lvlJc w:val="left"/>
      <w:pPr>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MDNiNTFiMzJjYjI3MThhOTdiZDg0YzA4NmY5OGYifQ=="/>
  </w:docVars>
  <w:rsids>
    <w:rsidRoot w:val="006474C5"/>
    <w:rsid w:val="000009F7"/>
    <w:rsid w:val="00001465"/>
    <w:rsid w:val="000019C0"/>
    <w:rsid w:val="00005259"/>
    <w:rsid w:val="000052C1"/>
    <w:rsid w:val="00006BA0"/>
    <w:rsid w:val="0001140E"/>
    <w:rsid w:val="00011F61"/>
    <w:rsid w:val="000156F9"/>
    <w:rsid w:val="00016AA1"/>
    <w:rsid w:val="00017A67"/>
    <w:rsid w:val="00022628"/>
    <w:rsid w:val="000244FB"/>
    <w:rsid w:val="000250FF"/>
    <w:rsid w:val="0002609A"/>
    <w:rsid w:val="00026235"/>
    <w:rsid w:val="00026D25"/>
    <w:rsid w:val="00027846"/>
    <w:rsid w:val="0003229B"/>
    <w:rsid w:val="000329D7"/>
    <w:rsid w:val="000330D2"/>
    <w:rsid w:val="00036588"/>
    <w:rsid w:val="00037866"/>
    <w:rsid w:val="00041436"/>
    <w:rsid w:val="000430D3"/>
    <w:rsid w:val="0004430E"/>
    <w:rsid w:val="000505DB"/>
    <w:rsid w:val="00050B57"/>
    <w:rsid w:val="00052314"/>
    <w:rsid w:val="00053C45"/>
    <w:rsid w:val="000547D7"/>
    <w:rsid w:val="00056461"/>
    <w:rsid w:val="00057E42"/>
    <w:rsid w:val="00057F18"/>
    <w:rsid w:val="000612D7"/>
    <w:rsid w:val="00062072"/>
    <w:rsid w:val="00062CE1"/>
    <w:rsid w:val="00064D0C"/>
    <w:rsid w:val="00066F3C"/>
    <w:rsid w:val="00070FB4"/>
    <w:rsid w:val="00073931"/>
    <w:rsid w:val="00074477"/>
    <w:rsid w:val="000745DF"/>
    <w:rsid w:val="00074E45"/>
    <w:rsid w:val="000755A4"/>
    <w:rsid w:val="00075CA3"/>
    <w:rsid w:val="00076E2E"/>
    <w:rsid w:val="00076F65"/>
    <w:rsid w:val="00077ED7"/>
    <w:rsid w:val="00080A2D"/>
    <w:rsid w:val="000817D9"/>
    <w:rsid w:val="00081995"/>
    <w:rsid w:val="00082187"/>
    <w:rsid w:val="00082BFB"/>
    <w:rsid w:val="00084573"/>
    <w:rsid w:val="0008478F"/>
    <w:rsid w:val="00086889"/>
    <w:rsid w:val="00090709"/>
    <w:rsid w:val="00090B76"/>
    <w:rsid w:val="00091376"/>
    <w:rsid w:val="000A138F"/>
    <w:rsid w:val="000A23EB"/>
    <w:rsid w:val="000A298F"/>
    <w:rsid w:val="000A45A0"/>
    <w:rsid w:val="000A7164"/>
    <w:rsid w:val="000A7FDF"/>
    <w:rsid w:val="000B115A"/>
    <w:rsid w:val="000B3171"/>
    <w:rsid w:val="000B6108"/>
    <w:rsid w:val="000C12C6"/>
    <w:rsid w:val="000C3F11"/>
    <w:rsid w:val="000C49C7"/>
    <w:rsid w:val="000C5D3A"/>
    <w:rsid w:val="000D0EE8"/>
    <w:rsid w:val="000D2268"/>
    <w:rsid w:val="000D260D"/>
    <w:rsid w:val="000D78A4"/>
    <w:rsid w:val="000E09A9"/>
    <w:rsid w:val="000E2878"/>
    <w:rsid w:val="000E4E18"/>
    <w:rsid w:val="000E58CC"/>
    <w:rsid w:val="000E60BE"/>
    <w:rsid w:val="000E7700"/>
    <w:rsid w:val="000F2B0D"/>
    <w:rsid w:val="000F3F79"/>
    <w:rsid w:val="000F468B"/>
    <w:rsid w:val="000F4CBC"/>
    <w:rsid w:val="000F5032"/>
    <w:rsid w:val="000F7109"/>
    <w:rsid w:val="000F760C"/>
    <w:rsid w:val="00100665"/>
    <w:rsid w:val="0010188B"/>
    <w:rsid w:val="00101EF8"/>
    <w:rsid w:val="00103678"/>
    <w:rsid w:val="00104F2B"/>
    <w:rsid w:val="00110ADF"/>
    <w:rsid w:val="00110EC3"/>
    <w:rsid w:val="001165AE"/>
    <w:rsid w:val="001169A4"/>
    <w:rsid w:val="00116A6A"/>
    <w:rsid w:val="0012192E"/>
    <w:rsid w:val="00127204"/>
    <w:rsid w:val="001273CF"/>
    <w:rsid w:val="00130982"/>
    <w:rsid w:val="00130C79"/>
    <w:rsid w:val="0013140B"/>
    <w:rsid w:val="001319A2"/>
    <w:rsid w:val="001321D4"/>
    <w:rsid w:val="00132800"/>
    <w:rsid w:val="001346CB"/>
    <w:rsid w:val="00136249"/>
    <w:rsid w:val="00146457"/>
    <w:rsid w:val="001506CD"/>
    <w:rsid w:val="001518E8"/>
    <w:rsid w:val="001524CD"/>
    <w:rsid w:val="00152AA4"/>
    <w:rsid w:val="001532C6"/>
    <w:rsid w:val="00156677"/>
    <w:rsid w:val="001576C6"/>
    <w:rsid w:val="00160F7D"/>
    <w:rsid w:val="001610FB"/>
    <w:rsid w:val="00167276"/>
    <w:rsid w:val="00171E70"/>
    <w:rsid w:val="00175602"/>
    <w:rsid w:val="001806E7"/>
    <w:rsid w:val="00180DE1"/>
    <w:rsid w:val="001818FB"/>
    <w:rsid w:val="0018240A"/>
    <w:rsid w:val="0018287C"/>
    <w:rsid w:val="00184704"/>
    <w:rsid w:val="00184EAE"/>
    <w:rsid w:val="00186D9C"/>
    <w:rsid w:val="00187B71"/>
    <w:rsid w:val="00191315"/>
    <w:rsid w:val="00193029"/>
    <w:rsid w:val="001A00DD"/>
    <w:rsid w:val="001A20BF"/>
    <w:rsid w:val="001A2551"/>
    <w:rsid w:val="001A2785"/>
    <w:rsid w:val="001A7680"/>
    <w:rsid w:val="001A777D"/>
    <w:rsid w:val="001B0FC3"/>
    <w:rsid w:val="001B21A0"/>
    <w:rsid w:val="001B2261"/>
    <w:rsid w:val="001B4114"/>
    <w:rsid w:val="001B5B29"/>
    <w:rsid w:val="001B6FB2"/>
    <w:rsid w:val="001C134A"/>
    <w:rsid w:val="001C2A92"/>
    <w:rsid w:val="001C3FD5"/>
    <w:rsid w:val="001C42AF"/>
    <w:rsid w:val="001C74D7"/>
    <w:rsid w:val="001C77AD"/>
    <w:rsid w:val="001D6D86"/>
    <w:rsid w:val="001E0BC8"/>
    <w:rsid w:val="001E26B9"/>
    <w:rsid w:val="001E51E4"/>
    <w:rsid w:val="001E7AB1"/>
    <w:rsid w:val="001F0351"/>
    <w:rsid w:val="001F2F14"/>
    <w:rsid w:val="001F40DE"/>
    <w:rsid w:val="001F5AD3"/>
    <w:rsid w:val="001F5C12"/>
    <w:rsid w:val="001F7999"/>
    <w:rsid w:val="001F7ED0"/>
    <w:rsid w:val="002105A2"/>
    <w:rsid w:val="00210BA4"/>
    <w:rsid w:val="002111F4"/>
    <w:rsid w:val="00212F92"/>
    <w:rsid w:val="00214D4C"/>
    <w:rsid w:val="002156AF"/>
    <w:rsid w:val="00216C4F"/>
    <w:rsid w:val="00217E03"/>
    <w:rsid w:val="0022110E"/>
    <w:rsid w:val="002211D7"/>
    <w:rsid w:val="00221824"/>
    <w:rsid w:val="00222A6E"/>
    <w:rsid w:val="002245CE"/>
    <w:rsid w:val="00224B82"/>
    <w:rsid w:val="00225550"/>
    <w:rsid w:val="002312CC"/>
    <w:rsid w:val="002329A2"/>
    <w:rsid w:val="00234F0D"/>
    <w:rsid w:val="00235139"/>
    <w:rsid w:val="002356D9"/>
    <w:rsid w:val="00235FF9"/>
    <w:rsid w:val="00237CE4"/>
    <w:rsid w:val="00240A54"/>
    <w:rsid w:val="0024102B"/>
    <w:rsid w:val="00244336"/>
    <w:rsid w:val="00244A2E"/>
    <w:rsid w:val="00246A73"/>
    <w:rsid w:val="00246CB8"/>
    <w:rsid w:val="00246FAF"/>
    <w:rsid w:val="00250B7B"/>
    <w:rsid w:val="00254383"/>
    <w:rsid w:val="00255275"/>
    <w:rsid w:val="00255815"/>
    <w:rsid w:val="0025648B"/>
    <w:rsid w:val="00257FFB"/>
    <w:rsid w:val="0026042A"/>
    <w:rsid w:val="00261400"/>
    <w:rsid w:val="002618C2"/>
    <w:rsid w:val="002630C1"/>
    <w:rsid w:val="00265CFE"/>
    <w:rsid w:val="00270C18"/>
    <w:rsid w:val="002715C9"/>
    <w:rsid w:val="00272124"/>
    <w:rsid w:val="00272E24"/>
    <w:rsid w:val="00276068"/>
    <w:rsid w:val="0028212B"/>
    <w:rsid w:val="00286CD8"/>
    <w:rsid w:val="0029092F"/>
    <w:rsid w:val="002911ED"/>
    <w:rsid w:val="002917F8"/>
    <w:rsid w:val="002932AC"/>
    <w:rsid w:val="00294EE3"/>
    <w:rsid w:val="00295418"/>
    <w:rsid w:val="002954CC"/>
    <w:rsid w:val="00295993"/>
    <w:rsid w:val="002A169E"/>
    <w:rsid w:val="002A1F8F"/>
    <w:rsid w:val="002A2C75"/>
    <w:rsid w:val="002A3C06"/>
    <w:rsid w:val="002A58FE"/>
    <w:rsid w:val="002A5E93"/>
    <w:rsid w:val="002A5FA6"/>
    <w:rsid w:val="002A6EC8"/>
    <w:rsid w:val="002A7C29"/>
    <w:rsid w:val="002B0EFD"/>
    <w:rsid w:val="002B1DA7"/>
    <w:rsid w:val="002B5437"/>
    <w:rsid w:val="002B5839"/>
    <w:rsid w:val="002B59C5"/>
    <w:rsid w:val="002B5B6B"/>
    <w:rsid w:val="002B6851"/>
    <w:rsid w:val="002C04DE"/>
    <w:rsid w:val="002C0C2B"/>
    <w:rsid w:val="002C1403"/>
    <w:rsid w:val="002C1FA0"/>
    <w:rsid w:val="002C2A7F"/>
    <w:rsid w:val="002C2B81"/>
    <w:rsid w:val="002C330D"/>
    <w:rsid w:val="002C4CCD"/>
    <w:rsid w:val="002C6600"/>
    <w:rsid w:val="002C6758"/>
    <w:rsid w:val="002C7352"/>
    <w:rsid w:val="002E149F"/>
    <w:rsid w:val="002E2089"/>
    <w:rsid w:val="002E34FD"/>
    <w:rsid w:val="002E45AE"/>
    <w:rsid w:val="002E6CFE"/>
    <w:rsid w:val="002F2A4C"/>
    <w:rsid w:val="002F3495"/>
    <w:rsid w:val="002F4CE1"/>
    <w:rsid w:val="002F6901"/>
    <w:rsid w:val="002F6DAF"/>
    <w:rsid w:val="002F7C2E"/>
    <w:rsid w:val="00301AAB"/>
    <w:rsid w:val="00301B8A"/>
    <w:rsid w:val="003023A2"/>
    <w:rsid w:val="00303662"/>
    <w:rsid w:val="00306C8F"/>
    <w:rsid w:val="00307949"/>
    <w:rsid w:val="00310546"/>
    <w:rsid w:val="003150CA"/>
    <w:rsid w:val="0031521A"/>
    <w:rsid w:val="00323DBB"/>
    <w:rsid w:val="00325FAE"/>
    <w:rsid w:val="00327DAF"/>
    <w:rsid w:val="00327EBE"/>
    <w:rsid w:val="00333917"/>
    <w:rsid w:val="00334267"/>
    <w:rsid w:val="00334B24"/>
    <w:rsid w:val="003367E6"/>
    <w:rsid w:val="00336FB2"/>
    <w:rsid w:val="003408CC"/>
    <w:rsid w:val="003424BB"/>
    <w:rsid w:val="00343181"/>
    <w:rsid w:val="00346705"/>
    <w:rsid w:val="00347DE2"/>
    <w:rsid w:val="00350833"/>
    <w:rsid w:val="00350898"/>
    <w:rsid w:val="0035135A"/>
    <w:rsid w:val="003566A4"/>
    <w:rsid w:val="00357B37"/>
    <w:rsid w:val="0036180B"/>
    <w:rsid w:val="00361896"/>
    <w:rsid w:val="00361E74"/>
    <w:rsid w:val="00362D37"/>
    <w:rsid w:val="00363035"/>
    <w:rsid w:val="00364304"/>
    <w:rsid w:val="0036552A"/>
    <w:rsid w:val="003655A8"/>
    <w:rsid w:val="003660AB"/>
    <w:rsid w:val="00374D69"/>
    <w:rsid w:val="00374E2D"/>
    <w:rsid w:val="00375D7C"/>
    <w:rsid w:val="00376B06"/>
    <w:rsid w:val="003803FC"/>
    <w:rsid w:val="00380C26"/>
    <w:rsid w:val="00381AEF"/>
    <w:rsid w:val="00381C3A"/>
    <w:rsid w:val="003829B3"/>
    <w:rsid w:val="00383273"/>
    <w:rsid w:val="00387865"/>
    <w:rsid w:val="0039033E"/>
    <w:rsid w:val="003925EF"/>
    <w:rsid w:val="003943FB"/>
    <w:rsid w:val="003952D6"/>
    <w:rsid w:val="003A4DB4"/>
    <w:rsid w:val="003A6516"/>
    <w:rsid w:val="003A6B48"/>
    <w:rsid w:val="003A764C"/>
    <w:rsid w:val="003B4D1F"/>
    <w:rsid w:val="003B58CD"/>
    <w:rsid w:val="003B674B"/>
    <w:rsid w:val="003B6CAB"/>
    <w:rsid w:val="003B6D8B"/>
    <w:rsid w:val="003B71D9"/>
    <w:rsid w:val="003B7AE2"/>
    <w:rsid w:val="003C0D97"/>
    <w:rsid w:val="003C132C"/>
    <w:rsid w:val="003C1AE5"/>
    <w:rsid w:val="003C4C84"/>
    <w:rsid w:val="003C5AD3"/>
    <w:rsid w:val="003C7AFF"/>
    <w:rsid w:val="003D08C0"/>
    <w:rsid w:val="003D1CF4"/>
    <w:rsid w:val="003D372A"/>
    <w:rsid w:val="003D3C54"/>
    <w:rsid w:val="003D5027"/>
    <w:rsid w:val="003D5FED"/>
    <w:rsid w:val="003D639C"/>
    <w:rsid w:val="003D6630"/>
    <w:rsid w:val="003E0D3D"/>
    <w:rsid w:val="003E2866"/>
    <w:rsid w:val="003E2FCB"/>
    <w:rsid w:val="003E3504"/>
    <w:rsid w:val="003E401F"/>
    <w:rsid w:val="003E5851"/>
    <w:rsid w:val="003E7D11"/>
    <w:rsid w:val="003F01FA"/>
    <w:rsid w:val="003F3B51"/>
    <w:rsid w:val="003F5C0F"/>
    <w:rsid w:val="003F653E"/>
    <w:rsid w:val="003F6729"/>
    <w:rsid w:val="004044F5"/>
    <w:rsid w:val="004046CA"/>
    <w:rsid w:val="00406890"/>
    <w:rsid w:val="004115DC"/>
    <w:rsid w:val="004124A0"/>
    <w:rsid w:val="00413FF9"/>
    <w:rsid w:val="00414AE2"/>
    <w:rsid w:val="00414B9C"/>
    <w:rsid w:val="00415A4D"/>
    <w:rsid w:val="00420652"/>
    <w:rsid w:val="00421536"/>
    <w:rsid w:val="00421B8D"/>
    <w:rsid w:val="00424500"/>
    <w:rsid w:val="00425660"/>
    <w:rsid w:val="00427F67"/>
    <w:rsid w:val="00430368"/>
    <w:rsid w:val="004318BD"/>
    <w:rsid w:val="004318F4"/>
    <w:rsid w:val="0043329D"/>
    <w:rsid w:val="004356C4"/>
    <w:rsid w:val="00441900"/>
    <w:rsid w:val="00442D37"/>
    <w:rsid w:val="00444A0C"/>
    <w:rsid w:val="00446A88"/>
    <w:rsid w:val="00446D6D"/>
    <w:rsid w:val="00452CCD"/>
    <w:rsid w:val="00452FE2"/>
    <w:rsid w:val="00454721"/>
    <w:rsid w:val="00455F98"/>
    <w:rsid w:val="00456891"/>
    <w:rsid w:val="00456FD3"/>
    <w:rsid w:val="0045720B"/>
    <w:rsid w:val="004614CB"/>
    <w:rsid w:val="00461B2E"/>
    <w:rsid w:val="00461FF9"/>
    <w:rsid w:val="00462ACA"/>
    <w:rsid w:val="004639BC"/>
    <w:rsid w:val="004642E0"/>
    <w:rsid w:val="00464B1D"/>
    <w:rsid w:val="00465E0E"/>
    <w:rsid w:val="00466B66"/>
    <w:rsid w:val="004677B9"/>
    <w:rsid w:val="00467C2E"/>
    <w:rsid w:val="004703D0"/>
    <w:rsid w:val="00470CA5"/>
    <w:rsid w:val="004720FF"/>
    <w:rsid w:val="00476232"/>
    <w:rsid w:val="004802C3"/>
    <w:rsid w:val="004845C4"/>
    <w:rsid w:val="004848C6"/>
    <w:rsid w:val="00486793"/>
    <w:rsid w:val="004869E2"/>
    <w:rsid w:val="00487719"/>
    <w:rsid w:val="0049473F"/>
    <w:rsid w:val="00494E5C"/>
    <w:rsid w:val="00495762"/>
    <w:rsid w:val="00495F3A"/>
    <w:rsid w:val="00496527"/>
    <w:rsid w:val="004965AE"/>
    <w:rsid w:val="004A01E8"/>
    <w:rsid w:val="004A0AF5"/>
    <w:rsid w:val="004A144C"/>
    <w:rsid w:val="004A3703"/>
    <w:rsid w:val="004A3EE9"/>
    <w:rsid w:val="004A4E9F"/>
    <w:rsid w:val="004A5A6B"/>
    <w:rsid w:val="004A5B2C"/>
    <w:rsid w:val="004A6178"/>
    <w:rsid w:val="004A656F"/>
    <w:rsid w:val="004A7B24"/>
    <w:rsid w:val="004A7C23"/>
    <w:rsid w:val="004B096C"/>
    <w:rsid w:val="004B17A5"/>
    <w:rsid w:val="004B1813"/>
    <w:rsid w:val="004B30DF"/>
    <w:rsid w:val="004B346E"/>
    <w:rsid w:val="004B47FC"/>
    <w:rsid w:val="004B6065"/>
    <w:rsid w:val="004B6B7A"/>
    <w:rsid w:val="004C024B"/>
    <w:rsid w:val="004C7353"/>
    <w:rsid w:val="004C7F63"/>
    <w:rsid w:val="004D34CB"/>
    <w:rsid w:val="004D623B"/>
    <w:rsid w:val="004E1B1C"/>
    <w:rsid w:val="004E653D"/>
    <w:rsid w:val="004F19EE"/>
    <w:rsid w:val="004F57A7"/>
    <w:rsid w:val="004F7489"/>
    <w:rsid w:val="005003C0"/>
    <w:rsid w:val="00503028"/>
    <w:rsid w:val="00505CB0"/>
    <w:rsid w:val="00511152"/>
    <w:rsid w:val="005126FA"/>
    <w:rsid w:val="00512D50"/>
    <w:rsid w:val="00517A7A"/>
    <w:rsid w:val="00521851"/>
    <w:rsid w:val="00522333"/>
    <w:rsid w:val="00524284"/>
    <w:rsid w:val="00527C2F"/>
    <w:rsid w:val="005308A2"/>
    <w:rsid w:val="005311C1"/>
    <w:rsid w:val="005313D3"/>
    <w:rsid w:val="0053183F"/>
    <w:rsid w:val="0053421D"/>
    <w:rsid w:val="005346DB"/>
    <w:rsid w:val="00536C43"/>
    <w:rsid w:val="00537120"/>
    <w:rsid w:val="0054061C"/>
    <w:rsid w:val="00541D9A"/>
    <w:rsid w:val="00542CDF"/>
    <w:rsid w:val="00542EB6"/>
    <w:rsid w:val="00543405"/>
    <w:rsid w:val="0054677E"/>
    <w:rsid w:val="00547951"/>
    <w:rsid w:val="00553389"/>
    <w:rsid w:val="0055391B"/>
    <w:rsid w:val="00553B2D"/>
    <w:rsid w:val="00554135"/>
    <w:rsid w:val="00560D38"/>
    <w:rsid w:val="005611B6"/>
    <w:rsid w:val="005627A1"/>
    <w:rsid w:val="00562B13"/>
    <w:rsid w:val="00564802"/>
    <w:rsid w:val="00564870"/>
    <w:rsid w:val="00566694"/>
    <w:rsid w:val="00566DDD"/>
    <w:rsid w:val="00567364"/>
    <w:rsid w:val="00567FB5"/>
    <w:rsid w:val="00571D94"/>
    <w:rsid w:val="00572C7D"/>
    <w:rsid w:val="0057769C"/>
    <w:rsid w:val="0058237F"/>
    <w:rsid w:val="005828E7"/>
    <w:rsid w:val="0058380D"/>
    <w:rsid w:val="00583CD8"/>
    <w:rsid w:val="005850E8"/>
    <w:rsid w:val="005863CA"/>
    <w:rsid w:val="00586943"/>
    <w:rsid w:val="00586E17"/>
    <w:rsid w:val="0058700A"/>
    <w:rsid w:val="005903AE"/>
    <w:rsid w:val="00591369"/>
    <w:rsid w:val="00591A1A"/>
    <w:rsid w:val="005936F4"/>
    <w:rsid w:val="00595758"/>
    <w:rsid w:val="00595DF1"/>
    <w:rsid w:val="005A699B"/>
    <w:rsid w:val="005A6ABA"/>
    <w:rsid w:val="005A7072"/>
    <w:rsid w:val="005A7235"/>
    <w:rsid w:val="005A7E9E"/>
    <w:rsid w:val="005B11AA"/>
    <w:rsid w:val="005B25C4"/>
    <w:rsid w:val="005B47D0"/>
    <w:rsid w:val="005B50D1"/>
    <w:rsid w:val="005C1B8B"/>
    <w:rsid w:val="005C3627"/>
    <w:rsid w:val="005C42E5"/>
    <w:rsid w:val="005C49BE"/>
    <w:rsid w:val="005C5604"/>
    <w:rsid w:val="005C6981"/>
    <w:rsid w:val="005C7430"/>
    <w:rsid w:val="005C76F9"/>
    <w:rsid w:val="005D00E3"/>
    <w:rsid w:val="005D3D81"/>
    <w:rsid w:val="005D5744"/>
    <w:rsid w:val="005D7646"/>
    <w:rsid w:val="005E2EEC"/>
    <w:rsid w:val="005E35AF"/>
    <w:rsid w:val="005F0355"/>
    <w:rsid w:val="005F04A2"/>
    <w:rsid w:val="005F0E45"/>
    <w:rsid w:val="005F27FD"/>
    <w:rsid w:val="005F3D25"/>
    <w:rsid w:val="005F448F"/>
    <w:rsid w:val="005F4B02"/>
    <w:rsid w:val="005F5AD1"/>
    <w:rsid w:val="006001FF"/>
    <w:rsid w:val="00600313"/>
    <w:rsid w:val="006021C6"/>
    <w:rsid w:val="0060375D"/>
    <w:rsid w:val="006047B9"/>
    <w:rsid w:val="00604EA2"/>
    <w:rsid w:val="0060675F"/>
    <w:rsid w:val="006074D1"/>
    <w:rsid w:val="00607AEC"/>
    <w:rsid w:val="00610825"/>
    <w:rsid w:val="00611B8A"/>
    <w:rsid w:val="006157DC"/>
    <w:rsid w:val="0061783E"/>
    <w:rsid w:val="006243DD"/>
    <w:rsid w:val="00624A13"/>
    <w:rsid w:val="00626756"/>
    <w:rsid w:val="00631638"/>
    <w:rsid w:val="00631809"/>
    <w:rsid w:val="006328D2"/>
    <w:rsid w:val="006329AC"/>
    <w:rsid w:val="006348F1"/>
    <w:rsid w:val="00634AC9"/>
    <w:rsid w:val="0063558B"/>
    <w:rsid w:val="006359D3"/>
    <w:rsid w:val="00635CC8"/>
    <w:rsid w:val="006365B7"/>
    <w:rsid w:val="00636877"/>
    <w:rsid w:val="00636B28"/>
    <w:rsid w:val="00641F08"/>
    <w:rsid w:val="00642780"/>
    <w:rsid w:val="006432BF"/>
    <w:rsid w:val="00643577"/>
    <w:rsid w:val="006438B0"/>
    <w:rsid w:val="00643D17"/>
    <w:rsid w:val="0064560F"/>
    <w:rsid w:val="00646955"/>
    <w:rsid w:val="00646A06"/>
    <w:rsid w:val="006471C8"/>
    <w:rsid w:val="006474C5"/>
    <w:rsid w:val="00647705"/>
    <w:rsid w:val="00647B21"/>
    <w:rsid w:val="00652424"/>
    <w:rsid w:val="00654911"/>
    <w:rsid w:val="006558DF"/>
    <w:rsid w:val="006558F1"/>
    <w:rsid w:val="0066336A"/>
    <w:rsid w:val="00664644"/>
    <w:rsid w:val="0066513A"/>
    <w:rsid w:val="00665B35"/>
    <w:rsid w:val="0066689B"/>
    <w:rsid w:val="0066750C"/>
    <w:rsid w:val="0067000D"/>
    <w:rsid w:val="00670BA7"/>
    <w:rsid w:val="00671DA0"/>
    <w:rsid w:val="00673E38"/>
    <w:rsid w:val="00673F40"/>
    <w:rsid w:val="0067752F"/>
    <w:rsid w:val="00677FD5"/>
    <w:rsid w:val="00680E06"/>
    <w:rsid w:val="006811A6"/>
    <w:rsid w:val="0068287F"/>
    <w:rsid w:val="00682B27"/>
    <w:rsid w:val="006838F7"/>
    <w:rsid w:val="006848A1"/>
    <w:rsid w:val="00690F1B"/>
    <w:rsid w:val="00692645"/>
    <w:rsid w:val="0069294D"/>
    <w:rsid w:val="00692FA4"/>
    <w:rsid w:val="0069462F"/>
    <w:rsid w:val="00694727"/>
    <w:rsid w:val="00695D67"/>
    <w:rsid w:val="00695DEC"/>
    <w:rsid w:val="00697928"/>
    <w:rsid w:val="006A5122"/>
    <w:rsid w:val="006B0C23"/>
    <w:rsid w:val="006B0C8C"/>
    <w:rsid w:val="006B17F8"/>
    <w:rsid w:val="006B19D7"/>
    <w:rsid w:val="006B2627"/>
    <w:rsid w:val="006C0D99"/>
    <w:rsid w:val="006C0E6A"/>
    <w:rsid w:val="006C2789"/>
    <w:rsid w:val="006C37F7"/>
    <w:rsid w:val="006C5C8F"/>
    <w:rsid w:val="006D2E9E"/>
    <w:rsid w:val="006D43AE"/>
    <w:rsid w:val="006D4E2D"/>
    <w:rsid w:val="006D5040"/>
    <w:rsid w:val="006D7B4F"/>
    <w:rsid w:val="006E135C"/>
    <w:rsid w:val="006E1BD0"/>
    <w:rsid w:val="006E1C70"/>
    <w:rsid w:val="006E1FBB"/>
    <w:rsid w:val="006E331A"/>
    <w:rsid w:val="006E3DF2"/>
    <w:rsid w:val="006E508B"/>
    <w:rsid w:val="006E5871"/>
    <w:rsid w:val="006E5C62"/>
    <w:rsid w:val="006E6228"/>
    <w:rsid w:val="006E6369"/>
    <w:rsid w:val="006E6FAF"/>
    <w:rsid w:val="006F203A"/>
    <w:rsid w:val="006F55F3"/>
    <w:rsid w:val="00701323"/>
    <w:rsid w:val="00701461"/>
    <w:rsid w:val="00701A19"/>
    <w:rsid w:val="007020DD"/>
    <w:rsid w:val="007045BE"/>
    <w:rsid w:val="007076A1"/>
    <w:rsid w:val="007076A8"/>
    <w:rsid w:val="00707AAB"/>
    <w:rsid w:val="00707F5C"/>
    <w:rsid w:val="007119E5"/>
    <w:rsid w:val="00712A91"/>
    <w:rsid w:val="007136F0"/>
    <w:rsid w:val="00713EC8"/>
    <w:rsid w:val="00713F90"/>
    <w:rsid w:val="00722092"/>
    <w:rsid w:val="007230F0"/>
    <w:rsid w:val="00723E76"/>
    <w:rsid w:val="0072414F"/>
    <w:rsid w:val="007274DC"/>
    <w:rsid w:val="0072781F"/>
    <w:rsid w:val="00727EDD"/>
    <w:rsid w:val="00731350"/>
    <w:rsid w:val="0073149B"/>
    <w:rsid w:val="007315C8"/>
    <w:rsid w:val="007338A8"/>
    <w:rsid w:val="00733FB0"/>
    <w:rsid w:val="00734588"/>
    <w:rsid w:val="00737022"/>
    <w:rsid w:val="00741977"/>
    <w:rsid w:val="00741B12"/>
    <w:rsid w:val="007427AA"/>
    <w:rsid w:val="00742D7E"/>
    <w:rsid w:val="00742F16"/>
    <w:rsid w:val="00743FFE"/>
    <w:rsid w:val="00747934"/>
    <w:rsid w:val="007504FA"/>
    <w:rsid w:val="00753366"/>
    <w:rsid w:val="00755AF9"/>
    <w:rsid w:val="00760749"/>
    <w:rsid w:val="007634E3"/>
    <w:rsid w:val="0076361E"/>
    <w:rsid w:val="00765FDA"/>
    <w:rsid w:val="0076719F"/>
    <w:rsid w:val="00771F36"/>
    <w:rsid w:val="007745D0"/>
    <w:rsid w:val="00780A5D"/>
    <w:rsid w:val="007877E4"/>
    <w:rsid w:val="00790010"/>
    <w:rsid w:val="007906E9"/>
    <w:rsid w:val="00791632"/>
    <w:rsid w:val="00794E05"/>
    <w:rsid w:val="00794F36"/>
    <w:rsid w:val="00797BA3"/>
    <w:rsid w:val="007A07AE"/>
    <w:rsid w:val="007A4ABE"/>
    <w:rsid w:val="007A6831"/>
    <w:rsid w:val="007A6970"/>
    <w:rsid w:val="007A7159"/>
    <w:rsid w:val="007B1A81"/>
    <w:rsid w:val="007B1E93"/>
    <w:rsid w:val="007B4008"/>
    <w:rsid w:val="007B750B"/>
    <w:rsid w:val="007C1BE8"/>
    <w:rsid w:val="007C1ED1"/>
    <w:rsid w:val="007C5A42"/>
    <w:rsid w:val="007D0AAB"/>
    <w:rsid w:val="007D1623"/>
    <w:rsid w:val="007D1C66"/>
    <w:rsid w:val="007D3EDD"/>
    <w:rsid w:val="007D45CD"/>
    <w:rsid w:val="007E0DE3"/>
    <w:rsid w:val="007E2004"/>
    <w:rsid w:val="007E284C"/>
    <w:rsid w:val="007E44C2"/>
    <w:rsid w:val="007E4555"/>
    <w:rsid w:val="007E514B"/>
    <w:rsid w:val="007F38F5"/>
    <w:rsid w:val="007F494E"/>
    <w:rsid w:val="008007E8"/>
    <w:rsid w:val="00802CC7"/>
    <w:rsid w:val="00803968"/>
    <w:rsid w:val="00803FB9"/>
    <w:rsid w:val="00807FE4"/>
    <w:rsid w:val="0081030B"/>
    <w:rsid w:val="0081282A"/>
    <w:rsid w:val="00814403"/>
    <w:rsid w:val="00814CFF"/>
    <w:rsid w:val="00815864"/>
    <w:rsid w:val="008207B8"/>
    <w:rsid w:val="00820C0A"/>
    <w:rsid w:val="00820F72"/>
    <w:rsid w:val="00821450"/>
    <w:rsid w:val="008219A5"/>
    <w:rsid w:val="00825DC8"/>
    <w:rsid w:val="00826691"/>
    <w:rsid w:val="00831ACE"/>
    <w:rsid w:val="00832E83"/>
    <w:rsid w:val="00834422"/>
    <w:rsid w:val="0083794D"/>
    <w:rsid w:val="00840E42"/>
    <w:rsid w:val="00841F4D"/>
    <w:rsid w:val="008424FD"/>
    <w:rsid w:val="00842F3B"/>
    <w:rsid w:val="00843A59"/>
    <w:rsid w:val="00843B8B"/>
    <w:rsid w:val="008455B5"/>
    <w:rsid w:val="00847BFB"/>
    <w:rsid w:val="0085232C"/>
    <w:rsid w:val="008540FA"/>
    <w:rsid w:val="00856369"/>
    <w:rsid w:val="00857104"/>
    <w:rsid w:val="008573FE"/>
    <w:rsid w:val="008618D8"/>
    <w:rsid w:val="00861D41"/>
    <w:rsid w:val="00863AB3"/>
    <w:rsid w:val="0086459B"/>
    <w:rsid w:val="00865223"/>
    <w:rsid w:val="008654DD"/>
    <w:rsid w:val="00865CB5"/>
    <w:rsid w:val="00866EB5"/>
    <w:rsid w:val="00867EDD"/>
    <w:rsid w:val="00874545"/>
    <w:rsid w:val="008749B5"/>
    <w:rsid w:val="00877E9A"/>
    <w:rsid w:val="008805B2"/>
    <w:rsid w:val="0088184F"/>
    <w:rsid w:val="00882F73"/>
    <w:rsid w:val="00883E25"/>
    <w:rsid w:val="00890716"/>
    <w:rsid w:val="00890AE4"/>
    <w:rsid w:val="0089192A"/>
    <w:rsid w:val="00891CAE"/>
    <w:rsid w:val="0089407B"/>
    <w:rsid w:val="008955A6"/>
    <w:rsid w:val="0089663D"/>
    <w:rsid w:val="00896F53"/>
    <w:rsid w:val="008A035B"/>
    <w:rsid w:val="008A066E"/>
    <w:rsid w:val="008A11F4"/>
    <w:rsid w:val="008A67EC"/>
    <w:rsid w:val="008A7CCC"/>
    <w:rsid w:val="008B00D3"/>
    <w:rsid w:val="008B132B"/>
    <w:rsid w:val="008B33FE"/>
    <w:rsid w:val="008B3A18"/>
    <w:rsid w:val="008B42AF"/>
    <w:rsid w:val="008B434D"/>
    <w:rsid w:val="008C12F9"/>
    <w:rsid w:val="008C2876"/>
    <w:rsid w:val="008C46C4"/>
    <w:rsid w:val="008C6629"/>
    <w:rsid w:val="008C7F70"/>
    <w:rsid w:val="008D190E"/>
    <w:rsid w:val="008D2271"/>
    <w:rsid w:val="008D26AE"/>
    <w:rsid w:val="008E0999"/>
    <w:rsid w:val="008E300B"/>
    <w:rsid w:val="008E46B3"/>
    <w:rsid w:val="008E4C6F"/>
    <w:rsid w:val="008E780D"/>
    <w:rsid w:val="008F0477"/>
    <w:rsid w:val="00900279"/>
    <w:rsid w:val="00900A69"/>
    <w:rsid w:val="00903413"/>
    <w:rsid w:val="0090407F"/>
    <w:rsid w:val="009050C2"/>
    <w:rsid w:val="00907F1C"/>
    <w:rsid w:val="00910773"/>
    <w:rsid w:val="00910CEE"/>
    <w:rsid w:val="0091185E"/>
    <w:rsid w:val="00911FC0"/>
    <w:rsid w:val="009139E6"/>
    <w:rsid w:val="00914B85"/>
    <w:rsid w:val="009174BD"/>
    <w:rsid w:val="0092076D"/>
    <w:rsid w:val="00921639"/>
    <w:rsid w:val="00921AA2"/>
    <w:rsid w:val="0092211A"/>
    <w:rsid w:val="00926BB2"/>
    <w:rsid w:val="00933F08"/>
    <w:rsid w:val="00934489"/>
    <w:rsid w:val="00935D87"/>
    <w:rsid w:val="00935FD8"/>
    <w:rsid w:val="00936C3F"/>
    <w:rsid w:val="00936C70"/>
    <w:rsid w:val="00937168"/>
    <w:rsid w:val="00937D49"/>
    <w:rsid w:val="009428ED"/>
    <w:rsid w:val="00944B8E"/>
    <w:rsid w:val="009455E2"/>
    <w:rsid w:val="009560AC"/>
    <w:rsid w:val="00956BE7"/>
    <w:rsid w:val="00957A6A"/>
    <w:rsid w:val="00960167"/>
    <w:rsid w:val="0096029A"/>
    <w:rsid w:val="00960934"/>
    <w:rsid w:val="0096108C"/>
    <w:rsid w:val="00961B24"/>
    <w:rsid w:val="00961BBC"/>
    <w:rsid w:val="00963AD2"/>
    <w:rsid w:val="0096448A"/>
    <w:rsid w:val="00964C6C"/>
    <w:rsid w:val="0096703C"/>
    <w:rsid w:val="00967C71"/>
    <w:rsid w:val="00970AA9"/>
    <w:rsid w:val="00970E56"/>
    <w:rsid w:val="009715AC"/>
    <w:rsid w:val="009725E1"/>
    <w:rsid w:val="0097301E"/>
    <w:rsid w:val="00975A5B"/>
    <w:rsid w:val="00977110"/>
    <w:rsid w:val="00977372"/>
    <w:rsid w:val="00982EA8"/>
    <w:rsid w:val="00985A25"/>
    <w:rsid w:val="0098620E"/>
    <w:rsid w:val="009863F1"/>
    <w:rsid w:val="00986FBB"/>
    <w:rsid w:val="00990AED"/>
    <w:rsid w:val="00991142"/>
    <w:rsid w:val="00992CA8"/>
    <w:rsid w:val="0099695A"/>
    <w:rsid w:val="009A0D37"/>
    <w:rsid w:val="009A1574"/>
    <w:rsid w:val="009A3629"/>
    <w:rsid w:val="009A4C1F"/>
    <w:rsid w:val="009A6E85"/>
    <w:rsid w:val="009A73AB"/>
    <w:rsid w:val="009B1611"/>
    <w:rsid w:val="009B3339"/>
    <w:rsid w:val="009B44DE"/>
    <w:rsid w:val="009B51B3"/>
    <w:rsid w:val="009B56AD"/>
    <w:rsid w:val="009B5B9D"/>
    <w:rsid w:val="009B5D1F"/>
    <w:rsid w:val="009B6CB5"/>
    <w:rsid w:val="009B766D"/>
    <w:rsid w:val="009B7BDF"/>
    <w:rsid w:val="009C181D"/>
    <w:rsid w:val="009C1993"/>
    <w:rsid w:val="009C65C2"/>
    <w:rsid w:val="009C7DDF"/>
    <w:rsid w:val="009D0ACE"/>
    <w:rsid w:val="009D3C86"/>
    <w:rsid w:val="009D4711"/>
    <w:rsid w:val="009D5941"/>
    <w:rsid w:val="009D6C93"/>
    <w:rsid w:val="009E0CE8"/>
    <w:rsid w:val="009E0EF0"/>
    <w:rsid w:val="009E1B30"/>
    <w:rsid w:val="009E311B"/>
    <w:rsid w:val="009E3DDB"/>
    <w:rsid w:val="009E47F5"/>
    <w:rsid w:val="009E4B65"/>
    <w:rsid w:val="009E4F36"/>
    <w:rsid w:val="009E68E4"/>
    <w:rsid w:val="009F154A"/>
    <w:rsid w:val="009F22CC"/>
    <w:rsid w:val="009F2F7C"/>
    <w:rsid w:val="009F4D12"/>
    <w:rsid w:val="009F6DED"/>
    <w:rsid w:val="009F7321"/>
    <w:rsid w:val="009F769A"/>
    <w:rsid w:val="009F7F04"/>
    <w:rsid w:val="00A0124F"/>
    <w:rsid w:val="00A06806"/>
    <w:rsid w:val="00A068FB"/>
    <w:rsid w:val="00A0747A"/>
    <w:rsid w:val="00A11005"/>
    <w:rsid w:val="00A1264A"/>
    <w:rsid w:val="00A210D6"/>
    <w:rsid w:val="00A2492C"/>
    <w:rsid w:val="00A2687B"/>
    <w:rsid w:val="00A26B41"/>
    <w:rsid w:val="00A3003A"/>
    <w:rsid w:val="00A300D6"/>
    <w:rsid w:val="00A32912"/>
    <w:rsid w:val="00A34230"/>
    <w:rsid w:val="00A35340"/>
    <w:rsid w:val="00A362CF"/>
    <w:rsid w:val="00A37A4E"/>
    <w:rsid w:val="00A41445"/>
    <w:rsid w:val="00A422C8"/>
    <w:rsid w:val="00A4313D"/>
    <w:rsid w:val="00A444AC"/>
    <w:rsid w:val="00A50399"/>
    <w:rsid w:val="00A504FE"/>
    <w:rsid w:val="00A50E6F"/>
    <w:rsid w:val="00A52CCD"/>
    <w:rsid w:val="00A52D7D"/>
    <w:rsid w:val="00A53123"/>
    <w:rsid w:val="00A5381A"/>
    <w:rsid w:val="00A54768"/>
    <w:rsid w:val="00A56381"/>
    <w:rsid w:val="00A57D74"/>
    <w:rsid w:val="00A62883"/>
    <w:rsid w:val="00A62A49"/>
    <w:rsid w:val="00A66364"/>
    <w:rsid w:val="00A72894"/>
    <w:rsid w:val="00A77977"/>
    <w:rsid w:val="00A80457"/>
    <w:rsid w:val="00A80AD1"/>
    <w:rsid w:val="00A8280D"/>
    <w:rsid w:val="00A8379F"/>
    <w:rsid w:val="00A84F70"/>
    <w:rsid w:val="00A854D9"/>
    <w:rsid w:val="00A8687B"/>
    <w:rsid w:val="00A86A4C"/>
    <w:rsid w:val="00A9148C"/>
    <w:rsid w:val="00A915D0"/>
    <w:rsid w:val="00A96178"/>
    <w:rsid w:val="00A96AF1"/>
    <w:rsid w:val="00AA38E3"/>
    <w:rsid w:val="00AA39A6"/>
    <w:rsid w:val="00AA3B66"/>
    <w:rsid w:val="00AA7F80"/>
    <w:rsid w:val="00AB10D2"/>
    <w:rsid w:val="00AB4709"/>
    <w:rsid w:val="00AB4A4B"/>
    <w:rsid w:val="00AC2285"/>
    <w:rsid w:val="00AC3BB2"/>
    <w:rsid w:val="00AC7AA3"/>
    <w:rsid w:val="00AC7C39"/>
    <w:rsid w:val="00AD03A7"/>
    <w:rsid w:val="00AD0D54"/>
    <w:rsid w:val="00AD18A0"/>
    <w:rsid w:val="00AD1D4A"/>
    <w:rsid w:val="00AD42AD"/>
    <w:rsid w:val="00AD4A6D"/>
    <w:rsid w:val="00AD5EA0"/>
    <w:rsid w:val="00AD698C"/>
    <w:rsid w:val="00AE0C8F"/>
    <w:rsid w:val="00AE10E0"/>
    <w:rsid w:val="00AE1576"/>
    <w:rsid w:val="00AE2B53"/>
    <w:rsid w:val="00AE2D3E"/>
    <w:rsid w:val="00AE4616"/>
    <w:rsid w:val="00AE5DD1"/>
    <w:rsid w:val="00AE6607"/>
    <w:rsid w:val="00AE78F7"/>
    <w:rsid w:val="00AF21BF"/>
    <w:rsid w:val="00AF41EE"/>
    <w:rsid w:val="00AF66A5"/>
    <w:rsid w:val="00AF7451"/>
    <w:rsid w:val="00AF769C"/>
    <w:rsid w:val="00B02C68"/>
    <w:rsid w:val="00B03830"/>
    <w:rsid w:val="00B059A2"/>
    <w:rsid w:val="00B070FB"/>
    <w:rsid w:val="00B12055"/>
    <w:rsid w:val="00B13E1D"/>
    <w:rsid w:val="00B164C4"/>
    <w:rsid w:val="00B16DC5"/>
    <w:rsid w:val="00B175A4"/>
    <w:rsid w:val="00B2052D"/>
    <w:rsid w:val="00B2190B"/>
    <w:rsid w:val="00B22E5F"/>
    <w:rsid w:val="00B2371B"/>
    <w:rsid w:val="00B2375A"/>
    <w:rsid w:val="00B241A3"/>
    <w:rsid w:val="00B2505F"/>
    <w:rsid w:val="00B30095"/>
    <w:rsid w:val="00B310EE"/>
    <w:rsid w:val="00B3154F"/>
    <w:rsid w:val="00B31E02"/>
    <w:rsid w:val="00B34041"/>
    <w:rsid w:val="00B3546F"/>
    <w:rsid w:val="00B36865"/>
    <w:rsid w:val="00B42ADE"/>
    <w:rsid w:val="00B437C3"/>
    <w:rsid w:val="00B45546"/>
    <w:rsid w:val="00B465AB"/>
    <w:rsid w:val="00B5126E"/>
    <w:rsid w:val="00B54962"/>
    <w:rsid w:val="00B560DC"/>
    <w:rsid w:val="00B6041B"/>
    <w:rsid w:val="00B61263"/>
    <w:rsid w:val="00B61A2D"/>
    <w:rsid w:val="00B625A0"/>
    <w:rsid w:val="00B64E78"/>
    <w:rsid w:val="00B661C3"/>
    <w:rsid w:val="00B67DE5"/>
    <w:rsid w:val="00B7074E"/>
    <w:rsid w:val="00B70DFD"/>
    <w:rsid w:val="00B71B34"/>
    <w:rsid w:val="00B725E1"/>
    <w:rsid w:val="00B730F4"/>
    <w:rsid w:val="00B7339D"/>
    <w:rsid w:val="00B84572"/>
    <w:rsid w:val="00B8558F"/>
    <w:rsid w:val="00B86F41"/>
    <w:rsid w:val="00B87792"/>
    <w:rsid w:val="00B87B80"/>
    <w:rsid w:val="00B94828"/>
    <w:rsid w:val="00BA00FE"/>
    <w:rsid w:val="00BA0B39"/>
    <w:rsid w:val="00BA118B"/>
    <w:rsid w:val="00BA30A3"/>
    <w:rsid w:val="00BA7306"/>
    <w:rsid w:val="00BB13FB"/>
    <w:rsid w:val="00BB184A"/>
    <w:rsid w:val="00BB3A66"/>
    <w:rsid w:val="00BB40EA"/>
    <w:rsid w:val="00BB563B"/>
    <w:rsid w:val="00BB5B81"/>
    <w:rsid w:val="00BB667B"/>
    <w:rsid w:val="00BC306A"/>
    <w:rsid w:val="00BC527D"/>
    <w:rsid w:val="00BC6CE3"/>
    <w:rsid w:val="00BC717A"/>
    <w:rsid w:val="00BD213D"/>
    <w:rsid w:val="00BD2F8F"/>
    <w:rsid w:val="00BD4976"/>
    <w:rsid w:val="00BE0830"/>
    <w:rsid w:val="00BE1052"/>
    <w:rsid w:val="00BE1939"/>
    <w:rsid w:val="00BE38FA"/>
    <w:rsid w:val="00BE39AC"/>
    <w:rsid w:val="00BE409B"/>
    <w:rsid w:val="00BE6B41"/>
    <w:rsid w:val="00BE6C5F"/>
    <w:rsid w:val="00BF29DB"/>
    <w:rsid w:val="00BF301E"/>
    <w:rsid w:val="00BF4714"/>
    <w:rsid w:val="00BF5390"/>
    <w:rsid w:val="00BF57F1"/>
    <w:rsid w:val="00BF74AC"/>
    <w:rsid w:val="00C0206A"/>
    <w:rsid w:val="00C02693"/>
    <w:rsid w:val="00C1087D"/>
    <w:rsid w:val="00C11BF9"/>
    <w:rsid w:val="00C12DE0"/>
    <w:rsid w:val="00C137A6"/>
    <w:rsid w:val="00C16A92"/>
    <w:rsid w:val="00C20635"/>
    <w:rsid w:val="00C20FD1"/>
    <w:rsid w:val="00C22D6F"/>
    <w:rsid w:val="00C2442C"/>
    <w:rsid w:val="00C33171"/>
    <w:rsid w:val="00C35C92"/>
    <w:rsid w:val="00C363F5"/>
    <w:rsid w:val="00C433B5"/>
    <w:rsid w:val="00C44644"/>
    <w:rsid w:val="00C447FE"/>
    <w:rsid w:val="00C527A9"/>
    <w:rsid w:val="00C52E87"/>
    <w:rsid w:val="00C573CD"/>
    <w:rsid w:val="00C577CC"/>
    <w:rsid w:val="00C60111"/>
    <w:rsid w:val="00C612BB"/>
    <w:rsid w:val="00C6382D"/>
    <w:rsid w:val="00C7083E"/>
    <w:rsid w:val="00C73312"/>
    <w:rsid w:val="00C7352F"/>
    <w:rsid w:val="00C73EB4"/>
    <w:rsid w:val="00C745EB"/>
    <w:rsid w:val="00C74B58"/>
    <w:rsid w:val="00C7577E"/>
    <w:rsid w:val="00C76266"/>
    <w:rsid w:val="00C81DFA"/>
    <w:rsid w:val="00C82672"/>
    <w:rsid w:val="00C82D45"/>
    <w:rsid w:val="00C83047"/>
    <w:rsid w:val="00C849E4"/>
    <w:rsid w:val="00C92850"/>
    <w:rsid w:val="00C9321A"/>
    <w:rsid w:val="00C93D39"/>
    <w:rsid w:val="00C94171"/>
    <w:rsid w:val="00C94D9E"/>
    <w:rsid w:val="00C95FF1"/>
    <w:rsid w:val="00C96102"/>
    <w:rsid w:val="00C96AE5"/>
    <w:rsid w:val="00C97847"/>
    <w:rsid w:val="00CA0EB3"/>
    <w:rsid w:val="00CA2A84"/>
    <w:rsid w:val="00CA51FB"/>
    <w:rsid w:val="00CA576C"/>
    <w:rsid w:val="00CA7AA6"/>
    <w:rsid w:val="00CB0D39"/>
    <w:rsid w:val="00CC1D19"/>
    <w:rsid w:val="00CC28D7"/>
    <w:rsid w:val="00CC482F"/>
    <w:rsid w:val="00CC5634"/>
    <w:rsid w:val="00CD1377"/>
    <w:rsid w:val="00CD2259"/>
    <w:rsid w:val="00CD34EE"/>
    <w:rsid w:val="00CD3B2D"/>
    <w:rsid w:val="00CD415F"/>
    <w:rsid w:val="00CD55F8"/>
    <w:rsid w:val="00CD58DF"/>
    <w:rsid w:val="00CD6296"/>
    <w:rsid w:val="00CE00B4"/>
    <w:rsid w:val="00CE0F66"/>
    <w:rsid w:val="00CE127B"/>
    <w:rsid w:val="00CE3672"/>
    <w:rsid w:val="00CE53CF"/>
    <w:rsid w:val="00CE74FC"/>
    <w:rsid w:val="00CF003B"/>
    <w:rsid w:val="00CF293D"/>
    <w:rsid w:val="00CF5523"/>
    <w:rsid w:val="00CF56BA"/>
    <w:rsid w:val="00CF5C51"/>
    <w:rsid w:val="00CF648F"/>
    <w:rsid w:val="00CF6E82"/>
    <w:rsid w:val="00CF7CD1"/>
    <w:rsid w:val="00D01449"/>
    <w:rsid w:val="00D04942"/>
    <w:rsid w:val="00D04D48"/>
    <w:rsid w:val="00D05D7F"/>
    <w:rsid w:val="00D07998"/>
    <w:rsid w:val="00D07AF7"/>
    <w:rsid w:val="00D07BF1"/>
    <w:rsid w:val="00D07D3E"/>
    <w:rsid w:val="00D12516"/>
    <w:rsid w:val="00D16162"/>
    <w:rsid w:val="00D17B05"/>
    <w:rsid w:val="00D2040A"/>
    <w:rsid w:val="00D3083F"/>
    <w:rsid w:val="00D31F45"/>
    <w:rsid w:val="00D361A1"/>
    <w:rsid w:val="00D4026E"/>
    <w:rsid w:val="00D40A97"/>
    <w:rsid w:val="00D41F91"/>
    <w:rsid w:val="00D42F1F"/>
    <w:rsid w:val="00D4444D"/>
    <w:rsid w:val="00D44B85"/>
    <w:rsid w:val="00D45161"/>
    <w:rsid w:val="00D6189F"/>
    <w:rsid w:val="00D61AF1"/>
    <w:rsid w:val="00D65D36"/>
    <w:rsid w:val="00D65DD8"/>
    <w:rsid w:val="00D669A0"/>
    <w:rsid w:val="00D66FF7"/>
    <w:rsid w:val="00D673FB"/>
    <w:rsid w:val="00D70946"/>
    <w:rsid w:val="00D710DA"/>
    <w:rsid w:val="00D73616"/>
    <w:rsid w:val="00D74E69"/>
    <w:rsid w:val="00D763F5"/>
    <w:rsid w:val="00D76F46"/>
    <w:rsid w:val="00D80566"/>
    <w:rsid w:val="00D8137B"/>
    <w:rsid w:val="00D86339"/>
    <w:rsid w:val="00D86E6B"/>
    <w:rsid w:val="00D90014"/>
    <w:rsid w:val="00D90EDE"/>
    <w:rsid w:val="00D91024"/>
    <w:rsid w:val="00D92FAE"/>
    <w:rsid w:val="00D96A30"/>
    <w:rsid w:val="00DA3D60"/>
    <w:rsid w:val="00DA4162"/>
    <w:rsid w:val="00DA4D4B"/>
    <w:rsid w:val="00DA5401"/>
    <w:rsid w:val="00DA563A"/>
    <w:rsid w:val="00DA6F98"/>
    <w:rsid w:val="00DB0FD8"/>
    <w:rsid w:val="00DB30E1"/>
    <w:rsid w:val="00DB55CB"/>
    <w:rsid w:val="00DB5AC7"/>
    <w:rsid w:val="00DB6254"/>
    <w:rsid w:val="00DC0B56"/>
    <w:rsid w:val="00DC2395"/>
    <w:rsid w:val="00DC31B9"/>
    <w:rsid w:val="00DC3386"/>
    <w:rsid w:val="00DC3CB0"/>
    <w:rsid w:val="00DC53B2"/>
    <w:rsid w:val="00DC6003"/>
    <w:rsid w:val="00DD0344"/>
    <w:rsid w:val="00DD164E"/>
    <w:rsid w:val="00DD18DA"/>
    <w:rsid w:val="00DD1DD4"/>
    <w:rsid w:val="00DD20AE"/>
    <w:rsid w:val="00DD44A2"/>
    <w:rsid w:val="00DD575C"/>
    <w:rsid w:val="00DD6D5A"/>
    <w:rsid w:val="00DD756E"/>
    <w:rsid w:val="00DE12B6"/>
    <w:rsid w:val="00DE2970"/>
    <w:rsid w:val="00DE2BE8"/>
    <w:rsid w:val="00DE2CE6"/>
    <w:rsid w:val="00DE3D9A"/>
    <w:rsid w:val="00DE4093"/>
    <w:rsid w:val="00DE6661"/>
    <w:rsid w:val="00DF1BDA"/>
    <w:rsid w:val="00DF66B2"/>
    <w:rsid w:val="00DF7915"/>
    <w:rsid w:val="00E0015A"/>
    <w:rsid w:val="00E0234E"/>
    <w:rsid w:val="00E0284B"/>
    <w:rsid w:val="00E03D38"/>
    <w:rsid w:val="00E04325"/>
    <w:rsid w:val="00E04350"/>
    <w:rsid w:val="00E046F3"/>
    <w:rsid w:val="00E05056"/>
    <w:rsid w:val="00E0604A"/>
    <w:rsid w:val="00E07E71"/>
    <w:rsid w:val="00E10DC1"/>
    <w:rsid w:val="00E11DC8"/>
    <w:rsid w:val="00E12337"/>
    <w:rsid w:val="00E13A39"/>
    <w:rsid w:val="00E1453E"/>
    <w:rsid w:val="00E148A3"/>
    <w:rsid w:val="00E17284"/>
    <w:rsid w:val="00E179E3"/>
    <w:rsid w:val="00E2022F"/>
    <w:rsid w:val="00E2360E"/>
    <w:rsid w:val="00E24500"/>
    <w:rsid w:val="00E26AF2"/>
    <w:rsid w:val="00E3038D"/>
    <w:rsid w:val="00E30519"/>
    <w:rsid w:val="00E30659"/>
    <w:rsid w:val="00E3138D"/>
    <w:rsid w:val="00E31D3B"/>
    <w:rsid w:val="00E32584"/>
    <w:rsid w:val="00E345D3"/>
    <w:rsid w:val="00E357D0"/>
    <w:rsid w:val="00E35B37"/>
    <w:rsid w:val="00E377A5"/>
    <w:rsid w:val="00E43F55"/>
    <w:rsid w:val="00E44980"/>
    <w:rsid w:val="00E44B7C"/>
    <w:rsid w:val="00E44EF1"/>
    <w:rsid w:val="00E452C5"/>
    <w:rsid w:val="00E4690C"/>
    <w:rsid w:val="00E5128D"/>
    <w:rsid w:val="00E523E2"/>
    <w:rsid w:val="00E5338D"/>
    <w:rsid w:val="00E53AAC"/>
    <w:rsid w:val="00E55114"/>
    <w:rsid w:val="00E56F8C"/>
    <w:rsid w:val="00E6383B"/>
    <w:rsid w:val="00E65B72"/>
    <w:rsid w:val="00E66646"/>
    <w:rsid w:val="00E676EA"/>
    <w:rsid w:val="00E67EA1"/>
    <w:rsid w:val="00E730B3"/>
    <w:rsid w:val="00E737D8"/>
    <w:rsid w:val="00E73939"/>
    <w:rsid w:val="00E7503A"/>
    <w:rsid w:val="00E75849"/>
    <w:rsid w:val="00E764A9"/>
    <w:rsid w:val="00E76548"/>
    <w:rsid w:val="00E81255"/>
    <w:rsid w:val="00E83BFD"/>
    <w:rsid w:val="00E86A10"/>
    <w:rsid w:val="00E87CA2"/>
    <w:rsid w:val="00E91CC1"/>
    <w:rsid w:val="00E9425E"/>
    <w:rsid w:val="00E94324"/>
    <w:rsid w:val="00E94F2D"/>
    <w:rsid w:val="00E9576F"/>
    <w:rsid w:val="00E963DB"/>
    <w:rsid w:val="00E96E72"/>
    <w:rsid w:val="00E96F04"/>
    <w:rsid w:val="00E97432"/>
    <w:rsid w:val="00E97536"/>
    <w:rsid w:val="00EA5C74"/>
    <w:rsid w:val="00EA6723"/>
    <w:rsid w:val="00EB197D"/>
    <w:rsid w:val="00EB7238"/>
    <w:rsid w:val="00EC313D"/>
    <w:rsid w:val="00EC5F98"/>
    <w:rsid w:val="00EC608F"/>
    <w:rsid w:val="00EC7CE3"/>
    <w:rsid w:val="00ED09F3"/>
    <w:rsid w:val="00ED10CD"/>
    <w:rsid w:val="00ED2DDE"/>
    <w:rsid w:val="00ED431E"/>
    <w:rsid w:val="00ED4379"/>
    <w:rsid w:val="00ED43CF"/>
    <w:rsid w:val="00ED4977"/>
    <w:rsid w:val="00ED655A"/>
    <w:rsid w:val="00EE2EC0"/>
    <w:rsid w:val="00EE3655"/>
    <w:rsid w:val="00EE6A57"/>
    <w:rsid w:val="00EE7E94"/>
    <w:rsid w:val="00EF1CBF"/>
    <w:rsid w:val="00EF2867"/>
    <w:rsid w:val="00EF59CC"/>
    <w:rsid w:val="00F00B10"/>
    <w:rsid w:val="00F00E67"/>
    <w:rsid w:val="00F0269C"/>
    <w:rsid w:val="00F03537"/>
    <w:rsid w:val="00F072FE"/>
    <w:rsid w:val="00F07645"/>
    <w:rsid w:val="00F10F88"/>
    <w:rsid w:val="00F1191C"/>
    <w:rsid w:val="00F140FE"/>
    <w:rsid w:val="00F1529D"/>
    <w:rsid w:val="00F15605"/>
    <w:rsid w:val="00F1561E"/>
    <w:rsid w:val="00F200B5"/>
    <w:rsid w:val="00F20542"/>
    <w:rsid w:val="00F2502C"/>
    <w:rsid w:val="00F25055"/>
    <w:rsid w:val="00F25E81"/>
    <w:rsid w:val="00F2673F"/>
    <w:rsid w:val="00F2710A"/>
    <w:rsid w:val="00F30412"/>
    <w:rsid w:val="00F3101A"/>
    <w:rsid w:val="00F34FE8"/>
    <w:rsid w:val="00F35B69"/>
    <w:rsid w:val="00F431AD"/>
    <w:rsid w:val="00F44404"/>
    <w:rsid w:val="00F444FF"/>
    <w:rsid w:val="00F46E50"/>
    <w:rsid w:val="00F47C2A"/>
    <w:rsid w:val="00F52AEE"/>
    <w:rsid w:val="00F53379"/>
    <w:rsid w:val="00F541DC"/>
    <w:rsid w:val="00F606E9"/>
    <w:rsid w:val="00F60ABB"/>
    <w:rsid w:val="00F6356B"/>
    <w:rsid w:val="00F65A0F"/>
    <w:rsid w:val="00F67AB5"/>
    <w:rsid w:val="00F67B93"/>
    <w:rsid w:val="00F708A1"/>
    <w:rsid w:val="00F712E0"/>
    <w:rsid w:val="00F74246"/>
    <w:rsid w:val="00F7424A"/>
    <w:rsid w:val="00F7469B"/>
    <w:rsid w:val="00F747D2"/>
    <w:rsid w:val="00F748FA"/>
    <w:rsid w:val="00F83370"/>
    <w:rsid w:val="00F902E2"/>
    <w:rsid w:val="00F94E00"/>
    <w:rsid w:val="00F950C6"/>
    <w:rsid w:val="00F951CF"/>
    <w:rsid w:val="00F95A0A"/>
    <w:rsid w:val="00F97A57"/>
    <w:rsid w:val="00FA0CCC"/>
    <w:rsid w:val="00FA19FE"/>
    <w:rsid w:val="00FA4029"/>
    <w:rsid w:val="00FA4B86"/>
    <w:rsid w:val="00FA5757"/>
    <w:rsid w:val="00FA6ECB"/>
    <w:rsid w:val="00FB0AED"/>
    <w:rsid w:val="00FB5BA9"/>
    <w:rsid w:val="00FB792D"/>
    <w:rsid w:val="00FC05CA"/>
    <w:rsid w:val="00FC0A67"/>
    <w:rsid w:val="00FC19AD"/>
    <w:rsid w:val="00FD045B"/>
    <w:rsid w:val="00FD3185"/>
    <w:rsid w:val="00FD4FED"/>
    <w:rsid w:val="00FD5BA9"/>
    <w:rsid w:val="00FD5C9E"/>
    <w:rsid w:val="00FD6E26"/>
    <w:rsid w:val="00FD6EA7"/>
    <w:rsid w:val="00FD7156"/>
    <w:rsid w:val="00FD77A4"/>
    <w:rsid w:val="00FE13BB"/>
    <w:rsid w:val="00FE1B19"/>
    <w:rsid w:val="00FE1DBA"/>
    <w:rsid w:val="00FE4883"/>
    <w:rsid w:val="00FE62E6"/>
    <w:rsid w:val="00FE666B"/>
    <w:rsid w:val="00FF16B3"/>
    <w:rsid w:val="0187775A"/>
    <w:rsid w:val="020A0489"/>
    <w:rsid w:val="02203C97"/>
    <w:rsid w:val="02BF0509"/>
    <w:rsid w:val="03612439"/>
    <w:rsid w:val="03B578C3"/>
    <w:rsid w:val="0512661D"/>
    <w:rsid w:val="06EA3E96"/>
    <w:rsid w:val="0C482000"/>
    <w:rsid w:val="0C7778BC"/>
    <w:rsid w:val="0CAA053A"/>
    <w:rsid w:val="0E2544E1"/>
    <w:rsid w:val="0F631828"/>
    <w:rsid w:val="108005C5"/>
    <w:rsid w:val="130E5FB3"/>
    <w:rsid w:val="13B10D10"/>
    <w:rsid w:val="13E21CBC"/>
    <w:rsid w:val="14462317"/>
    <w:rsid w:val="197E0A88"/>
    <w:rsid w:val="19E815E6"/>
    <w:rsid w:val="19F36CF5"/>
    <w:rsid w:val="1AE714AC"/>
    <w:rsid w:val="1B0B5816"/>
    <w:rsid w:val="1BA66B3F"/>
    <w:rsid w:val="1C760ACE"/>
    <w:rsid w:val="1CDE3AF1"/>
    <w:rsid w:val="1F215BCF"/>
    <w:rsid w:val="1F473683"/>
    <w:rsid w:val="20BB2AFE"/>
    <w:rsid w:val="20D66AA1"/>
    <w:rsid w:val="21C21F96"/>
    <w:rsid w:val="2344483A"/>
    <w:rsid w:val="241741D1"/>
    <w:rsid w:val="24BF2F6C"/>
    <w:rsid w:val="258E471C"/>
    <w:rsid w:val="28BA4806"/>
    <w:rsid w:val="28C23E44"/>
    <w:rsid w:val="28F60FCD"/>
    <w:rsid w:val="2ADC4668"/>
    <w:rsid w:val="2B005924"/>
    <w:rsid w:val="2B406E77"/>
    <w:rsid w:val="2D3354D6"/>
    <w:rsid w:val="2DA0203D"/>
    <w:rsid w:val="2DB84241"/>
    <w:rsid w:val="2E0F053C"/>
    <w:rsid w:val="30D03F07"/>
    <w:rsid w:val="31216334"/>
    <w:rsid w:val="3183186B"/>
    <w:rsid w:val="336D504E"/>
    <w:rsid w:val="33AD37EA"/>
    <w:rsid w:val="3509794F"/>
    <w:rsid w:val="38301DBE"/>
    <w:rsid w:val="3A545E38"/>
    <w:rsid w:val="3AC87286"/>
    <w:rsid w:val="3B340CC8"/>
    <w:rsid w:val="3BBD1E1E"/>
    <w:rsid w:val="3BCB0097"/>
    <w:rsid w:val="3D4A5C5E"/>
    <w:rsid w:val="3EEC0B96"/>
    <w:rsid w:val="40F924D6"/>
    <w:rsid w:val="410A7379"/>
    <w:rsid w:val="414E4D73"/>
    <w:rsid w:val="42D039DC"/>
    <w:rsid w:val="43F32F40"/>
    <w:rsid w:val="458A0FC3"/>
    <w:rsid w:val="45A328B5"/>
    <w:rsid w:val="46D8797F"/>
    <w:rsid w:val="474161CC"/>
    <w:rsid w:val="47AF3216"/>
    <w:rsid w:val="48232EF1"/>
    <w:rsid w:val="496A2251"/>
    <w:rsid w:val="49D57E9B"/>
    <w:rsid w:val="4AFC48AA"/>
    <w:rsid w:val="4B9D718B"/>
    <w:rsid w:val="4BAA28BC"/>
    <w:rsid w:val="4CC34F69"/>
    <w:rsid w:val="4D46680A"/>
    <w:rsid w:val="4DC16B5E"/>
    <w:rsid w:val="4E431F51"/>
    <w:rsid w:val="4FB23043"/>
    <w:rsid w:val="501222E0"/>
    <w:rsid w:val="50B43651"/>
    <w:rsid w:val="51D6084F"/>
    <w:rsid w:val="533757B5"/>
    <w:rsid w:val="5434715C"/>
    <w:rsid w:val="54A428A8"/>
    <w:rsid w:val="559410F9"/>
    <w:rsid w:val="56407617"/>
    <w:rsid w:val="56531C16"/>
    <w:rsid w:val="570655DD"/>
    <w:rsid w:val="57E35691"/>
    <w:rsid w:val="59097E11"/>
    <w:rsid w:val="59372617"/>
    <w:rsid w:val="596B5486"/>
    <w:rsid w:val="5ABB7CD4"/>
    <w:rsid w:val="5D761F5E"/>
    <w:rsid w:val="5E825FC4"/>
    <w:rsid w:val="5EC7784A"/>
    <w:rsid w:val="60700018"/>
    <w:rsid w:val="61B21EA1"/>
    <w:rsid w:val="61E138C1"/>
    <w:rsid w:val="62336BDB"/>
    <w:rsid w:val="62F80294"/>
    <w:rsid w:val="64C44C16"/>
    <w:rsid w:val="65283949"/>
    <w:rsid w:val="65435002"/>
    <w:rsid w:val="661832E3"/>
    <w:rsid w:val="694A2BC9"/>
    <w:rsid w:val="6A7F4138"/>
    <w:rsid w:val="6C8900EF"/>
    <w:rsid w:val="6CD36576"/>
    <w:rsid w:val="6E9E1F6D"/>
    <w:rsid w:val="6FB26D85"/>
    <w:rsid w:val="6FED3D79"/>
    <w:rsid w:val="702E0F9F"/>
    <w:rsid w:val="711F134F"/>
    <w:rsid w:val="728769EA"/>
    <w:rsid w:val="745E73DB"/>
    <w:rsid w:val="7471005A"/>
    <w:rsid w:val="7696255F"/>
    <w:rsid w:val="769E2F08"/>
    <w:rsid w:val="76E55325"/>
    <w:rsid w:val="782234E4"/>
    <w:rsid w:val="791A0E5C"/>
    <w:rsid w:val="79C93603"/>
    <w:rsid w:val="7B715F11"/>
    <w:rsid w:val="7BAE1E7E"/>
    <w:rsid w:val="7E357629"/>
    <w:rsid w:val="7F1A5283"/>
    <w:rsid w:val="7F56533C"/>
    <w:rsid w:val="7FC2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2"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Document Map"/>
    <w:basedOn w:val="1"/>
    <w:link w:val="30"/>
    <w:qFormat/>
    <w:uiPriority w:val="0"/>
    <w:rPr>
      <w:rFonts w:ascii="宋体"/>
      <w:sz w:val="18"/>
      <w:szCs w:val="18"/>
    </w:rPr>
  </w:style>
  <w:style w:type="paragraph" w:styleId="13">
    <w:name w:val="annotation text"/>
    <w:basedOn w:val="1"/>
    <w:link w:val="31"/>
    <w:qFormat/>
    <w:uiPriority w:val="0"/>
    <w:pPr>
      <w:jc w:val="left"/>
    </w:pPr>
  </w:style>
  <w:style w:type="paragraph" w:styleId="14">
    <w:name w:val="Body Text Indent"/>
    <w:basedOn w:val="1"/>
    <w:semiHidden/>
    <w:qFormat/>
    <w:uiPriority w:val="0"/>
    <w:pPr>
      <w:adjustRightInd w:val="0"/>
      <w:spacing w:line="300" w:lineRule="exact"/>
      <w:ind w:firstLine="420" w:firstLineChars="200"/>
      <w:textAlignment w:val="baseline"/>
    </w:pPr>
    <w:rPr>
      <w:kern w:val="0"/>
      <w:szCs w:val="20"/>
    </w:rPr>
  </w:style>
  <w:style w:type="paragraph" w:styleId="15">
    <w:name w:val="List 2"/>
    <w:basedOn w:val="1"/>
    <w:qFormat/>
    <w:uiPriority w:val="0"/>
    <w:pPr>
      <w:ind w:left="100" w:leftChars="200" w:hanging="200" w:hangingChars="200"/>
      <w:contextualSpacing/>
    </w:pPr>
  </w:style>
  <w:style w:type="paragraph" w:styleId="16">
    <w:name w:val="Plain Text"/>
    <w:basedOn w:val="1"/>
    <w:link w:val="32"/>
    <w:qFormat/>
    <w:uiPriority w:val="2"/>
    <w:rPr>
      <w:rFonts w:ascii="宋体" w:hAnsi="Courier New" w:cs="Courier New"/>
      <w:szCs w:val="21"/>
    </w:rPr>
  </w:style>
  <w:style w:type="paragraph" w:styleId="17">
    <w:name w:val="Date"/>
    <w:basedOn w:val="1"/>
    <w:next w:val="1"/>
    <w:link w:val="33"/>
    <w:semiHidden/>
    <w:qFormat/>
    <w:uiPriority w:val="0"/>
    <w:pPr>
      <w:ind w:left="100" w:leftChars="2500"/>
    </w:pPr>
  </w:style>
  <w:style w:type="paragraph" w:styleId="18">
    <w:name w:val="Balloon Text"/>
    <w:basedOn w:val="1"/>
    <w:link w:val="34"/>
    <w:qFormat/>
    <w:uiPriority w:val="0"/>
    <w:rPr>
      <w:sz w:val="18"/>
      <w:szCs w:val="18"/>
    </w:rPr>
  </w:style>
  <w:style w:type="paragraph" w:styleId="19">
    <w:name w:val="footer"/>
    <w:basedOn w:val="1"/>
    <w:link w:val="35"/>
    <w:qFormat/>
    <w:uiPriority w:val="99"/>
    <w:pPr>
      <w:tabs>
        <w:tab w:val="center" w:pos="4153"/>
        <w:tab w:val="right" w:pos="8306"/>
      </w:tabs>
      <w:snapToGrid w:val="0"/>
      <w:jc w:val="left"/>
    </w:pPr>
    <w:rPr>
      <w:sz w:val="18"/>
      <w:szCs w:val="18"/>
    </w:rPr>
  </w:style>
  <w:style w:type="paragraph" w:styleId="20">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1">
    <w:name w:val="footnote text"/>
    <w:basedOn w:val="1"/>
    <w:link w:val="37"/>
    <w:qFormat/>
    <w:uiPriority w:val="0"/>
    <w:pPr>
      <w:snapToGrid w:val="0"/>
      <w:jc w:val="left"/>
    </w:pPr>
    <w:rPr>
      <w:sz w:val="18"/>
      <w:szCs w:val="18"/>
    </w:rPr>
  </w:style>
  <w:style w:type="paragraph" w:styleId="22">
    <w:name w:val="Normal (Web)"/>
    <w:basedOn w:val="1"/>
    <w:unhideWhenUsed/>
    <w:qFormat/>
    <w:uiPriority w:val="99"/>
    <w:pPr>
      <w:spacing w:beforeAutospacing="1" w:afterAutospacing="1"/>
      <w:jc w:val="left"/>
    </w:pPr>
    <w:rPr>
      <w:kern w:val="0"/>
      <w:sz w:val="24"/>
    </w:rPr>
  </w:style>
  <w:style w:type="paragraph" w:styleId="23">
    <w:name w:val="annotation subject"/>
    <w:basedOn w:val="13"/>
    <w:next w:val="13"/>
    <w:link w:val="38"/>
    <w:qFormat/>
    <w:uiPriority w:val="0"/>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semiHidden/>
    <w:qFormat/>
    <w:uiPriority w:val="0"/>
  </w:style>
  <w:style w:type="character" w:styleId="29">
    <w:name w:val="annotation reference"/>
    <w:qFormat/>
    <w:uiPriority w:val="0"/>
    <w:rPr>
      <w:sz w:val="21"/>
      <w:szCs w:val="21"/>
    </w:rPr>
  </w:style>
  <w:style w:type="character" w:customStyle="1" w:styleId="30">
    <w:name w:val="文档结构图 字符"/>
    <w:link w:val="12"/>
    <w:qFormat/>
    <w:uiPriority w:val="0"/>
    <w:rPr>
      <w:rFonts w:ascii="宋体"/>
      <w:kern w:val="2"/>
      <w:sz w:val="18"/>
      <w:szCs w:val="18"/>
    </w:rPr>
  </w:style>
  <w:style w:type="character" w:customStyle="1" w:styleId="31">
    <w:name w:val="批注文字 字符"/>
    <w:link w:val="13"/>
    <w:qFormat/>
    <w:uiPriority w:val="0"/>
    <w:rPr>
      <w:kern w:val="2"/>
      <w:sz w:val="21"/>
      <w:szCs w:val="24"/>
    </w:rPr>
  </w:style>
  <w:style w:type="character" w:customStyle="1" w:styleId="32">
    <w:name w:val="纯文本 字符1"/>
    <w:link w:val="16"/>
    <w:qFormat/>
    <w:uiPriority w:val="0"/>
    <w:rPr>
      <w:rFonts w:ascii="宋体" w:hAnsi="Courier New" w:eastAsia="宋体" w:cs="Courier New"/>
      <w:kern w:val="2"/>
      <w:sz w:val="21"/>
      <w:szCs w:val="21"/>
      <w:lang w:val="en-US" w:eastAsia="zh-CN" w:bidi="ar-SA"/>
    </w:rPr>
  </w:style>
  <w:style w:type="character" w:customStyle="1" w:styleId="33">
    <w:name w:val="日期 字符"/>
    <w:link w:val="17"/>
    <w:semiHidden/>
    <w:qFormat/>
    <w:uiPriority w:val="0"/>
    <w:rPr>
      <w:kern w:val="2"/>
      <w:sz w:val="21"/>
      <w:szCs w:val="24"/>
      <w:lang w:bidi="ar-SA"/>
    </w:rPr>
  </w:style>
  <w:style w:type="character" w:customStyle="1" w:styleId="34">
    <w:name w:val="批注框文本 字符"/>
    <w:link w:val="18"/>
    <w:qFormat/>
    <w:uiPriority w:val="0"/>
    <w:rPr>
      <w:kern w:val="2"/>
      <w:sz w:val="18"/>
      <w:szCs w:val="18"/>
    </w:rPr>
  </w:style>
  <w:style w:type="character" w:customStyle="1" w:styleId="35">
    <w:name w:val="页脚 字符"/>
    <w:link w:val="19"/>
    <w:qFormat/>
    <w:uiPriority w:val="99"/>
    <w:rPr>
      <w:kern w:val="2"/>
      <w:sz w:val="18"/>
      <w:szCs w:val="18"/>
    </w:rPr>
  </w:style>
  <w:style w:type="character" w:customStyle="1" w:styleId="36">
    <w:name w:val="页眉 字符"/>
    <w:link w:val="20"/>
    <w:qFormat/>
    <w:uiPriority w:val="99"/>
    <w:rPr>
      <w:kern w:val="2"/>
      <w:sz w:val="18"/>
      <w:szCs w:val="18"/>
    </w:rPr>
  </w:style>
  <w:style w:type="character" w:customStyle="1" w:styleId="37">
    <w:name w:val="脚注文本 字符"/>
    <w:link w:val="21"/>
    <w:qFormat/>
    <w:uiPriority w:val="0"/>
    <w:rPr>
      <w:kern w:val="2"/>
      <w:sz w:val="18"/>
      <w:szCs w:val="18"/>
    </w:rPr>
  </w:style>
  <w:style w:type="character" w:customStyle="1" w:styleId="38">
    <w:name w:val="批注主题 字符"/>
    <w:link w:val="23"/>
    <w:qFormat/>
    <w:uiPriority w:val="0"/>
    <w:rPr>
      <w:b/>
      <w:bCs/>
      <w:kern w:val="2"/>
      <w:sz w:val="21"/>
      <w:szCs w:val="24"/>
    </w:rPr>
  </w:style>
  <w:style w:type="character" w:customStyle="1" w:styleId="39">
    <w:name w:val="发布"/>
    <w:qFormat/>
    <w:uiPriority w:val="0"/>
    <w:rPr>
      <w:rFonts w:ascii="黑体" w:eastAsia="黑体"/>
      <w:spacing w:val="22"/>
      <w:w w:val="100"/>
      <w:position w:val="3"/>
      <w:sz w:val="28"/>
    </w:rPr>
  </w:style>
  <w:style w:type="character" w:customStyle="1" w:styleId="40">
    <w:name w:val="段 Char"/>
    <w:link w:val="41"/>
    <w:qFormat/>
    <w:uiPriority w:val="0"/>
    <w:rPr>
      <w:rFonts w:ascii="宋体"/>
      <w:sz w:val="21"/>
      <w:lang w:val="en-US" w:eastAsia="zh-CN" w:bidi="ar-SA"/>
    </w:rPr>
  </w:style>
  <w:style w:type="paragraph" w:customStyle="1" w:styleId="41">
    <w:name w:val="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2">
    <w:name w:val="列项——（一级） Char"/>
    <w:link w:val="43"/>
    <w:qFormat/>
    <w:locked/>
    <w:uiPriority w:val="0"/>
    <w:rPr>
      <w:rFonts w:ascii="宋体"/>
      <w:sz w:val="21"/>
      <w:szCs w:val="22"/>
      <w:lang w:val="en-US" w:eastAsia="zh-CN" w:bidi="ar-SA"/>
    </w:rPr>
  </w:style>
  <w:style w:type="paragraph" w:customStyle="1" w:styleId="43">
    <w:name w:val="列项——（一级）"/>
    <w:link w:val="42"/>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4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5">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4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8">
    <w:name w:val="二级条标题"/>
    <w:basedOn w:val="45"/>
    <w:next w:val="1"/>
    <w:qFormat/>
    <w:uiPriority w:val="0"/>
    <w:pPr>
      <w:outlineLvl w:val="3"/>
    </w:pPr>
  </w:style>
  <w:style w:type="paragraph" w:customStyle="1" w:styleId="4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0">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1">
    <w:name w:val="章标题"/>
    <w:next w:val="41"/>
    <w:qFormat/>
    <w:uiPriority w:val="0"/>
    <w:pPr>
      <w:spacing w:beforeLines="50" w:afterLines="50"/>
      <w:jc w:val="both"/>
      <w:outlineLvl w:val="1"/>
    </w:pPr>
    <w:rPr>
      <w:rFonts w:ascii="黑体" w:hAnsi="Times New Roman" w:eastAsia="黑体" w:cs="Times New Roman"/>
      <w:sz w:val="21"/>
      <w:lang w:val="en-US" w:eastAsia="zh-CN" w:bidi="ar-SA"/>
    </w:rPr>
  </w:style>
  <w:style w:type="paragraph" w:styleId="52">
    <w:name w:val="List Paragraph"/>
    <w:basedOn w:val="1"/>
    <w:qFormat/>
    <w:uiPriority w:val="34"/>
    <w:pPr>
      <w:ind w:firstLine="420" w:firstLineChars="200"/>
    </w:pPr>
  </w:style>
  <w:style w:type="paragraph" w:customStyle="1" w:styleId="53">
    <w:name w:val="四级条标题"/>
    <w:basedOn w:val="1"/>
    <w:next w:val="41"/>
    <w:qFormat/>
    <w:uiPriority w:val="0"/>
    <w:pPr>
      <w:widowControl/>
      <w:outlineLvl w:val="5"/>
    </w:pPr>
    <w:rPr>
      <w:rFonts w:ascii="黑体" w:eastAsia="黑体"/>
      <w:kern w:val="0"/>
      <w:szCs w:val="20"/>
    </w:rPr>
  </w:style>
  <w:style w:type="paragraph" w:customStyle="1" w:styleId="5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标准"/>
    <w:basedOn w:val="1"/>
    <w:qFormat/>
    <w:uiPriority w:val="0"/>
    <w:pPr>
      <w:adjustRightInd w:val="0"/>
      <w:spacing w:line="312" w:lineRule="atLeast"/>
      <w:jc w:val="center"/>
      <w:textAlignment w:val="baseline"/>
    </w:pPr>
    <w:rPr>
      <w:kern w:val="0"/>
      <w:szCs w:val="20"/>
    </w:rPr>
  </w:style>
  <w:style w:type="paragraph" w:customStyle="1" w:styleId="56">
    <w:name w:val="目次、标准名称标题"/>
    <w:basedOn w:val="1"/>
    <w:next w:val="41"/>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9">
    <w:name w:val="正文表标题"/>
    <w:next w:val="4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样式1"/>
    <w:basedOn w:val="1"/>
    <w:qFormat/>
    <w:uiPriority w:val="0"/>
    <w:pPr>
      <w:tabs>
        <w:tab w:val="left" w:pos="525"/>
      </w:tabs>
    </w:pPr>
    <w:rPr>
      <w:rFonts w:ascii="宋体" w:hAnsi="宋体"/>
      <w:szCs w:val="21"/>
    </w:rPr>
  </w:style>
  <w:style w:type="paragraph" w:customStyle="1" w:styleId="6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3">
    <w:name w:val="标准书眉_偶数页"/>
    <w:basedOn w:val="64"/>
    <w:next w:val="1"/>
    <w:qFormat/>
    <w:uiPriority w:val="0"/>
    <w:pPr>
      <w:tabs>
        <w:tab w:val="center" w:pos="4154"/>
        <w:tab w:val="right" w:pos="8306"/>
      </w:tabs>
      <w:jc w:val="left"/>
    </w:pPr>
  </w:style>
  <w:style w:type="paragraph" w:customStyle="1" w:styleId="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5">
    <w:name w:val="发布部门"/>
    <w:next w:val="4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7">
    <w:name w:val="封面正文"/>
    <w:qFormat/>
    <w:uiPriority w:val="0"/>
    <w:pPr>
      <w:jc w:val="both"/>
    </w:pPr>
    <w:rPr>
      <w:rFonts w:ascii="Times New Roman" w:hAnsi="Times New Roman" w:eastAsia="宋体" w:cs="Times New Roman"/>
      <w:lang w:val="en-US" w:eastAsia="zh-CN" w:bidi="ar-SA"/>
    </w:rPr>
  </w:style>
  <w:style w:type="paragraph" w:customStyle="1" w:styleId="68">
    <w:name w:val="实施日期"/>
    <w:basedOn w:val="46"/>
    <w:qFormat/>
    <w:uiPriority w:val="0"/>
    <w:pPr>
      <w:framePr w:hSpace="0" w:wrap="around" w:xAlign="right"/>
      <w:jc w:val="right"/>
    </w:pPr>
  </w:style>
  <w:style w:type="paragraph" w:customStyle="1" w:styleId="69">
    <w:name w:val="封面标准名称"/>
    <w:qFormat/>
    <w:uiPriority w:val="0"/>
    <w:pPr>
      <w:widowControl w:val="0"/>
      <w:spacing w:line="680" w:lineRule="exact"/>
      <w:ind w:left="400" w:leftChars="200" w:right="210" w:hanging="200" w:hangingChars="200"/>
      <w:jc w:val="center"/>
      <w:textAlignment w:val="center"/>
    </w:pPr>
    <w:rPr>
      <w:rFonts w:ascii="黑体" w:hAnsi="Times New Roman" w:eastAsia="黑体" w:cs="Times New Roman"/>
      <w:sz w:val="52"/>
      <w:lang w:val="en-US" w:eastAsia="zh-CN" w:bidi="ar-SA"/>
    </w:rPr>
  </w:style>
  <w:style w:type="character" w:customStyle="1" w:styleId="70">
    <w:name w:val="纯文本 字符"/>
    <w:qFormat/>
    <w:uiPriority w:val="2"/>
    <w:rPr>
      <w:rFonts w:ascii="宋体" w:hAnsi="Courier New" w:eastAsia="宋体"/>
      <w:kern w:val="2"/>
      <w:sz w:val="21"/>
      <w:lang w:val="en-US" w:eastAsia="zh-CN" w:bidi="ar-SA"/>
    </w:rPr>
  </w:style>
  <w:style w:type="paragraph" w:customStyle="1" w:styleId="71">
    <w:name w:val="表头"/>
    <w:basedOn w:val="1"/>
    <w:next w:val="1"/>
    <w:qFormat/>
    <w:uiPriority w:val="0"/>
    <w:pPr>
      <w:spacing w:beforeLines="50" w:afterLines="50" w:line="400" w:lineRule="exact"/>
      <w:jc w:val="center"/>
    </w:pPr>
    <w:rPr>
      <w:rFonts w:cs="宋体" w:eastAsiaTheme="minorEastAsia"/>
      <w:szCs w:val="21"/>
    </w:rPr>
  </w:style>
  <w:style w:type="paragraph" w:customStyle="1" w:styleId="72">
    <w:name w:val="表格内容"/>
    <w:basedOn w:val="1"/>
    <w:next w:val="1"/>
    <w:qFormat/>
    <w:uiPriority w:val="0"/>
    <w:pPr>
      <w:jc w:val="center"/>
    </w:pPr>
    <w:rPr>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5973</Words>
  <Characters>7718</Characters>
  <Lines>560</Lines>
  <Paragraphs>701</Paragraphs>
  <TotalTime>5</TotalTime>
  <ScaleCrop>false</ScaleCrop>
  <LinksUpToDate>false</LinksUpToDate>
  <CharactersWithSpaces>8060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2025-10-10T13:02:00Z</dcterms:created>
  <dc:creator>USER</dc:creator>
  <cp:lastModifiedBy>诚</cp:lastModifiedBy>
  <cp:lastPrinted>2021-07-08T02:43:00Z</cp:lastPrinted>
  <dcterms:modified xsi:type="dcterms:W3CDTF">2025-11-01T15:56:26Z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85B597207F444999B28CBEE128B512AF_13</vt:lpwstr>
  </property>
  <property fmtid="{D5CDD505-2E9C-101B-9397-08002B2CF9AE}" pid="4" name="KSOTemplateDocerSaveRecord">
    <vt:lpwstr>eyJoZGlkIjoiZjllY2M0NGVkYzVlYThlZjQyZjI2Y2RiZGMwYzI5YjEiLCJ1c2VySWQiOiIzNzUyOTc0MDUifQ==</vt:lpwstr>
  </property>
</Properties>
</file>