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65395">
      <w:pPr>
        <w:spacing w:after="156" w:afterLines="50"/>
        <w:rPr>
          <w:rFonts w:hint="default" w:ascii="黑体" w:hAnsi="黑体" w:eastAsia="黑体" w:cs="黑体"/>
          <w:szCs w:val="21"/>
          <w:lang w:val="en-US" w:eastAsia="zh-CN"/>
        </w:rPr>
      </w:pPr>
      <w:bookmarkStart w:id="0" w:name="SectionMark0"/>
      <w:bookmarkStart w:id="1" w:name="_Toc175740193"/>
      <w:r>
        <w:rPr>
          <w:rFonts w:ascii="黑体" w:hAnsi="黑体" w:eastAsia="黑体" w:cs="黑体"/>
          <w:szCs w:val="21"/>
        </w:rPr>
        <mc:AlternateContent>
          <mc:Choice Requires="wps">
            <w:drawing>
              <wp:anchor distT="0" distB="0" distL="114300" distR="114300" simplePos="0" relativeHeight="251664384" behindDoc="0" locked="1" layoutInCell="0" allowOverlap="1">
                <wp:simplePos x="0" y="0"/>
                <wp:positionH relativeFrom="margin">
                  <wp:posOffset>0</wp:posOffset>
                </wp:positionH>
                <wp:positionV relativeFrom="margin">
                  <wp:posOffset>8788400</wp:posOffset>
                </wp:positionV>
                <wp:extent cx="6120130" cy="363220"/>
                <wp:effectExtent l="0" t="0" r="0" b="0"/>
                <wp:wrapNone/>
                <wp:docPr id="7"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p w14:paraId="24B0E206">
                            <w:pPr>
                              <w:pStyle w:val="58"/>
                              <w:tabs>
                                <w:tab w:val="center" w:pos="7140"/>
                                <w:tab w:val="center" w:pos="7980"/>
                              </w:tabs>
                              <w:rPr>
                                <w:rFonts w:ascii="宋体" w:eastAsia="宋体"/>
                                <w:b/>
                                <w:sz w:val="30"/>
                                <w:szCs w:val="30"/>
                              </w:rPr>
                            </w:pPr>
                            <w:r>
                              <w:rPr>
                                <w:rFonts w:hint="eastAsia" w:hAnsi="黑体"/>
                                <w:szCs w:val="36"/>
                              </w:rPr>
                              <w:t>中华人民共和国工业和信息化部</w:t>
                            </w:r>
                            <w:r>
                              <w:rPr>
                                <w:rFonts w:hint="eastAsia" w:ascii="宋体" w:eastAsia="宋体"/>
                                <w:sz w:val="30"/>
                                <w:szCs w:val="30"/>
                              </w:rPr>
                              <w:t xml:space="preserve"> </w:t>
                            </w:r>
                            <w:r>
                              <w:rPr>
                                <w:rStyle w:val="53"/>
                                <w:rFonts w:hint="eastAsia"/>
                                <w:b/>
                                <w:sz w:val="30"/>
                                <w:szCs w:val="30"/>
                              </w:rPr>
                              <w:t>发布</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0pt;margin-top:692pt;height:28.6pt;width:481.9pt;mso-position-horizontal-relative:margin;mso-position-vertical-relative:margin;z-index:251664384;mso-width-relative:page;mso-height-relative:page;" fillcolor="#FFFFFF" filled="t" stroked="f" coordsize="21600,21600" o:allowincell="f" o:gfxdata="UEsDBAoAAAAAAIdO4kAAAAAAAAAAAAAAAAAEAAAAZHJzL1BLAwQUAAAACACHTuJAoOA1VNgAAAAK&#10;AQAADwAAAGRycy9kb3ducmV2LnhtbE2PQU/DMAyF70j8h8hIXBBL21XVKE0nscENDhvTzllj2orG&#10;qZJ03f495gQ3+z3r+XvV+mIHcUYfekcK0kUCAqlxpqdWweHz7XEFIkRNRg+OUMEVA6zr25tKl8bN&#10;tMPzPraCQyiUWkEX41hKGZoOrQ4LNyKx9+W81ZFX30rj9czhdpBZkhTS6p74Q6dH3HTYfO8nq6DY&#10;+mne0eZhe3h91x9jmx1frkel7u/S5BlExEv8O4ZffEaHmplObiITxKCAi0RWl6ucJ/afiiVXObGU&#10;52kGsq7k/wr1D1BLAwQUAAAACACHTuJAdbUS8Q4CAAArBAAADgAAAGRycy9lMm9Eb2MueG1srVPb&#10;jtsgEH2v1H9AvDfORcpWVpzVNlGqStuLtO0HYIxtVGDoQGJvv74DTtJV+rIP9YM1wMxhzpnD5n60&#10;hp0UBg2u4ovZnDPlJDTadRX/8f3w7j1nIQrXCANOVfxZBX6/fftmM/hSLaEH0yhkBOJCOfiK9zH6&#10;siiC7JUVYQZeOTpsAa2ItMSuaFAMhG5NsZzP18UA2HgEqUKg3f10yM+I+BpAaFst1R7k0SoXJ1RU&#10;RkSiFHrtA9/mbttWyfi1bYOKzFScmMb8p0sortO/2G5E2aHwvZbnFsRrWrjhZIV2dOkVai+iYEfU&#10;/0BZLRECtHEmwRYTkawIsVjMb7R56oVXmQtJHfxV9PD/YOWX0zdkuqn4HWdOWBp4aw9IwV3SZvCh&#10;pJQnT0lx/AAjOSbzDP4R5M/AHOx64Tr1gAhDr0RDvS1SZfGidMIJCaQePkNDl4hjhAw0tmiTcCQF&#10;I3Say/N1LmqMTNLmekHirOhI0tlqvVou8+AKUV6qPYb4UYFlKag40twzujg9hpi6EeUlJV0WwOjm&#10;oI3JC+zqnUF2EuSRQ/4ygZs041Kyg1Q2IaadTDMxmzjGsR7PstXQPBNhhMlz9OIo6AF/czaQ3yoe&#10;fh0FKs7MJ0eiJXNeArwE9SUQTlJpxSNnU7iLk4mPHnXXE/I0FgcPJGyrM+c0gamLc5/koSzF2e/J&#10;pC/XOevvG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DgNVTYAAAACgEAAA8AAAAAAAAAAQAg&#10;AAAAIgAAAGRycy9kb3ducmV2LnhtbFBLAQIUABQAAAAIAIdO4kB1tRLxDgIAACsEAAAOAAAAAAAA&#10;AAEAIAAAACcBAABkcnMvZTJvRG9jLnhtbFBLBQYAAAAABgAGAFkBAACnBQAAAAA=&#10;">
                <v:fill on="t" focussize="0,0"/>
                <v:stroke on="f"/>
                <v:imagedata o:title=""/>
                <o:lock v:ext="edit" aspectratio="f"/>
                <v:textbox inset="0mm,0mm,0mm,0mm">
                  <w:txbxContent>
                    <w:p w14:paraId="24B0E206">
                      <w:pPr>
                        <w:pStyle w:val="58"/>
                        <w:tabs>
                          <w:tab w:val="center" w:pos="7140"/>
                          <w:tab w:val="center" w:pos="7980"/>
                        </w:tabs>
                        <w:rPr>
                          <w:rFonts w:ascii="宋体" w:eastAsia="宋体"/>
                          <w:b/>
                          <w:sz w:val="30"/>
                          <w:szCs w:val="30"/>
                        </w:rPr>
                      </w:pPr>
                      <w:r>
                        <w:rPr>
                          <w:rFonts w:hint="eastAsia" w:hAnsi="黑体"/>
                          <w:szCs w:val="36"/>
                        </w:rPr>
                        <w:t>中华人民共和国工业和信息化部</w:t>
                      </w:r>
                      <w:r>
                        <w:rPr>
                          <w:rFonts w:hint="eastAsia" w:ascii="宋体" w:eastAsia="宋体"/>
                          <w:sz w:val="30"/>
                          <w:szCs w:val="30"/>
                        </w:rPr>
                        <w:t xml:space="preserve"> </w:t>
                      </w:r>
                      <w:r>
                        <w:rPr>
                          <w:rStyle w:val="53"/>
                          <w:rFonts w:hint="eastAsia"/>
                          <w:b/>
                          <w:sz w:val="30"/>
                          <w:szCs w:val="30"/>
                        </w:rPr>
                        <w:t>发布</w:t>
                      </w:r>
                    </w:p>
                  </w:txbxContent>
                </v:textbox>
                <w10:anchorlock/>
              </v:shape>
            </w:pict>
          </mc:Fallback>
        </mc:AlternateContent>
      </w:r>
      <w:r>
        <w:rPr>
          <w:rFonts w:ascii="黑体" w:hAnsi="黑体" w:eastAsia="黑体" w:cs="黑体"/>
          <w:szCs w:val="21"/>
        </w:rPr>
        <mc:AlternateContent>
          <mc:Choice Requires="wps">
            <w:drawing>
              <wp:anchor distT="0" distB="0" distL="114300" distR="114300" simplePos="0" relativeHeight="251664384" behindDoc="0" locked="1" layoutInCell="0" allowOverlap="1">
                <wp:simplePos x="0" y="0"/>
                <wp:positionH relativeFrom="margin">
                  <wp:posOffset>4098290</wp:posOffset>
                </wp:positionH>
                <wp:positionV relativeFrom="margin">
                  <wp:posOffset>8319770</wp:posOffset>
                </wp:positionV>
                <wp:extent cx="1882140" cy="312420"/>
                <wp:effectExtent l="0" t="0" r="3810" b="0"/>
                <wp:wrapNone/>
                <wp:docPr id="6" name="fmFrame6"/>
                <wp:cNvGraphicFramePr/>
                <a:graphic xmlns:a="http://schemas.openxmlformats.org/drawingml/2006/main">
                  <a:graphicData uri="http://schemas.microsoft.com/office/word/2010/wordprocessingShape">
                    <wps:wsp>
                      <wps:cNvSpPr txBox="1">
                        <a:spLocks noChangeArrowheads="1"/>
                      </wps:cNvSpPr>
                      <wps:spPr bwMode="auto">
                        <a:xfrm>
                          <a:off x="0" y="0"/>
                          <a:ext cx="1882140" cy="312420"/>
                        </a:xfrm>
                        <a:prstGeom prst="rect">
                          <a:avLst/>
                        </a:prstGeom>
                        <a:solidFill>
                          <a:srgbClr val="FFFFFF"/>
                        </a:solidFill>
                        <a:ln>
                          <a:noFill/>
                        </a:ln>
                      </wps:spPr>
                      <wps:txbx>
                        <w:txbxContent>
                          <w:p w14:paraId="7B5C399A">
                            <w:pPr>
                              <w:jc w:val="right"/>
                            </w:pPr>
                            <w:r>
                              <w:rPr>
                                <w:rFonts w:eastAsia="黑体"/>
                                <w:sz w:val="28"/>
                                <w:szCs w:val="28"/>
                              </w:rPr>
                              <w:t>××××-××-××实施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7pt;margin-top:655.1pt;height:24.6pt;width:148.2pt;mso-position-horizontal-relative:margin;mso-position-vertical-relative:margin;z-index:251664384;mso-width-relative:page;mso-height-relative:page;" fillcolor="#FFFFFF" filled="t" stroked="f" coordsize="21600,21600" o:allowincell="f" o:gfxdata="UEsDBAoAAAAAAIdO4kAAAAAAAAAAAAAAAAAEAAAAZHJzL1BLAwQUAAAACACHTuJAtBQJgdoAAAAN&#10;AQAADwAAAGRycy9kb3ducmV2LnhtbE2PwU7DMBBE70j8g7VIXBB1EtKKhjiVaOEGh5aq521skoh4&#10;HdlO0/492xMcd+ZpdqZcnW0vTsaHzpGCdJaAMFQ73VGjYP/1/vgMIkQkjb0jo+BiAqyq25sSC+0m&#10;2prTLjaCQygUqKCNcSikDHVrLIaZGwyx9+28xcinb6T2OHG47WWWJAtpsSP+0OJg1q2pf3ajVbDY&#10;+HHa0vphs3/7wM+hyQ6vl4NS93dp8gIimnP8g+Fan6tDxZ2ObiQdRM8Z+TxnlI2nNMlAMLLMU15z&#10;vErzZQ6yKuX/FdUvUEsDBBQAAAAIAIdO4kBP7viLDwIAACsEAAAOAAAAZHJzL2Uyb0RvYy54bWyt&#10;U8uO2zAMvBfoPwi6N07SRbAw4iy2CVIU2D6AbT9AlmVbqCSqlBI7/fpScpIu0sse6oNBWeSQMxyv&#10;H0Zr2FFh0OAqvpjNOVNOQqNdV/Ef3/fv7jkLUbhGGHCq4icV+MPm7Zv14Eu1hB5Mo5ARiAvl4Cve&#10;x+jLogiyV1aEGXjl6LIFtCLSEbuiQTEQujXFcj5fFQNg4xGkCoG+7qZLfkbE1wBC22qpdiAPVrk4&#10;oaIyIhKl0Gsf+CZP27ZKxq9tG1RkpuLENOY3NaG4Tu9isxZlh8L3Wp5HEK8Z4YaTFdpR0yvUTkTB&#10;Dqj/gbJaIgRo40yCLSYiWRFisZjfaPPcC68yF5I6+Kvo4f/Byi/Hb8h0U/EVZ05YWnhr90jBKmkz&#10;+FBSyrOnpDh+gJEck3kG/wTyZ2AOtr1wnXpEhKFXoqHZFqmyeFE64YQEUg+foaEm4hAhA40t2iQc&#10;ScEInfZyuu5FjZHJ1PL+frm4oytJd+8Xy7tlXlwhyku1xxA/KrAsBRVH2ntGF8enENM0orykpGYB&#10;jG722ph8wK7eGmRHQR7Z5ycTuEkzLiU7SGUTYvqSaSZmE8c41uNZthqaExFGmDxHfxwFPeBvzgby&#10;W8XDr4NAxZn55Ei0ZM5LgJegvgTCSSqteORsCrdxMvHBo+56Qp7W4uCRhG115pw2ME1xnpM8lKU4&#10;+z2Z9OU5Z/39xz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QUCYHaAAAADQEAAA8AAAAAAAAA&#10;AQAgAAAAIgAAAGRycy9kb3ducmV2LnhtbFBLAQIUABQAAAAIAIdO4kBP7viLDwIAACsEAAAOAAAA&#10;AAAAAAEAIAAAACkBAABkcnMvZTJvRG9jLnhtbFBLBQYAAAAABgAGAFkBAACqBQAAAAA=&#10;">
                <v:fill on="t" focussize="0,0"/>
                <v:stroke on="f"/>
                <v:imagedata o:title=""/>
                <o:lock v:ext="edit" aspectratio="f"/>
                <v:textbox inset="0mm,0mm,0mm,0mm">
                  <w:txbxContent>
                    <w:p w14:paraId="7B5C399A">
                      <w:pPr>
                        <w:jc w:val="right"/>
                      </w:pPr>
                      <w:r>
                        <w:rPr>
                          <w:rFonts w:eastAsia="黑体"/>
                          <w:sz w:val="28"/>
                          <w:szCs w:val="28"/>
                        </w:rPr>
                        <w:t>××××-××-××实施</w:t>
                      </w:r>
                    </w:p>
                  </w:txbxContent>
                </v:textbox>
                <w10:anchorlock/>
              </v:shape>
            </w:pict>
          </mc:Fallback>
        </mc:AlternateContent>
      </w:r>
      <w:r>
        <w:rPr>
          <w:rFonts w:ascii="黑体" w:hAnsi="黑体" w:eastAsia="黑体" w:cs="黑体"/>
          <w:szCs w:val="21"/>
        </w:rPr>
        <mc:AlternateContent>
          <mc:Choice Requires="wps">
            <w:drawing>
              <wp:anchor distT="0" distB="0" distL="114300" distR="114300" simplePos="0" relativeHeight="251663360" behindDoc="0" locked="1" layoutInCell="0" allowOverlap="1">
                <wp:simplePos x="0" y="0"/>
                <wp:positionH relativeFrom="margin">
                  <wp:posOffset>0</wp:posOffset>
                </wp:positionH>
                <wp:positionV relativeFrom="margin">
                  <wp:posOffset>8342630</wp:posOffset>
                </wp:positionV>
                <wp:extent cx="2019300" cy="312420"/>
                <wp:effectExtent l="0" t="0" r="0" b="0"/>
                <wp:wrapNone/>
                <wp:docPr id="5"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46F1D32D">
                            <w:r>
                              <w:rPr>
                                <w:rFonts w:eastAsia="黑体"/>
                                <w:sz w:val="28"/>
                                <w:szCs w:val="28"/>
                              </w:rPr>
                              <w:t>××××-××-××发布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56.9pt;height:24.6pt;width:159pt;mso-position-horizontal-relative:margin;mso-position-vertical-relative:margin;z-index:251663360;mso-width-relative:page;mso-height-relative:page;" fillcolor="#FFFFFF" filled="t" stroked="f" coordsize="21600,21600" o:allowincell="f" o:gfxdata="UEsDBAoAAAAAAIdO4kAAAAAAAAAAAAAAAAAEAAAAZHJzL1BLAwQUAAAACACHTuJAHS+nGtcAAAAK&#10;AQAADwAAAGRycy9kb3ducmV2LnhtbE2PwU7DMBBE70j8g7VIXBC100hRFeJUooUbHFqqnt14SSLi&#10;dWQ7Tfv3bE9w3Dej2ZlqfXGDOGOIvScN2UKBQGq87anVcPh6f16BiMmQNYMn1HDFCOv6/q4ypfUz&#10;7fC8T63gEIql0dClNJZSxqZDZ+LCj0isffvgTOIztNIGM3O4G+RSqUI60xN/6MyImw6bn/3kNBTb&#10;MM072jxtD28f5nNsl8fX61Hrx4dMvYBIeEl/ZrjV5+pQc6eTn8hGMWjgIYlpnuW8gPU8WzE63VCR&#10;K5B1Jf9PqH8BUEsDBBQAAAAIAIdO4kCUPr71DgIAACsEAAAOAAAAZHJzL2Uyb0RvYy54bWytU8GO&#10;0zAQvSPxD5bvNG2XRRA1XS2tipAWFmnhAxzHSSxsjxm7TcrXM3basiqXPZBDNLZnnue9eV7djdaw&#10;g8KgwVV8MZtzppyERruu4j++79685yxE4RphwKmKH1Xgd+vXr1aDL9USejCNQkYgLpSDr3gfoy+L&#10;IsheWRFm4JWjwxbQikhL7IoGxUDo1hTL+fxdMQA2HkGqEGh3Ox3yEyK+BBDaVku1Bbm3ysUJFZUR&#10;kSiFXvvA17nbtlUyPrZtUJGZihPTmP90CcV1+hfrlSg7FL7X8tSCeEkLV5ys0I4uvUBtRRRsj/of&#10;KKslQoA2ziTYYiKSFSEWi/mVNk+98CpzIamDv4ge/h+s/Hr4hkw3Fb/lzAlLA2/tDim4TdoMPpSU&#10;8uQpKY4fYSTHZJ7BP4D8GZiDTS9cp+4RYeiVaKi3RaosnpVOOCGB1MMXaOgSsY+QgcYWbRKOpGCE&#10;TnM5XuaixsgkbZI0H27mdCTp7GaxfLvMgytEea72GOInBZaloOJIc8/o4vAQYupGlOeUdFkAo5ud&#10;NiYvsKs3BtlBkEd2+csErtKMS8kOUtmEmHYyzcRs4hjHejzJVkNzJMIIk+foxVHQA/7mbCC/VTz8&#10;2gtUnJnPjkRL5jwHeA7qcyCcpNKKR86mcBMnE+896q4n5GksDu5J2FZnzmkCUxenPslDWYqT35NJ&#10;n69z1t83vv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S+nGtcAAAAKAQAADwAAAAAAAAABACAA&#10;AAAiAAAAZHJzL2Rvd25yZXYueG1sUEsBAhQAFAAAAAgAh07iQJQ+vvUOAgAAKwQAAA4AAAAAAAAA&#10;AQAgAAAAJgEAAGRycy9lMm9Eb2MueG1sUEsFBgAAAAAGAAYAWQEAAKYFAAAAAA==&#10;">
                <v:fill on="t" focussize="0,0"/>
                <v:stroke on="f"/>
                <v:imagedata o:title=""/>
                <o:lock v:ext="edit" aspectratio="f"/>
                <v:textbox inset="0mm,0mm,0mm,0mm">
                  <w:txbxContent>
                    <w:p w14:paraId="46F1D32D">
                      <w:r>
                        <w:rPr>
                          <w:rFonts w:eastAsia="黑体"/>
                          <w:sz w:val="28"/>
                          <w:szCs w:val="28"/>
                        </w:rPr>
                        <w:t>××××-××-××发布</w:t>
                      </w:r>
                    </w:p>
                  </w:txbxContent>
                </v:textbox>
                <w10:anchorlock/>
              </v:shape>
            </w:pict>
          </mc:Fallback>
        </mc:AlternateContent>
      </w:r>
      <w:r>
        <w:rPr>
          <w:rFonts w:ascii="黑体" w:hAnsi="黑体" w:eastAsia="黑体" w:cs="黑体"/>
          <w:szCs w:val="21"/>
        </w:rPr>
        <mc:AlternateContent>
          <mc:Choice Requires="wps">
            <w:drawing>
              <wp:anchor distT="0" distB="0" distL="114300" distR="114300" simplePos="0" relativeHeight="251662336" behindDoc="0" locked="1" layoutInCell="0" allowOverlap="1">
                <wp:simplePos x="0" y="0"/>
                <wp:positionH relativeFrom="margin">
                  <wp:posOffset>-283845</wp:posOffset>
                </wp:positionH>
                <wp:positionV relativeFrom="margin">
                  <wp:posOffset>2820670</wp:posOffset>
                </wp:positionV>
                <wp:extent cx="6393815" cy="4681220"/>
                <wp:effectExtent l="0" t="0" r="6985" b="5080"/>
                <wp:wrapNone/>
                <wp:docPr id="4" name="fmFrame4"/>
                <wp:cNvGraphicFramePr/>
                <a:graphic xmlns:a="http://schemas.openxmlformats.org/drawingml/2006/main">
                  <a:graphicData uri="http://schemas.microsoft.com/office/word/2010/wordprocessingShape">
                    <wps:wsp>
                      <wps:cNvSpPr txBox="1">
                        <a:spLocks noChangeArrowheads="1"/>
                      </wps:cNvSpPr>
                      <wps:spPr bwMode="auto">
                        <a:xfrm>
                          <a:off x="0" y="0"/>
                          <a:ext cx="6393815" cy="4681220"/>
                        </a:xfrm>
                        <a:prstGeom prst="rect">
                          <a:avLst/>
                        </a:prstGeom>
                        <a:solidFill>
                          <a:srgbClr val="FFFFFF"/>
                        </a:solidFill>
                        <a:ln>
                          <a:noFill/>
                        </a:ln>
                      </wps:spPr>
                      <wps:txbx>
                        <w:txbxContent>
                          <w:p w14:paraId="5D52AD95">
                            <w:pPr>
                              <w:spacing w:before="156" w:beforeLines="50" w:after="156" w:afterLines="50"/>
                              <w:jc w:val="center"/>
                              <w:rPr>
                                <w:rFonts w:ascii="黑体" w:eastAsia="黑体"/>
                                <w:sz w:val="52"/>
                                <w:szCs w:val="52"/>
                              </w:rPr>
                            </w:pPr>
                            <w:r>
                              <w:rPr>
                                <w:rFonts w:ascii="黑体" w:eastAsia="黑体"/>
                                <w:sz w:val="52"/>
                                <w:szCs w:val="52"/>
                              </w:rPr>
                              <w:t xml:space="preserve">温室气体 产品碳足迹量化方法与要求 </w:t>
                            </w:r>
                          </w:p>
                          <w:p w14:paraId="57AB23E7">
                            <w:pPr>
                              <w:spacing w:before="156" w:beforeLines="50" w:after="156" w:afterLines="50"/>
                              <w:jc w:val="center"/>
                              <w:rPr>
                                <w:rFonts w:ascii="黑体" w:eastAsia="黑体"/>
                                <w:sz w:val="52"/>
                                <w:szCs w:val="52"/>
                              </w:rPr>
                            </w:pPr>
                            <w:r>
                              <w:rPr>
                                <w:rFonts w:hint="eastAsia" w:ascii="黑体" w:eastAsia="黑体"/>
                                <w:sz w:val="52"/>
                                <w:szCs w:val="52"/>
                                <w:lang w:eastAsia="zh-CN"/>
                              </w:rPr>
                              <w:t>锡</w:t>
                            </w:r>
                            <w:r>
                              <w:rPr>
                                <w:rFonts w:ascii="黑体" w:eastAsia="黑体"/>
                                <w:sz w:val="52"/>
                                <w:szCs w:val="52"/>
                              </w:rPr>
                              <w:t>锭</w:t>
                            </w:r>
                          </w:p>
                          <w:p w14:paraId="22C4A8BB">
                            <w:pPr>
                              <w:adjustRightInd w:val="0"/>
                              <w:snapToGrid w:val="0"/>
                              <w:jc w:val="center"/>
                              <w:rPr>
                                <w:rFonts w:hint="eastAsia" w:ascii="黑体" w:hAnsi="黑体" w:eastAsia="黑体" w:cs="黑体"/>
                                <w:sz w:val="28"/>
                                <w:szCs w:val="28"/>
                              </w:rPr>
                            </w:pPr>
                            <w:bookmarkStart w:id="182" w:name="_Hlk100910057"/>
                            <w:r>
                              <w:rPr>
                                <w:rFonts w:ascii="黑体" w:hAnsi="黑体" w:eastAsia="黑体" w:cs="黑体"/>
                                <w:sz w:val="28"/>
                                <w:szCs w:val="28"/>
                              </w:rPr>
                              <w:t>Greenhouse gases</w:t>
                            </w:r>
                            <w:r>
                              <w:rPr>
                                <w:rFonts w:hint="eastAsia" w:ascii="黑体" w:hAnsi="黑体" w:eastAsia="黑体" w:cs="黑体"/>
                                <w:sz w:val="28"/>
                                <w:szCs w:val="28"/>
                              </w:rPr>
                              <w:t>—</w:t>
                            </w:r>
                            <w:r>
                              <w:rPr>
                                <w:rFonts w:ascii="黑体" w:hAnsi="黑体" w:eastAsia="黑体" w:cs="黑体"/>
                                <w:sz w:val="28"/>
                                <w:szCs w:val="28"/>
                              </w:rPr>
                              <w:t>Methodology and requirements for quantification of carbon footprint of product</w:t>
                            </w:r>
                            <w:r>
                              <w:rPr>
                                <w:rFonts w:hint="eastAsia" w:ascii="黑体" w:hAnsi="黑体" w:eastAsia="黑体" w:cs="黑体"/>
                                <w:sz w:val="28"/>
                                <w:szCs w:val="28"/>
                              </w:rPr>
                              <w:t>—</w:t>
                            </w:r>
                            <w:r>
                              <w:rPr>
                                <w:rFonts w:hint="eastAsia" w:ascii="黑体" w:hAnsi="黑体" w:eastAsia="黑体" w:cs="黑体"/>
                                <w:sz w:val="28"/>
                                <w:szCs w:val="28"/>
                                <w:lang w:val="en-US" w:eastAsia="zh-CN"/>
                              </w:rPr>
                              <w:t>Tin</w:t>
                            </w:r>
                            <w:r>
                              <w:rPr>
                                <w:rFonts w:ascii="黑体" w:hAnsi="黑体" w:eastAsia="黑体" w:cs="黑体"/>
                                <w:sz w:val="28"/>
                                <w:szCs w:val="28"/>
                              </w:rPr>
                              <w:t xml:space="preserve"> ingots</w:t>
                            </w:r>
                          </w:p>
                          <w:bookmarkEnd w:id="182"/>
                          <w:p w14:paraId="6D89C7B4">
                            <w:pPr>
                              <w:pStyle w:val="56"/>
                              <w:rPr>
                                <w:rFonts w:hint="eastAsia" w:ascii="黑体" w:hAnsi="黑体" w:eastAsia="黑体"/>
                                <w:kern w:val="2"/>
                                <w:szCs w:val="28"/>
                              </w:rPr>
                            </w:pPr>
                            <w:r>
                              <w:rPr>
                                <w:rFonts w:hint="eastAsia" w:ascii="黑体" w:hAnsi="黑体" w:eastAsia="黑体"/>
                                <w:kern w:val="2"/>
                                <w:szCs w:val="28"/>
                              </w:rPr>
                              <w:t>（</w:t>
                            </w:r>
                            <w:r>
                              <w:rPr>
                                <w:rFonts w:hint="eastAsia" w:ascii="黑体" w:hAnsi="黑体" w:eastAsia="黑体"/>
                                <w:kern w:val="2"/>
                                <w:szCs w:val="28"/>
                                <w:lang w:eastAsia="zh-CN"/>
                              </w:rPr>
                              <w:t>预审</w:t>
                            </w:r>
                            <w:r>
                              <w:rPr>
                                <w:rFonts w:hint="eastAsia" w:ascii="黑体" w:hAnsi="黑体" w:eastAsia="黑体"/>
                                <w:kern w:val="2"/>
                                <w:szCs w:val="28"/>
                              </w:rPr>
                              <w:t>稿）</w:t>
                            </w:r>
                          </w:p>
                          <w:p w14:paraId="15F2E852">
                            <w:pPr>
                              <w:pStyle w:val="54"/>
                            </w:pPr>
                            <w:r>
                              <w:rPr>
                                <w:rFonts w:hint="eastAsia"/>
                                <w:szCs w:val="21"/>
                              </w:rPr>
                              <w:t xml:space="preserve"> </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22.35pt;margin-top:222.1pt;height:368.6pt;width:503.45pt;mso-position-horizontal-relative:margin;mso-position-vertical-relative:margin;z-index:251662336;mso-width-relative:page;mso-height-relative:page;" fillcolor="#FFFFFF" filled="t" stroked="f" coordsize="21600,21600" o:allowincell="f" o:gfxdata="UEsDBAoAAAAAAIdO4kAAAAAAAAAAAAAAAAAEAAAAZHJzL1BLAwQUAAAACACHTuJA8STKddoAAAAM&#10;AQAADwAAAGRycy9kb3ducmV2LnhtbE2PwU7DMAyG70i8Q2QkLmhLW0VllKaT2OAGh41p56w1bUXj&#10;VEm6bm+POcHNlj/9/v5yfbGDOKMPvSMN6TIBgVS7pqdWw+HzbbECEaKhxgyOUMMVA6yr25vSFI2b&#10;aYfnfWwFh1AojIYuxrGQMtQdWhOWbkTi25fz1kRefSsbb2YOt4PMkiSX1vTEHzoz4qbD+ns/WQ35&#10;1k/zjjYP28Pru/kY2+z4cj1qfX+XJs8gIl7iHwy/+qwOFTud3ERNEIOGhVKPjGpQSmUgmHjKMx5O&#10;jKarVIGsSvm/RPUDUEsDBBQAAAAIAIdO4kDhlme+EQIAACwEAAAOAAAAZHJzL2Uyb0RvYy54bWyt&#10;U8GO0zAQvSPxD5bvNG23VCVqulpaFSEtLNLCBziOk1g4HjN2m5SvZ+y0ZVUueyCHaGzPPM9787y+&#10;HzrDjgq9Blvw2WTKmbISKm2bgv/4vn+34swHYSthwKqCn5Tn95u3b9a9y9UcWjCVQkYg1ue9K3gb&#10;gsuzzMtWdcJPwClLhzVgJwItsckqFD2hdyabT6fLrAesHIJU3tPubjzkZ0R8DSDUtZZqB/LQKRtG&#10;VFRGBKLkW+0836Ru61rJ8FTXXgVmCk5MQ/rTJRSX8Z9t1iJvULhWy3ML4jUt3HDqhLZ06RVqJ4Jg&#10;B9T/QHVaIniow0RCl41EkiLEYja90ea5FU4lLiS1d1fR/f+DlV+P35DpquALzqzoaOB1t0cKFlGb&#10;3vmcUp4dJYXhIwzkmMTTu0eQPz2zsG2FbdQDIvStEhX1NouV2YvSEcdHkLL/AhVdIg4BEtBQYxeF&#10;IykYodNcTte5qCEwSZvLuw93q9l7ziSdLZar2XyeJpeJ/FLu0IdPCjoWg4IjDT7Bi+OjD7EdkV9S&#10;4m0ejK722pi0wKbcGmRHQSbZpy8xuEkzNiZbiGUjYtxJPCO1kWQYyuGsWwnViRgjjKajJ0dBC/ib&#10;s54MV3D/6yBQcWY+W1ItuvMS4CUoL4GwkkoLHjgbw20YXXxwqJuWkMe5WHggZWudOMcRjF2c+yQT&#10;JSnOho8ufblOWX8f+e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STKddoAAAAMAQAADwAAAAAA&#10;AAABACAAAAAiAAAAZHJzL2Rvd25yZXYueG1sUEsBAhQAFAAAAAgAh07iQOGWZ74RAgAALAQAAA4A&#10;AAAAAAAAAQAgAAAAKQEAAGRycy9lMm9Eb2MueG1sUEsFBgAAAAAGAAYAWQEAAKwFAAAAAA==&#10;">
                <v:fill on="t" focussize="0,0"/>
                <v:stroke on="f"/>
                <v:imagedata o:title=""/>
                <o:lock v:ext="edit" aspectratio="f"/>
                <v:textbox inset="0mm,0mm,0mm,0mm">
                  <w:txbxContent>
                    <w:p w14:paraId="5D52AD95">
                      <w:pPr>
                        <w:spacing w:before="156" w:beforeLines="50" w:after="156" w:afterLines="50"/>
                        <w:jc w:val="center"/>
                        <w:rPr>
                          <w:rFonts w:ascii="黑体" w:eastAsia="黑体"/>
                          <w:sz w:val="52"/>
                          <w:szCs w:val="52"/>
                        </w:rPr>
                      </w:pPr>
                      <w:r>
                        <w:rPr>
                          <w:rFonts w:ascii="黑体" w:eastAsia="黑体"/>
                          <w:sz w:val="52"/>
                          <w:szCs w:val="52"/>
                        </w:rPr>
                        <w:t xml:space="preserve">温室气体 产品碳足迹量化方法与要求 </w:t>
                      </w:r>
                    </w:p>
                    <w:p w14:paraId="57AB23E7">
                      <w:pPr>
                        <w:spacing w:before="156" w:beforeLines="50" w:after="156" w:afterLines="50"/>
                        <w:jc w:val="center"/>
                        <w:rPr>
                          <w:rFonts w:ascii="黑体" w:eastAsia="黑体"/>
                          <w:sz w:val="52"/>
                          <w:szCs w:val="52"/>
                        </w:rPr>
                      </w:pPr>
                      <w:r>
                        <w:rPr>
                          <w:rFonts w:hint="eastAsia" w:ascii="黑体" w:eastAsia="黑体"/>
                          <w:sz w:val="52"/>
                          <w:szCs w:val="52"/>
                          <w:lang w:eastAsia="zh-CN"/>
                        </w:rPr>
                        <w:t>锡</w:t>
                      </w:r>
                      <w:r>
                        <w:rPr>
                          <w:rFonts w:ascii="黑体" w:eastAsia="黑体"/>
                          <w:sz w:val="52"/>
                          <w:szCs w:val="52"/>
                        </w:rPr>
                        <w:t>锭</w:t>
                      </w:r>
                    </w:p>
                    <w:p w14:paraId="22C4A8BB">
                      <w:pPr>
                        <w:adjustRightInd w:val="0"/>
                        <w:snapToGrid w:val="0"/>
                        <w:jc w:val="center"/>
                        <w:rPr>
                          <w:rFonts w:hint="eastAsia" w:ascii="黑体" w:hAnsi="黑体" w:eastAsia="黑体" w:cs="黑体"/>
                          <w:sz w:val="28"/>
                          <w:szCs w:val="28"/>
                        </w:rPr>
                      </w:pPr>
                      <w:bookmarkStart w:id="182" w:name="_Hlk100910057"/>
                      <w:r>
                        <w:rPr>
                          <w:rFonts w:ascii="黑体" w:hAnsi="黑体" w:eastAsia="黑体" w:cs="黑体"/>
                          <w:sz w:val="28"/>
                          <w:szCs w:val="28"/>
                        </w:rPr>
                        <w:t>Greenhouse gases</w:t>
                      </w:r>
                      <w:r>
                        <w:rPr>
                          <w:rFonts w:hint="eastAsia" w:ascii="黑体" w:hAnsi="黑体" w:eastAsia="黑体" w:cs="黑体"/>
                          <w:sz w:val="28"/>
                          <w:szCs w:val="28"/>
                        </w:rPr>
                        <w:t>—</w:t>
                      </w:r>
                      <w:r>
                        <w:rPr>
                          <w:rFonts w:ascii="黑体" w:hAnsi="黑体" w:eastAsia="黑体" w:cs="黑体"/>
                          <w:sz w:val="28"/>
                          <w:szCs w:val="28"/>
                        </w:rPr>
                        <w:t>Methodology and requirements for quantification of carbon footprint of product</w:t>
                      </w:r>
                      <w:r>
                        <w:rPr>
                          <w:rFonts w:hint="eastAsia" w:ascii="黑体" w:hAnsi="黑体" w:eastAsia="黑体" w:cs="黑体"/>
                          <w:sz w:val="28"/>
                          <w:szCs w:val="28"/>
                        </w:rPr>
                        <w:t>—</w:t>
                      </w:r>
                      <w:r>
                        <w:rPr>
                          <w:rFonts w:hint="eastAsia" w:ascii="黑体" w:hAnsi="黑体" w:eastAsia="黑体" w:cs="黑体"/>
                          <w:sz w:val="28"/>
                          <w:szCs w:val="28"/>
                          <w:lang w:val="en-US" w:eastAsia="zh-CN"/>
                        </w:rPr>
                        <w:t>Tin</w:t>
                      </w:r>
                      <w:r>
                        <w:rPr>
                          <w:rFonts w:ascii="黑体" w:hAnsi="黑体" w:eastAsia="黑体" w:cs="黑体"/>
                          <w:sz w:val="28"/>
                          <w:szCs w:val="28"/>
                        </w:rPr>
                        <w:t xml:space="preserve"> ingots</w:t>
                      </w:r>
                    </w:p>
                    <w:bookmarkEnd w:id="182"/>
                    <w:p w14:paraId="6D89C7B4">
                      <w:pPr>
                        <w:pStyle w:val="56"/>
                        <w:rPr>
                          <w:rFonts w:hint="eastAsia" w:ascii="黑体" w:hAnsi="黑体" w:eastAsia="黑体"/>
                          <w:kern w:val="2"/>
                          <w:szCs w:val="28"/>
                        </w:rPr>
                      </w:pPr>
                      <w:r>
                        <w:rPr>
                          <w:rFonts w:hint="eastAsia" w:ascii="黑体" w:hAnsi="黑体" w:eastAsia="黑体"/>
                          <w:kern w:val="2"/>
                          <w:szCs w:val="28"/>
                        </w:rPr>
                        <w:t>（</w:t>
                      </w:r>
                      <w:r>
                        <w:rPr>
                          <w:rFonts w:hint="eastAsia" w:ascii="黑体" w:hAnsi="黑体" w:eastAsia="黑体"/>
                          <w:kern w:val="2"/>
                          <w:szCs w:val="28"/>
                          <w:lang w:eastAsia="zh-CN"/>
                        </w:rPr>
                        <w:t>预审</w:t>
                      </w:r>
                      <w:r>
                        <w:rPr>
                          <w:rFonts w:hint="eastAsia" w:ascii="黑体" w:hAnsi="黑体" w:eastAsia="黑体"/>
                          <w:kern w:val="2"/>
                          <w:szCs w:val="28"/>
                        </w:rPr>
                        <w:t>稿）</w:t>
                      </w:r>
                    </w:p>
                    <w:p w14:paraId="15F2E852">
                      <w:pPr>
                        <w:pStyle w:val="54"/>
                      </w:pPr>
                      <w:r>
                        <w:rPr>
                          <w:rFonts w:hint="eastAsia"/>
                          <w:szCs w:val="21"/>
                        </w:rPr>
                        <w:t xml:space="preserve"> </w:t>
                      </w:r>
                    </w:p>
                  </w:txbxContent>
                </v:textbox>
                <w10:anchorlock/>
              </v:shape>
            </w:pict>
          </mc:Fallback>
        </mc:AlternateContent>
      </w:r>
      <w:r>
        <w:rPr>
          <w:rFonts w:ascii="黑体" w:hAnsi="黑体" w:eastAsia="黑体" w:cs="黑体"/>
          <w:szCs w:val="21"/>
        </w:rPr>
        <mc:AlternateContent>
          <mc:Choice Requires="wps">
            <w:drawing>
              <wp:anchor distT="0" distB="0" distL="114300" distR="114300" simplePos="0" relativeHeight="251661312" behindDoc="0" locked="1" layoutInCell="1" allowOverlap="1">
                <wp:simplePos x="0" y="0"/>
                <wp:positionH relativeFrom="margin">
                  <wp:align>right</wp:align>
                </wp:positionH>
                <wp:positionV relativeFrom="margin">
                  <wp:posOffset>1576070</wp:posOffset>
                </wp:positionV>
                <wp:extent cx="5638800" cy="860425"/>
                <wp:effectExtent l="0" t="0" r="0" b="0"/>
                <wp:wrapNone/>
                <wp:docPr id="3" name="fmFrame3"/>
                <wp:cNvGraphicFramePr/>
                <a:graphic xmlns:a="http://schemas.openxmlformats.org/drawingml/2006/main">
                  <a:graphicData uri="http://schemas.microsoft.com/office/word/2010/wordprocessingShape">
                    <wps:wsp>
                      <wps:cNvSpPr txBox="1">
                        <a:spLocks noChangeArrowheads="1"/>
                      </wps:cNvSpPr>
                      <wps:spPr bwMode="auto">
                        <a:xfrm>
                          <a:off x="0" y="0"/>
                          <a:ext cx="5638800" cy="860425"/>
                        </a:xfrm>
                        <a:prstGeom prst="rect">
                          <a:avLst/>
                        </a:prstGeom>
                        <a:solidFill>
                          <a:srgbClr val="FFFFFF"/>
                        </a:solidFill>
                        <a:ln>
                          <a:noFill/>
                        </a:ln>
                      </wps:spPr>
                      <wps:txbx>
                        <w:txbxContent>
                          <w:p w14:paraId="4269D24C">
                            <w:pPr>
                              <w:tabs>
                                <w:tab w:val="center" w:pos="6527"/>
                                <w:tab w:val="center" w:pos="6848"/>
                                <w:tab w:val="center" w:pos="6955"/>
                                <w:tab w:val="center" w:pos="7169"/>
                              </w:tabs>
                              <w:adjustRightInd w:val="0"/>
                              <w:snapToGrid w:val="0"/>
                              <w:jc w:val="right"/>
                              <w:rPr>
                                <w:lang w:val="fr-FR"/>
                              </w:rPr>
                            </w:pPr>
                            <w:r>
                              <w:rPr>
                                <w:rFonts w:hint="eastAsia" w:ascii="黑体" w:eastAsia="黑体"/>
                                <w:sz w:val="28"/>
                                <w:szCs w:val="28"/>
                                <w:lang w:val="fr-FR"/>
                              </w:rPr>
                              <w:t xml:space="preserve">                    </w:t>
                            </w:r>
                            <w:r>
                              <w:rPr>
                                <w:rFonts w:ascii="黑体" w:eastAsia="黑体"/>
                                <w:sz w:val="28"/>
                                <w:szCs w:val="28"/>
                                <w:lang w:val="fr-FR"/>
                              </w:rPr>
                              <w:t xml:space="preserve"> </w:t>
                            </w:r>
                            <w:r>
                              <w:rPr>
                                <w:rFonts w:hint="eastAsia" w:ascii="黑体" w:eastAsia="黑体"/>
                                <w:sz w:val="28"/>
                                <w:szCs w:val="28"/>
                                <w:lang w:val="fr-FR"/>
                              </w:rPr>
                              <w:t xml:space="preserve"> </w:t>
                            </w:r>
                            <w:r>
                              <w:rPr>
                                <w:rFonts w:eastAsia="黑体"/>
                                <w:sz w:val="28"/>
                                <w:szCs w:val="28"/>
                                <w:lang w:val="fr-FR"/>
                              </w:rPr>
                              <w:t xml:space="preserve">T </w:t>
                            </w:r>
                            <w:r>
                              <w:rPr>
                                <w:rFonts w:hint="eastAsia" w:eastAsia="黑体"/>
                                <w:sz w:val="28"/>
                                <w:szCs w:val="28"/>
                                <w:lang w:val="en-US" w:eastAsia="zh-CN"/>
                              </w:rPr>
                              <w:t>/TNIA</w:t>
                            </w:r>
                            <w:r>
                              <w:rPr>
                                <w:rFonts w:eastAsia="黑体"/>
                                <w:sz w:val="28"/>
                                <w:szCs w:val="28"/>
                                <w:lang w:val="fr-FR"/>
                              </w:rPr>
                              <w:t>××××—××××</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top:124.1pt;height:67.75pt;width:444pt;mso-position-horizontal:right;mso-position-horizontal-relative:margin;mso-position-vertical-relative:margin;z-index:251661312;mso-width-relative:page;mso-height-relative:page;" fillcolor="#FFFFFF" filled="t" stroked="f" coordsize="21600,21600" o:gfxdata="UEsDBAoAAAAAAIdO4kAAAAAAAAAAAAAAAAAEAAAAZHJzL1BLAwQUAAAACACHTuJAjAV6b9cAAAAI&#10;AQAADwAAAGRycy9kb3ducmV2LnhtbE2PwU7DMBBE70j8g7VIXBB1mqJihWwq0cINDi1Vz25skoh4&#10;HdlO0/49y4keZ2c186ZcnV0vTjbEzhPCfJaBsFR701GDsP96f1QgYtJkdO/JIlxshFV1e1PqwviJ&#10;tva0S43gEIqFRmhTGgopY91ap+PMD5bY+/bB6cQyNNIEPXG462WeZUvpdEfc0OrBrltb/+xGh7Dc&#10;hHHa0vphs3/70J9Dkx9eLwfE+7t59gIi2XP6f4Y/fEaHipmOfiQTRY/AQxJC/qRyEGwrpfhyRFio&#10;xTPIqpTXA6pfUEsDBBQAAAAIAIdO4kCy3AiEEAIAACsEAAAOAAAAZHJzL2Uyb0RvYy54bWytU01v&#10;2zAMvQ/YfxB0X5yPNQiMOkWXIMOAbivQ7QfIsmwLk0WNUmJnv36U7GRdd+lhPhiUSD7yPVK3d0Nn&#10;2Emh12ALvpjNOVNWQqVtU/Dv3w7vNpz5IGwlDFhV8LPy/G779s1t73K1hBZMpZARiPV57wrehuDy&#10;LPOyVZ3wM3DKkrMG7ESgIzZZhaIn9M5ky/l8nfWAlUOQynu63Y9OPiHiawChrrVUe5DHTtkwoqIy&#10;IhAl32rn+TZ1W9dKhq917VVgpuDENKQ/FSG7jP9seyvyBoVrtZxaEK9p4QWnTmhLRa9QexEEO6L+&#10;B6rTEsFDHWYSumwkkhQhFov5C22eWuFU4kJSe3cV3f8/WPnl9IhMVwVfcWZFRwOvuwOSsYra9M7n&#10;FPLkKCgMH2CgjUk8vXsA+cMzC7tW2EbdI0LfKlFRb4uYmT1LHXF8BCn7z1BREXEMkICGGrsoHEnB&#10;CJ3mcr7ORQ2BSbq8Wa82mzm5JPk26/n75U0qIfJLtkMfPiroWDQKjjT3hC5ODz7EbkR+CYnFPBhd&#10;HbQx6YBNuTPIToJ25JC+Cf2vMGNjsIWYNiLGm0QzMhs5hqEcJtlKqM5EGGHcOXpxZLSAvzjrad8K&#10;7n8eBSrOzCdLosXlvBh4McqLIayk1IIHzkZzF8YlPjrUTUvI41gs3JOwtU6c4wTGLqY+aYeSFNO+&#10;xyV9fk5Rf974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BXpv1wAAAAgBAAAPAAAAAAAAAAEA&#10;IAAAACIAAABkcnMvZG93bnJldi54bWxQSwECFAAUAAAACACHTuJAstwIhBACAAArBAAADgAAAAAA&#10;AAABACAAAAAmAQAAZHJzL2Uyb0RvYy54bWxQSwUGAAAAAAYABgBZAQAAqAUAAAAA&#10;">
                <v:fill on="t" focussize="0,0"/>
                <v:stroke on="f"/>
                <v:imagedata o:title=""/>
                <o:lock v:ext="edit" aspectratio="f"/>
                <v:textbox inset="0mm,0mm,0mm,0mm">
                  <w:txbxContent>
                    <w:p w14:paraId="4269D24C">
                      <w:pPr>
                        <w:tabs>
                          <w:tab w:val="center" w:pos="6527"/>
                          <w:tab w:val="center" w:pos="6848"/>
                          <w:tab w:val="center" w:pos="6955"/>
                          <w:tab w:val="center" w:pos="7169"/>
                        </w:tabs>
                        <w:adjustRightInd w:val="0"/>
                        <w:snapToGrid w:val="0"/>
                        <w:jc w:val="right"/>
                        <w:rPr>
                          <w:lang w:val="fr-FR"/>
                        </w:rPr>
                      </w:pPr>
                      <w:r>
                        <w:rPr>
                          <w:rFonts w:hint="eastAsia" w:ascii="黑体" w:eastAsia="黑体"/>
                          <w:sz w:val="28"/>
                          <w:szCs w:val="28"/>
                          <w:lang w:val="fr-FR"/>
                        </w:rPr>
                        <w:t xml:space="preserve">                    </w:t>
                      </w:r>
                      <w:r>
                        <w:rPr>
                          <w:rFonts w:ascii="黑体" w:eastAsia="黑体"/>
                          <w:sz w:val="28"/>
                          <w:szCs w:val="28"/>
                          <w:lang w:val="fr-FR"/>
                        </w:rPr>
                        <w:t xml:space="preserve"> </w:t>
                      </w:r>
                      <w:r>
                        <w:rPr>
                          <w:rFonts w:hint="eastAsia" w:ascii="黑体" w:eastAsia="黑体"/>
                          <w:sz w:val="28"/>
                          <w:szCs w:val="28"/>
                          <w:lang w:val="fr-FR"/>
                        </w:rPr>
                        <w:t xml:space="preserve"> </w:t>
                      </w:r>
                      <w:r>
                        <w:rPr>
                          <w:rFonts w:eastAsia="黑体"/>
                          <w:sz w:val="28"/>
                          <w:szCs w:val="28"/>
                          <w:lang w:val="fr-FR"/>
                        </w:rPr>
                        <w:t xml:space="preserve">T </w:t>
                      </w:r>
                      <w:r>
                        <w:rPr>
                          <w:rFonts w:hint="eastAsia" w:eastAsia="黑体"/>
                          <w:sz w:val="28"/>
                          <w:szCs w:val="28"/>
                          <w:lang w:val="en-US" w:eastAsia="zh-CN"/>
                        </w:rPr>
                        <w:t>/TNIA</w:t>
                      </w:r>
                      <w:r>
                        <w:rPr>
                          <w:rFonts w:eastAsia="黑体"/>
                          <w:sz w:val="28"/>
                          <w:szCs w:val="28"/>
                          <w:lang w:val="fr-FR"/>
                        </w:rPr>
                        <w:t>××××—××××</w:t>
                      </w:r>
                    </w:p>
                  </w:txbxContent>
                </v:textbox>
                <w10:anchorlock/>
              </v:shape>
            </w:pict>
          </mc:Fallback>
        </mc:AlternateContent>
      </w:r>
      <w:r>
        <w:rPr>
          <w:rFonts w:ascii="黑体" w:hAnsi="黑体" w:eastAsia="黑体" w:cs="黑体"/>
          <w:szCs w:val="21"/>
        </w:rPr>
        <mc:AlternateContent>
          <mc:Choice Requires="wps">
            <w:drawing>
              <wp:anchor distT="0" distB="0" distL="114300" distR="114300" simplePos="0" relativeHeight="251660288" behindDoc="0" locked="1" layoutInCell="0" allowOverlap="1">
                <wp:simplePos x="0" y="0"/>
                <wp:positionH relativeFrom="margin">
                  <wp:posOffset>0</wp:posOffset>
                </wp:positionH>
                <wp:positionV relativeFrom="margin">
                  <wp:posOffset>477520</wp:posOffset>
                </wp:positionV>
                <wp:extent cx="6120130" cy="924560"/>
                <wp:effectExtent l="0" t="0" r="13970" b="8890"/>
                <wp:wrapNone/>
                <wp:docPr id="2"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924560"/>
                        </a:xfrm>
                        <a:prstGeom prst="rect">
                          <a:avLst/>
                        </a:prstGeom>
                        <a:solidFill>
                          <a:srgbClr val="FFFFFF"/>
                        </a:solidFill>
                        <a:ln>
                          <a:noFill/>
                        </a:ln>
                      </wps:spPr>
                      <wps:txbx>
                        <w:txbxContent>
                          <w:p w14:paraId="7F4AF63F">
                            <w:pPr>
                              <w:jc w:val="center"/>
                              <w:rPr>
                                <w:rFonts w:hint="eastAsia" w:ascii="宋体" w:hAnsi="宋体" w:eastAsia="宋体" w:cs="宋体"/>
                                <w:b/>
                                <w:bCs/>
                                <w:sz w:val="84"/>
                                <w:szCs w:val="84"/>
                                <w:lang w:eastAsia="zh-CN"/>
                              </w:rPr>
                            </w:pPr>
                            <w:r>
                              <w:rPr>
                                <w:rFonts w:hint="eastAsia" w:ascii="黑体" w:hAnsi="黑体" w:eastAsia="黑体" w:cs="黑体"/>
                                <w:b/>
                                <w:bCs/>
                                <w:sz w:val="84"/>
                                <w:szCs w:val="84"/>
                                <w:lang w:eastAsia="zh-CN"/>
                              </w:rPr>
                              <w:t>团　体　标　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37.6pt;height:72.8pt;width:481.9pt;mso-position-horizontal-relative:margin;mso-position-vertical-relative:margin;z-index:251660288;mso-width-relative:page;mso-height-relative:page;" fillcolor="#FFFFFF" filled="t" stroked="f" coordsize="21600,21600" o:allowincell="f" o:gfxdata="UEsDBAoAAAAAAIdO4kAAAAAAAAAAAAAAAAAEAAAAZHJzL1BLAwQUAAAACACHTuJAqlL3gtcAAAAH&#10;AQAADwAAAGRycy9kb3ducmV2LnhtbE2PwU7DMBBE70j8g7VIXBC1a0QoIZtKtHCDQ0vV8zY2SUS8&#10;jmKnaf8ec6LH0Yxm3hTLk+vE0Q6h9YwwnykQlitvWq4Rdl/v9wsQIRIb6jxbhLMNsCyvrwrKjZ94&#10;Y4/bWItUwiEnhCbGPpcyVI11FGa+t5y8bz84ikkOtTQDTancdVIrlUlHLaeFhnq7amz1sx0dQrYe&#10;xmnDq7v17u2DPvta71/Pe8Tbm7l6ARHtKf6H4Q8/oUOZmA5+ZBNEh5CORISnRw0iuc/ZQzpyQNBa&#10;LUCWhbzkL38BUEsDBBQAAAAIAIdO4kAHwexjDgIAACsEAAAOAAAAZHJzL2Uyb0RvYy54bWytU02P&#10;0zAQvSPxHyzfadoCFURNV0urIqTlQ1r4AY7jJBa2x4zdJuXXM3basiqXPZBDNLZnnue9eV7fjdaw&#10;o8KgwVV8MZtzppyERruu4j++71+94yxE4RphwKmKn1Tgd5uXL9aDL9USejCNQkYgLpSDr3gfoy+L&#10;IsheWRFm4JWjwxbQikhL7IoGxUDo1hTL+XxVDICNR5AqBNrdTYf8jIjPAYS21VLtQB6scnFCRWVE&#10;JEqh1z7wTe62bZWMX9s2qMhMxYlpzH+6hOI6/YvNWpQdCt9reW5BPKeFG05WaEeXXqF2Igp2QP0P&#10;lNUSIUAbZxJsMRHJihCLxfxGm8deeJW5kNTBX0UP/w9Wfjl+Q6abii85c8LSwFu7RwqWSZvBh5JS&#10;Hj0lxfEDjOSYzDP4B5A/A3Ow7YXr1D0iDL0SDfW2SJXFk9IJJySQevgMDV0iDhEy0NiiTcKRFIzQ&#10;aS6n61zUGJmkzdWCxHlNR5LO3i/fvF3lwRWivFR7DPGjAstSUHGkuWd0cXwIMXUjyktKuiyA0c1e&#10;G5MX2NVbg+woyCP7/GUCN2nGpWQHqWxCTDuZZmI2cYxjPZ5lq6E5EWGEyXP04ijoAX9zNpDfKh5+&#10;HQQqzswnR6Ilc14CvAT1JRBOUmnFI2dTuI2TiQ8eddcT8jQWB/ckbKsz5zSBqYtzn+ShLMXZ78mk&#10;T9c56+8b3/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lL3gtcAAAAHAQAADwAAAAAAAAABACAA&#10;AAAiAAAAZHJzL2Rvd25yZXYueG1sUEsBAhQAFAAAAAgAh07iQAfB7GMOAgAAKwQAAA4AAAAAAAAA&#10;AQAgAAAAJgEAAGRycy9lMm9Eb2MueG1sUEsFBgAAAAAGAAYAWQEAAKYFAAAAAA==&#10;">
                <v:fill on="t" focussize="0,0"/>
                <v:stroke on="f"/>
                <v:imagedata o:title=""/>
                <o:lock v:ext="edit" aspectratio="f"/>
                <v:textbox inset="0mm,0mm,0mm,0mm">
                  <w:txbxContent>
                    <w:p w14:paraId="7F4AF63F">
                      <w:pPr>
                        <w:jc w:val="center"/>
                        <w:rPr>
                          <w:rFonts w:hint="eastAsia" w:ascii="宋体" w:hAnsi="宋体" w:eastAsia="宋体" w:cs="宋体"/>
                          <w:b/>
                          <w:bCs/>
                          <w:sz w:val="84"/>
                          <w:szCs w:val="84"/>
                          <w:lang w:eastAsia="zh-CN"/>
                        </w:rPr>
                      </w:pPr>
                      <w:r>
                        <w:rPr>
                          <w:rFonts w:hint="eastAsia" w:ascii="黑体" w:hAnsi="黑体" w:eastAsia="黑体" w:cs="黑体"/>
                          <w:b/>
                          <w:bCs/>
                          <w:sz w:val="84"/>
                          <w:szCs w:val="84"/>
                          <w:lang w:eastAsia="zh-CN"/>
                        </w:rPr>
                        <w:t>团　体　标　准</w:t>
                      </w:r>
                    </w:p>
                  </w:txbxContent>
                </v:textbox>
                <w10:anchorlock/>
              </v:shape>
            </w:pict>
          </mc:Fallback>
        </mc:AlternateContent>
      </w:r>
      <w:bookmarkEnd w:id="0"/>
      <w:r>
        <w:rPr>
          <w:rFonts w:ascii="黑体" w:hAnsi="黑体" w:eastAsia="黑体" w:cs="黑体"/>
          <w:szCs w:val="21"/>
        </w:rPr>
        <w:t xml:space="preserve">ICS </w:t>
      </w:r>
      <w:r>
        <w:rPr>
          <w:rFonts w:hint="eastAsia" w:ascii="黑体" w:hAnsi="黑体" w:eastAsia="黑体" w:cs="黑体"/>
          <w:szCs w:val="21"/>
          <w:lang w:val="en-US" w:eastAsia="zh-CN"/>
        </w:rPr>
        <w:t>13</w:t>
      </w:r>
      <w:r>
        <w:rPr>
          <w:rFonts w:ascii="黑体" w:hAnsi="黑体" w:eastAsia="黑体" w:cs="黑体"/>
          <w:szCs w:val="21"/>
        </w:rPr>
        <w:t>.</w:t>
      </w:r>
      <w:r>
        <w:rPr>
          <w:rFonts w:hint="eastAsia" w:ascii="黑体" w:hAnsi="黑体" w:eastAsia="黑体" w:cs="黑体"/>
          <w:szCs w:val="21"/>
          <w:lang w:val="en-US" w:eastAsia="zh-CN"/>
        </w:rPr>
        <w:t>0</w:t>
      </w:r>
      <w:r>
        <w:rPr>
          <w:rFonts w:ascii="黑体" w:hAnsi="黑体" w:eastAsia="黑体" w:cs="黑体"/>
          <w:szCs w:val="21"/>
        </w:rPr>
        <w:t>20.</w:t>
      </w:r>
      <w:r>
        <w:rPr>
          <w:rFonts w:hint="eastAsia" w:ascii="黑体" w:hAnsi="黑体" w:eastAsia="黑体" w:cs="黑体"/>
          <w:szCs w:val="21"/>
          <w:lang w:val="en-US" w:eastAsia="zh-CN"/>
        </w:rPr>
        <w:t>10</w:t>
      </w:r>
    </w:p>
    <w:p w14:paraId="7FC14947">
      <w:pPr>
        <w:spacing w:after="156" w:afterLines="50"/>
        <w:rPr>
          <w:rFonts w:hint="eastAsia" w:ascii="黑体" w:hAnsi="黑体" w:eastAsia="黑体" w:cs="黑体"/>
          <w:szCs w:val="21"/>
        </w:rPr>
      </w:pPr>
      <w:r>
        <w:rPr>
          <w:rFonts w:ascii="黑体" w:hAnsi="黑体" w:eastAsia="黑体" w:cs="黑体"/>
          <w:szCs w:val="21"/>
        </w:rPr>
        <w:t>CCS H 01</w:t>
      </w:r>
    </w:p>
    <w:p w14:paraId="02B139F6">
      <w:pPr>
        <w:pStyle w:val="39"/>
        <w:rPr>
          <w:sz w:val="21"/>
          <w:szCs w:val="21"/>
        </w:rPr>
        <w:sectPr>
          <w:headerReference r:id="rId3" w:type="default"/>
          <w:footerReference r:id="rId4" w:type="default"/>
          <w:footerReference r:id="rId5" w:type="even"/>
          <w:pgSz w:w="11906" w:h="16838"/>
          <w:pgMar w:top="1418" w:right="1134" w:bottom="1134" w:left="1418" w:header="851" w:footer="992" w:gutter="0"/>
          <w:pgNumType w:fmt="upperRoman" w:start="1"/>
          <w:cols w:space="425" w:num="1"/>
          <w:docGrid w:type="lines" w:linePitch="312" w:charSpace="0"/>
        </w:sectPr>
      </w:pPr>
      <w:r>
        <w:rPr>
          <w:szCs w:val="21"/>
        </w:rPr>
        <mc:AlternateContent>
          <mc:Choice Requires="wps">
            <w:drawing>
              <wp:anchor distT="0" distB="0" distL="114300" distR="114300" simplePos="0" relativeHeight="251666432" behindDoc="0" locked="0" layoutInCell="0" allowOverlap="1">
                <wp:simplePos x="0" y="0"/>
                <wp:positionH relativeFrom="column">
                  <wp:posOffset>-83820</wp:posOffset>
                </wp:positionH>
                <wp:positionV relativeFrom="paragraph">
                  <wp:posOffset>8089265</wp:posOffset>
                </wp:positionV>
                <wp:extent cx="6121400" cy="0"/>
                <wp:effectExtent l="0" t="0" r="0" b="0"/>
                <wp:wrapNone/>
                <wp:docPr id="8" name="Line 43"/>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22225">
                          <a:solidFill>
                            <a:srgbClr val="080000"/>
                          </a:solidFill>
                          <a:round/>
                        </a:ln>
                      </wps:spPr>
                      <wps:bodyPr/>
                    </wps:wsp>
                  </a:graphicData>
                </a:graphic>
              </wp:anchor>
            </w:drawing>
          </mc:Choice>
          <mc:Fallback>
            <w:pict>
              <v:line id="Line 43" o:spid="_x0000_s1026" o:spt="20" style="position:absolute;left:0pt;margin-left:-6.6pt;margin-top:636.95pt;height:0pt;width:482pt;z-index:251666432;mso-width-relative:page;mso-height-relative:page;" filled="f" stroked="t" coordsize="21600,21600" o:allowincell="f" o:gfxdata="UEsDBAoAAAAAAIdO4kAAAAAAAAAAAAAAAAAEAAAAZHJzL1BLAwQUAAAACACHTuJAWFblYNkAAAAN&#10;AQAADwAAAGRycy9kb3ducmV2LnhtbE2PzU7DMBCE70i8g7VI3FrbifhpiFMBghMH1BYq9ebGSxwR&#10;21HsJuHtWQ4IjjvzaXamXM+uYyMOsQ1egVwKYOjrYFrfKHjbPS9ugcWkvdFd8KjgCyOsq/OzUhcm&#10;TH6D4zY1jEJ8LLQCm1JfcB5ri07HZejRk/cRBqcTnUPDzaAnCncdz4S45k63nj5Y3eOjxfpze3IK&#10;cHN4esh3872Ns5xe5P51dO9cqcsLKe6AJZzTHww/9ak6VNTpGE7eRNYpWMg8I5SM7CZfASNkdSVo&#10;zfFX4lXJ/6+ovgFQSwMEFAAAAAgAh07iQNWArZHLAQAAoQMAAA4AAABkcnMvZTJvRG9jLnhtbK1T&#10;wY7bIBC9V+o/IO6N7XS7Wllx9pBoe0nbSLv9AIKxjQoMYkjs/H0HnKTb7WUP5YAMM/PmvTd49ThZ&#10;w04qoAbX8GpRcqachFa7vuE/X54+PXCGUbhWGHCq4WeF/HH98cNq9LVawgCmVYERiMN69A0fYvR1&#10;UaAclBW4AK8cBTsIVkQ6hr5ogxgJ3ZpiWZb3xQih9QGkQqTb7RzkF8TwHkDoOi3VFuTRKhdn1KCM&#10;iCQJB+2RrzPbrlMy/ug6VJGZhpPSmHdqQt+HtBfrlaj7IPyg5YWCeA+FN5qs0I6a3qC2Igp2DPof&#10;KKtlAIQuLiTYYhaSHSEVVfnGm+dBeJW1kNXob6bj/4OV30/7wHTbcBq7E5YGvtNOsbvPyZrRY00Z&#10;G7cPSZyc3LPfgfyFzMFmEK5XmeLL2VNdlSqKv0rSAT01OIzfoKUccYyQfZq6YBMkOcCmPI7zbRxq&#10;ikzS5X21rO5KmpS8xgpRXwt9wPhVgWXpo+GGSGdgcdphTEREfU1JfRw8aWPytI1jY8OXtL7kCgSj&#10;2xRNeRj6w8YEdhLpwTyUtLIsirxOC3B07dzFuIvqJHS27ADteR+ubtDkMp3LK0tP4/U5V//5s9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hW5WDZAAAADQEAAA8AAAAAAAAAAQAgAAAAIgAAAGRy&#10;cy9kb3ducmV2LnhtbFBLAQIUABQAAAAIAIdO4kDVgK2RywEAAKEDAAAOAAAAAAAAAAEAIAAAACgB&#10;AABkcnMvZTJvRG9jLnhtbFBLBQYAAAAABgAGAFkBAABlBQAAAAA=&#10;">
                <v:fill on="f" focussize="0,0"/>
                <v:stroke weight="1.75pt" color="#080000" joinstyle="round"/>
                <v:imagedata o:title=""/>
                <o:lock v:ext="edit" aspectratio="f"/>
              </v:line>
            </w:pict>
          </mc:Fallback>
        </mc:AlternateContent>
      </w:r>
      <w:r>
        <w:rPr>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1278255</wp:posOffset>
                </wp:positionV>
                <wp:extent cx="6121400" cy="0"/>
                <wp:effectExtent l="0" t="0" r="0" b="0"/>
                <wp:wrapNone/>
                <wp:docPr id="10" name="Line 4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22225">
                          <a:solidFill>
                            <a:srgbClr val="080000"/>
                          </a:solidFill>
                          <a:round/>
                        </a:ln>
                      </wps:spPr>
                      <wps:bodyPr/>
                    </wps:wsp>
                  </a:graphicData>
                </a:graphic>
              </wp:anchor>
            </w:drawing>
          </mc:Choice>
          <mc:Fallback>
            <w:pict>
              <v:line id="Line 42" o:spid="_x0000_s1026" o:spt="20" style="position:absolute;left:0pt;margin-left:0pt;margin-top:100.65pt;height:0pt;width:482pt;z-index:251665408;mso-width-relative:page;mso-height-relative:page;" filled="f" stroked="t" coordsize="21600,21600" o:gfxdata="UEsDBAoAAAAAAIdO4kAAAAAAAAAAAAAAAAAEAAAAZHJzL1BLAwQUAAAACACHTuJAL8YOD9UAAAAI&#10;AQAADwAAAGRycy9kb3ducmV2LnhtbE2PQUvEMBCF74L/IYzgzU2yK4vWpouKnjzI7qrgLduMTbGZ&#10;lCbb1n/vCIIe573Hm++Vmzl0YsQhtZEM6IUCgVRH11Jj4GX/eHEFImVLznaR0MAXJthUpyelLVyc&#10;aIvjLjeCSygV1oDPuS+kTLXHYNMi9kjsfcQh2Mzn0Eg32InLQyeXSq1lsC3xB297vPdYf+6OwQBu&#10;3x/uVvv51qdZT0/67XkMr9KY8zOtbkBknPNfGH7wGR0qZjrEI7kkOgM8JBtYKr0Cwfb1+pKVw68i&#10;q1L+H1B9A1BLAwQUAAAACACHTuJA3go/b8sBAACiAwAADgAAAGRycy9lMm9Eb2MueG1srVPLbtsw&#10;ELwX6D8QvNd6IA0CwXIONtKL2xpI+gE0RUlESS7BpS3577ukH03SSw7lgRC5u7Mzs9TycbaGHVVA&#10;Da7l1aLkTDkJnXZDy3+9PH154AyjcJ0w4FTLTwr54+rzp+XkG1XDCKZTgRGIw2byLR9j9E1RoByV&#10;FbgArxwFewhWRDqGoeiCmAjdmqIuy/tigtD5AFIh0u3mHOQXxPARQOh7LdUG5MEqF8+oQRkRSRKO&#10;2iNfZbZ9r2T82feoIjMtJ6Ux79SEvvdpL1ZL0QxB+FHLCwXxEQrvNFmhHTW9QW1EFOwQ9D9QVssA&#10;CH1cSLDFWUh2hFRU5TtvnkfhVdZCVqO/mY7/D1b+OO4C0x29BLLECUsT32qn2F2dvJk8NpSydruQ&#10;1MnZPfstyN/IHKxH4QaVOb6cPNVVqaJ4U5IO6KnDfvoOHeWIQ4Rs1NwHmyDJAjbneZxu81BzZJIu&#10;76u6uiuJl7zGCtFcC33A+E2BZemj5YZIZ2Bx3GJMRERzTUl9HDxpY/K4jWNTy2taX3MFgtFdiqY8&#10;DMN+bQI7ivRiHkpaWRZFXqcFOLju3MW4i+ok9GzZHrrTLlzdoNFlOpdnlt7G63Ou/vtrr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8YOD9UAAAAIAQAADwAAAAAAAAABACAAAAAiAAAAZHJzL2Rv&#10;d25yZXYueG1sUEsBAhQAFAAAAAgAh07iQN4KP2/LAQAAogMAAA4AAAAAAAAAAQAgAAAAJAEAAGRy&#10;cy9lMm9Eb2MueG1sUEsFBgAAAAAGAAYAWQEAAGEFAAAAAA==&#10;">
                <v:fill on="f" focussize="0,0"/>
                <v:stroke weight="1.75pt" color="#080000" joinstyle="round"/>
                <v:imagedata o:title=""/>
                <o:lock v:ext="edit" aspectratio="f"/>
              </v:line>
            </w:pict>
          </mc:Fallback>
        </mc:AlternateContent>
      </w:r>
      <w:r>
        <w:rPr>
          <w:rFonts w:hint="eastAsia"/>
          <w:sz w:val="21"/>
          <w:szCs w:val="21"/>
        </w:rPr>
        <w:t>ICS</w:t>
      </w:r>
    </w:p>
    <w:p w14:paraId="7536D005">
      <w:pPr>
        <w:pStyle w:val="63"/>
        <w:spacing w:before="300" w:after="240"/>
        <w:rPr>
          <w:rFonts w:hint="eastAsia" w:ascii="Times New Roman" w:hAnsi="黑体"/>
        </w:rPr>
      </w:pPr>
      <w:bookmarkStart w:id="2" w:name="_Toc174231999"/>
      <w:bookmarkStart w:id="3" w:name="_Toc101106175"/>
      <w:r>
        <w:rPr>
          <w:rFonts w:hint="eastAsia" w:ascii="Times New Roman" w:hAnsi="黑体"/>
        </w:rPr>
        <w:t xml:space="preserve">目  </w:t>
      </w:r>
      <w:bookmarkEnd w:id="2"/>
      <w:r>
        <w:rPr>
          <w:rFonts w:hint="eastAsia" w:ascii="Times New Roman" w:hAnsi="黑体"/>
        </w:rPr>
        <w:t>次</w:t>
      </w:r>
    </w:p>
    <w:p w14:paraId="0E70A540">
      <w:pPr>
        <w:pStyle w:val="17"/>
        <w:tabs>
          <w:tab w:val="right" w:leader="dot" w:pos="9344"/>
        </w:tabs>
        <w:rPr>
          <w:szCs w:val="22"/>
          <w14:ligatures w14:val="standardContextual"/>
        </w:rPr>
      </w:pPr>
      <w:r>
        <w:fldChar w:fldCharType="begin"/>
      </w:r>
      <w:r>
        <w:instrText xml:space="preserve"> TOC \o "1-2" \h \z \u </w:instrText>
      </w:r>
      <w:r>
        <w:fldChar w:fldCharType="separate"/>
      </w:r>
    </w:p>
    <w:p w14:paraId="12804AA4">
      <w:pPr>
        <w:pStyle w:val="17"/>
        <w:tabs>
          <w:tab w:val="right" w:leader="dot" w:pos="9344"/>
        </w:tabs>
        <w:rPr>
          <w:szCs w:val="22"/>
          <w14:ligatures w14:val="standardContextual"/>
        </w:rPr>
      </w:pPr>
      <w:r>
        <w:fldChar w:fldCharType="begin"/>
      </w:r>
      <w:r>
        <w:instrText xml:space="preserve"> HYPERLINK \l "_Toc174232000" </w:instrText>
      </w:r>
      <w:r>
        <w:fldChar w:fldCharType="separate"/>
      </w:r>
      <w:r>
        <w:rPr>
          <w:rStyle w:val="28"/>
        </w:rPr>
        <w:t>前  言</w:t>
      </w:r>
      <w:r>
        <w:tab/>
      </w:r>
      <w:r>
        <w:fldChar w:fldCharType="begin"/>
      </w:r>
      <w:r>
        <w:instrText xml:space="preserve"> PAGEREF _Toc174232000 \h </w:instrText>
      </w:r>
      <w:r>
        <w:fldChar w:fldCharType="separate"/>
      </w:r>
      <w:r>
        <w:t>II</w:t>
      </w:r>
      <w:r>
        <w:fldChar w:fldCharType="end"/>
      </w:r>
      <w:r>
        <w:fldChar w:fldCharType="end"/>
      </w:r>
    </w:p>
    <w:p w14:paraId="731E1427">
      <w:pPr>
        <w:pStyle w:val="17"/>
        <w:tabs>
          <w:tab w:val="right" w:leader="dot" w:pos="9344"/>
        </w:tabs>
        <w:rPr>
          <w:szCs w:val="22"/>
          <w14:ligatures w14:val="standardContextual"/>
        </w:rPr>
      </w:pPr>
      <w:r>
        <w:fldChar w:fldCharType="begin"/>
      </w:r>
      <w:r>
        <w:instrText xml:space="preserve"> HYPERLINK \l "_Toc174232002" </w:instrText>
      </w:r>
      <w:r>
        <w:fldChar w:fldCharType="separate"/>
      </w:r>
      <w:r>
        <w:rPr>
          <w:rStyle w:val="28"/>
          <w:bCs/>
        </w:rPr>
        <w:t>1 范围</w:t>
      </w:r>
      <w:r>
        <w:tab/>
      </w:r>
      <w:r>
        <w:fldChar w:fldCharType="begin"/>
      </w:r>
      <w:r>
        <w:instrText xml:space="preserve"> PAGEREF _Toc174232002 \h </w:instrText>
      </w:r>
      <w:r>
        <w:fldChar w:fldCharType="separate"/>
      </w:r>
      <w:r>
        <w:t>1</w:t>
      </w:r>
      <w:r>
        <w:fldChar w:fldCharType="end"/>
      </w:r>
      <w:r>
        <w:fldChar w:fldCharType="end"/>
      </w:r>
    </w:p>
    <w:p w14:paraId="63F80E95">
      <w:pPr>
        <w:pStyle w:val="17"/>
        <w:tabs>
          <w:tab w:val="right" w:leader="dot" w:pos="9344"/>
        </w:tabs>
        <w:rPr>
          <w:szCs w:val="22"/>
          <w14:ligatures w14:val="standardContextual"/>
        </w:rPr>
      </w:pPr>
      <w:r>
        <w:fldChar w:fldCharType="begin"/>
      </w:r>
      <w:r>
        <w:instrText xml:space="preserve"> HYPERLINK \l "_Toc174232003" </w:instrText>
      </w:r>
      <w:r>
        <w:fldChar w:fldCharType="separate"/>
      </w:r>
      <w:r>
        <w:rPr>
          <w:rStyle w:val="28"/>
          <w:bCs/>
        </w:rPr>
        <w:t>2 规范性引用文件</w:t>
      </w:r>
      <w:r>
        <w:tab/>
      </w:r>
      <w:r>
        <w:fldChar w:fldCharType="begin"/>
      </w:r>
      <w:r>
        <w:instrText xml:space="preserve"> PAGEREF _Toc174232003 \h </w:instrText>
      </w:r>
      <w:r>
        <w:fldChar w:fldCharType="separate"/>
      </w:r>
      <w:r>
        <w:t>1</w:t>
      </w:r>
      <w:r>
        <w:fldChar w:fldCharType="end"/>
      </w:r>
      <w:r>
        <w:fldChar w:fldCharType="end"/>
      </w:r>
    </w:p>
    <w:p w14:paraId="3E54520E">
      <w:pPr>
        <w:pStyle w:val="17"/>
        <w:tabs>
          <w:tab w:val="right" w:leader="dot" w:pos="9344"/>
        </w:tabs>
        <w:rPr>
          <w:szCs w:val="22"/>
          <w14:ligatures w14:val="standardContextual"/>
        </w:rPr>
      </w:pPr>
      <w:r>
        <w:fldChar w:fldCharType="begin"/>
      </w:r>
      <w:r>
        <w:instrText xml:space="preserve"> HYPERLINK \l "_Toc174232004" </w:instrText>
      </w:r>
      <w:r>
        <w:fldChar w:fldCharType="separate"/>
      </w:r>
      <w:r>
        <w:rPr>
          <w:rStyle w:val="28"/>
          <w:bCs/>
        </w:rPr>
        <w:t>3 术语和定义</w:t>
      </w:r>
      <w:r>
        <w:tab/>
      </w:r>
      <w:r>
        <w:fldChar w:fldCharType="begin"/>
      </w:r>
      <w:r>
        <w:instrText xml:space="preserve"> PAGEREF _Toc174232004 \h </w:instrText>
      </w:r>
      <w:r>
        <w:fldChar w:fldCharType="separate"/>
      </w:r>
      <w:r>
        <w:t>1</w:t>
      </w:r>
      <w:r>
        <w:fldChar w:fldCharType="end"/>
      </w:r>
      <w:r>
        <w:fldChar w:fldCharType="end"/>
      </w:r>
    </w:p>
    <w:p w14:paraId="0BF88586">
      <w:pPr>
        <w:pStyle w:val="17"/>
        <w:tabs>
          <w:tab w:val="right" w:leader="dot" w:pos="9344"/>
        </w:tabs>
        <w:rPr>
          <w:szCs w:val="22"/>
          <w14:ligatures w14:val="standardContextual"/>
        </w:rPr>
      </w:pPr>
      <w:r>
        <w:fldChar w:fldCharType="begin"/>
      </w:r>
      <w:r>
        <w:instrText xml:space="preserve"> HYPERLINK \l "_Toc174232043" </w:instrText>
      </w:r>
      <w:r>
        <w:fldChar w:fldCharType="separate"/>
      </w:r>
      <w:r>
        <w:rPr>
          <w:rStyle w:val="28"/>
          <w:bCs/>
        </w:rPr>
        <w:t>4 量化目的</w:t>
      </w:r>
      <w:r>
        <w:tab/>
      </w:r>
      <w:r>
        <w:fldChar w:fldCharType="begin"/>
      </w:r>
      <w:r>
        <w:instrText xml:space="preserve"> PAGEREF _Toc174232043 \h </w:instrText>
      </w:r>
      <w:r>
        <w:fldChar w:fldCharType="separate"/>
      </w:r>
      <w:r>
        <w:t>4</w:t>
      </w:r>
      <w:r>
        <w:fldChar w:fldCharType="end"/>
      </w:r>
      <w:r>
        <w:fldChar w:fldCharType="end"/>
      </w:r>
    </w:p>
    <w:p w14:paraId="58273002">
      <w:pPr>
        <w:pStyle w:val="17"/>
        <w:tabs>
          <w:tab w:val="right" w:leader="dot" w:pos="9344"/>
        </w:tabs>
        <w:rPr>
          <w:szCs w:val="22"/>
          <w14:ligatures w14:val="standardContextual"/>
        </w:rPr>
      </w:pPr>
      <w:r>
        <w:fldChar w:fldCharType="begin"/>
      </w:r>
      <w:r>
        <w:instrText xml:space="preserve"> HYPERLINK \l "_Toc174232044" </w:instrText>
      </w:r>
      <w:r>
        <w:fldChar w:fldCharType="separate"/>
      </w:r>
      <w:r>
        <w:rPr>
          <w:rStyle w:val="28"/>
          <w:bCs/>
        </w:rPr>
        <w:t>5 量化范围</w:t>
      </w:r>
      <w:r>
        <w:tab/>
      </w:r>
      <w:r>
        <w:fldChar w:fldCharType="begin"/>
      </w:r>
      <w:r>
        <w:instrText xml:space="preserve"> PAGEREF _Toc174232044 \h </w:instrText>
      </w:r>
      <w:r>
        <w:fldChar w:fldCharType="separate"/>
      </w:r>
      <w:r>
        <w:t>4</w:t>
      </w:r>
      <w:r>
        <w:fldChar w:fldCharType="end"/>
      </w:r>
      <w:r>
        <w:fldChar w:fldCharType="end"/>
      </w:r>
    </w:p>
    <w:p w14:paraId="72699DC2">
      <w:pPr>
        <w:pStyle w:val="19"/>
        <w:tabs>
          <w:tab w:val="right" w:leader="dot" w:pos="9344"/>
        </w:tabs>
        <w:rPr>
          <w:szCs w:val="22"/>
          <w14:ligatures w14:val="standardContextual"/>
        </w:rPr>
      </w:pPr>
      <w:r>
        <w:fldChar w:fldCharType="begin"/>
      </w:r>
      <w:r>
        <w:instrText xml:space="preserve"> HYPERLINK \l "_Toc174232045" </w:instrText>
      </w:r>
      <w:r>
        <w:fldChar w:fldCharType="separate"/>
      </w:r>
      <w:r>
        <w:rPr>
          <w:rStyle w:val="28"/>
        </w:rPr>
        <w:t>5.1 声明单位</w:t>
      </w:r>
      <w:r>
        <w:tab/>
      </w:r>
      <w:r>
        <w:fldChar w:fldCharType="begin"/>
      </w:r>
      <w:r>
        <w:instrText xml:space="preserve"> PAGEREF _Toc174232045 \h </w:instrText>
      </w:r>
      <w:r>
        <w:fldChar w:fldCharType="separate"/>
      </w:r>
      <w:r>
        <w:t>4</w:t>
      </w:r>
      <w:r>
        <w:fldChar w:fldCharType="end"/>
      </w:r>
      <w:r>
        <w:fldChar w:fldCharType="end"/>
      </w:r>
    </w:p>
    <w:p w14:paraId="58D5FDEE">
      <w:pPr>
        <w:pStyle w:val="19"/>
        <w:tabs>
          <w:tab w:val="right" w:leader="dot" w:pos="9344"/>
        </w:tabs>
        <w:rPr>
          <w:szCs w:val="22"/>
          <w14:ligatures w14:val="standardContextual"/>
        </w:rPr>
      </w:pPr>
      <w:r>
        <w:fldChar w:fldCharType="begin"/>
      </w:r>
      <w:r>
        <w:instrText xml:space="preserve"> HYPERLINK \l "_Toc174232046" </w:instrText>
      </w:r>
      <w:r>
        <w:fldChar w:fldCharType="separate"/>
      </w:r>
      <w:r>
        <w:rPr>
          <w:rStyle w:val="28"/>
        </w:rPr>
        <w:t>5.2 系统边界</w:t>
      </w:r>
      <w:r>
        <w:tab/>
      </w:r>
      <w:r>
        <w:fldChar w:fldCharType="begin"/>
      </w:r>
      <w:r>
        <w:instrText xml:space="preserve"> PAGEREF _Toc174232046 \h </w:instrText>
      </w:r>
      <w:r>
        <w:fldChar w:fldCharType="separate"/>
      </w:r>
      <w:r>
        <w:t>5</w:t>
      </w:r>
      <w:r>
        <w:fldChar w:fldCharType="end"/>
      </w:r>
      <w:r>
        <w:fldChar w:fldCharType="end"/>
      </w:r>
    </w:p>
    <w:p w14:paraId="247B8761">
      <w:pPr>
        <w:pStyle w:val="17"/>
        <w:tabs>
          <w:tab w:val="right" w:leader="dot" w:pos="9344"/>
        </w:tabs>
        <w:rPr>
          <w:szCs w:val="22"/>
          <w14:ligatures w14:val="standardContextual"/>
        </w:rPr>
      </w:pPr>
      <w:r>
        <w:fldChar w:fldCharType="begin"/>
      </w:r>
      <w:r>
        <w:instrText xml:space="preserve"> HYPERLINK \l "_Toc174232047" </w:instrText>
      </w:r>
      <w:r>
        <w:fldChar w:fldCharType="separate"/>
      </w:r>
      <w:r>
        <w:rPr>
          <w:rStyle w:val="28"/>
        </w:rPr>
        <w:t>6  清单分析</w:t>
      </w:r>
      <w:r>
        <w:tab/>
      </w:r>
      <w:r>
        <w:fldChar w:fldCharType="begin"/>
      </w:r>
      <w:r>
        <w:instrText xml:space="preserve"> PAGEREF _Toc174232047 \h </w:instrText>
      </w:r>
      <w:r>
        <w:fldChar w:fldCharType="separate"/>
      </w:r>
      <w:r>
        <w:t>9</w:t>
      </w:r>
      <w:r>
        <w:fldChar w:fldCharType="end"/>
      </w:r>
      <w:r>
        <w:fldChar w:fldCharType="end"/>
      </w:r>
    </w:p>
    <w:p w14:paraId="320547A4">
      <w:pPr>
        <w:pStyle w:val="19"/>
        <w:tabs>
          <w:tab w:val="right" w:leader="dot" w:pos="9344"/>
        </w:tabs>
        <w:rPr>
          <w:szCs w:val="22"/>
          <w14:ligatures w14:val="standardContextual"/>
        </w:rPr>
      </w:pPr>
      <w:r>
        <w:fldChar w:fldCharType="begin"/>
      </w:r>
      <w:r>
        <w:instrText xml:space="preserve"> HYPERLINK \l "_Toc174232048" </w:instrText>
      </w:r>
      <w:r>
        <w:fldChar w:fldCharType="separate"/>
      </w:r>
      <w:r>
        <w:rPr>
          <w:rStyle w:val="28"/>
        </w:rPr>
        <w:t>6.1  数据收集和确认</w:t>
      </w:r>
      <w:r>
        <w:tab/>
      </w:r>
      <w:r>
        <w:fldChar w:fldCharType="begin"/>
      </w:r>
      <w:r>
        <w:instrText xml:space="preserve"> PAGEREF _Toc174232048 \h </w:instrText>
      </w:r>
      <w:r>
        <w:fldChar w:fldCharType="separate"/>
      </w:r>
      <w:r>
        <w:t>9</w:t>
      </w:r>
      <w:r>
        <w:fldChar w:fldCharType="end"/>
      </w:r>
      <w:r>
        <w:fldChar w:fldCharType="end"/>
      </w:r>
    </w:p>
    <w:p w14:paraId="0F9A2949">
      <w:pPr>
        <w:pStyle w:val="19"/>
        <w:tabs>
          <w:tab w:val="right" w:leader="dot" w:pos="9344"/>
        </w:tabs>
        <w:rPr>
          <w:szCs w:val="22"/>
          <w14:ligatures w14:val="standardContextual"/>
        </w:rPr>
      </w:pPr>
      <w:r>
        <w:fldChar w:fldCharType="begin"/>
      </w:r>
      <w:r>
        <w:instrText xml:space="preserve"> HYPERLINK \l "_Toc174232049" </w:instrText>
      </w:r>
      <w:r>
        <w:fldChar w:fldCharType="separate"/>
      </w:r>
      <w:r>
        <w:rPr>
          <w:rStyle w:val="28"/>
        </w:rPr>
        <w:t>6.2  数据分配</w:t>
      </w:r>
      <w:r>
        <w:tab/>
      </w:r>
      <w:r>
        <w:fldChar w:fldCharType="begin"/>
      </w:r>
      <w:r>
        <w:instrText xml:space="preserve"> PAGEREF _Toc174232049 \h </w:instrText>
      </w:r>
      <w:r>
        <w:fldChar w:fldCharType="separate"/>
      </w:r>
      <w:r>
        <w:t>16</w:t>
      </w:r>
      <w:r>
        <w:fldChar w:fldCharType="end"/>
      </w:r>
      <w:r>
        <w:fldChar w:fldCharType="end"/>
      </w:r>
    </w:p>
    <w:p w14:paraId="282E8CAB">
      <w:pPr>
        <w:pStyle w:val="19"/>
        <w:tabs>
          <w:tab w:val="right" w:leader="dot" w:pos="9344"/>
        </w:tabs>
        <w:rPr>
          <w:szCs w:val="22"/>
          <w14:ligatures w14:val="standardContextual"/>
        </w:rPr>
      </w:pPr>
      <w:r>
        <w:fldChar w:fldCharType="begin"/>
      </w:r>
      <w:r>
        <w:instrText xml:space="preserve"> HYPERLINK \l "_Toc174232050" </w:instrText>
      </w:r>
      <w:r>
        <w:fldChar w:fldCharType="separate"/>
      </w:r>
      <w:r>
        <w:rPr>
          <w:rStyle w:val="28"/>
        </w:rPr>
        <w:t>6.3  取舍准则</w:t>
      </w:r>
      <w:r>
        <w:tab/>
      </w:r>
      <w:r>
        <w:fldChar w:fldCharType="begin"/>
      </w:r>
      <w:r>
        <w:instrText xml:space="preserve"> PAGEREF _Toc174232050 \h </w:instrText>
      </w:r>
      <w:r>
        <w:fldChar w:fldCharType="separate"/>
      </w:r>
      <w:r>
        <w:t>16</w:t>
      </w:r>
      <w:r>
        <w:fldChar w:fldCharType="end"/>
      </w:r>
      <w:r>
        <w:fldChar w:fldCharType="end"/>
      </w:r>
    </w:p>
    <w:p w14:paraId="1CD749F9">
      <w:pPr>
        <w:pStyle w:val="19"/>
        <w:tabs>
          <w:tab w:val="right" w:leader="dot" w:pos="9344"/>
        </w:tabs>
        <w:rPr>
          <w:szCs w:val="22"/>
          <w14:ligatures w14:val="standardContextual"/>
        </w:rPr>
      </w:pPr>
      <w:r>
        <w:fldChar w:fldCharType="begin"/>
      </w:r>
      <w:r>
        <w:instrText xml:space="preserve"> HYPERLINK \l "_Toc174232051" </w:instrText>
      </w:r>
      <w:r>
        <w:fldChar w:fldCharType="separate"/>
      </w:r>
      <w:r>
        <w:rPr>
          <w:rStyle w:val="28"/>
        </w:rPr>
        <w:t>6.4  清单计算</w:t>
      </w:r>
      <w:r>
        <w:tab/>
      </w:r>
      <w:r>
        <w:fldChar w:fldCharType="begin"/>
      </w:r>
      <w:r>
        <w:instrText xml:space="preserve"> PAGEREF _Toc174232051 \h </w:instrText>
      </w:r>
      <w:r>
        <w:fldChar w:fldCharType="separate"/>
      </w:r>
      <w:r>
        <w:t>17</w:t>
      </w:r>
      <w:r>
        <w:fldChar w:fldCharType="end"/>
      </w:r>
      <w:r>
        <w:fldChar w:fldCharType="end"/>
      </w:r>
    </w:p>
    <w:p w14:paraId="0A3DA4BC">
      <w:pPr>
        <w:pStyle w:val="17"/>
        <w:tabs>
          <w:tab w:val="right" w:leader="dot" w:pos="9344"/>
        </w:tabs>
        <w:rPr>
          <w:szCs w:val="22"/>
          <w14:ligatures w14:val="standardContextual"/>
        </w:rPr>
      </w:pPr>
      <w:r>
        <w:fldChar w:fldCharType="begin"/>
      </w:r>
      <w:r>
        <w:instrText xml:space="preserve"> HYPERLINK \l "_Toc174232052" </w:instrText>
      </w:r>
      <w:r>
        <w:fldChar w:fldCharType="separate"/>
      </w:r>
      <w:r>
        <w:rPr>
          <w:rStyle w:val="28"/>
        </w:rPr>
        <w:t>7 影响评价</w:t>
      </w:r>
      <w:r>
        <w:tab/>
      </w:r>
      <w:r>
        <w:fldChar w:fldCharType="begin"/>
      </w:r>
      <w:r>
        <w:instrText xml:space="preserve"> PAGEREF _Toc174232052 \h </w:instrText>
      </w:r>
      <w:r>
        <w:fldChar w:fldCharType="separate"/>
      </w:r>
      <w:r>
        <w:t>17</w:t>
      </w:r>
      <w:r>
        <w:fldChar w:fldCharType="end"/>
      </w:r>
      <w:r>
        <w:fldChar w:fldCharType="end"/>
      </w:r>
    </w:p>
    <w:p w14:paraId="79E57A83">
      <w:pPr>
        <w:pStyle w:val="19"/>
        <w:tabs>
          <w:tab w:val="right" w:leader="dot" w:pos="9344"/>
        </w:tabs>
        <w:rPr>
          <w:szCs w:val="22"/>
          <w14:ligatures w14:val="standardContextual"/>
        </w:rPr>
      </w:pPr>
      <w:r>
        <w:fldChar w:fldCharType="begin"/>
      </w:r>
      <w:r>
        <w:instrText xml:space="preserve"> HYPERLINK \l "_Toc174232053" </w:instrText>
      </w:r>
      <w:r>
        <w:fldChar w:fldCharType="separate"/>
      </w:r>
      <w:r>
        <w:rPr>
          <w:rStyle w:val="28"/>
        </w:rPr>
        <w:t>7.1  全球变暖潜势值（GWP）的选取</w:t>
      </w:r>
      <w:r>
        <w:tab/>
      </w:r>
      <w:r>
        <w:fldChar w:fldCharType="begin"/>
      </w:r>
      <w:r>
        <w:instrText xml:space="preserve"> PAGEREF _Toc174232053 \h </w:instrText>
      </w:r>
      <w:r>
        <w:fldChar w:fldCharType="separate"/>
      </w:r>
      <w:r>
        <w:t>17</w:t>
      </w:r>
      <w:r>
        <w:fldChar w:fldCharType="end"/>
      </w:r>
      <w:r>
        <w:fldChar w:fldCharType="end"/>
      </w:r>
    </w:p>
    <w:p w14:paraId="7399F8F6">
      <w:pPr>
        <w:pStyle w:val="19"/>
        <w:tabs>
          <w:tab w:val="right" w:leader="dot" w:pos="9344"/>
        </w:tabs>
        <w:rPr>
          <w:szCs w:val="22"/>
          <w14:ligatures w14:val="standardContextual"/>
        </w:rPr>
      </w:pPr>
      <w:r>
        <w:fldChar w:fldCharType="begin"/>
      </w:r>
      <w:r>
        <w:instrText xml:space="preserve"> HYPERLINK \l "_Toc174232054" </w:instrText>
      </w:r>
      <w:r>
        <w:fldChar w:fldCharType="separate"/>
      </w:r>
      <w:r>
        <w:rPr>
          <w:rStyle w:val="28"/>
        </w:rPr>
        <w:t>7.2  产品碳足迹的计算</w:t>
      </w:r>
      <w:r>
        <w:tab/>
      </w:r>
      <w:r>
        <w:fldChar w:fldCharType="begin"/>
      </w:r>
      <w:r>
        <w:instrText xml:space="preserve"> PAGEREF _Toc174232054 \h </w:instrText>
      </w:r>
      <w:r>
        <w:fldChar w:fldCharType="separate"/>
      </w:r>
      <w:r>
        <w:t>17</w:t>
      </w:r>
      <w:r>
        <w:fldChar w:fldCharType="end"/>
      </w:r>
      <w:r>
        <w:fldChar w:fldCharType="end"/>
      </w:r>
    </w:p>
    <w:p w14:paraId="74F0DB7E">
      <w:pPr>
        <w:pStyle w:val="19"/>
        <w:tabs>
          <w:tab w:val="right" w:leader="dot" w:pos="9344"/>
        </w:tabs>
        <w:rPr>
          <w:szCs w:val="22"/>
          <w14:ligatures w14:val="standardContextual"/>
        </w:rPr>
      </w:pPr>
      <w:r>
        <w:fldChar w:fldCharType="begin"/>
      </w:r>
      <w:r>
        <w:instrText xml:space="preserve"> HYPERLINK \l "_Toc174232055" </w:instrText>
      </w:r>
      <w:r>
        <w:fldChar w:fldCharType="separate"/>
      </w:r>
      <w:r>
        <w:rPr>
          <w:rStyle w:val="28"/>
        </w:rPr>
        <w:t>7.3  排放数据分析</w:t>
      </w:r>
      <w:r>
        <w:tab/>
      </w:r>
      <w:r>
        <w:fldChar w:fldCharType="begin"/>
      </w:r>
      <w:r>
        <w:instrText xml:space="preserve"> PAGEREF _Toc174232055 \h </w:instrText>
      </w:r>
      <w:r>
        <w:fldChar w:fldCharType="separate"/>
      </w:r>
      <w:r>
        <w:t>18</w:t>
      </w:r>
      <w:r>
        <w:fldChar w:fldCharType="end"/>
      </w:r>
      <w:r>
        <w:fldChar w:fldCharType="end"/>
      </w:r>
    </w:p>
    <w:p w14:paraId="572160CA">
      <w:pPr>
        <w:pStyle w:val="19"/>
        <w:tabs>
          <w:tab w:val="right" w:leader="dot" w:pos="9344"/>
        </w:tabs>
        <w:rPr>
          <w:szCs w:val="22"/>
          <w14:ligatures w14:val="standardContextual"/>
        </w:rPr>
      </w:pPr>
      <w:r>
        <w:fldChar w:fldCharType="begin"/>
      </w:r>
      <w:r>
        <w:instrText xml:space="preserve"> HYPERLINK \l "_Toc174232056" </w:instrText>
      </w:r>
      <w:r>
        <w:fldChar w:fldCharType="separate"/>
      </w:r>
      <w:r>
        <w:rPr>
          <w:rStyle w:val="28"/>
        </w:rPr>
        <w:t>7.4  数据更新</w:t>
      </w:r>
      <w:r>
        <w:tab/>
      </w:r>
      <w:r>
        <w:fldChar w:fldCharType="begin"/>
      </w:r>
      <w:r>
        <w:instrText xml:space="preserve"> PAGEREF _Toc174232056 \h </w:instrText>
      </w:r>
      <w:r>
        <w:fldChar w:fldCharType="separate"/>
      </w:r>
      <w:r>
        <w:t>18</w:t>
      </w:r>
      <w:r>
        <w:fldChar w:fldCharType="end"/>
      </w:r>
      <w:r>
        <w:fldChar w:fldCharType="end"/>
      </w:r>
    </w:p>
    <w:p w14:paraId="368B1481">
      <w:pPr>
        <w:pStyle w:val="19"/>
        <w:tabs>
          <w:tab w:val="right" w:leader="dot" w:pos="9344"/>
        </w:tabs>
        <w:rPr>
          <w:szCs w:val="22"/>
          <w14:ligatures w14:val="standardContextual"/>
        </w:rPr>
      </w:pPr>
      <w:r>
        <w:fldChar w:fldCharType="begin"/>
      </w:r>
      <w:r>
        <w:instrText xml:space="preserve"> HYPERLINK \l "_Toc174232057" </w:instrText>
      </w:r>
      <w:r>
        <w:fldChar w:fldCharType="separate"/>
      </w:r>
      <w:r>
        <w:rPr>
          <w:rStyle w:val="28"/>
        </w:rPr>
        <w:t>7.5  绩效追踪</w:t>
      </w:r>
      <w:r>
        <w:tab/>
      </w:r>
      <w:r>
        <w:fldChar w:fldCharType="begin"/>
      </w:r>
      <w:r>
        <w:instrText xml:space="preserve"> PAGEREF _Toc174232057 \h </w:instrText>
      </w:r>
      <w:r>
        <w:fldChar w:fldCharType="separate"/>
      </w:r>
      <w:r>
        <w:t>18</w:t>
      </w:r>
      <w:r>
        <w:fldChar w:fldCharType="end"/>
      </w:r>
      <w:r>
        <w:fldChar w:fldCharType="end"/>
      </w:r>
    </w:p>
    <w:p w14:paraId="109E5AA7">
      <w:pPr>
        <w:pStyle w:val="17"/>
        <w:tabs>
          <w:tab w:val="right" w:leader="dot" w:pos="9344"/>
        </w:tabs>
        <w:rPr>
          <w:szCs w:val="22"/>
          <w14:ligatures w14:val="standardContextual"/>
        </w:rPr>
      </w:pPr>
      <w:r>
        <w:fldChar w:fldCharType="begin"/>
      </w:r>
      <w:r>
        <w:instrText xml:space="preserve"> HYPERLINK \l "_Toc174232058" </w:instrText>
      </w:r>
      <w:r>
        <w:fldChar w:fldCharType="separate"/>
      </w:r>
      <w:r>
        <w:rPr>
          <w:rStyle w:val="28"/>
          <w:bCs/>
        </w:rPr>
        <w:t>8 结果解释</w:t>
      </w:r>
      <w:r>
        <w:tab/>
      </w:r>
      <w:r>
        <w:fldChar w:fldCharType="begin"/>
      </w:r>
      <w:r>
        <w:instrText xml:space="preserve"> PAGEREF _Toc174232058 \h </w:instrText>
      </w:r>
      <w:r>
        <w:fldChar w:fldCharType="separate"/>
      </w:r>
      <w:r>
        <w:t>18</w:t>
      </w:r>
      <w:r>
        <w:fldChar w:fldCharType="end"/>
      </w:r>
      <w:r>
        <w:fldChar w:fldCharType="end"/>
      </w:r>
    </w:p>
    <w:p w14:paraId="26087E94">
      <w:pPr>
        <w:pStyle w:val="17"/>
        <w:tabs>
          <w:tab w:val="right" w:leader="dot" w:pos="9344"/>
        </w:tabs>
        <w:rPr>
          <w:szCs w:val="22"/>
          <w14:ligatures w14:val="standardContextual"/>
        </w:rPr>
      </w:pPr>
      <w:r>
        <w:fldChar w:fldCharType="begin"/>
      </w:r>
      <w:r>
        <w:instrText xml:space="preserve"> HYPERLINK \l "_Toc174232059" </w:instrText>
      </w:r>
      <w:r>
        <w:fldChar w:fldCharType="separate"/>
      </w:r>
      <w:r>
        <w:rPr>
          <w:rStyle w:val="28"/>
          <w:bCs/>
        </w:rPr>
        <w:t>9 产品碳足迹报告</w:t>
      </w:r>
      <w:r>
        <w:tab/>
      </w:r>
      <w:r>
        <w:fldChar w:fldCharType="begin"/>
      </w:r>
      <w:r>
        <w:instrText xml:space="preserve"> PAGEREF _Toc174232059 \h </w:instrText>
      </w:r>
      <w:r>
        <w:fldChar w:fldCharType="separate"/>
      </w:r>
      <w:r>
        <w:t>18</w:t>
      </w:r>
      <w:r>
        <w:fldChar w:fldCharType="end"/>
      </w:r>
      <w:r>
        <w:fldChar w:fldCharType="end"/>
      </w:r>
    </w:p>
    <w:p w14:paraId="2EECB94D">
      <w:pPr>
        <w:pStyle w:val="17"/>
        <w:tabs>
          <w:tab w:val="right" w:leader="dot" w:pos="9344"/>
        </w:tabs>
        <w:rPr>
          <w:szCs w:val="22"/>
          <w14:ligatures w14:val="standardContextual"/>
        </w:rPr>
      </w:pPr>
      <w:r>
        <w:fldChar w:fldCharType="begin"/>
      </w:r>
      <w:r>
        <w:instrText xml:space="preserve"> HYPERLINK \l "_Toc174232060" </w:instrText>
      </w:r>
      <w:r>
        <w:fldChar w:fldCharType="separate"/>
      </w:r>
      <w:r>
        <w:rPr>
          <w:rStyle w:val="28"/>
          <w:bCs/>
        </w:rPr>
        <w:t>10 产品碳足迹声明</w:t>
      </w:r>
      <w:r>
        <w:tab/>
      </w:r>
      <w:r>
        <w:fldChar w:fldCharType="begin"/>
      </w:r>
      <w:r>
        <w:instrText xml:space="preserve"> PAGEREF _Toc174232060 \h </w:instrText>
      </w:r>
      <w:r>
        <w:fldChar w:fldCharType="separate"/>
      </w:r>
      <w:r>
        <w:t>19</w:t>
      </w:r>
      <w:r>
        <w:fldChar w:fldCharType="end"/>
      </w:r>
      <w:r>
        <w:fldChar w:fldCharType="end"/>
      </w:r>
    </w:p>
    <w:p w14:paraId="4A8D8807">
      <w:pPr>
        <w:pStyle w:val="19"/>
        <w:tabs>
          <w:tab w:val="right" w:leader="dot" w:pos="9344"/>
        </w:tabs>
        <w:rPr>
          <w:szCs w:val="22"/>
          <w14:ligatures w14:val="standardContextual"/>
        </w:rPr>
      </w:pPr>
      <w:r>
        <w:fldChar w:fldCharType="begin"/>
      </w:r>
      <w:r>
        <w:instrText xml:space="preserve"> HYPERLINK \l "_Toc174232061" </w:instrText>
      </w:r>
      <w:r>
        <w:fldChar w:fldCharType="separate"/>
      </w:r>
      <w:r>
        <w:rPr>
          <w:rStyle w:val="28"/>
        </w:rPr>
        <w:t>附  录  A（资料性）</w:t>
      </w:r>
      <w:r>
        <w:rPr>
          <w:rStyle w:val="28"/>
          <w:rFonts w:hint="eastAsia"/>
          <w:lang w:eastAsia="zh-CN"/>
        </w:rPr>
        <w:t>锡</w:t>
      </w:r>
      <w:r>
        <w:rPr>
          <w:rStyle w:val="28"/>
        </w:rPr>
        <w:t>锭主要生产工艺</w:t>
      </w:r>
      <w:r>
        <w:tab/>
      </w:r>
      <w:r>
        <w:fldChar w:fldCharType="begin"/>
      </w:r>
      <w:r>
        <w:instrText xml:space="preserve"> PAGEREF _Toc174232061 \h </w:instrText>
      </w:r>
      <w:r>
        <w:fldChar w:fldCharType="separate"/>
      </w:r>
      <w:r>
        <w:t>20</w:t>
      </w:r>
      <w:r>
        <w:fldChar w:fldCharType="end"/>
      </w:r>
      <w:r>
        <w:fldChar w:fldCharType="end"/>
      </w:r>
    </w:p>
    <w:p w14:paraId="32A85234">
      <w:pPr>
        <w:pStyle w:val="19"/>
        <w:tabs>
          <w:tab w:val="right" w:leader="dot" w:pos="9344"/>
        </w:tabs>
        <w:rPr>
          <w:szCs w:val="22"/>
          <w14:ligatures w14:val="standardContextual"/>
        </w:rPr>
      </w:pPr>
      <w:r>
        <w:fldChar w:fldCharType="begin"/>
      </w:r>
      <w:r>
        <w:instrText xml:space="preserve"> HYPERLINK \l "_Toc174232062" </w:instrText>
      </w:r>
      <w:r>
        <w:fldChar w:fldCharType="separate"/>
      </w:r>
      <w:r>
        <w:rPr>
          <w:rStyle w:val="28"/>
          <w:bCs/>
          <w:kern w:val="44"/>
        </w:rPr>
        <w:t>附  录  B（资料性）数据质量评价</w:t>
      </w:r>
      <w:r>
        <w:tab/>
      </w:r>
      <w:r>
        <w:fldChar w:fldCharType="begin"/>
      </w:r>
      <w:r>
        <w:instrText xml:space="preserve"> PAGEREF _Toc174232062 \h </w:instrText>
      </w:r>
      <w:r>
        <w:fldChar w:fldCharType="separate"/>
      </w:r>
      <w:r>
        <w:t>22</w:t>
      </w:r>
      <w:r>
        <w:fldChar w:fldCharType="end"/>
      </w:r>
      <w:r>
        <w:fldChar w:fldCharType="end"/>
      </w:r>
    </w:p>
    <w:p w14:paraId="7E6670AD">
      <w:pPr>
        <w:pStyle w:val="19"/>
        <w:tabs>
          <w:tab w:val="right" w:leader="dot" w:pos="9344"/>
        </w:tabs>
        <w:rPr>
          <w:szCs w:val="22"/>
          <w14:ligatures w14:val="standardContextual"/>
        </w:rPr>
      </w:pPr>
      <w:r>
        <w:fldChar w:fldCharType="begin"/>
      </w:r>
      <w:r>
        <w:instrText xml:space="preserve"> HYPERLINK \l "_Toc174232063" </w:instrText>
      </w:r>
      <w:r>
        <w:fldChar w:fldCharType="separate"/>
      </w:r>
      <w:r>
        <w:rPr>
          <w:rStyle w:val="28"/>
        </w:rPr>
        <w:t>附  录  C（资料性）产品碳足迹量化数据收集表</w:t>
      </w:r>
      <w:r>
        <w:tab/>
      </w:r>
      <w:r>
        <w:fldChar w:fldCharType="begin"/>
      </w:r>
      <w:r>
        <w:instrText xml:space="preserve"> PAGEREF _Toc174232063 \h </w:instrText>
      </w:r>
      <w:r>
        <w:fldChar w:fldCharType="separate"/>
      </w:r>
      <w:r>
        <w:t>23</w:t>
      </w:r>
      <w:r>
        <w:fldChar w:fldCharType="end"/>
      </w:r>
      <w:r>
        <w:fldChar w:fldCharType="end"/>
      </w:r>
    </w:p>
    <w:p w14:paraId="3AFD8A3E">
      <w:pPr>
        <w:pStyle w:val="19"/>
        <w:tabs>
          <w:tab w:val="right" w:leader="dot" w:pos="9344"/>
        </w:tabs>
        <w:rPr>
          <w:szCs w:val="22"/>
          <w14:ligatures w14:val="standardContextual"/>
        </w:rPr>
      </w:pPr>
      <w:r>
        <w:fldChar w:fldCharType="begin"/>
      </w:r>
      <w:r>
        <w:instrText xml:space="preserve"> HYPERLINK \l "_Toc174232064" </w:instrText>
      </w:r>
      <w:r>
        <w:fldChar w:fldCharType="separate"/>
      </w:r>
      <w:r>
        <w:rPr>
          <w:rStyle w:val="28"/>
        </w:rPr>
        <w:t>附  录  D（资料性）推荐的分配方法</w:t>
      </w:r>
      <w:r>
        <w:tab/>
      </w:r>
      <w:r>
        <w:fldChar w:fldCharType="begin"/>
      </w:r>
      <w:r>
        <w:instrText xml:space="preserve"> PAGEREF _Toc174232064 \h </w:instrText>
      </w:r>
      <w:r>
        <w:fldChar w:fldCharType="separate"/>
      </w:r>
      <w:r>
        <w:t>27</w:t>
      </w:r>
      <w:r>
        <w:fldChar w:fldCharType="end"/>
      </w:r>
      <w:r>
        <w:fldChar w:fldCharType="end"/>
      </w:r>
    </w:p>
    <w:p w14:paraId="2BAD4DDB">
      <w:pPr>
        <w:pStyle w:val="19"/>
        <w:tabs>
          <w:tab w:val="right" w:leader="dot" w:pos="9344"/>
        </w:tabs>
        <w:rPr>
          <w:szCs w:val="22"/>
          <w14:ligatures w14:val="standardContextual"/>
        </w:rPr>
      </w:pPr>
      <w:r>
        <w:fldChar w:fldCharType="begin"/>
      </w:r>
      <w:r>
        <w:instrText xml:space="preserve"> HYPERLINK \l "_Toc174232065" </w:instrText>
      </w:r>
      <w:r>
        <w:fldChar w:fldCharType="separate"/>
      </w:r>
      <w:r>
        <w:rPr>
          <w:rStyle w:val="28"/>
          <w:kern w:val="0"/>
        </w:rPr>
        <w:t>附 录   E（资料性）产品碳足迹报告（模板）</w:t>
      </w:r>
      <w:r>
        <w:tab/>
      </w:r>
      <w:r>
        <w:fldChar w:fldCharType="begin"/>
      </w:r>
      <w:r>
        <w:instrText xml:space="preserve"> PAGEREF _Toc174232065 \h </w:instrText>
      </w:r>
      <w:r>
        <w:fldChar w:fldCharType="separate"/>
      </w:r>
      <w:r>
        <w:t>29</w:t>
      </w:r>
      <w:r>
        <w:fldChar w:fldCharType="end"/>
      </w:r>
      <w:r>
        <w:fldChar w:fldCharType="end"/>
      </w:r>
    </w:p>
    <w:p w14:paraId="3290A287">
      <w:pPr>
        <w:pStyle w:val="19"/>
        <w:tabs>
          <w:tab w:val="right" w:leader="dot" w:pos="9344"/>
        </w:tabs>
        <w:ind w:left="0" w:leftChars="0" w:firstLine="420" w:firstLineChars="200"/>
        <w:rPr>
          <w:szCs w:val="22"/>
          <w14:ligatures w14:val="standardContextual"/>
        </w:rPr>
      </w:pPr>
      <w:r>
        <w:fldChar w:fldCharType="begin"/>
      </w:r>
      <w:r>
        <w:instrText xml:space="preserve"> HYPERLINK \l "_Toc174232066" </w:instrText>
      </w:r>
      <w:r>
        <w:fldChar w:fldCharType="separate"/>
      </w:r>
      <w:r>
        <w:rPr>
          <w:rStyle w:val="28"/>
          <w:bCs/>
        </w:rPr>
        <w:t>附  录  F（资料性）全球增温潜势</w:t>
      </w:r>
      <w:r>
        <w:tab/>
      </w:r>
      <w:r>
        <w:fldChar w:fldCharType="begin"/>
      </w:r>
      <w:r>
        <w:instrText xml:space="preserve"> PAGEREF _Toc174232066 \h </w:instrText>
      </w:r>
      <w:r>
        <w:fldChar w:fldCharType="separate"/>
      </w:r>
      <w:r>
        <w:t>33</w:t>
      </w:r>
      <w:r>
        <w:fldChar w:fldCharType="end"/>
      </w:r>
      <w:r>
        <w:fldChar w:fldCharType="end"/>
      </w:r>
    </w:p>
    <w:p w14:paraId="71B7D1F5">
      <w:pPr>
        <w:pStyle w:val="19"/>
        <w:tabs>
          <w:tab w:val="right" w:leader="dot" w:pos="9344"/>
        </w:tabs>
        <w:rPr>
          <w:szCs w:val="22"/>
          <w14:ligatures w14:val="standardContextual"/>
        </w:rPr>
      </w:pPr>
      <w:r>
        <w:fldChar w:fldCharType="begin"/>
      </w:r>
      <w:r>
        <w:instrText xml:space="preserve"> HYPERLINK \l "_Toc174232067" </w:instrText>
      </w:r>
      <w:r>
        <w:fldChar w:fldCharType="separate"/>
      </w:r>
      <w:r>
        <w:rPr>
          <w:rStyle w:val="28"/>
        </w:rPr>
        <w:t>参 考 文 献</w:t>
      </w:r>
      <w:r>
        <w:tab/>
      </w:r>
      <w:r>
        <w:fldChar w:fldCharType="begin"/>
      </w:r>
      <w:r>
        <w:instrText xml:space="preserve"> PAGEREF _Toc174232067 \h </w:instrText>
      </w:r>
      <w:r>
        <w:fldChar w:fldCharType="separate"/>
      </w:r>
      <w:r>
        <w:t>34</w:t>
      </w:r>
      <w:r>
        <w:fldChar w:fldCharType="end"/>
      </w:r>
      <w:r>
        <w:fldChar w:fldCharType="end"/>
      </w:r>
    </w:p>
    <w:p w14:paraId="34773B7D">
      <w:pPr>
        <w:sectPr>
          <w:headerReference r:id="rId6" w:type="default"/>
          <w:footerReference r:id="rId7" w:type="default"/>
          <w:pgSz w:w="11906" w:h="16838"/>
          <w:pgMar w:top="1418" w:right="1134" w:bottom="1134" w:left="1418" w:header="851" w:footer="992" w:gutter="0"/>
          <w:pgNumType w:fmt="upperRoman" w:start="1"/>
          <w:cols w:space="425" w:num="1"/>
          <w:docGrid w:type="lines" w:linePitch="312" w:charSpace="0"/>
        </w:sectPr>
      </w:pPr>
      <w:r>
        <w:fldChar w:fldCharType="end"/>
      </w:r>
    </w:p>
    <w:p w14:paraId="6A7AD4CC">
      <w:pPr>
        <w:pStyle w:val="63"/>
        <w:spacing w:before="300" w:after="240"/>
        <w:rPr>
          <w:rFonts w:ascii="Times New Roman"/>
        </w:rPr>
      </w:pPr>
      <w:bookmarkStart w:id="4" w:name="_Toc174232000"/>
      <w:r>
        <w:rPr>
          <w:rFonts w:ascii="Times New Roman" w:hAnsi="黑体"/>
        </w:rPr>
        <w:t>前</w:t>
      </w:r>
      <w:r>
        <w:rPr>
          <w:rFonts w:ascii="Times New Roman"/>
        </w:rPr>
        <w:t xml:space="preserve">  </w:t>
      </w:r>
      <w:r>
        <w:rPr>
          <w:rFonts w:ascii="Times New Roman" w:hAnsi="黑体"/>
        </w:rPr>
        <w:t>言</w:t>
      </w:r>
      <w:bookmarkEnd w:id="3"/>
      <w:bookmarkEnd w:id="4"/>
    </w:p>
    <w:p w14:paraId="0542848F">
      <w:pPr>
        <w:pStyle w:val="61"/>
        <w:rPr>
          <w:rFonts w:ascii="Times New Roman" w:hAnsi="Times New Roman"/>
        </w:rPr>
      </w:pPr>
      <w:r>
        <w:rPr>
          <w:rFonts w:ascii="Times New Roman" w:hAnsi="Times New Roman"/>
        </w:rPr>
        <w:t>本文件按照GB/T 1.1—2020《标准化工作导则 第1部分：标准化文件的结构和起草规则》的规定起草。</w:t>
      </w:r>
    </w:p>
    <w:p w14:paraId="63E40B62">
      <w:pPr>
        <w:pStyle w:val="61"/>
        <w:rPr>
          <w:rFonts w:ascii="Times New Roman" w:hAnsi="Times New Roman"/>
        </w:rPr>
      </w:pPr>
      <w:r>
        <w:rPr>
          <w:rFonts w:ascii="Times New Roman" w:hAnsi="Times New Roman"/>
        </w:rPr>
        <w:t>请注意本文件的某些内容可能涉及专利，本文件的发布机构不承担识别专利的责任。</w:t>
      </w:r>
    </w:p>
    <w:p w14:paraId="3E959999">
      <w:pPr>
        <w:pStyle w:val="61"/>
        <w:tabs>
          <w:tab w:val="clear" w:pos="4201"/>
          <w:tab w:val="clear" w:pos="9298"/>
        </w:tabs>
        <w:rPr>
          <w:rFonts w:ascii="Times New Roman" w:hAnsi="Times New Roman"/>
          <w:szCs w:val="18"/>
        </w:rPr>
      </w:pPr>
      <w:r>
        <w:rPr>
          <w:rFonts w:ascii="Times New Roman" w:hAnsi="Times New Roman"/>
          <w:szCs w:val="18"/>
        </w:rPr>
        <w:t>本文件由全国有色金属标准化技术委员会（SAC/TC 243）提出并归口。</w:t>
      </w:r>
    </w:p>
    <w:p w14:paraId="0C326B1C">
      <w:pPr>
        <w:pStyle w:val="61"/>
        <w:rPr>
          <w:rFonts w:hint="eastAsia"/>
        </w:rPr>
      </w:pPr>
      <w:r>
        <w:t>本</w:t>
      </w:r>
      <w:r>
        <w:rPr>
          <w:rFonts w:hint="eastAsia"/>
        </w:rPr>
        <w:t>文件</w:t>
      </w:r>
      <w:r>
        <w:t>起草单位：</w:t>
      </w:r>
      <w:r>
        <w:rPr>
          <w:rFonts w:hint="eastAsia"/>
          <w:lang w:eastAsia="zh-CN"/>
        </w:rPr>
        <w:t>广西华锡有色金属股份有限公司、云南锡业集团、</w:t>
      </w:r>
      <w:r>
        <w:rPr>
          <w:rFonts w:hint="eastAsia"/>
        </w:rPr>
        <w:t>矿冶科技集团有限公司。</w:t>
      </w:r>
    </w:p>
    <w:p w14:paraId="0543D390">
      <w:pPr>
        <w:pStyle w:val="61"/>
        <w:rPr>
          <w:rFonts w:hint="eastAsia"/>
        </w:rPr>
      </w:pPr>
      <w:r>
        <w:rPr>
          <w:rFonts w:ascii="Times New Roman" w:hAnsi="Times New Roman"/>
        </w:rPr>
        <w:t>本</w:t>
      </w:r>
      <w:r>
        <w:rPr>
          <w:rFonts w:hint="eastAsia"/>
        </w:rPr>
        <w:t>文件</w:t>
      </w:r>
      <w:r>
        <w:rPr>
          <w:rFonts w:ascii="Times New Roman" w:hAnsi="Times New Roman"/>
        </w:rPr>
        <w:t>主要起草人：</w:t>
      </w:r>
    </w:p>
    <w:p w14:paraId="73D3C677">
      <w:pPr>
        <w:sectPr>
          <w:pgSz w:w="11906" w:h="16838"/>
          <w:pgMar w:top="1418" w:right="1304" w:bottom="1134" w:left="1418" w:header="851" w:footer="992" w:gutter="0"/>
          <w:pgNumType w:fmt="upperRoman"/>
          <w:cols w:space="425" w:num="1"/>
          <w:docGrid w:type="lines" w:linePitch="312" w:charSpace="0"/>
        </w:sectPr>
      </w:pPr>
    </w:p>
    <w:p w14:paraId="745DF4B8">
      <w:pPr>
        <w:spacing w:line="360" w:lineRule="auto"/>
        <w:jc w:val="center"/>
        <w:outlineLvl w:val="0"/>
        <w:rPr>
          <w:rFonts w:hint="eastAsia" w:hAnsi="黑体" w:eastAsia="黑体"/>
          <w:kern w:val="0"/>
          <w:sz w:val="32"/>
          <w:szCs w:val="20"/>
        </w:rPr>
      </w:pPr>
      <w:bookmarkStart w:id="5" w:name="_Toc173931827"/>
      <w:bookmarkStart w:id="6" w:name="_Toc174232001"/>
      <w:bookmarkStart w:id="7" w:name="_Toc101106177"/>
      <w:bookmarkStart w:id="8" w:name="_Toc81755136"/>
      <w:r>
        <w:rPr>
          <w:rFonts w:hAnsi="黑体" w:eastAsia="黑体"/>
          <w:kern w:val="0"/>
          <w:sz w:val="32"/>
          <w:szCs w:val="20"/>
        </w:rPr>
        <w:t>温室气体 产品碳足迹量化方法与要求</w:t>
      </w:r>
      <w:r>
        <w:rPr>
          <w:rFonts w:hint="eastAsia" w:hAnsi="黑体" w:eastAsia="黑体"/>
          <w:kern w:val="0"/>
          <w:sz w:val="32"/>
          <w:szCs w:val="20"/>
        </w:rPr>
        <w:t xml:space="preserve"> </w:t>
      </w:r>
      <w:r>
        <w:rPr>
          <w:rFonts w:hint="eastAsia" w:hAnsi="黑体" w:eastAsia="黑体"/>
          <w:kern w:val="0"/>
          <w:sz w:val="32"/>
          <w:szCs w:val="20"/>
          <w:lang w:eastAsia="zh-CN"/>
        </w:rPr>
        <w:t>锡</w:t>
      </w:r>
      <w:r>
        <w:rPr>
          <w:rFonts w:hint="eastAsia" w:hAnsi="黑体" w:eastAsia="黑体"/>
          <w:kern w:val="0"/>
          <w:sz w:val="32"/>
          <w:szCs w:val="20"/>
        </w:rPr>
        <w:t>锭</w:t>
      </w:r>
      <w:bookmarkEnd w:id="5"/>
      <w:bookmarkEnd w:id="6"/>
      <w:bookmarkEnd w:id="7"/>
      <w:bookmarkEnd w:id="8"/>
    </w:p>
    <w:p w14:paraId="53822297">
      <w:pPr>
        <w:spacing w:before="312" w:beforeLines="100" w:after="312" w:afterLines="100"/>
        <w:outlineLvl w:val="0"/>
        <w:rPr>
          <w:rFonts w:hint="eastAsia" w:ascii="黑体" w:hAnsi="黑体" w:eastAsia="黑体" w:cs="黑体"/>
          <w:bCs/>
        </w:rPr>
      </w:pPr>
      <w:bookmarkStart w:id="9" w:name="_Toc101106178"/>
      <w:bookmarkStart w:id="10" w:name="_Toc174232002"/>
      <w:bookmarkStart w:id="11" w:name="_Toc81755137"/>
      <w:r>
        <w:rPr>
          <w:rFonts w:ascii="黑体" w:hAnsi="黑体" w:eastAsia="黑体" w:cs="黑体"/>
          <w:bCs/>
        </w:rPr>
        <w:t xml:space="preserve">1 </w:t>
      </w:r>
      <w:r>
        <w:rPr>
          <w:rFonts w:hint="eastAsia" w:ascii="黑体" w:hAnsi="黑体" w:eastAsia="黑体" w:cs="黑体"/>
          <w:bCs/>
        </w:rPr>
        <w:t xml:space="preserve"> 范围</w:t>
      </w:r>
      <w:bookmarkEnd w:id="9"/>
      <w:bookmarkEnd w:id="10"/>
      <w:bookmarkEnd w:id="11"/>
    </w:p>
    <w:bookmarkEnd w:id="1"/>
    <w:p w14:paraId="4275DC7D">
      <w:pPr>
        <w:ind w:firstLine="420" w:firstLineChars="200"/>
        <w:rPr>
          <w:rFonts w:hint="eastAsia" w:hAnsi="宋体"/>
        </w:rPr>
      </w:pPr>
      <w:bookmarkStart w:id="12" w:name="_Toc175740194"/>
      <w:r>
        <w:rPr>
          <w:rFonts w:hint="eastAsia" w:hAnsi="宋体"/>
        </w:rPr>
        <w:t>本文件规定了</w:t>
      </w:r>
      <w:r>
        <w:rPr>
          <w:rFonts w:hint="eastAsia" w:hAnsi="宋体"/>
          <w:lang w:eastAsia="zh-CN"/>
        </w:rPr>
        <w:t>锡</w:t>
      </w:r>
      <w:r>
        <w:rPr>
          <w:rFonts w:hint="eastAsia" w:hAnsi="宋体"/>
        </w:rPr>
        <w:t>锭产品碳足迹的量化方法与要求，包括量化目的、量化范围、清单分析、影响评价、结果解释、报告和声明等内容。</w:t>
      </w:r>
    </w:p>
    <w:p w14:paraId="135CD8C9">
      <w:pPr>
        <w:pStyle w:val="61"/>
        <w:rPr>
          <w:rFonts w:hint="eastAsia"/>
        </w:rPr>
      </w:pPr>
      <w:bookmarkStart w:id="13" w:name="_Hlk174230677"/>
      <w:r>
        <w:t>本文件适用于</w:t>
      </w:r>
      <w:r>
        <w:rPr>
          <w:rFonts w:hint="eastAsia"/>
        </w:rPr>
        <w:t>以</w:t>
      </w:r>
      <w:r>
        <w:rPr>
          <w:rFonts w:hint="eastAsia"/>
          <w:lang w:eastAsia="zh-CN"/>
        </w:rPr>
        <w:t>锡</w:t>
      </w:r>
      <w:r>
        <w:rPr>
          <w:rFonts w:hint="eastAsia"/>
        </w:rPr>
        <w:t>矿石或</w:t>
      </w:r>
      <w:r>
        <w:rPr>
          <w:rFonts w:hint="eastAsia"/>
          <w:lang w:eastAsia="zh-CN"/>
        </w:rPr>
        <w:t>回收锡原料</w:t>
      </w:r>
      <w:r>
        <w:rPr>
          <w:rFonts w:hint="eastAsia"/>
        </w:rPr>
        <w:t>为原料生产的</w:t>
      </w:r>
      <w:r>
        <w:rPr>
          <w:rFonts w:hint="eastAsia"/>
          <w:lang w:eastAsia="zh-CN"/>
        </w:rPr>
        <w:t>锡</w:t>
      </w:r>
      <w:r>
        <w:rPr>
          <w:rFonts w:hint="eastAsia"/>
        </w:rPr>
        <w:t>锭产品</w:t>
      </w:r>
      <w:r>
        <w:t>碳足迹的量化</w:t>
      </w:r>
      <w:r>
        <w:rPr>
          <w:rFonts w:hint="eastAsia"/>
        </w:rPr>
        <w:t>。</w:t>
      </w:r>
    </w:p>
    <w:p w14:paraId="3E9874E3">
      <w:pPr>
        <w:ind w:firstLine="420" w:firstLineChars="200"/>
        <w:rPr>
          <w:rFonts w:hint="eastAsia" w:hAnsi="宋体"/>
        </w:rPr>
      </w:pPr>
      <w:r>
        <w:rPr>
          <w:rFonts w:hint="eastAsia" w:hAnsi="宋体"/>
        </w:rPr>
        <w:t>本文件也适用于以下常见</w:t>
      </w:r>
      <w:r>
        <w:rPr>
          <w:rFonts w:hint="eastAsia" w:hAnsi="宋体"/>
          <w:lang w:eastAsia="zh-CN"/>
        </w:rPr>
        <w:t>锡</w:t>
      </w:r>
      <w:r>
        <w:rPr>
          <w:rFonts w:hint="eastAsia" w:hAnsi="宋体"/>
        </w:rPr>
        <w:t>锭前序产品的碳足迹量化，前序产品包括：</w:t>
      </w:r>
      <w:r>
        <w:rPr>
          <w:rFonts w:hint="eastAsia" w:hAnsi="宋体"/>
          <w:lang w:eastAsia="zh-CN"/>
        </w:rPr>
        <w:t>锡</w:t>
      </w:r>
      <w:r>
        <w:rPr>
          <w:rFonts w:hint="eastAsia" w:hAnsi="宋体"/>
        </w:rPr>
        <w:t>矿石、</w:t>
      </w:r>
      <w:r>
        <w:rPr>
          <w:rFonts w:hint="eastAsia" w:hAnsi="宋体"/>
          <w:lang w:eastAsia="zh-CN"/>
        </w:rPr>
        <w:t>锡</w:t>
      </w:r>
      <w:r>
        <w:rPr>
          <w:rFonts w:hint="eastAsia" w:hAnsi="宋体"/>
        </w:rPr>
        <w:t>精矿、粗</w:t>
      </w:r>
      <w:r>
        <w:rPr>
          <w:rFonts w:hint="eastAsia" w:hAnsi="宋体"/>
          <w:lang w:eastAsia="zh-CN"/>
        </w:rPr>
        <w:t>锡</w:t>
      </w:r>
      <w:r>
        <w:rPr>
          <w:rFonts w:hint="eastAsia" w:hAnsi="宋体"/>
        </w:rPr>
        <w:t>。</w:t>
      </w:r>
      <w:r>
        <w:t>其他金属冶炼副产的</w:t>
      </w:r>
      <w:r>
        <w:rPr>
          <w:rFonts w:hint="eastAsia"/>
          <w:lang w:eastAsia="zh-CN"/>
        </w:rPr>
        <w:t>锡</w:t>
      </w:r>
      <w:r>
        <w:t>锭及其前序产品不适用本文件，可遵循</w:t>
      </w:r>
      <w:r>
        <w:rPr>
          <w:rFonts w:hint="eastAsia"/>
          <w:lang w:eastAsia="zh-CN"/>
        </w:rPr>
        <w:t>其他</w:t>
      </w:r>
      <w:r>
        <w:rPr>
          <w:rFonts w:hint="eastAsia"/>
        </w:rPr>
        <w:t>文件量化碳足迹。</w:t>
      </w:r>
    </w:p>
    <w:bookmarkEnd w:id="13"/>
    <w:p w14:paraId="79C8FB42">
      <w:pPr>
        <w:spacing w:before="312" w:beforeLines="100" w:after="312" w:afterLines="100"/>
        <w:outlineLvl w:val="0"/>
        <w:rPr>
          <w:rFonts w:hint="eastAsia" w:ascii="黑体" w:hAnsi="黑体" w:eastAsia="黑体" w:cs="黑体"/>
          <w:bCs/>
        </w:rPr>
      </w:pPr>
      <w:bookmarkStart w:id="14" w:name="_Toc101106179"/>
      <w:bookmarkStart w:id="15" w:name="_Toc174232003"/>
      <w:r>
        <w:rPr>
          <w:rFonts w:ascii="黑体" w:hAnsi="黑体" w:eastAsia="黑体" w:cs="黑体"/>
          <w:bCs/>
        </w:rPr>
        <w:t>2</w:t>
      </w:r>
      <w:r>
        <w:rPr>
          <w:rFonts w:hint="eastAsia" w:ascii="黑体" w:hAnsi="黑体" w:eastAsia="黑体" w:cs="黑体"/>
          <w:bCs/>
        </w:rPr>
        <w:t xml:space="preserve"> </w:t>
      </w:r>
      <w:r>
        <w:rPr>
          <w:rFonts w:ascii="黑体" w:hAnsi="黑体" w:eastAsia="黑体" w:cs="黑体"/>
          <w:bCs/>
        </w:rPr>
        <w:t xml:space="preserve"> </w:t>
      </w:r>
      <w:bookmarkEnd w:id="12"/>
      <w:r>
        <w:rPr>
          <w:rFonts w:hint="eastAsia" w:ascii="黑体" w:hAnsi="黑体" w:eastAsia="黑体" w:cs="黑体"/>
          <w:bCs/>
        </w:rPr>
        <w:t>规范性引用文件</w:t>
      </w:r>
      <w:bookmarkEnd w:id="14"/>
      <w:bookmarkEnd w:id="15"/>
    </w:p>
    <w:p w14:paraId="2E5C082A">
      <w:pPr>
        <w:ind w:firstLine="420" w:firstLineChars="200"/>
      </w:pPr>
      <w:r>
        <w:rPr>
          <w:rFonts w:hAnsi="宋体"/>
        </w:rPr>
        <w:t>下列文件</w:t>
      </w:r>
      <w:r>
        <w:rPr>
          <w:rFonts w:hint="eastAsia" w:hAnsi="宋体"/>
        </w:rPr>
        <w:t>中的内容通过文中的规范性引用而构成</w:t>
      </w:r>
      <w:r>
        <w:rPr>
          <w:rFonts w:hAnsi="宋体"/>
        </w:rPr>
        <w:t>本文件</w:t>
      </w:r>
      <w:r>
        <w:rPr>
          <w:rFonts w:hint="eastAsia" w:hAnsi="宋体"/>
        </w:rPr>
        <w:t>必不可少的条款。其中，注日期的引用文件，仅该日期对应的版本适用于本文件；不注日期的引用文件，其最新版本（包括所有的修改单）适用于本文件。</w:t>
      </w:r>
    </w:p>
    <w:p w14:paraId="192BC411">
      <w:pPr>
        <w:ind w:firstLine="420" w:firstLineChars="200"/>
        <w:rPr>
          <w:color w:val="auto"/>
        </w:rPr>
      </w:pPr>
      <w:r>
        <w:rPr>
          <w:rFonts w:hint="eastAsia"/>
          <w:color w:val="auto"/>
        </w:rPr>
        <w:t>GB/T</w:t>
      </w:r>
      <w:r>
        <w:rPr>
          <w:color w:val="auto"/>
        </w:rPr>
        <w:t xml:space="preserve"> </w:t>
      </w:r>
      <w:r>
        <w:rPr>
          <w:rFonts w:hint="eastAsia"/>
          <w:color w:val="auto"/>
          <w:lang w:val="en-US" w:eastAsia="zh-CN"/>
        </w:rPr>
        <w:t>728</w:t>
      </w:r>
      <w:r>
        <w:rPr>
          <w:rFonts w:hint="eastAsia"/>
          <w:color w:val="auto"/>
        </w:rPr>
        <w:t xml:space="preserve">  </w:t>
      </w:r>
      <w:r>
        <w:rPr>
          <w:rFonts w:hint="eastAsia"/>
          <w:color w:val="auto"/>
          <w:lang w:eastAsia="zh-CN"/>
        </w:rPr>
        <w:t>锡</w:t>
      </w:r>
      <w:r>
        <w:rPr>
          <w:rFonts w:hint="eastAsia"/>
          <w:color w:val="auto"/>
        </w:rPr>
        <w:t>锭</w:t>
      </w:r>
    </w:p>
    <w:p w14:paraId="1039276B">
      <w:pPr>
        <w:ind w:firstLine="420" w:firstLineChars="200"/>
        <w:rPr>
          <w:rFonts w:hint="default" w:eastAsia="宋体"/>
          <w:color w:val="auto"/>
          <w:lang w:val="en-US" w:eastAsia="zh-CN"/>
        </w:rPr>
      </w:pPr>
      <w:r>
        <w:rPr>
          <w:color w:val="auto"/>
        </w:rPr>
        <w:t>GB/T 2118</w:t>
      </w:r>
      <w:r>
        <w:rPr>
          <w:rFonts w:hint="eastAsia"/>
          <w:color w:val="auto"/>
          <w:lang w:val="en-US" w:eastAsia="zh-CN"/>
        </w:rPr>
        <w:t>0</w:t>
      </w:r>
      <w:r>
        <w:rPr>
          <w:rFonts w:hint="eastAsia"/>
          <w:color w:val="auto"/>
        </w:rPr>
        <w:t xml:space="preserve"> </w:t>
      </w:r>
      <w:r>
        <w:rPr>
          <w:rFonts w:hint="eastAsia"/>
          <w:color w:val="auto"/>
          <w:lang w:val="en-US" w:eastAsia="zh-CN"/>
        </w:rPr>
        <w:t>回收锡及锡合金原料</w:t>
      </w:r>
    </w:p>
    <w:p w14:paraId="2EB353F1">
      <w:pPr>
        <w:ind w:firstLine="420" w:firstLineChars="200"/>
        <w:rPr>
          <w:color w:val="auto"/>
        </w:rPr>
      </w:pPr>
      <w:r>
        <w:rPr>
          <w:rFonts w:hint="eastAsia"/>
          <w:color w:val="auto"/>
        </w:rPr>
        <w:t>GB T 24025 环境标志和声明 Ⅲ型环境声明 原则和程序</w:t>
      </w:r>
    </w:p>
    <w:p w14:paraId="00FDB7FB">
      <w:pPr>
        <w:ind w:firstLine="420" w:firstLineChars="200"/>
        <w:rPr>
          <w:color w:val="auto"/>
        </w:rPr>
      </w:pPr>
      <w:r>
        <w:rPr>
          <w:rFonts w:hint="eastAsia"/>
          <w:color w:val="auto"/>
        </w:rPr>
        <w:t>GB/T 24040  环境管理 生命周期评价 原则与框架</w:t>
      </w:r>
    </w:p>
    <w:p w14:paraId="6C68A67B">
      <w:pPr>
        <w:ind w:firstLine="420" w:firstLineChars="200"/>
        <w:rPr>
          <w:color w:val="auto"/>
        </w:rPr>
      </w:pPr>
      <w:r>
        <w:rPr>
          <w:rFonts w:hint="eastAsia"/>
          <w:color w:val="auto"/>
        </w:rPr>
        <w:t>GB/T 24044  环境管理 生命周期评价 要求与指南</w:t>
      </w:r>
    </w:p>
    <w:p w14:paraId="26122FBF">
      <w:pPr>
        <w:ind w:firstLine="420" w:firstLineChars="200"/>
        <w:rPr>
          <w:color w:val="auto"/>
        </w:rPr>
      </w:pPr>
      <w:r>
        <w:rPr>
          <w:rFonts w:hint="eastAsia"/>
          <w:color w:val="auto"/>
        </w:rPr>
        <w:t>GB/T 24067  温室气体 产品碳足迹 量化要求与指南</w:t>
      </w:r>
    </w:p>
    <w:p w14:paraId="573B26FC">
      <w:pPr>
        <w:ind w:firstLine="420" w:firstLineChars="200"/>
        <w:rPr>
          <w:color w:val="auto"/>
        </w:rPr>
      </w:pPr>
      <w:r>
        <w:rPr>
          <w:rFonts w:hint="eastAsia"/>
          <w:color w:val="auto"/>
        </w:rPr>
        <w:t>GB/T 32150  工业企业温室气体排放核算和报告通则</w:t>
      </w:r>
    </w:p>
    <w:p w14:paraId="27C22493">
      <w:pPr>
        <w:ind w:firstLine="420" w:firstLineChars="200"/>
        <w:rPr>
          <w:color w:val="auto"/>
        </w:rPr>
      </w:pPr>
      <w:r>
        <w:rPr>
          <w:rFonts w:hint="eastAsia"/>
          <w:color w:val="auto"/>
        </w:rPr>
        <w:t>Y</w:t>
      </w:r>
      <w:r>
        <w:rPr>
          <w:color w:val="auto"/>
        </w:rPr>
        <w:t>S</w:t>
      </w:r>
      <w:r>
        <w:rPr>
          <w:rFonts w:hint="eastAsia"/>
          <w:color w:val="auto"/>
        </w:rPr>
        <w:t>/</w:t>
      </w:r>
      <w:r>
        <w:rPr>
          <w:color w:val="auto"/>
        </w:rPr>
        <w:t xml:space="preserve"> </w:t>
      </w:r>
      <w:r>
        <w:rPr>
          <w:rFonts w:hint="eastAsia"/>
          <w:color w:val="auto"/>
        </w:rPr>
        <w:t>T</w:t>
      </w:r>
      <w:r>
        <w:rPr>
          <w:color w:val="auto"/>
        </w:rPr>
        <w:t xml:space="preserve"> 3</w:t>
      </w:r>
      <w:r>
        <w:rPr>
          <w:rFonts w:hint="eastAsia"/>
          <w:color w:val="auto"/>
          <w:lang w:val="en-US" w:eastAsia="zh-CN"/>
        </w:rPr>
        <w:t>3</w:t>
      </w:r>
      <w:r>
        <w:rPr>
          <w:rFonts w:hint="eastAsia"/>
          <w:color w:val="auto"/>
        </w:rPr>
        <w:t xml:space="preserve">9  </w:t>
      </w:r>
      <w:r>
        <w:rPr>
          <w:rFonts w:hint="eastAsia"/>
          <w:color w:val="auto"/>
          <w:lang w:eastAsia="zh-CN"/>
        </w:rPr>
        <w:t>锡</w:t>
      </w:r>
      <w:r>
        <w:rPr>
          <w:rFonts w:hint="eastAsia"/>
          <w:color w:val="auto"/>
        </w:rPr>
        <w:t>精矿</w:t>
      </w:r>
    </w:p>
    <w:p w14:paraId="02AE1AC0">
      <w:pPr>
        <w:pStyle w:val="61"/>
        <w:rPr>
          <w:rFonts w:ascii="Times New Roman" w:hAnsi="Times New Roman"/>
        </w:rPr>
      </w:pPr>
      <w:r>
        <w:rPr>
          <w:rFonts w:hint="eastAsia" w:ascii="Times New Roman" w:hAnsi="Times New Roman"/>
        </w:rPr>
        <w:t>ISO 14026</w:t>
      </w:r>
      <w:r>
        <w:rPr>
          <w:rFonts w:hint="eastAsia"/>
        </w:rPr>
        <w:t xml:space="preserve">  环境标志和声明 足迹信息交流的原则、要求和指</w:t>
      </w:r>
      <w:r>
        <w:rPr>
          <w:rFonts w:ascii="Times New Roman" w:hAnsi="Times New Roman"/>
        </w:rPr>
        <w:t>南(Environmental labels and declarations - Principles, requirements and guidelines for communication of footprint information)</w:t>
      </w:r>
    </w:p>
    <w:p w14:paraId="5E01D04D">
      <w:pPr>
        <w:spacing w:before="312" w:beforeLines="100" w:after="312" w:afterLines="100"/>
        <w:outlineLvl w:val="0"/>
        <w:rPr>
          <w:rFonts w:hint="eastAsia" w:ascii="黑体" w:hAnsi="黑体" w:eastAsia="黑体" w:cs="黑体"/>
          <w:bCs/>
        </w:rPr>
      </w:pPr>
      <w:bookmarkStart w:id="16" w:name="_Toc175740195"/>
      <w:bookmarkStart w:id="17" w:name="_Toc174232004"/>
      <w:bookmarkStart w:id="18" w:name="_Toc81755138"/>
      <w:bookmarkStart w:id="19" w:name="_Toc101106180"/>
      <w:r>
        <w:rPr>
          <w:rFonts w:ascii="黑体" w:hAnsi="黑体" w:eastAsia="黑体" w:cs="黑体"/>
          <w:bCs/>
        </w:rPr>
        <w:t xml:space="preserve">3 </w:t>
      </w:r>
      <w:r>
        <w:rPr>
          <w:rFonts w:hint="eastAsia" w:ascii="黑体" w:hAnsi="黑体" w:eastAsia="黑体" w:cs="黑体"/>
          <w:bCs/>
        </w:rPr>
        <w:t xml:space="preserve"> 术语</w:t>
      </w:r>
      <w:bookmarkEnd w:id="16"/>
      <w:r>
        <w:rPr>
          <w:rFonts w:hint="eastAsia" w:ascii="黑体" w:hAnsi="黑体" w:eastAsia="黑体" w:cs="黑体"/>
          <w:bCs/>
        </w:rPr>
        <w:t>和定义</w:t>
      </w:r>
      <w:bookmarkEnd w:id="17"/>
      <w:bookmarkEnd w:id="18"/>
      <w:bookmarkEnd w:id="19"/>
    </w:p>
    <w:p w14:paraId="06A0FCF5">
      <w:pPr>
        <w:ind w:firstLine="420" w:firstLineChars="200"/>
      </w:pPr>
      <w:r>
        <w:rPr>
          <w:rFonts w:hint="eastAsia"/>
        </w:rPr>
        <w:t>GB/T 24040、GB/T 24044、GB/T 32150、GB/T 24067《温室气体 产品碳足迹 量化要求和指南》界定的以及下列术语和定义适用于本文件。为了便于使用，以下重复列出了GB/T 24040、GB/T 24044、GB/T 32150和GB/T 24067《温室气体 产品碳足迹 量化要求和指南》中的某些术语和定义</w:t>
      </w:r>
      <w:r>
        <w:t>。</w:t>
      </w:r>
    </w:p>
    <w:p w14:paraId="624D3A9B">
      <w:pPr>
        <w:outlineLvl w:val="0"/>
        <w:rPr>
          <w:rFonts w:hint="eastAsia" w:ascii="黑体" w:hAnsi="黑体" w:eastAsia="黑体" w:cs="黑体"/>
        </w:rPr>
      </w:pPr>
      <w:bookmarkStart w:id="20" w:name="_Toc173931831"/>
      <w:bookmarkStart w:id="21" w:name="_Toc174232005"/>
      <w:bookmarkStart w:id="22" w:name="_Toc101106181"/>
      <w:bookmarkStart w:id="23" w:name="_Toc81755139"/>
      <w:r>
        <w:rPr>
          <w:rFonts w:hint="eastAsia" w:ascii="黑体" w:hAnsi="黑体" w:eastAsia="黑体" w:cs="黑体"/>
        </w:rPr>
        <w:t xml:space="preserve">3.1 </w:t>
      </w:r>
    </w:p>
    <w:p w14:paraId="62552B1D">
      <w:pPr>
        <w:ind w:firstLine="420" w:firstLineChars="200"/>
        <w:outlineLvl w:val="0"/>
        <w:rPr>
          <w:rFonts w:hint="eastAsia" w:ascii="黑体" w:hAnsi="黑体" w:eastAsia="黑体" w:cs="黑体"/>
        </w:rPr>
      </w:pPr>
      <w:r>
        <w:rPr>
          <w:rFonts w:hint="eastAsia" w:ascii="黑体" w:hAnsi="黑体" w:eastAsia="黑体" w:cs="黑体"/>
        </w:rPr>
        <w:t>温室气体 greenhouse gas (GHG)</w:t>
      </w:r>
    </w:p>
    <w:p w14:paraId="6276BFB5">
      <w:pPr>
        <w:ind w:firstLine="420" w:firstLineChars="200"/>
        <w:outlineLvl w:val="0"/>
        <w:rPr>
          <w:rFonts w:hint="eastAsia" w:ascii="宋体" w:hAnsi="宋体" w:eastAsia="宋体" w:cs="宋体"/>
        </w:rPr>
      </w:pPr>
      <w:r>
        <w:rPr>
          <w:rFonts w:hint="eastAsia" w:ascii="宋体" w:hAnsi="宋体" w:eastAsia="宋体" w:cs="宋体"/>
        </w:rPr>
        <w:t>大气层中自然存在的和由于人类活动产生的能够吸收和散发由地球表面、大气层和云层所产生的、波长在红外光谱内的辐射的气态成分。</w:t>
      </w:r>
    </w:p>
    <w:p w14:paraId="5575EBBF">
      <w:pPr>
        <w:ind w:firstLine="420" w:firstLineChars="200"/>
        <w:outlineLvl w:val="0"/>
        <w:rPr>
          <w:rFonts w:hint="eastAsia" w:ascii="宋体" w:hAnsi="宋体" w:eastAsia="宋体" w:cs="宋体"/>
        </w:rPr>
      </w:pPr>
      <w:r>
        <w:rPr>
          <w:rFonts w:hint="eastAsia" w:ascii="宋体" w:hAnsi="宋体" w:eastAsia="宋体" w:cs="宋体"/>
        </w:rPr>
        <w:t>[来源：GB/T 32150-2015，3.1]</w:t>
      </w:r>
    </w:p>
    <w:p w14:paraId="21EE1321">
      <w:pPr>
        <w:outlineLvl w:val="0"/>
        <w:rPr>
          <w:rFonts w:hint="eastAsia" w:ascii="黑体" w:hAnsi="黑体" w:eastAsia="黑体" w:cs="黑体"/>
          <w:lang w:eastAsia="zh-CN"/>
        </w:rPr>
      </w:pPr>
      <w:r>
        <w:rPr>
          <w:rFonts w:hint="eastAsia" w:ascii="黑体" w:hAnsi="黑体" w:eastAsia="黑体" w:cs="黑体"/>
        </w:rPr>
        <w:t>3.</w:t>
      </w:r>
      <w:bookmarkEnd w:id="20"/>
      <w:bookmarkEnd w:id="21"/>
      <w:r>
        <w:rPr>
          <w:rFonts w:hint="eastAsia" w:ascii="黑体" w:hAnsi="黑体" w:eastAsia="黑体" w:cs="黑体"/>
          <w:lang w:val="en-US" w:eastAsia="zh-CN"/>
        </w:rPr>
        <w:t>2</w:t>
      </w:r>
    </w:p>
    <w:p w14:paraId="4560A8DD">
      <w:pPr>
        <w:spacing w:line="360" w:lineRule="auto"/>
        <w:ind w:firstLine="420" w:firstLineChars="200"/>
        <w:outlineLvl w:val="0"/>
        <w:rPr>
          <w:rFonts w:hint="eastAsia" w:ascii="黑体" w:hAnsi="黑体" w:eastAsia="黑体" w:cs="黑体"/>
        </w:rPr>
      </w:pPr>
      <w:bookmarkStart w:id="24" w:name="_Toc174232006"/>
      <w:bookmarkStart w:id="25" w:name="_Toc173931832"/>
      <w:r>
        <w:rPr>
          <w:rFonts w:hint="eastAsia" w:ascii="黑体" w:hAnsi="黑体" w:eastAsia="黑体" w:cs="黑体"/>
          <w:lang w:eastAsia="zh-CN"/>
        </w:rPr>
        <w:t>锡</w:t>
      </w:r>
      <w:r>
        <w:rPr>
          <w:rFonts w:hint="eastAsia" w:ascii="黑体" w:hAnsi="黑体" w:eastAsia="黑体" w:cs="黑体"/>
        </w:rPr>
        <w:t xml:space="preserve">锭及其前序产品  </w:t>
      </w:r>
      <w:r>
        <w:rPr>
          <w:rFonts w:hint="eastAsia" w:ascii="黑体" w:hAnsi="黑体" w:eastAsia="黑体" w:cs="黑体"/>
          <w:lang w:val="en-US" w:eastAsia="zh-CN"/>
        </w:rPr>
        <w:t>Tin</w:t>
      </w:r>
      <w:r>
        <w:rPr>
          <w:rFonts w:hint="eastAsia" w:ascii="黑体" w:hAnsi="黑体" w:eastAsia="黑体" w:cs="黑体"/>
        </w:rPr>
        <w:t xml:space="preserve"> ingot and precursor product</w:t>
      </w:r>
      <w:bookmarkEnd w:id="24"/>
      <w:bookmarkEnd w:id="25"/>
    </w:p>
    <w:p w14:paraId="283AF1E4">
      <w:pPr>
        <w:pStyle w:val="61"/>
        <w:rPr>
          <w:rFonts w:hint="eastAsia"/>
        </w:rPr>
      </w:pPr>
      <w:r>
        <w:rPr>
          <w:rFonts w:hint="eastAsia"/>
          <w:lang w:eastAsia="zh-CN"/>
        </w:rPr>
        <w:t>锡</w:t>
      </w:r>
      <w:r>
        <w:rPr>
          <w:rFonts w:hint="eastAsia"/>
        </w:rPr>
        <w:t>锭指经过冶炼工艺生产的符</w:t>
      </w:r>
      <w:r>
        <w:rPr>
          <w:rFonts w:ascii="Times New Roman" w:hAnsi="Times New Roman"/>
        </w:rPr>
        <w:t xml:space="preserve">合GB/T </w:t>
      </w:r>
      <w:r>
        <w:rPr>
          <w:rFonts w:hint="eastAsia" w:ascii="Times New Roman" w:hAnsi="Times New Roman"/>
          <w:lang w:val="en-US" w:eastAsia="zh-CN"/>
        </w:rPr>
        <w:t>728</w:t>
      </w:r>
      <w:r>
        <w:rPr>
          <w:rFonts w:ascii="Times New Roman" w:hAnsi="Times New Roman"/>
        </w:rPr>
        <w:t>要</w:t>
      </w:r>
      <w:r>
        <w:rPr>
          <w:rFonts w:hint="eastAsia"/>
        </w:rPr>
        <w:t>求的</w:t>
      </w:r>
      <w:r>
        <w:rPr>
          <w:rFonts w:hint="eastAsia"/>
          <w:lang w:eastAsia="zh-CN"/>
        </w:rPr>
        <w:t>锡</w:t>
      </w:r>
      <w:r>
        <w:rPr>
          <w:rFonts w:hint="eastAsia"/>
        </w:rPr>
        <w:t>锭。</w:t>
      </w:r>
    </w:p>
    <w:p w14:paraId="785E75DE">
      <w:pPr>
        <w:pStyle w:val="61"/>
        <w:rPr>
          <w:rFonts w:hint="eastAsia"/>
        </w:rPr>
      </w:pPr>
      <w:r>
        <w:rPr>
          <w:rFonts w:hint="eastAsia"/>
        </w:rPr>
        <w:t>其前序产品主要包括：</w:t>
      </w:r>
      <w:r>
        <w:rPr>
          <w:rFonts w:hint="eastAsia"/>
          <w:lang w:eastAsia="zh-CN"/>
        </w:rPr>
        <w:t>锡</w:t>
      </w:r>
      <w:r>
        <w:rPr>
          <w:rFonts w:hint="eastAsia"/>
        </w:rPr>
        <w:t>矿石、</w:t>
      </w:r>
      <w:r>
        <w:rPr>
          <w:rFonts w:hint="eastAsia"/>
          <w:lang w:eastAsia="zh-CN"/>
        </w:rPr>
        <w:t>锡</w:t>
      </w:r>
      <w:r>
        <w:rPr>
          <w:rFonts w:hint="eastAsia"/>
        </w:rPr>
        <w:t>精矿、粗</w:t>
      </w:r>
      <w:r>
        <w:rPr>
          <w:rFonts w:hint="eastAsia"/>
          <w:lang w:eastAsia="zh-CN"/>
        </w:rPr>
        <w:t>锡</w:t>
      </w:r>
      <w:r>
        <w:rPr>
          <w:rFonts w:hint="eastAsia"/>
        </w:rPr>
        <w:t>。</w:t>
      </w:r>
    </w:p>
    <w:p w14:paraId="6914F474">
      <w:pPr>
        <w:outlineLvl w:val="0"/>
        <w:rPr>
          <w:rFonts w:hint="eastAsia" w:ascii="黑体" w:hAnsi="黑体" w:eastAsia="黑体" w:cs="黑体"/>
        </w:rPr>
      </w:pPr>
      <w:bookmarkStart w:id="26" w:name="_Toc173931833"/>
      <w:bookmarkStart w:id="27" w:name="_Toc174232007"/>
      <w:r>
        <w:rPr>
          <w:rFonts w:ascii="黑体" w:hAnsi="黑体" w:eastAsia="黑体" w:cs="黑体"/>
        </w:rPr>
        <w:t>3.</w:t>
      </w:r>
      <w:bookmarkEnd w:id="26"/>
      <w:bookmarkEnd w:id="27"/>
      <w:r>
        <w:rPr>
          <w:rFonts w:hint="eastAsia" w:ascii="黑体" w:hAnsi="黑体" w:eastAsia="黑体" w:cs="黑体"/>
          <w:lang w:val="en-US" w:eastAsia="zh-CN"/>
        </w:rPr>
        <w:t>3</w:t>
      </w:r>
      <w:r>
        <w:rPr>
          <w:rFonts w:ascii="黑体" w:hAnsi="黑体" w:eastAsia="黑体" w:cs="黑体"/>
        </w:rPr>
        <w:t xml:space="preserve"> </w:t>
      </w:r>
    </w:p>
    <w:p w14:paraId="63F301D8">
      <w:pPr>
        <w:ind w:firstLine="420" w:firstLineChars="200"/>
        <w:outlineLvl w:val="0"/>
        <w:rPr>
          <w:rFonts w:hint="eastAsia" w:ascii="黑体" w:hAnsi="黑体" w:eastAsia="黑体" w:cs="黑体"/>
        </w:rPr>
      </w:pPr>
      <w:bookmarkStart w:id="28" w:name="_Toc174232008"/>
      <w:bookmarkStart w:id="29" w:name="_Toc173931834"/>
      <w:r>
        <w:rPr>
          <w:rFonts w:hint="eastAsia" w:ascii="黑体" w:hAnsi="黑体" w:eastAsia="黑体" w:cs="黑体"/>
        </w:rPr>
        <w:t>产品碳足迹 carbon footprint of a product</w:t>
      </w:r>
      <w:bookmarkEnd w:id="22"/>
      <w:bookmarkEnd w:id="23"/>
      <w:r>
        <w:rPr>
          <w:rFonts w:hint="eastAsia" w:ascii="黑体" w:hAnsi="黑体" w:eastAsia="黑体" w:cs="黑体"/>
        </w:rPr>
        <w:t>s (CFP)</w:t>
      </w:r>
      <w:bookmarkEnd w:id="28"/>
      <w:bookmarkEnd w:id="29"/>
    </w:p>
    <w:p w14:paraId="3E1148FE">
      <w:pPr>
        <w:pStyle w:val="61"/>
        <w:rPr>
          <w:rFonts w:hint="eastAsia"/>
        </w:rPr>
      </w:pPr>
      <w:bookmarkStart w:id="30" w:name="_Toc101106182"/>
      <w:bookmarkStart w:id="31" w:name="_Toc81755140"/>
      <w:r>
        <w:t>产品系统中的GHG排放量和GHG清除量之和，以二氧化碳当量表示，并基于气候变化这一单一环境影响类型进行生命周期评价。</w:t>
      </w:r>
    </w:p>
    <w:p w14:paraId="382A042D">
      <w:pPr>
        <w:pStyle w:val="61"/>
        <w:ind w:left="780" w:leftChars="200" w:hanging="360" w:hangingChars="200"/>
        <w:rPr>
          <w:rFonts w:hint="eastAsia"/>
          <w:sz w:val="18"/>
          <w:szCs w:val="18"/>
        </w:rPr>
      </w:pPr>
      <w:r>
        <w:rPr>
          <w:rFonts w:hint="eastAsia" w:ascii="黑体" w:hAnsi="黑体" w:eastAsia="黑体"/>
          <w:sz w:val="18"/>
          <w:szCs w:val="18"/>
        </w:rPr>
        <w:t>注1：</w:t>
      </w:r>
      <w:r>
        <w:rPr>
          <w:rFonts w:hint="eastAsia"/>
          <w:sz w:val="18"/>
          <w:szCs w:val="18"/>
        </w:rPr>
        <w:t>产品碳足迹可用不同的图例区分和标示具体的</w:t>
      </w:r>
      <w:r>
        <w:rPr>
          <w:sz w:val="18"/>
          <w:szCs w:val="18"/>
        </w:rPr>
        <w:t>GHG</w:t>
      </w:r>
      <w:r>
        <w:rPr>
          <w:rFonts w:hint="eastAsia"/>
          <w:sz w:val="18"/>
          <w:szCs w:val="18"/>
        </w:rPr>
        <w:t xml:space="preserve">排放量和清除量，产品碳足迹也可被分解到其 生命周期的各个阶段。 </w:t>
      </w:r>
    </w:p>
    <w:p w14:paraId="3EEF0C43">
      <w:pPr>
        <w:pStyle w:val="61"/>
        <w:ind w:firstLine="424" w:firstLineChars="236"/>
        <w:rPr>
          <w:rFonts w:hint="eastAsia"/>
          <w:sz w:val="18"/>
          <w:szCs w:val="18"/>
        </w:rPr>
      </w:pPr>
      <w:r>
        <w:rPr>
          <w:rFonts w:hint="eastAsia" w:ascii="黑体" w:hAnsi="黑体" w:eastAsia="黑体"/>
          <w:sz w:val="18"/>
          <w:szCs w:val="18"/>
        </w:rPr>
        <w:t>注2：</w:t>
      </w:r>
      <w:r>
        <w:rPr>
          <w:rFonts w:hint="eastAsia"/>
          <w:sz w:val="18"/>
          <w:szCs w:val="18"/>
        </w:rPr>
        <w:t>产品碳足迹研究报告中记录了产品碳足迹的量化结果，以每个功能单位的二氧化碳当量表示。</w:t>
      </w:r>
    </w:p>
    <w:p w14:paraId="24D3754F">
      <w:pPr>
        <w:pStyle w:val="61"/>
        <w:ind w:firstLine="424" w:firstLineChars="236"/>
        <w:rPr>
          <w:rFonts w:hint="eastAsia"/>
          <w:sz w:val="18"/>
          <w:szCs w:val="18"/>
        </w:rPr>
      </w:pPr>
      <w:r>
        <w:rPr>
          <w:rFonts w:hint="eastAsia" w:ascii="黑体" w:hAnsi="黑体" w:eastAsia="黑体"/>
          <w:sz w:val="18"/>
          <w:szCs w:val="18"/>
        </w:rPr>
        <w:t>注3：</w:t>
      </w:r>
      <w:r>
        <w:rPr>
          <w:rFonts w:hint="eastAsia"/>
          <w:sz w:val="18"/>
          <w:szCs w:val="18"/>
        </w:rPr>
        <w:t>本文件</w:t>
      </w:r>
      <w:r>
        <w:rPr>
          <w:rFonts w:hint="eastAsia"/>
          <w:sz w:val="18"/>
          <w:szCs w:val="18"/>
          <w:lang w:eastAsia="zh-CN"/>
        </w:rPr>
        <w:t>锡</w:t>
      </w:r>
      <w:r>
        <w:rPr>
          <w:rFonts w:hint="eastAsia"/>
          <w:sz w:val="18"/>
          <w:szCs w:val="18"/>
        </w:rPr>
        <w:t>锭的产品碳足迹量化范围为从原材料获取到产品离开生产企业大门为止。</w:t>
      </w:r>
    </w:p>
    <w:p w14:paraId="326CEBBF">
      <w:pPr>
        <w:pStyle w:val="61"/>
        <w:ind w:firstLine="0" w:firstLineChars="0"/>
        <w:rPr>
          <w:rFonts w:hint="eastAsia" w:ascii="黑体" w:hAnsi="黑体" w:eastAsia="黑体" w:cs="黑体"/>
          <w:lang w:val="en-US" w:eastAsia="zh-CN"/>
        </w:rPr>
      </w:pPr>
      <w:bookmarkStart w:id="32" w:name="_Toc173931835"/>
      <w:bookmarkStart w:id="33" w:name="_Toc174232009"/>
      <w:r>
        <w:rPr>
          <w:rFonts w:hint="eastAsia" w:ascii="黑体" w:hAnsi="黑体" w:eastAsia="黑体" w:cs="黑体"/>
        </w:rPr>
        <w:t>3</w:t>
      </w:r>
      <w:r>
        <w:rPr>
          <w:rFonts w:ascii="黑体" w:hAnsi="黑体" w:eastAsia="黑体" w:cs="黑体"/>
        </w:rPr>
        <w:t>.</w:t>
      </w:r>
      <w:r>
        <w:rPr>
          <w:rFonts w:hint="eastAsia" w:ascii="黑体" w:hAnsi="黑体" w:eastAsia="黑体" w:cs="黑体"/>
          <w:lang w:val="en-US" w:eastAsia="zh-CN"/>
        </w:rPr>
        <w:t>4</w:t>
      </w:r>
    </w:p>
    <w:p w14:paraId="179CD874">
      <w:pPr>
        <w:pStyle w:val="61"/>
        <w:rPr>
          <w:rFonts w:hint="eastAsia" w:ascii="黑体" w:hAnsi="黑体" w:eastAsia="黑体" w:cs="黑体"/>
        </w:rPr>
      </w:pPr>
      <w:r>
        <w:rPr>
          <w:rFonts w:hint="eastAsia" w:ascii="黑体" w:hAnsi="黑体" w:eastAsia="黑体" w:cs="黑体"/>
        </w:rPr>
        <w:t>产品种类规则  product category rules（PCR）</w:t>
      </w:r>
    </w:p>
    <w:p w14:paraId="77289A5A">
      <w:pPr>
        <w:pStyle w:val="61"/>
        <w:rPr>
          <w:rFonts w:hint="eastAsia"/>
        </w:rPr>
      </w:pPr>
      <w:r>
        <w:t xml:space="preserve">用于制定一个或多个产品种类的III型环境声明和足迹信息交流的一套具体规则、要求和指南。 </w:t>
      </w:r>
    </w:p>
    <w:p w14:paraId="6BB66215">
      <w:pPr>
        <w:pStyle w:val="61"/>
        <w:ind w:firstLine="360"/>
        <w:rPr>
          <w:rFonts w:hint="eastAsia"/>
          <w:sz w:val="18"/>
          <w:szCs w:val="18"/>
        </w:rPr>
      </w:pPr>
      <w:r>
        <w:rPr>
          <w:rFonts w:hint="eastAsia" w:ascii="黑体" w:hAnsi="黑体" w:eastAsia="黑体"/>
          <w:sz w:val="18"/>
          <w:szCs w:val="18"/>
        </w:rPr>
        <w:t>注1：</w:t>
      </w:r>
      <w:r>
        <w:rPr>
          <w:rFonts w:hint="eastAsia"/>
          <w:sz w:val="18"/>
          <w:szCs w:val="18"/>
        </w:rPr>
        <w:t>产品种类规则包含的量化规则</w:t>
      </w:r>
      <w:r>
        <w:rPr>
          <w:rFonts w:ascii="Times New Roman" w:hAnsi="Times New Roman"/>
          <w:sz w:val="18"/>
          <w:szCs w:val="18"/>
        </w:rPr>
        <w:t xml:space="preserve">与 GB/T 24044 </w:t>
      </w:r>
      <w:r>
        <w:rPr>
          <w:rFonts w:hint="eastAsia"/>
          <w:sz w:val="18"/>
          <w:szCs w:val="18"/>
        </w:rPr>
        <w:t xml:space="preserve">一致。 </w:t>
      </w:r>
    </w:p>
    <w:p w14:paraId="4EDDB557">
      <w:pPr>
        <w:pStyle w:val="61"/>
        <w:ind w:firstLine="360"/>
        <w:rPr>
          <w:rFonts w:ascii="Times New Roman" w:hAnsi="Times New Roman"/>
          <w:sz w:val="18"/>
          <w:szCs w:val="18"/>
        </w:rPr>
      </w:pPr>
      <w:r>
        <w:rPr>
          <w:rFonts w:hint="eastAsia" w:ascii="黑体" w:hAnsi="黑体" w:eastAsia="黑体"/>
          <w:sz w:val="18"/>
          <w:szCs w:val="18"/>
        </w:rPr>
        <w:t>注2：</w:t>
      </w:r>
      <w:r>
        <w:rPr>
          <w:rFonts w:ascii="Times New Roman" w:hAnsi="Times New Roman"/>
          <w:sz w:val="18"/>
          <w:szCs w:val="18"/>
        </w:rPr>
        <w:t xml:space="preserve">ISO/TS 14027:2017 的相关规定适用于本文件。 </w:t>
      </w:r>
    </w:p>
    <w:p w14:paraId="2A82B23C">
      <w:pPr>
        <w:pStyle w:val="61"/>
        <w:rPr>
          <w:rFonts w:hint="eastAsia"/>
        </w:rPr>
      </w:pPr>
      <w:r>
        <w:rPr>
          <w:rFonts w:ascii="Times New Roman" w:hAnsi="Times New Roman"/>
        </w:rPr>
        <w:t>[来源：GB/T 24025-2009，3.5，</w:t>
      </w:r>
      <w:r>
        <w:rPr>
          <w:rFonts w:hint="eastAsia"/>
        </w:rPr>
        <w:t>有修改]</w:t>
      </w:r>
    </w:p>
    <w:bookmarkEnd w:id="30"/>
    <w:bookmarkEnd w:id="31"/>
    <w:bookmarkEnd w:id="32"/>
    <w:bookmarkEnd w:id="33"/>
    <w:p w14:paraId="307E7320">
      <w:pPr>
        <w:outlineLvl w:val="0"/>
        <w:rPr>
          <w:rFonts w:hint="eastAsia" w:ascii="黑体" w:hAnsi="黑体" w:eastAsia="黑体" w:cs="黑体"/>
          <w:lang w:val="en-US" w:eastAsia="zh-CN"/>
        </w:rPr>
      </w:pPr>
      <w:bookmarkStart w:id="34" w:name="_Toc173931837"/>
      <w:bookmarkStart w:id="35" w:name="_Toc174232011"/>
      <w:bookmarkStart w:id="36" w:name="_Toc101106184"/>
      <w:bookmarkStart w:id="37" w:name="_Toc81755142"/>
      <w:r>
        <w:rPr>
          <w:rFonts w:ascii="黑体" w:hAnsi="黑体" w:eastAsia="黑体" w:cs="黑体"/>
        </w:rPr>
        <w:t>3.</w:t>
      </w:r>
      <w:bookmarkEnd w:id="34"/>
      <w:bookmarkEnd w:id="35"/>
      <w:r>
        <w:rPr>
          <w:rFonts w:hint="eastAsia" w:ascii="黑体" w:hAnsi="黑体" w:eastAsia="黑体" w:cs="黑体"/>
          <w:lang w:val="en-US" w:eastAsia="zh-CN"/>
        </w:rPr>
        <w:t>5</w:t>
      </w:r>
    </w:p>
    <w:p w14:paraId="3EC92AC2">
      <w:pPr>
        <w:ind w:firstLine="420" w:firstLineChars="200"/>
        <w:outlineLvl w:val="0"/>
        <w:rPr>
          <w:rFonts w:hint="eastAsia" w:ascii="黑体" w:hAnsi="黑体" w:eastAsia="黑体" w:cs="黑体"/>
        </w:rPr>
      </w:pPr>
      <w:bookmarkStart w:id="38" w:name="_Toc174232012"/>
      <w:bookmarkStart w:id="39" w:name="_Toc173931838"/>
      <w:r>
        <w:rPr>
          <w:rFonts w:hint="eastAsia" w:ascii="黑体" w:hAnsi="黑体" w:eastAsia="黑体" w:cs="黑体"/>
        </w:rPr>
        <w:t>声明单位 declared unit</w:t>
      </w:r>
      <w:bookmarkEnd w:id="36"/>
      <w:bookmarkEnd w:id="37"/>
      <w:bookmarkEnd w:id="38"/>
      <w:bookmarkEnd w:id="39"/>
      <w:r>
        <w:rPr>
          <w:rFonts w:ascii="黑体" w:hAnsi="黑体" w:eastAsia="黑体" w:cs="黑体"/>
        </w:rPr>
        <w:t xml:space="preserve"> </w:t>
      </w:r>
    </w:p>
    <w:p w14:paraId="0FBECFFC">
      <w:pPr>
        <w:pStyle w:val="61"/>
        <w:rPr>
          <w:rFonts w:hint="eastAsia"/>
        </w:rPr>
      </w:pPr>
      <w:bookmarkStart w:id="40" w:name="_Toc101106185"/>
      <w:bookmarkStart w:id="41" w:name="_Toc81755143"/>
      <w:r>
        <w:t xml:space="preserve">用来量化产品部分碳足迹的基准单位。 </w:t>
      </w:r>
    </w:p>
    <w:p w14:paraId="0BE01905">
      <w:pPr>
        <w:pStyle w:val="61"/>
        <w:ind w:firstLine="424" w:firstLineChars="236"/>
        <w:rPr>
          <w:rFonts w:ascii="Times New Roman" w:hAnsi="Times New Roman"/>
          <w:sz w:val="18"/>
          <w:szCs w:val="18"/>
        </w:rPr>
      </w:pPr>
      <w:r>
        <w:rPr>
          <w:rFonts w:hint="eastAsia" w:ascii="黑体" w:hAnsi="黑体" w:eastAsia="黑体" w:cs="黑体"/>
          <w:sz w:val="18"/>
          <w:szCs w:val="18"/>
        </w:rPr>
        <w:t>示例</w:t>
      </w:r>
      <w:r>
        <w:rPr>
          <w:rFonts w:ascii="Times New Roman" w:hAnsi="Times New Roman" w:eastAsia="黑体"/>
          <w:sz w:val="18"/>
          <w:szCs w:val="18"/>
        </w:rPr>
        <w:t>：</w:t>
      </w:r>
      <w:r>
        <w:rPr>
          <w:rFonts w:ascii="Times New Roman" w:hAnsi="Times New Roman"/>
          <w:sz w:val="18"/>
          <w:szCs w:val="18"/>
        </w:rPr>
        <w:t xml:space="preserve">质量（1 千克粗钢）、体积（1 升原油）。 </w:t>
      </w:r>
    </w:p>
    <w:p w14:paraId="25A525E1">
      <w:pPr>
        <w:pStyle w:val="61"/>
        <w:rPr>
          <w:rFonts w:hint="eastAsia"/>
        </w:rPr>
      </w:pPr>
      <w:r>
        <w:t>[来源</w:t>
      </w:r>
      <w:r>
        <w:rPr>
          <w:rFonts w:ascii="Times New Roman" w:hAnsi="Times New Roman"/>
        </w:rPr>
        <w:t xml:space="preserve">：GB/T </w:t>
      </w:r>
      <w:r>
        <w:rPr>
          <w:rFonts w:hint="eastAsia" w:ascii="Times New Roman" w:hAnsi="Times New Roman"/>
        </w:rPr>
        <w:t>24067-2024</w:t>
      </w:r>
      <w:r>
        <w:rPr>
          <w:rFonts w:ascii="Times New Roman" w:hAnsi="Times New Roman"/>
        </w:rPr>
        <w:t>，3.3.8</w:t>
      </w:r>
      <w:r>
        <w:t xml:space="preserve">] </w:t>
      </w:r>
    </w:p>
    <w:p w14:paraId="0AB48EEE">
      <w:pPr>
        <w:outlineLvl w:val="0"/>
        <w:rPr>
          <w:rFonts w:hint="eastAsia" w:ascii="黑体" w:hAnsi="黑体" w:eastAsia="黑体" w:cs="黑体"/>
          <w:lang w:val="en-US" w:eastAsia="zh-CN"/>
        </w:rPr>
      </w:pPr>
      <w:bookmarkStart w:id="42" w:name="_Toc173931839"/>
      <w:bookmarkStart w:id="43" w:name="_Toc174232013"/>
      <w:r>
        <w:rPr>
          <w:rFonts w:ascii="黑体" w:hAnsi="黑体" w:eastAsia="黑体" w:cs="黑体"/>
        </w:rPr>
        <w:t>3.</w:t>
      </w:r>
      <w:bookmarkEnd w:id="42"/>
      <w:bookmarkEnd w:id="43"/>
      <w:r>
        <w:rPr>
          <w:rFonts w:hint="eastAsia" w:ascii="黑体" w:hAnsi="黑体" w:eastAsia="黑体" w:cs="黑体"/>
          <w:lang w:val="en-US" w:eastAsia="zh-CN"/>
        </w:rPr>
        <w:t>6</w:t>
      </w:r>
    </w:p>
    <w:p w14:paraId="3AF85822">
      <w:pPr>
        <w:ind w:firstLine="420" w:firstLineChars="200"/>
        <w:outlineLvl w:val="0"/>
        <w:rPr>
          <w:rFonts w:hint="eastAsia" w:ascii="黑体" w:hAnsi="黑体" w:eastAsia="黑体" w:cs="黑体"/>
        </w:rPr>
      </w:pPr>
      <w:bookmarkStart w:id="44" w:name="_Toc174232014"/>
      <w:bookmarkStart w:id="45" w:name="_Toc173931840"/>
      <w:r>
        <w:rPr>
          <w:rFonts w:hint="eastAsia" w:ascii="黑体" w:hAnsi="黑体" w:eastAsia="黑体" w:cs="黑体"/>
        </w:rPr>
        <w:t xml:space="preserve">单元过程 </w:t>
      </w:r>
      <w:r>
        <w:rPr>
          <w:rFonts w:ascii="黑体" w:hAnsi="黑体" w:eastAsia="黑体" w:cs="黑体"/>
        </w:rPr>
        <w:t>unit process</w:t>
      </w:r>
      <w:bookmarkEnd w:id="44"/>
      <w:bookmarkEnd w:id="45"/>
    </w:p>
    <w:p w14:paraId="6459D49C">
      <w:pPr>
        <w:pStyle w:val="61"/>
        <w:rPr>
          <w:rFonts w:hint="eastAsia"/>
        </w:rPr>
      </w:pPr>
      <w:r>
        <w:t>进行生命周期清单分析时为量化输入和输出数据而确定的最基本部分。</w:t>
      </w:r>
    </w:p>
    <w:p w14:paraId="653E50B7">
      <w:pPr>
        <w:pStyle w:val="61"/>
        <w:rPr>
          <w:rFonts w:hint="eastAsia"/>
        </w:rPr>
      </w:pPr>
      <w:r>
        <w:rPr>
          <w:rFonts w:hint="eastAsia"/>
        </w:rPr>
        <w:t>[</w:t>
      </w:r>
      <w:r>
        <w:t>来源：</w:t>
      </w:r>
      <w:r>
        <w:rPr>
          <w:rFonts w:ascii="Times New Roman" w:hAnsi="Times New Roman"/>
        </w:rPr>
        <w:t>GB/T 24044-2008，</w:t>
      </w:r>
      <w:r>
        <w:rPr>
          <w:rFonts w:hint="eastAsia"/>
        </w:rPr>
        <w:t>3</w:t>
      </w:r>
      <w:r>
        <w:t>.34]</w:t>
      </w:r>
    </w:p>
    <w:p w14:paraId="4D0B38CE">
      <w:pPr>
        <w:outlineLvl w:val="0"/>
        <w:rPr>
          <w:rFonts w:hint="eastAsia" w:ascii="黑体" w:hAnsi="黑体" w:eastAsia="黑体" w:cs="黑体"/>
          <w:lang w:val="en-US" w:eastAsia="zh-CN"/>
        </w:rPr>
      </w:pPr>
      <w:bookmarkStart w:id="46" w:name="_Toc173931841"/>
      <w:bookmarkStart w:id="47" w:name="_Toc174232015"/>
      <w:r>
        <w:rPr>
          <w:rFonts w:hint="eastAsia" w:ascii="黑体" w:hAnsi="黑体" w:eastAsia="黑体" w:cs="黑体"/>
        </w:rPr>
        <w:t>3.</w:t>
      </w:r>
      <w:bookmarkEnd w:id="46"/>
      <w:bookmarkEnd w:id="47"/>
      <w:r>
        <w:rPr>
          <w:rFonts w:hint="eastAsia" w:ascii="黑体" w:hAnsi="黑体" w:eastAsia="黑体" w:cs="黑体"/>
          <w:lang w:val="en-US" w:eastAsia="zh-CN"/>
        </w:rPr>
        <w:t>7</w:t>
      </w:r>
    </w:p>
    <w:p w14:paraId="428F0A4E">
      <w:pPr>
        <w:ind w:firstLine="424" w:firstLineChars="202"/>
        <w:outlineLvl w:val="0"/>
        <w:rPr>
          <w:rFonts w:hint="eastAsia" w:ascii="黑体" w:hAnsi="黑体" w:eastAsia="黑体" w:cs="黑体"/>
        </w:rPr>
      </w:pPr>
      <w:bookmarkStart w:id="48" w:name="_Toc174232016"/>
      <w:r>
        <w:rPr>
          <w:rFonts w:hint="eastAsia" w:ascii="黑体" w:hAnsi="黑体" w:eastAsia="黑体" w:cs="黑体"/>
        </w:rPr>
        <w:t>基准流</w:t>
      </w:r>
      <w:r>
        <w:rPr>
          <w:rFonts w:ascii="黑体" w:hAnsi="黑体" w:eastAsia="黑体" w:cs="黑体"/>
        </w:rPr>
        <w:t xml:space="preserve"> elementary flow</w:t>
      </w:r>
      <w:bookmarkEnd w:id="48"/>
    </w:p>
    <w:p w14:paraId="048B3984">
      <w:pPr>
        <w:pStyle w:val="61"/>
        <w:rPr>
          <w:rFonts w:hint="eastAsia"/>
        </w:rPr>
      </w:pPr>
      <w:r>
        <w:rPr>
          <w:rFonts w:hint="eastAsia"/>
        </w:rPr>
        <w:t>在给定的产品系统中，为实现声明单位功能所需过程的输入或输出量。</w:t>
      </w:r>
    </w:p>
    <w:p w14:paraId="4871B3CA">
      <w:pPr>
        <w:pStyle w:val="61"/>
        <w:rPr>
          <w:rFonts w:hint="eastAsia"/>
        </w:rPr>
      </w:pPr>
      <w:r>
        <w:t>[</w:t>
      </w:r>
      <w:r>
        <w:rPr>
          <w:rFonts w:hint="eastAsia"/>
        </w:rPr>
        <w:t>来源：</w:t>
      </w:r>
      <w:r>
        <w:rPr>
          <w:rFonts w:ascii="Times New Roman" w:hAnsi="Times New Roman"/>
        </w:rPr>
        <w:t>GB/T 24044-2008，3.29，</w:t>
      </w:r>
      <w:r>
        <w:rPr>
          <w:rFonts w:hint="eastAsia"/>
        </w:rPr>
        <w:t>有修改</w:t>
      </w:r>
      <w:r>
        <w:t>]</w:t>
      </w:r>
    </w:p>
    <w:p w14:paraId="12FE25AF">
      <w:pPr>
        <w:outlineLvl w:val="0"/>
        <w:rPr>
          <w:rFonts w:hint="eastAsia" w:ascii="黑体" w:hAnsi="黑体" w:eastAsia="黑体" w:cs="黑体"/>
          <w:lang w:val="en-US" w:eastAsia="zh-CN"/>
        </w:rPr>
      </w:pPr>
      <w:bookmarkStart w:id="49" w:name="_Toc174232017"/>
      <w:bookmarkStart w:id="50" w:name="_Toc173931842"/>
      <w:r>
        <w:rPr>
          <w:rFonts w:hint="eastAsia" w:ascii="黑体" w:hAnsi="黑体" w:eastAsia="黑体" w:cs="黑体"/>
        </w:rPr>
        <w:t>3</w:t>
      </w:r>
      <w:r>
        <w:rPr>
          <w:rFonts w:ascii="黑体" w:hAnsi="黑体" w:eastAsia="黑体" w:cs="黑体"/>
        </w:rPr>
        <w:t>.</w:t>
      </w:r>
      <w:bookmarkEnd w:id="49"/>
      <w:bookmarkEnd w:id="50"/>
      <w:r>
        <w:rPr>
          <w:rFonts w:hint="eastAsia" w:ascii="黑体" w:hAnsi="黑体" w:eastAsia="黑体" w:cs="黑体"/>
          <w:lang w:val="en-US" w:eastAsia="zh-CN"/>
        </w:rPr>
        <w:t>8</w:t>
      </w:r>
    </w:p>
    <w:p w14:paraId="577534ED">
      <w:pPr>
        <w:ind w:firstLine="420" w:firstLineChars="200"/>
        <w:outlineLvl w:val="0"/>
        <w:rPr>
          <w:rFonts w:hint="eastAsia" w:ascii="黑体" w:hAnsi="黑体" w:eastAsia="黑体" w:cs="黑体"/>
        </w:rPr>
      </w:pPr>
      <w:bookmarkStart w:id="51" w:name="_Toc174232018"/>
      <w:bookmarkStart w:id="52" w:name="_Toc173931843"/>
      <w:r>
        <w:rPr>
          <w:rFonts w:hint="eastAsia" w:ascii="黑体" w:hAnsi="黑体" w:eastAsia="黑体" w:cs="黑体"/>
        </w:rPr>
        <w:t>系统边界</w:t>
      </w:r>
      <w:r>
        <w:rPr>
          <w:rFonts w:ascii="黑体" w:hAnsi="黑体" w:eastAsia="黑体" w:cs="黑体"/>
        </w:rPr>
        <w:t xml:space="preserve"> system boundary</w:t>
      </w:r>
      <w:bookmarkEnd w:id="40"/>
      <w:bookmarkEnd w:id="41"/>
      <w:bookmarkEnd w:id="51"/>
      <w:bookmarkEnd w:id="52"/>
      <w:r>
        <w:rPr>
          <w:rFonts w:ascii="黑体" w:hAnsi="黑体" w:eastAsia="黑体" w:cs="黑体"/>
        </w:rPr>
        <w:t xml:space="preserve"> </w:t>
      </w:r>
    </w:p>
    <w:p w14:paraId="467C47C8">
      <w:pPr>
        <w:ind w:firstLine="420" w:firstLineChars="200"/>
      </w:pPr>
      <w:r>
        <w:t>通过一组准则确定哪些单元过程属于产品系统的一部分。</w:t>
      </w:r>
    </w:p>
    <w:p w14:paraId="7EF80AC3">
      <w:pPr>
        <w:ind w:firstLine="420" w:firstLineChars="200"/>
      </w:pPr>
      <w:r>
        <w:rPr>
          <w:rFonts w:hint="eastAsia"/>
        </w:rPr>
        <w:t>[来源：GB/T 24044-2008，3.32，有修改]</w:t>
      </w:r>
    </w:p>
    <w:p w14:paraId="0A4E6502">
      <w:pPr>
        <w:outlineLvl w:val="0"/>
        <w:rPr>
          <w:rFonts w:hint="eastAsia" w:ascii="黑体" w:hAnsi="黑体" w:eastAsia="黑体" w:cs="黑体"/>
          <w:lang w:val="en-US" w:eastAsia="zh-CN"/>
        </w:rPr>
      </w:pPr>
      <w:bookmarkStart w:id="53" w:name="_Toc174232019"/>
      <w:bookmarkStart w:id="54" w:name="_Toc173931844"/>
      <w:r>
        <w:rPr>
          <w:rFonts w:hint="eastAsia" w:ascii="黑体" w:hAnsi="黑体" w:eastAsia="黑体" w:cs="黑体"/>
        </w:rPr>
        <w:t>3.</w:t>
      </w:r>
      <w:bookmarkEnd w:id="53"/>
      <w:bookmarkEnd w:id="54"/>
      <w:r>
        <w:rPr>
          <w:rFonts w:hint="eastAsia" w:ascii="黑体" w:hAnsi="黑体" w:eastAsia="黑体" w:cs="黑体"/>
          <w:lang w:val="en-US" w:eastAsia="zh-CN"/>
        </w:rPr>
        <w:t>9</w:t>
      </w:r>
    </w:p>
    <w:p w14:paraId="7C85B59F">
      <w:pPr>
        <w:ind w:firstLine="420" w:firstLineChars="200"/>
        <w:outlineLvl w:val="0"/>
        <w:rPr>
          <w:rFonts w:hint="eastAsia" w:ascii="黑体" w:hAnsi="黑体" w:eastAsia="黑体" w:cs="黑体"/>
        </w:rPr>
      </w:pPr>
      <w:bookmarkStart w:id="55" w:name="_Toc174232020"/>
      <w:bookmarkStart w:id="56" w:name="_Toc173931845"/>
      <w:r>
        <w:rPr>
          <w:rFonts w:hint="eastAsia" w:ascii="黑体" w:hAnsi="黑体" w:eastAsia="黑体" w:cs="黑体"/>
        </w:rPr>
        <w:t xml:space="preserve">资产性商品 </w:t>
      </w:r>
      <w:r>
        <w:rPr>
          <w:rFonts w:ascii="黑体" w:hAnsi="黑体" w:eastAsia="黑体" w:cs="黑体"/>
        </w:rPr>
        <w:t>asset commodity</w:t>
      </w:r>
      <w:bookmarkEnd w:id="55"/>
      <w:bookmarkEnd w:id="56"/>
    </w:p>
    <w:p w14:paraId="309581EF">
      <w:pPr>
        <w:pStyle w:val="61"/>
        <w:rPr>
          <w:rFonts w:hint="eastAsia"/>
        </w:rPr>
      </w:pPr>
      <w:r>
        <w:t>在产品生命周期内使用的机械、设备和建筑物</w:t>
      </w:r>
      <w:r>
        <w:rPr>
          <w:rFonts w:hint="eastAsia"/>
        </w:rPr>
        <w:t>等</w:t>
      </w:r>
      <w:r>
        <w:t>各类资产。</w:t>
      </w:r>
    </w:p>
    <w:p w14:paraId="72A67A53">
      <w:pPr>
        <w:outlineLvl w:val="0"/>
        <w:rPr>
          <w:rFonts w:hint="default" w:ascii="黑体" w:hAnsi="黑体" w:eastAsia="黑体" w:cs="黑体"/>
          <w:lang w:val="en-US" w:eastAsia="zh-CN"/>
        </w:rPr>
      </w:pPr>
      <w:bookmarkStart w:id="57" w:name="_Toc173931846"/>
      <w:bookmarkStart w:id="58" w:name="_Toc174232021"/>
      <w:r>
        <w:rPr>
          <w:rFonts w:hint="eastAsia" w:ascii="黑体" w:hAnsi="黑体" w:eastAsia="黑体" w:cs="黑体"/>
        </w:rPr>
        <w:t>3.</w:t>
      </w:r>
      <w:bookmarkEnd w:id="57"/>
      <w:bookmarkEnd w:id="58"/>
      <w:r>
        <w:rPr>
          <w:rFonts w:hint="eastAsia" w:ascii="黑体" w:hAnsi="黑体" w:eastAsia="黑体" w:cs="黑体"/>
          <w:lang w:val="en-US" w:eastAsia="zh-CN"/>
        </w:rPr>
        <w:t>10</w:t>
      </w:r>
    </w:p>
    <w:p w14:paraId="77AFAD72">
      <w:pPr>
        <w:ind w:firstLine="420" w:firstLineChars="200"/>
        <w:outlineLvl w:val="0"/>
        <w:rPr>
          <w:rFonts w:hint="eastAsia" w:ascii="黑体" w:hAnsi="黑体" w:eastAsia="黑体" w:cs="黑体"/>
        </w:rPr>
      </w:pPr>
      <w:bookmarkStart w:id="59" w:name="_Toc173931847"/>
      <w:bookmarkStart w:id="60" w:name="_Toc174232022"/>
      <w:r>
        <w:rPr>
          <w:rFonts w:hint="eastAsia" w:ascii="黑体" w:hAnsi="黑体" w:eastAsia="黑体" w:cs="黑体"/>
        </w:rPr>
        <w:t>分配 allocation</w:t>
      </w:r>
      <w:bookmarkEnd w:id="59"/>
      <w:bookmarkEnd w:id="60"/>
    </w:p>
    <w:p w14:paraId="299DF2D0">
      <w:pPr>
        <w:pStyle w:val="61"/>
        <w:rPr>
          <w:rFonts w:hint="eastAsia"/>
        </w:rPr>
      </w:pPr>
      <w:r>
        <w:t>将过程或产品系统中的输入和输出流</w:t>
      </w:r>
      <w:r>
        <w:rPr>
          <w:rFonts w:hint="eastAsia"/>
        </w:rPr>
        <w:t>划分</w:t>
      </w:r>
      <w:r>
        <w:t>到所研究的产品</w:t>
      </w:r>
      <w:r>
        <w:rPr>
          <w:rFonts w:hint="eastAsia"/>
        </w:rPr>
        <w:t>系统</w:t>
      </w:r>
      <w:r>
        <w:t>以及一个或更多的其他产品系统中</w:t>
      </w:r>
      <w:r>
        <w:rPr>
          <w:rFonts w:hint="eastAsia"/>
        </w:rPr>
        <w:t>。</w:t>
      </w:r>
    </w:p>
    <w:p w14:paraId="2B78EDE8">
      <w:pPr>
        <w:pStyle w:val="61"/>
        <w:rPr>
          <w:rFonts w:hint="eastAsia"/>
        </w:rPr>
      </w:pPr>
      <w:r>
        <w:rPr>
          <w:rFonts w:hint="eastAsia"/>
        </w:rPr>
        <w:t>[来源</w:t>
      </w:r>
      <w:r>
        <w:rPr>
          <w:rFonts w:ascii="Times New Roman" w:hAnsi="Times New Roman"/>
        </w:rPr>
        <w:t>：GB/T 24044-2008，3.17</w:t>
      </w:r>
      <w:r>
        <w:t>]</w:t>
      </w:r>
    </w:p>
    <w:p w14:paraId="594B96AD">
      <w:pPr>
        <w:outlineLvl w:val="0"/>
        <w:rPr>
          <w:rFonts w:hint="eastAsia" w:ascii="黑体" w:hAnsi="黑体" w:eastAsia="黑体" w:cs="黑体"/>
          <w:lang w:val="en-US" w:eastAsia="zh-CN"/>
        </w:rPr>
      </w:pPr>
      <w:bookmarkStart w:id="61" w:name="_Toc173931848"/>
      <w:bookmarkStart w:id="62" w:name="_Toc174232023"/>
      <w:r>
        <w:rPr>
          <w:rFonts w:hint="eastAsia" w:ascii="黑体" w:hAnsi="黑体" w:eastAsia="黑体" w:cs="黑体"/>
        </w:rPr>
        <w:t>3.1</w:t>
      </w:r>
      <w:bookmarkEnd w:id="61"/>
      <w:bookmarkEnd w:id="62"/>
      <w:r>
        <w:rPr>
          <w:rFonts w:hint="eastAsia" w:ascii="黑体" w:hAnsi="黑体" w:eastAsia="黑体" w:cs="黑体"/>
          <w:lang w:val="en-US" w:eastAsia="zh-CN"/>
        </w:rPr>
        <w:t>1</w:t>
      </w:r>
    </w:p>
    <w:p w14:paraId="43E049EF">
      <w:pPr>
        <w:ind w:firstLine="420" w:firstLineChars="200"/>
        <w:outlineLvl w:val="0"/>
        <w:rPr>
          <w:rFonts w:hint="eastAsia" w:ascii="黑体" w:hAnsi="黑体" w:eastAsia="黑体" w:cs="黑体"/>
        </w:rPr>
      </w:pPr>
      <w:bookmarkStart w:id="63" w:name="_Toc173931849"/>
      <w:bookmarkStart w:id="64" w:name="_Toc174232024"/>
      <w:r>
        <w:rPr>
          <w:rFonts w:hint="eastAsia" w:ascii="黑体" w:hAnsi="黑体" w:eastAsia="黑体" w:cs="黑体"/>
        </w:rPr>
        <w:t xml:space="preserve">中间产品 </w:t>
      </w:r>
      <w:r>
        <w:rPr>
          <w:rFonts w:ascii="黑体" w:hAnsi="黑体" w:eastAsia="黑体" w:cs="黑体"/>
        </w:rPr>
        <w:t>intermediate product</w:t>
      </w:r>
      <w:bookmarkEnd w:id="63"/>
      <w:bookmarkEnd w:id="64"/>
    </w:p>
    <w:p w14:paraId="0E811C8F">
      <w:pPr>
        <w:pStyle w:val="61"/>
        <w:rPr>
          <w:rFonts w:hint="eastAsia"/>
        </w:rPr>
      </w:pPr>
      <w:r>
        <w:t>在系统中还需要作为其它过程单元的输入而发生继续转化的某个过程单元的产出。</w:t>
      </w:r>
    </w:p>
    <w:p w14:paraId="0A315F69">
      <w:pPr>
        <w:pStyle w:val="61"/>
        <w:rPr>
          <w:rFonts w:hint="eastAsia"/>
        </w:rPr>
      </w:pPr>
      <w:r>
        <w:rPr>
          <w:rFonts w:hint="eastAsia"/>
        </w:rPr>
        <w:t>[来源：</w:t>
      </w:r>
      <w:r>
        <w:rPr>
          <w:rFonts w:ascii="Times New Roman" w:hAnsi="Times New Roman"/>
        </w:rPr>
        <w:t>GB/T 24044-2008，3.23</w:t>
      </w:r>
      <w:r>
        <w:t>]</w:t>
      </w:r>
    </w:p>
    <w:p w14:paraId="2326013C">
      <w:pPr>
        <w:outlineLvl w:val="0"/>
        <w:rPr>
          <w:rFonts w:hint="eastAsia" w:eastAsia="黑体"/>
          <w:lang w:val="en-US" w:eastAsia="zh-CN"/>
        </w:rPr>
      </w:pPr>
      <w:bookmarkStart w:id="65" w:name="_Toc174232025"/>
      <w:bookmarkStart w:id="66" w:name="_Toc173931850"/>
      <w:r>
        <w:rPr>
          <w:rFonts w:hint="eastAsia" w:ascii="黑体" w:hAnsi="黑体" w:eastAsia="黑体" w:cs="黑体"/>
        </w:rPr>
        <w:t>3.</w:t>
      </w:r>
      <w:r>
        <w:rPr>
          <w:rFonts w:ascii="黑体" w:hAnsi="黑体" w:eastAsia="黑体" w:cs="黑体"/>
        </w:rPr>
        <w:t>1</w:t>
      </w:r>
      <w:bookmarkEnd w:id="65"/>
      <w:bookmarkEnd w:id="66"/>
      <w:r>
        <w:rPr>
          <w:rFonts w:hint="eastAsia" w:ascii="黑体" w:hAnsi="黑体" w:eastAsia="黑体" w:cs="黑体"/>
          <w:lang w:val="en-US" w:eastAsia="zh-CN"/>
        </w:rPr>
        <w:t>2</w:t>
      </w:r>
    </w:p>
    <w:p w14:paraId="040A1638">
      <w:pPr>
        <w:ind w:firstLine="420" w:firstLineChars="200"/>
        <w:outlineLvl w:val="0"/>
        <w:rPr>
          <w:rFonts w:hint="eastAsia" w:ascii="黑体" w:hAnsi="黑体" w:eastAsia="黑体" w:cs="黑体"/>
        </w:rPr>
      </w:pPr>
      <w:bookmarkStart w:id="67" w:name="_Toc173931851"/>
      <w:bookmarkStart w:id="68" w:name="_Toc174232026"/>
      <w:r>
        <w:rPr>
          <w:rFonts w:hint="eastAsia" w:ascii="黑体" w:hAnsi="黑体" w:eastAsia="黑体" w:cs="黑体"/>
        </w:rPr>
        <w:t>共生产品 co</w:t>
      </w:r>
      <w:r>
        <w:rPr>
          <w:rFonts w:ascii="黑体" w:hAnsi="黑体" w:eastAsia="黑体" w:cs="黑体"/>
        </w:rPr>
        <w:t>-products</w:t>
      </w:r>
      <w:bookmarkEnd w:id="67"/>
      <w:bookmarkEnd w:id="68"/>
    </w:p>
    <w:p w14:paraId="12031765">
      <w:pPr>
        <w:pStyle w:val="61"/>
        <w:rPr>
          <w:rFonts w:hint="eastAsia"/>
        </w:rPr>
      </w:pPr>
      <w:r>
        <w:t>同一单元过程或产品系统中产出的两种或两种以上的产品。</w:t>
      </w:r>
    </w:p>
    <w:p w14:paraId="5C012D8C">
      <w:pPr>
        <w:pStyle w:val="61"/>
        <w:rPr>
          <w:rFonts w:hint="eastAsia"/>
        </w:rPr>
      </w:pPr>
      <w:r>
        <w:rPr>
          <w:rFonts w:hint="eastAsia"/>
        </w:rPr>
        <w:t>[来源：</w:t>
      </w:r>
      <w:r>
        <w:rPr>
          <w:rFonts w:ascii="Times New Roman" w:hAnsi="Times New Roman"/>
        </w:rPr>
        <w:t>GB/T 24044-2008，3.10</w:t>
      </w:r>
      <w:r>
        <w:t>]</w:t>
      </w:r>
    </w:p>
    <w:p w14:paraId="6A73C7F3">
      <w:pPr>
        <w:outlineLvl w:val="0"/>
        <w:rPr>
          <w:rFonts w:hint="eastAsia" w:ascii="黑体" w:hAnsi="黑体" w:eastAsia="黑体" w:cs="黑体"/>
        </w:rPr>
      </w:pPr>
      <w:bookmarkStart w:id="69" w:name="_Toc173931852"/>
      <w:bookmarkStart w:id="70" w:name="_Toc174232027"/>
      <w:r>
        <w:rPr>
          <w:rFonts w:ascii="黑体" w:hAnsi="黑体" w:eastAsia="黑体" w:cs="黑体"/>
        </w:rPr>
        <w:t>3.1</w:t>
      </w:r>
      <w:r>
        <w:rPr>
          <w:rFonts w:hint="eastAsia" w:ascii="黑体" w:hAnsi="黑体" w:eastAsia="黑体" w:cs="黑体"/>
        </w:rPr>
        <w:t>3</w:t>
      </w:r>
      <w:bookmarkEnd w:id="69"/>
      <w:bookmarkEnd w:id="70"/>
    </w:p>
    <w:p w14:paraId="76CA95EF">
      <w:pPr>
        <w:ind w:firstLine="420" w:firstLineChars="200"/>
        <w:outlineLvl w:val="0"/>
        <w:rPr>
          <w:rFonts w:hint="eastAsia" w:ascii="黑体" w:hAnsi="黑体" w:eastAsia="黑体" w:cs="黑体"/>
        </w:rPr>
      </w:pPr>
      <w:bookmarkStart w:id="71" w:name="_Toc174232028"/>
      <w:bookmarkStart w:id="72" w:name="_Toc173931853"/>
      <w:r>
        <w:rPr>
          <w:rFonts w:hint="eastAsia" w:ascii="黑体" w:hAnsi="黑体" w:eastAsia="黑体" w:cs="黑体"/>
        </w:rPr>
        <w:t>全球变暖潜势</w:t>
      </w:r>
      <w:r>
        <w:rPr>
          <w:rFonts w:ascii="黑体" w:hAnsi="黑体" w:eastAsia="黑体" w:cs="黑体"/>
        </w:rPr>
        <w:t xml:space="preserve"> global warming potential</w:t>
      </w:r>
      <w:r>
        <w:rPr>
          <w:rFonts w:hint="eastAsia" w:ascii="黑体" w:hAnsi="黑体" w:eastAsia="黑体" w:cs="黑体"/>
        </w:rPr>
        <w:t xml:space="preserve"> （GWP）</w:t>
      </w:r>
      <w:bookmarkEnd w:id="71"/>
      <w:bookmarkEnd w:id="72"/>
    </w:p>
    <w:p w14:paraId="54E6D7CD">
      <w:pPr>
        <w:ind w:firstLine="420" w:firstLineChars="200"/>
      </w:pPr>
      <w:r>
        <w:rPr>
          <w:rFonts w:hint="eastAsia"/>
        </w:rPr>
        <w:t>将单位质量的某种温室气体在给定时间段内辐射强迫的影响与等量二氧化碳辐射强度影响相关联的系数。</w:t>
      </w:r>
    </w:p>
    <w:p w14:paraId="07FBDEC8">
      <w:pPr>
        <w:pStyle w:val="61"/>
        <w:rPr>
          <w:rFonts w:hint="eastAsia"/>
        </w:rPr>
      </w:pPr>
      <w:r>
        <w:rPr>
          <w:rFonts w:hint="eastAsia"/>
        </w:rPr>
        <w:t>[来源：</w:t>
      </w:r>
      <w:r>
        <w:rPr>
          <w:rFonts w:ascii="Times New Roman" w:hAnsi="Times New Roman"/>
        </w:rPr>
        <w:t>GB/T 32150-2015，3.15，有</w:t>
      </w:r>
      <w:r>
        <w:rPr>
          <w:rFonts w:hint="eastAsia"/>
        </w:rPr>
        <w:t>修改</w:t>
      </w:r>
      <w:r>
        <w:t>]</w:t>
      </w:r>
    </w:p>
    <w:p w14:paraId="7BFFE0CA">
      <w:pPr>
        <w:outlineLvl w:val="0"/>
        <w:rPr>
          <w:rFonts w:hint="eastAsia" w:ascii="黑体" w:hAnsi="黑体" w:eastAsia="黑体" w:cs="黑体"/>
        </w:rPr>
      </w:pPr>
      <w:bookmarkStart w:id="73" w:name="_Toc174232029"/>
      <w:bookmarkStart w:id="74" w:name="_Toc173931854"/>
      <w:r>
        <w:rPr>
          <w:rFonts w:hint="eastAsia" w:ascii="黑体" w:hAnsi="黑体" w:eastAsia="黑体" w:cs="黑体"/>
        </w:rPr>
        <w:t>3.14</w:t>
      </w:r>
      <w:bookmarkEnd w:id="73"/>
      <w:bookmarkEnd w:id="74"/>
      <w:r>
        <w:rPr>
          <w:rFonts w:hint="eastAsia" w:ascii="黑体" w:hAnsi="黑体" w:eastAsia="黑体" w:cs="黑体"/>
        </w:rPr>
        <w:t xml:space="preserve"> </w:t>
      </w:r>
    </w:p>
    <w:p w14:paraId="225F9148">
      <w:pPr>
        <w:ind w:firstLine="420" w:firstLineChars="200"/>
        <w:outlineLvl w:val="0"/>
        <w:rPr>
          <w:rFonts w:hint="eastAsia" w:ascii="黑体" w:hAnsi="黑体" w:eastAsia="黑体" w:cs="黑体"/>
        </w:rPr>
      </w:pPr>
      <w:bookmarkStart w:id="75" w:name="_Toc173931855"/>
      <w:bookmarkStart w:id="76" w:name="_Toc174232030"/>
      <w:r>
        <w:rPr>
          <w:rFonts w:hint="eastAsia" w:ascii="黑体" w:hAnsi="黑体" w:eastAsia="黑体" w:cs="黑体"/>
        </w:rPr>
        <w:t>全球温度变化潜势</w:t>
      </w:r>
      <w:r>
        <w:rPr>
          <w:rFonts w:ascii="黑体" w:hAnsi="黑体" w:eastAsia="黑体" w:cs="黑体"/>
        </w:rPr>
        <w:t xml:space="preserve"> global temperature change potential</w:t>
      </w:r>
      <w:r>
        <w:rPr>
          <w:rFonts w:hint="eastAsia" w:ascii="黑体" w:hAnsi="黑体" w:eastAsia="黑体" w:cs="黑体"/>
        </w:rPr>
        <w:t>（</w:t>
      </w:r>
      <w:r>
        <w:rPr>
          <w:rFonts w:ascii="黑体" w:hAnsi="黑体" w:eastAsia="黑体" w:cs="黑体"/>
        </w:rPr>
        <w:t>GTP</w:t>
      </w:r>
      <w:r>
        <w:rPr>
          <w:rFonts w:hint="eastAsia" w:ascii="黑体" w:hAnsi="黑体" w:eastAsia="黑体" w:cs="黑体"/>
        </w:rPr>
        <w:t>）</w:t>
      </w:r>
      <w:bookmarkEnd w:id="75"/>
      <w:bookmarkEnd w:id="76"/>
      <w:r>
        <w:rPr>
          <w:rFonts w:ascii="黑体" w:hAnsi="黑体" w:eastAsia="黑体" w:cs="黑体"/>
        </w:rPr>
        <w:t xml:space="preserve"> </w:t>
      </w:r>
    </w:p>
    <w:p w14:paraId="47554036">
      <w:pPr>
        <w:pStyle w:val="61"/>
        <w:rPr>
          <w:rFonts w:hint="eastAsia"/>
        </w:rPr>
      </w:pPr>
      <w:r>
        <w:t xml:space="preserve">用于衡量在选定时间点，全球平均地表温度在某温室气体脉冲排放下的变化，是相对于二氧化碳引起温度变化的比值。 </w:t>
      </w:r>
    </w:p>
    <w:p w14:paraId="2C8D3547">
      <w:pPr>
        <w:pStyle w:val="61"/>
        <w:ind w:firstLine="360"/>
        <w:rPr>
          <w:rFonts w:hint="eastAsia"/>
          <w:sz w:val="18"/>
          <w:szCs w:val="18"/>
        </w:rPr>
      </w:pPr>
      <w:r>
        <w:rPr>
          <w:rFonts w:hint="eastAsia" w:ascii="黑体" w:hAnsi="黑体" w:eastAsia="黑体"/>
          <w:sz w:val="18"/>
          <w:szCs w:val="18"/>
        </w:rPr>
        <w:t>注1：</w:t>
      </w:r>
      <w:r>
        <w:rPr>
          <w:rFonts w:hint="eastAsia"/>
          <w:sz w:val="18"/>
          <w:szCs w:val="18"/>
        </w:rPr>
        <w:t>本文件中使用的</w:t>
      </w:r>
      <w:r>
        <w:rPr>
          <w:sz w:val="18"/>
          <w:szCs w:val="18"/>
        </w:rPr>
        <w:t>“</w:t>
      </w:r>
      <w:r>
        <w:rPr>
          <w:rFonts w:hint="eastAsia"/>
          <w:sz w:val="18"/>
          <w:szCs w:val="18"/>
        </w:rPr>
        <w:t>比值</w:t>
      </w:r>
      <w:r>
        <w:rPr>
          <w:sz w:val="18"/>
          <w:szCs w:val="18"/>
        </w:rPr>
        <w:t>”</w:t>
      </w:r>
      <w:r>
        <w:rPr>
          <w:rFonts w:hint="eastAsia"/>
          <w:sz w:val="18"/>
          <w:szCs w:val="18"/>
        </w:rPr>
        <w:t>是</w:t>
      </w:r>
      <w:r>
        <w:rPr>
          <w:rFonts w:ascii="Times New Roman" w:hAnsi="Times New Roman"/>
          <w:sz w:val="18"/>
          <w:szCs w:val="18"/>
        </w:rPr>
        <w:t xml:space="preserve"> GB/T 24040-2008，3.37中</w:t>
      </w:r>
      <w:r>
        <w:rPr>
          <w:rFonts w:hint="eastAsia"/>
          <w:sz w:val="18"/>
          <w:szCs w:val="18"/>
        </w:rPr>
        <w:t>定义的</w:t>
      </w:r>
      <w:r>
        <w:rPr>
          <w:sz w:val="18"/>
          <w:szCs w:val="18"/>
        </w:rPr>
        <w:t>“</w:t>
      </w:r>
      <w:r>
        <w:rPr>
          <w:rFonts w:hint="eastAsia"/>
          <w:sz w:val="18"/>
          <w:szCs w:val="18"/>
        </w:rPr>
        <w:t>特征化因子</w:t>
      </w:r>
      <w:r>
        <w:rPr>
          <w:sz w:val="18"/>
          <w:szCs w:val="18"/>
        </w:rPr>
        <w:t>”</w:t>
      </w:r>
      <w:r>
        <w:rPr>
          <w:rFonts w:hint="eastAsia"/>
          <w:sz w:val="18"/>
          <w:szCs w:val="18"/>
        </w:rPr>
        <w:t xml:space="preserve">。 </w:t>
      </w:r>
    </w:p>
    <w:p w14:paraId="4041C095">
      <w:pPr>
        <w:pStyle w:val="61"/>
        <w:ind w:firstLine="360"/>
        <w:rPr>
          <w:rFonts w:hint="eastAsia"/>
          <w:sz w:val="18"/>
          <w:szCs w:val="18"/>
        </w:rPr>
      </w:pPr>
      <w:r>
        <w:rPr>
          <w:rFonts w:hint="eastAsia" w:ascii="黑体" w:hAnsi="黑体" w:eastAsia="黑体"/>
          <w:sz w:val="18"/>
          <w:szCs w:val="18"/>
        </w:rPr>
        <w:t>注2：</w:t>
      </w:r>
      <w:r>
        <w:rPr>
          <w:rFonts w:hint="eastAsia"/>
          <w:sz w:val="18"/>
          <w:szCs w:val="18"/>
        </w:rPr>
        <w:t xml:space="preserve">全球温度变化潜势是基于选定年份内温度变化得出的。 </w:t>
      </w:r>
    </w:p>
    <w:p w14:paraId="0D7FD44A">
      <w:pPr>
        <w:pStyle w:val="61"/>
        <w:ind w:firstLine="360"/>
        <w:rPr>
          <w:rFonts w:hint="eastAsia"/>
          <w:sz w:val="18"/>
          <w:szCs w:val="18"/>
        </w:rPr>
      </w:pPr>
      <w:r>
        <w:rPr>
          <w:rFonts w:hint="eastAsia" w:ascii="黑体" w:hAnsi="黑体" w:eastAsia="黑体"/>
          <w:sz w:val="18"/>
          <w:szCs w:val="18"/>
        </w:rPr>
        <w:t>注3：</w:t>
      </w:r>
      <w:r>
        <w:rPr>
          <w:rFonts w:hint="eastAsia"/>
          <w:sz w:val="18"/>
          <w:szCs w:val="18"/>
        </w:rPr>
        <w:t>源自第</w:t>
      </w:r>
      <w:r>
        <w:rPr>
          <w:sz w:val="18"/>
          <w:szCs w:val="18"/>
        </w:rPr>
        <w:t>1</w:t>
      </w:r>
      <w:r>
        <w:rPr>
          <w:rFonts w:hint="eastAsia"/>
          <w:sz w:val="18"/>
          <w:szCs w:val="18"/>
        </w:rPr>
        <w:t>工作组</w:t>
      </w:r>
      <w:r>
        <w:rPr>
          <w:sz w:val="18"/>
          <w:szCs w:val="18"/>
        </w:rPr>
        <w:t xml:space="preserve"> IPCC </w:t>
      </w:r>
      <w:r>
        <w:rPr>
          <w:rFonts w:hint="eastAsia"/>
          <w:sz w:val="18"/>
          <w:szCs w:val="18"/>
        </w:rPr>
        <w:t>第五次评价报告</w:t>
      </w:r>
      <w:r>
        <w:rPr>
          <w:rFonts w:ascii="Times New Roman" w:hAnsi="Times New Roman"/>
          <w:sz w:val="18"/>
          <w:szCs w:val="18"/>
        </w:rPr>
        <w:t>（AR5），2013年</w:t>
      </w:r>
      <w:r>
        <w:rPr>
          <w:rFonts w:hint="eastAsia"/>
          <w:sz w:val="18"/>
          <w:szCs w:val="18"/>
        </w:rPr>
        <w:t>气候变化：物理科学基础。</w:t>
      </w:r>
    </w:p>
    <w:p w14:paraId="36F1B58E">
      <w:pPr>
        <w:outlineLvl w:val="0"/>
        <w:rPr>
          <w:rFonts w:hint="eastAsia" w:ascii="黑体" w:hAnsi="黑体" w:eastAsia="黑体" w:cs="黑体"/>
        </w:rPr>
      </w:pPr>
      <w:bookmarkStart w:id="77" w:name="_Toc174232031"/>
      <w:bookmarkStart w:id="78" w:name="_Toc173931856"/>
      <w:r>
        <w:rPr>
          <w:rFonts w:ascii="黑体" w:hAnsi="黑体" w:eastAsia="黑体" w:cs="黑体"/>
        </w:rPr>
        <w:t>3.1</w:t>
      </w:r>
      <w:r>
        <w:rPr>
          <w:rFonts w:hint="eastAsia" w:ascii="黑体" w:hAnsi="黑体" w:eastAsia="黑体" w:cs="黑体"/>
        </w:rPr>
        <w:t>5</w:t>
      </w:r>
      <w:bookmarkEnd w:id="77"/>
      <w:bookmarkEnd w:id="78"/>
    </w:p>
    <w:p w14:paraId="71CED981">
      <w:pPr>
        <w:ind w:firstLine="420" w:firstLineChars="200"/>
        <w:outlineLvl w:val="0"/>
        <w:rPr>
          <w:rFonts w:hint="eastAsia" w:ascii="黑体" w:hAnsi="黑体" w:eastAsia="黑体" w:cs="黑体"/>
        </w:rPr>
      </w:pPr>
      <w:bookmarkStart w:id="79" w:name="_Toc173931857"/>
      <w:bookmarkStart w:id="80" w:name="_Toc174232032"/>
      <w:r>
        <w:rPr>
          <w:rFonts w:hint="eastAsia" w:ascii="黑体" w:hAnsi="黑体" w:eastAsia="黑体" w:cs="黑体"/>
        </w:rPr>
        <w:t>二氧化碳当量  carbon dioxide equivalent (CO</w:t>
      </w:r>
      <w:r>
        <w:rPr>
          <w:rFonts w:hint="eastAsia" w:ascii="黑体" w:hAnsi="黑体" w:eastAsia="黑体" w:cs="黑体"/>
          <w:vertAlign w:val="subscript"/>
        </w:rPr>
        <w:t>2</w:t>
      </w:r>
      <w:r>
        <w:rPr>
          <w:rFonts w:hint="eastAsia" w:ascii="黑体" w:hAnsi="黑体" w:eastAsia="黑体" w:cs="黑体"/>
        </w:rPr>
        <w:t>e)</w:t>
      </w:r>
      <w:bookmarkEnd w:id="79"/>
      <w:bookmarkEnd w:id="80"/>
    </w:p>
    <w:p w14:paraId="5E5C7DB1">
      <w:pPr>
        <w:pStyle w:val="61"/>
        <w:rPr>
          <w:rFonts w:hint="eastAsia"/>
        </w:rPr>
      </w:pPr>
      <w:r>
        <w:t xml:space="preserve">比较某种温室气体与二氧化碳的辐射强迫的单位。 </w:t>
      </w:r>
    </w:p>
    <w:p w14:paraId="1D4ECE50">
      <w:pPr>
        <w:pStyle w:val="61"/>
        <w:ind w:firstLine="360"/>
        <w:rPr>
          <w:rFonts w:hint="eastAsia"/>
          <w:sz w:val="18"/>
          <w:szCs w:val="18"/>
        </w:rPr>
      </w:pPr>
      <w:r>
        <w:rPr>
          <w:rFonts w:hint="eastAsia" w:ascii="黑体" w:hAnsi="黑体" w:eastAsia="黑体"/>
          <w:sz w:val="18"/>
          <w:szCs w:val="18"/>
        </w:rPr>
        <w:t>注：</w:t>
      </w:r>
      <w:r>
        <w:rPr>
          <w:rFonts w:hint="eastAsia"/>
          <w:sz w:val="18"/>
          <w:szCs w:val="18"/>
        </w:rPr>
        <w:t>给定温室气体的二氧化碳当量等于该温室气体质量乘以它的全球变暖潜势值。</w:t>
      </w:r>
    </w:p>
    <w:p w14:paraId="2604B1DD">
      <w:pPr>
        <w:pStyle w:val="61"/>
        <w:rPr>
          <w:rFonts w:hint="eastAsia"/>
        </w:rPr>
      </w:pPr>
      <w:r>
        <w:rPr>
          <w:rFonts w:hint="eastAsia"/>
        </w:rPr>
        <w:t>[来源：</w:t>
      </w:r>
      <w:r>
        <w:rPr>
          <w:rFonts w:ascii="Times New Roman" w:hAnsi="Times New Roman"/>
        </w:rPr>
        <w:t xml:space="preserve">GB/T </w:t>
      </w:r>
      <w:r>
        <w:rPr>
          <w:rFonts w:hint="eastAsia" w:ascii="Times New Roman" w:hAnsi="Times New Roman"/>
        </w:rPr>
        <w:t>24067-2024</w:t>
      </w:r>
      <w:r>
        <w:rPr>
          <w:rFonts w:ascii="Times New Roman" w:hAnsi="Times New Roman"/>
        </w:rPr>
        <w:t>，3.2.2]</w:t>
      </w:r>
    </w:p>
    <w:p w14:paraId="11AB596A">
      <w:pPr>
        <w:outlineLvl w:val="0"/>
        <w:rPr>
          <w:rFonts w:hint="eastAsia" w:ascii="黑体" w:hAnsi="黑体" w:eastAsia="黑体" w:cs="黑体"/>
        </w:rPr>
      </w:pPr>
      <w:bookmarkStart w:id="81" w:name="_Toc173931858"/>
      <w:bookmarkStart w:id="82" w:name="_Toc174232033"/>
      <w:bookmarkStart w:id="83" w:name="_Toc81755144"/>
      <w:bookmarkStart w:id="84" w:name="_Toc101106186"/>
      <w:r>
        <w:rPr>
          <w:rFonts w:ascii="黑体" w:hAnsi="黑体" w:eastAsia="黑体" w:cs="黑体"/>
        </w:rPr>
        <w:t>3.1</w:t>
      </w:r>
      <w:r>
        <w:rPr>
          <w:rFonts w:hint="eastAsia" w:ascii="黑体" w:hAnsi="黑体" w:eastAsia="黑体" w:cs="黑体"/>
        </w:rPr>
        <w:t>6</w:t>
      </w:r>
      <w:bookmarkEnd w:id="81"/>
      <w:bookmarkEnd w:id="82"/>
    </w:p>
    <w:p w14:paraId="28DA9BC6">
      <w:pPr>
        <w:ind w:firstLine="420" w:firstLineChars="200"/>
        <w:outlineLvl w:val="0"/>
        <w:rPr>
          <w:rFonts w:hint="eastAsia" w:ascii="黑体" w:hAnsi="黑体" w:eastAsia="黑体" w:cs="黑体"/>
        </w:rPr>
      </w:pPr>
      <w:bookmarkStart w:id="85" w:name="_Toc173931859"/>
      <w:bookmarkStart w:id="86" w:name="_Toc174232034"/>
      <w:r>
        <w:rPr>
          <w:rFonts w:hint="eastAsia" w:ascii="黑体" w:hAnsi="黑体" w:eastAsia="黑体" w:cs="黑体"/>
        </w:rPr>
        <w:t>初级数据</w:t>
      </w:r>
      <w:r>
        <w:rPr>
          <w:rFonts w:ascii="黑体" w:hAnsi="黑体" w:eastAsia="黑体" w:cs="黑体"/>
        </w:rPr>
        <w:t xml:space="preserve"> primary data</w:t>
      </w:r>
      <w:bookmarkEnd w:id="83"/>
      <w:bookmarkEnd w:id="84"/>
      <w:bookmarkEnd w:id="85"/>
      <w:bookmarkEnd w:id="86"/>
      <w:r>
        <w:rPr>
          <w:rFonts w:ascii="黑体" w:hAnsi="黑体" w:eastAsia="黑体" w:cs="黑体"/>
        </w:rPr>
        <w:t xml:space="preserve"> </w:t>
      </w:r>
    </w:p>
    <w:p w14:paraId="0E12087E">
      <w:pPr>
        <w:ind w:firstLine="420" w:firstLineChars="200"/>
      </w:pPr>
      <w:r>
        <w:rPr>
          <w:rFonts w:hint="eastAsia"/>
        </w:rPr>
        <w:t>从直接测量或基于直接测量的计算中获得的工艺过程或活动的量化值。</w:t>
      </w:r>
    </w:p>
    <w:p w14:paraId="64DC82B8">
      <w:pPr>
        <w:ind w:firstLine="360" w:firstLineChars="200"/>
        <w:rPr>
          <w:sz w:val="18"/>
          <w:szCs w:val="18"/>
        </w:rPr>
      </w:pPr>
      <w:r>
        <w:rPr>
          <w:rFonts w:hint="eastAsia" w:ascii="黑体" w:hAnsi="黑体" w:eastAsia="黑体"/>
          <w:sz w:val="18"/>
          <w:szCs w:val="18"/>
        </w:rPr>
        <w:t>注1：</w:t>
      </w:r>
      <w:r>
        <w:rPr>
          <w:rFonts w:hint="eastAsia"/>
          <w:sz w:val="18"/>
          <w:szCs w:val="18"/>
        </w:rPr>
        <w:t>初级数据不一定来自所研究的产品系统，因为初级数据可能与所研究的产品不同，但具有可比性。</w:t>
      </w:r>
    </w:p>
    <w:p w14:paraId="7A8FA87A">
      <w:pPr>
        <w:ind w:firstLine="360" w:firstLineChars="200"/>
        <w:rPr>
          <w:sz w:val="18"/>
          <w:szCs w:val="18"/>
        </w:rPr>
      </w:pPr>
      <w:r>
        <w:rPr>
          <w:rFonts w:hint="eastAsia" w:ascii="黑体" w:hAnsi="黑体" w:eastAsia="黑体"/>
          <w:sz w:val="18"/>
          <w:szCs w:val="18"/>
        </w:rPr>
        <w:t>注2：</w:t>
      </w:r>
      <w:r>
        <w:rPr>
          <w:rFonts w:hint="eastAsia"/>
          <w:sz w:val="18"/>
          <w:szCs w:val="18"/>
        </w:rPr>
        <w:t>初级数据可以是温室气体排放因子和（或）温室气体活动水平数据。</w:t>
      </w:r>
    </w:p>
    <w:p w14:paraId="6596C5C8">
      <w:pPr>
        <w:ind w:firstLine="420" w:firstLineChars="200"/>
      </w:pPr>
      <w:r>
        <w:rPr>
          <w:rFonts w:hint="eastAsia"/>
        </w:rPr>
        <w:t>[来源：</w:t>
      </w:r>
      <w:r>
        <w:t xml:space="preserve">GB/T </w:t>
      </w:r>
      <w:r>
        <w:rPr>
          <w:rFonts w:hint="eastAsia"/>
        </w:rPr>
        <w:t>24067-2024，3</w:t>
      </w:r>
      <w:r>
        <w:t>.6.1]</w:t>
      </w:r>
    </w:p>
    <w:p w14:paraId="1A693216">
      <w:pPr>
        <w:outlineLvl w:val="0"/>
        <w:rPr>
          <w:rFonts w:hint="eastAsia" w:ascii="黑体" w:hAnsi="黑体" w:eastAsia="黑体" w:cs="黑体"/>
          <w:szCs w:val="21"/>
        </w:rPr>
      </w:pPr>
      <w:bookmarkStart w:id="87" w:name="_Toc173931860"/>
      <w:bookmarkStart w:id="88" w:name="_Toc174232035"/>
      <w:bookmarkStart w:id="89" w:name="_Toc101106187"/>
      <w:bookmarkStart w:id="90" w:name="_Toc81755145"/>
      <w:r>
        <w:rPr>
          <w:rFonts w:ascii="黑体" w:hAnsi="黑体" w:eastAsia="黑体" w:cs="黑体"/>
          <w:szCs w:val="21"/>
        </w:rPr>
        <w:t>3.1</w:t>
      </w:r>
      <w:r>
        <w:rPr>
          <w:rFonts w:hint="eastAsia" w:ascii="黑体" w:hAnsi="黑体" w:eastAsia="黑体" w:cs="黑体"/>
          <w:szCs w:val="21"/>
        </w:rPr>
        <w:t>7</w:t>
      </w:r>
      <w:bookmarkEnd w:id="87"/>
      <w:bookmarkEnd w:id="88"/>
      <w:r>
        <w:rPr>
          <w:rFonts w:ascii="黑体" w:hAnsi="黑体" w:eastAsia="黑体" w:cs="黑体"/>
          <w:szCs w:val="21"/>
        </w:rPr>
        <w:t xml:space="preserve"> </w:t>
      </w:r>
    </w:p>
    <w:p w14:paraId="642E751A">
      <w:pPr>
        <w:ind w:firstLine="420" w:firstLineChars="200"/>
        <w:outlineLvl w:val="0"/>
        <w:rPr>
          <w:rFonts w:hint="eastAsia" w:ascii="黑体" w:hAnsi="黑体" w:eastAsia="黑体" w:cs="黑体"/>
          <w:szCs w:val="21"/>
        </w:rPr>
      </w:pPr>
      <w:bookmarkStart w:id="91" w:name="_Toc174232036"/>
      <w:bookmarkStart w:id="92" w:name="_Toc173931861"/>
      <w:r>
        <w:rPr>
          <w:rFonts w:hint="eastAsia" w:ascii="黑体" w:hAnsi="黑体" w:eastAsia="黑体" w:cs="黑体"/>
          <w:szCs w:val="21"/>
        </w:rPr>
        <w:t>次级数据</w:t>
      </w:r>
      <w:r>
        <w:rPr>
          <w:rFonts w:ascii="黑体" w:hAnsi="黑体" w:eastAsia="黑体" w:cs="黑体"/>
          <w:szCs w:val="21"/>
        </w:rPr>
        <w:t xml:space="preserve"> secondary data</w:t>
      </w:r>
      <w:bookmarkEnd w:id="89"/>
      <w:bookmarkEnd w:id="90"/>
      <w:bookmarkEnd w:id="91"/>
      <w:bookmarkEnd w:id="92"/>
      <w:r>
        <w:rPr>
          <w:rFonts w:ascii="黑体" w:hAnsi="黑体" w:eastAsia="黑体" w:cs="黑体"/>
          <w:szCs w:val="21"/>
        </w:rPr>
        <w:t xml:space="preserve"> </w:t>
      </w:r>
    </w:p>
    <w:p w14:paraId="128FC51D">
      <w:pPr>
        <w:ind w:firstLine="420" w:firstLineChars="200"/>
      </w:pPr>
      <w:r>
        <w:rPr>
          <w:rFonts w:hint="eastAsia"/>
        </w:rPr>
        <w:t>不符合初级数据要求的数据。</w:t>
      </w:r>
    </w:p>
    <w:p w14:paraId="30899E83">
      <w:pPr>
        <w:ind w:firstLine="360" w:firstLineChars="200"/>
        <w:rPr>
          <w:sz w:val="18"/>
          <w:szCs w:val="18"/>
        </w:rPr>
      </w:pPr>
      <w:r>
        <w:rPr>
          <w:rFonts w:hint="eastAsia" w:ascii="黑体" w:hAnsi="黑体" w:eastAsia="黑体"/>
          <w:sz w:val="18"/>
          <w:szCs w:val="18"/>
        </w:rPr>
        <w:t>注1：</w:t>
      </w:r>
      <w:r>
        <w:rPr>
          <w:rFonts w:hint="eastAsia"/>
          <w:sz w:val="18"/>
          <w:szCs w:val="18"/>
        </w:rPr>
        <w:t>次级数据可包括来自数据库和已发表文献的数据、来自国家清单的默认排放因子、计算数据、估计数据或其他经主管部门验证的代表性数据。</w:t>
      </w:r>
    </w:p>
    <w:p w14:paraId="2A92CB2D">
      <w:pPr>
        <w:ind w:firstLine="360" w:firstLineChars="200"/>
        <w:rPr>
          <w:sz w:val="18"/>
          <w:szCs w:val="18"/>
        </w:rPr>
      </w:pPr>
      <w:r>
        <w:rPr>
          <w:rFonts w:hint="eastAsia" w:ascii="黑体" w:hAnsi="黑体" w:eastAsia="黑体"/>
          <w:sz w:val="18"/>
          <w:szCs w:val="18"/>
        </w:rPr>
        <w:t>注2：</w:t>
      </w:r>
      <w:r>
        <w:rPr>
          <w:rFonts w:hint="eastAsia"/>
          <w:sz w:val="18"/>
          <w:szCs w:val="18"/>
        </w:rPr>
        <w:t>次级数据也可以是类似过程或估算获得的数据。</w:t>
      </w:r>
    </w:p>
    <w:p w14:paraId="654F526A">
      <w:pPr>
        <w:ind w:firstLine="420" w:firstLineChars="200"/>
      </w:pPr>
      <w:r>
        <w:rPr>
          <w:rFonts w:hint="eastAsia"/>
        </w:rPr>
        <w:t>[来源：</w:t>
      </w:r>
      <w:r>
        <w:t xml:space="preserve">GB/T </w:t>
      </w:r>
      <w:r>
        <w:rPr>
          <w:rFonts w:hint="eastAsia"/>
        </w:rPr>
        <w:t>24067-2024，3</w:t>
      </w:r>
      <w:r>
        <w:t>.6.3]</w:t>
      </w:r>
    </w:p>
    <w:p w14:paraId="616B2E8B">
      <w:pPr>
        <w:outlineLvl w:val="0"/>
        <w:rPr>
          <w:rFonts w:hint="eastAsia" w:ascii="黑体" w:hAnsi="黑体" w:eastAsia="黑体" w:cs="黑体"/>
          <w:szCs w:val="21"/>
        </w:rPr>
      </w:pPr>
      <w:bookmarkStart w:id="93" w:name="_Toc173931862"/>
      <w:bookmarkStart w:id="94" w:name="_Toc174232037"/>
      <w:r>
        <w:rPr>
          <w:rFonts w:hint="eastAsia" w:ascii="黑体" w:hAnsi="黑体" w:eastAsia="黑体" w:cs="黑体"/>
          <w:szCs w:val="21"/>
        </w:rPr>
        <w:t>3.18</w:t>
      </w:r>
      <w:bookmarkEnd w:id="93"/>
      <w:bookmarkEnd w:id="94"/>
      <w:r>
        <w:rPr>
          <w:rFonts w:hint="eastAsia" w:ascii="黑体" w:hAnsi="黑体" w:eastAsia="黑体" w:cs="黑体"/>
          <w:szCs w:val="21"/>
        </w:rPr>
        <w:t xml:space="preserve"> </w:t>
      </w:r>
    </w:p>
    <w:p w14:paraId="67E580E1">
      <w:pPr>
        <w:ind w:firstLine="420" w:firstLineChars="200"/>
        <w:outlineLvl w:val="0"/>
        <w:rPr>
          <w:rFonts w:hint="eastAsia" w:ascii="黑体" w:hAnsi="黑体" w:eastAsia="黑体" w:cs="黑体"/>
        </w:rPr>
      </w:pPr>
      <w:bookmarkStart w:id="95" w:name="_Toc173931863"/>
      <w:bookmarkStart w:id="96" w:name="_Toc174232038"/>
      <w:r>
        <w:rPr>
          <w:rFonts w:hint="eastAsia" w:ascii="黑体" w:hAnsi="黑体" w:eastAsia="黑体" w:cs="黑体"/>
        </w:rPr>
        <w:t>现场数据 site-specific</w:t>
      </w:r>
      <w:r>
        <w:rPr>
          <w:rFonts w:ascii="黑体" w:hAnsi="黑体" w:eastAsia="黑体" w:cs="黑体"/>
        </w:rPr>
        <w:t xml:space="preserve"> </w:t>
      </w:r>
      <w:r>
        <w:rPr>
          <w:rFonts w:hint="eastAsia" w:ascii="黑体" w:hAnsi="黑体" w:eastAsia="黑体" w:cs="黑体"/>
        </w:rPr>
        <w:t>data</w:t>
      </w:r>
      <w:bookmarkEnd w:id="95"/>
      <w:bookmarkEnd w:id="96"/>
    </w:p>
    <w:p w14:paraId="421F8C48">
      <w:pPr>
        <w:pStyle w:val="61"/>
        <w:rPr>
          <w:rFonts w:hint="eastAsia"/>
        </w:rPr>
      </w:pPr>
      <w:r>
        <w:rPr>
          <w:rFonts w:hint="eastAsia"/>
        </w:rPr>
        <w:t>从产品系统内部获得的初级数据。</w:t>
      </w:r>
    </w:p>
    <w:p w14:paraId="77057DE1">
      <w:pPr>
        <w:pStyle w:val="61"/>
        <w:ind w:firstLine="360"/>
        <w:rPr>
          <w:rFonts w:hint="eastAsia"/>
          <w:sz w:val="18"/>
          <w:szCs w:val="18"/>
        </w:rPr>
      </w:pPr>
      <w:r>
        <w:rPr>
          <w:rFonts w:hint="eastAsia" w:ascii="黑体" w:hAnsi="黑体" w:eastAsia="黑体"/>
          <w:sz w:val="18"/>
          <w:szCs w:val="18"/>
        </w:rPr>
        <w:t>注1：</w:t>
      </w:r>
      <w:r>
        <w:rPr>
          <w:rFonts w:hint="eastAsia"/>
          <w:sz w:val="18"/>
          <w:szCs w:val="18"/>
        </w:rPr>
        <w:t>所有现场数据均为初级数据，但并不是所有初级数据都是现场数据，因为数据可能是从不同产品系统内部获得。</w:t>
      </w:r>
    </w:p>
    <w:p w14:paraId="6CF96ABD">
      <w:pPr>
        <w:pStyle w:val="61"/>
        <w:ind w:firstLine="360"/>
        <w:rPr>
          <w:rFonts w:hint="eastAsia"/>
          <w:sz w:val="18"/>
          <w:szCs w:val="18"/>
        </w:rPr>
      </w:pPr>
      <w:r>
        <w:rPr>
          <w:rFonts w:hint="eastAsia" w:ascii="黑体" w:hAnsi="黑体" w:eastAsia="黑体"/>
          <w:sz w:val="18"/>
          <w:szCs w:val="18"/>
        </w:rPr>
        <w:t>注2：</w:t>
      </w:r>
      <w:r>
        <w:rPr>
          <w:rFonts w:hint="eastAsia"/>
          <w:sz w:val="18"/>
          <w:szCs w:val="18"/>
        </w:rPr>
        <w:t>现场数据包括场地内一个特定单元过程的温室气体排放量（3.1.2.5）和温室气体清除量。</w:t>
      </w:r>
    </w:p>
    <w:p w14:paraId="6A067F18">
      <w:pPr>
        <w:ind w:firstLine="420" w:firstLineChars="200"/>
      </w:pPr>
      <w:r>
        <w:rPr>
          <w:rFonts w:hint="eastAsia"/>
        </w:rPr>
        <w:t>[来源：</w:t>
      </w:r>
      <w:r>
        <w:t xml:space="preserve">GB/T </w:t>
      </w:r>
      <w:r>
        <w:rPr>
          <w:rFonts w:hint="eastAsia"/>
        </w:rPr>
        <w:t>24067-2024，3</w:t>
      </w:r>
      <w:r>
        <w:t>.6.</w:t>
      </w:r>
      <w:r>
        <w:rPr>
          <w:rFonts w:hint="eastAsia"/>
        </w:rPr>
        <w:t>2</w:t>
      </w:r>
      <w:r>
        <w:t>]</w:t>
      </w:r>
    </w:p>
    <w:p w14:paraId="3780BE89">
      <w:pPr>
        <w:outlineLvl w:val="0"/>
        <w:rPr>
          <w:rFonts w:hint="eastAsia" w:ascii="黑体" w:hAnsi="黑体" w:eastAsia="黑体" w:cs="黑体"/>
          <w:szCs w:val="21"/>
        </w:rPr>
      </w:pPr>
      <w:bookmarkStart w:id="97" w:name="_Toc173931864"/>
      <w:bookmarkStart w:id="98" w:name="_Toc174232039"/>
      <w:r>
        <w:rPr>
          <w:rFonts w:hint="eastAsia" w:ascii="黑体" w:hAnsi="黑体" w:eastAsia="黑体" w:cs="黑体"/>
          <w:szCs w:val="21"/>
        </w:rPr>
        <w:t>3.19</w:t>
      </w:r>
      <w:bookmarkEnd w:id="97"/>
      <w:bookmarkEnd w:id="98"/>
      <w:r>
        <w:rPr>
          <w:rFonts w:hint="eastAsia" w:ascii="黑体" w:hAnsi="黑体" w:eastAsia="黑体" w:cs="黑体"/>
          <w:szCs w:val="21"/>
        </w:rPr>
        <w:t xml:space="preserve"> </w:t>
      </w:r>
    </w:p>
    <w:p w14:paraId="611A5A92">
      <w:pPr>
        <w:ind w:firstLine="420" w:firstLineChars="200"/>
        <w:outlineLvl w:val="0"/>
        <w:rPr>
          <w:rFonts w:hint="eastAsia" w:ascii="黑体" w:hAnsi="黑体" w:eastAsia="黑体" w:cs="黑体"/>
        </w:rPr>
      </w:pPr>
      <w:bookmarkStart w:id="99" w:name="_Toc173931865"/>
      <w:bookmarkStart w:id="100" w:name="_Toc174232040"/>
      <w:r>
        <w:rPr>
          <w:rFonts w:hint="eastAsia" w:ascii="黑体" w:hAnsi="黑体" w:eastAsia="黑体" w:cs="黑体"/>
        </w:rPr>
        <w:t>背景数据 bac</w:t>
      </w:r>
      <w:r>
        <w:rPr>
          <w:rFonts w:ascii="黑体" w:hAnsi="黑体" w:eastAsia="黑体" w:cs="黑体"/>
        </w:rPr>
        <w:t>kground data</w:t>
      </w:r>
      <w:bookmarkEnd w:id="99"/>
      <w:bookmarkEnd w:id="100"/>
    </w:p>
    <w:p w14:paraId="63E19DAF">
      <w:pPr>
        <w:pStyle w:val="61"/>
        <w:ind w:firstLine="0" w:firstLineChars="0"/>
        <w:rPr>
          <w:rFonts w:hint="eastAsia"/>
        </w:rPr>
      </w:pPr>
      <w:r>
        <w:rPr>
          <w:rFonts w:hint="eastAsia"/>
        </w:rPr>
        <w:t xml:space="preserve"> </w:t>
      </w:r>
      <w:r>
        <w:t xml:space="preserve"> </w:t>
      </w:r>
      <w:r>
        <w:rPr>
          <w:rFonts w:hint="eastAsia"/>
        </w:rPr>
        <w:t xml:space="preserve">  报告企业现场特征数据之外的数据，包括原辅材料、能源、服务的生命周期清单数据。背景数据可以是初级数据，也可以是次级数据。</w:t>
      </w:r>
    </w:p>
    <w:p w14:paraId="03CAE468">
      <w:pPr>
        <w:outlineLvl w:val="0"/>
        <w:rPr>
          <w:rFonts w:hint="eastAsia" w:ascii="黑体" w:hAnsi="黑体" w:eastAsia="黑体" w:cs="黑体"/>
        </w:rPr>
      </w:pPr>
      <w:bookmarkStart w:id="101" w:name="_Toc173931866"/>
      <w:bookmarkStart w:id="102" w:name="_Toc174232041"/>
      <w:r>
        <w:rPr>
          <w:rFonts w:hint="eastAsia" w:ascii="黑体" w:hAnsi="黑体" w:eastAsia="黑体" w:cs="黑体"/>
        </w:rPr>
        <w:t>3.20</w:t>
      </w:r>
      <w:bookmarkEnd w:id="101"/>
      <w:bookmarkEnd w:id="102"/>
    </w:p>
    <w:p w14:paraId="19A9105F">
      <w:pPr>
        <w:ind w:firstLine="420" w:firstLineChars="200"/>
        <w:outlineLvl w:val="0"/>
        <w:rPr>
          <w:rFonts w:hint="eastAsia" w:ascii="黑体" w:hAnsi="黑体" w:eastAsia="黑体" w:cs="黑体"/>
        </w:rPr>
      </w:pPr>
      <w:bookmarkStart w:id="103" w:name="_Toc173931867"/>
      <w:bookmarkStart w:id="104" w:name="_Toc174232042"/>
      <w:r>
        <w:rPr>
          <w:rFonts w:hint="eastAsia" w:ascii="黑体" w:hAnsi="黑体" w:eastAsia="黑体" w:cs="黑体"/>
        </w:rPr>
        <w:t>取舍准则  cut-off criteria</w:t>
      </w:r>
      <w:bookmarkEnd w:id="103"/>
      <w:bookmarkEnd w:id="104"/>
    </w:p>
    <w:p w14:paraId="05E5D4E5">
      <w:pPr>
        <w:pStyle w:val="61"/>
        <w:rPr>
          <w:rFonts w:ascii="Times New Roman" w:hAnsi="Times New Roman"/>
          <w:kern w:val="2"/>
          <w:szCs w:val="24"/>
        </w:rPr>
      </w:pPr>
      <w:bookmarkStart w:id="105" w:name="_Toc29793"/>
      <w:bookmarkStart w:id="106" w:name="_Toc8583"/>
      <w:bookmarkStart w:id="107" w:name="_Toc28567"/>
      <w:r>
        <w:rPr>
          <w:rFonts w:hint="eastAsia"/>
        </w:rPr>
        <w:t>对与单位过程或产品系统相关的物质和能量流的数量或环境影响重要性程度是否被排</w:t>
      </w:r>
      <w:r>
        <w:rPr>
          <w:rFonts w:hint="eastAsia" w:ascii="Times New Roman" w:hAnsi="Times New Roman"/>
          <w:kern w:val="2"/>
          <w:szCs w:val="24"/>
        </w:rPr>
        <w:t>除在研究范</w:t>
      </w:r>
      <w:r>
        <w:rPr>
          <w:rFonts w:ascii="Times New Roman" w:hAnsi="Times New Roman"/>
          <w:kern w:val="2"/>
          <w:szCs w:val="24"/>
        </w:rPr>
        <w:t>围之外所做出的规定。</w:t>
      </w:r>
      <w:bookmarkEnd w:id="105"/>
      <w:bookmarkEnd w:id="106"/>
      <w:bookmarkEnd w:id="107"/>
    </w:p>
    <w:p w14:paraId="5D251A80">
      <w:pPr>
        <w:pStyle w:val="61"/>
        <w:rPr>
          <w:rFonts w:hint="eastAsia"/>
        </w:rPr>
      </w:pPr>
      <w:bookmarkStart w:id="108" w:name="_Toc17229"/>
      <w:bookmarkStart w:id="109" w:name="_Toc7705"/>
      <w:bookmarkStart w:id="110" w:name="_Toc1142"/>
      <w:r>
        <w:rPr>
          <w:rFonts w:ascii="Times New Roman" w:hAnsi="Times New Roman"/>
        </w:rPr>
        <w:t>[来源：GB/T 24040-20</w:t>
      </w:r>
      <w:r>
        <w:rPr>
          <w:rFonts w:hint="eastAsia" w:ascii="Times New Roman" w:hAnsi="Times New Roman"/>
          <w:lang w:val="en-US" w:eastAsia="zh-CN"/>
        </w:rPr>
        <w:t>0</w:t>
      </w:r>
      <w:r>
        <w:rPr>
          <w:rFonts w:ascii="Times New Roman" w:hAnsi="Times New Roman"/>
        </w:rPr>
        <w:t>8 ，3.18]</w:t>
      </w:r>
      <w:bookmarkEnd w:id="108"/>
      <w:bookmarkEnd w:id="109"/>
      <w:bookmarkEnd w:id="110"/>
    </w:p>
    <w:p w14:paraId="3B0A3A54">
      <w:pPr>
        <w:pStyle w:val="61"/>
        <w:ind w:firstLine="0" w:firstLineChars="0"/>
        <w:rPr>
          <w:rFonts w:hint="eastAsia" w:ascii="黑体" w:hAnsi="黑体" w:eastAsia="黑体" w:cs="黑体"/>
        </w:rPr>
      </w:pPr>
      <w:bookmarkStart w:id="111" w:name="_Toc101106189"/>
      <w:bookmarkStart w:id="112" w:name="_Toc81755147"/>
      <w:r>
        <w:rPr>
          <w:rFonts w:hint="eastAsia" w:ascii="黑体" w:hAnsi="黑体" w:eastAsia="黑体" w:cs="黑体"/>
        </w:rPr>
        <w:t>3.21</w:t>
      </w:r>
    </w:p>
    <w:p w14:paraId="126C8115">
      <w:pPr>
        <w:pStyle w:val="61"/>
        <w:rPr>
          <w:rFonts w:hint="eastAsia" w:ascii="黑体" w:hAnsi="黑体" w:eastAsia="黑体" w:cs="黑体"/>
        </w:rPr>
      </w:pPr>
      <w:r>
        <w:rPr>
          <w:rFonts w:hint="eastAsia" w:ascii="黑体" w:hAnsi="黑体" w:eastAsia="黑体" w:cs="黑体"/>
        </w:rPr>
        <w:t>生命周期</w:t>
      </w:r>
      <w:r>
        <w:rPr>
          <w:rFonts w:ascii="黑体" w:hAnsi="黑体" w:eastAsia="黑体" w:cs="黑体"/>
        </w:rPr>
        <w:t xml:space="preserve"> life cycle </w:t>
      </w:r>
    </w:p>
    <w:p w14:paraId="67A0D0ED">
      <w:pPr>
        <w:pStyle w:val="61"/>
        <w:rPr>
          <w:rFonts w:hint="eastAsia"/>
        </w:rPr>
      </w:pPr>
      <w:r>
        <w:t xml:space="preserve">产品相关的连续且相互连接的阶段，包括原材料获取或从自然资源中生成原材料至生命末期处理。 </w:t>
      </w:r>
    </w:p>
    <w:p w14:paraId="7FA7EA34">
      <w:pPr>
        <w:pStyle w:val="61"/>
        <w:ind w:firstLine="360"/>
        <w:rPr>
          <w:rFonts w:hint="eastAsia" w:ascii="黑体" w:hAnsi="黑体" w:eastAsia="黑体"/>
          <w:sz w:val="18"/>
          <w:szCs w:val="18"/>
        </w:rPr>
      </w:pPr>
      <w:r>
        <w:rPr>
          <w:rFonts w:hint="eastAsia" w:ascii="黑体" w:hAnsi="黑体" w:eastAsia="黑体"/>
          <w:sz w:val="18"/>
          <w:szCs w:val="18"/>
        </w:rPr>
        <w:t>注1：</w:t>
      </w:r>
      <w:r>
        <w:rPr>
          <w:rFonts w:hint="eastAsia"/>
          <w:sz w:val="18"/>
          <w:szCs w:val="18"/>
        </w:rPr>
        <w:t>与产品相关的生命周期阶段包括原材料获取、生产、销售、使用和生命末期处理。</w:t>
      </w:r>
    </w:p>
    <w:p w14:paraId="1F7C0D2F">
      <w:pPr>
        <w:pStyle w:val="61"/>
        <w:ind w:firstLine="360"/>
        <w:rPr>
          <w:rFonts w:hint="eastAsia" w:ascii="黑体" w:hAnsi="黑体" w:eastAsia="黑体"/>
          <w:sz w:val="18"/>
          <w:szCs w:val="18"/>
        </w:rPr>
      </w:pPr>
      <w:r>
        <w:rPr>
          <w:rFonts w:hint="eastAsia" w:ascii="黑体" w:hAnsi="黑体" w:eastAsia="黑体"/>
          <w:sz w:val="18"/>
          <w:szCs w:val="18"/>
        </w:rPr>
        <w:t>注2：</w:t>
      </w:r>
      <w:r>
        <w:rPr>
          <w:rFonts w:hint="eastAsia"/>
          <w:sz w:val="18"/>
          <w:szCs w:val="18"/>
        </w:rPr>
        <w:t>本文件中</w:t>
      </w:r>
      <w:r>
        <w:rPr>
          <w:rFonts w:hint="eastAsia"/>
          <w:sz w:val="18"/>
          <w:szCs w:val="18"/>
          <w:lang w:eastAsia="zh-CN"/>
        </w:rPr>
        <w:t>锡</w:t>
      </w:r>
      <w:r>
        <w:rPr>
          <w:rFonts w:hint="eastAsia"/>
          <w:sz w:val="18"/>
          <w:szCs w:val="18"/>
        </w:rPr>
        <w:t>锭产品的生命周期阶段主要涵盖原材料获取和生产阶段。</w:t>
      </w:r>
      <w:r>
        <w:rPr>
          <w:rFonts w:hint="eastAsia" w:ascii="黑体" w:hAnsi="黑体" w:eastAsia="黑体"/>
          <w:sz w:val="18"/>
          <w:szCs w:val="18"/>
        </w:rPr>
        <w:t xml:space="preserve"> </w:t>
      </w:r>
    </w:p>
    <w:p w14:paraId="75128BED">
      <w:pPr>
        <w:pStyle w:val="61"/>
        <w:rPr>
          <w:rFonts w:hAnsi="Times New Roman"/>
        </w:rPr>
      </w:pPr>
      <w:r>
        <w:t>[来源</w:t>
      </w:r>
      <w:r>
        <w:rPr>
          <w:rFonts w:ascii="Times New Roman" w:hAnsi="Times New Roman"/>
        </w:rPr>
        <w:t>：GB/T 24044-2008，3.1，</w:t>
      </w:r>
      <w:r>
        <w:t>有修改]</w:t>
      </w:r>
    </w:p>
    <w:p w14:paraId="4B0FBB38">
      <w:pPr>
        <w:pStyle w:val="61"/>
        <w:ind w:firstLine="0" w:firstLineChars="0"/>
        <w:rPr>
          <w:rFonts w:hint="eastAsia" w:ascii="黑体" w:hAnsi="黑体" w:eastAsia="黑体" w:cs="黑体"/>
        </w:rPr>
      </w:pPr>
      <w:r>
        <w:rPr>
          <w:rFonts w:ascii="黑体" w:hAnsi="黑体" w:eastAsia="黑体" w:cs="黑体"/>
        </w:rPr>
        <w:t>3.2</w:t>
      </w:r>
      <w:r>
        <w:rPr>
          <w:rFonts w:hint="eastAsia" w:ascii="黑体" w:hAnsi="黑体" w:eastAsia="黑体" w:cs="黑体"/>
        </w:rPr>
        <w:t>2</w:t>
      </w:r>
    </w:p>
    <w:p w14:paraId="358E3ECB">
      <w:pPr>
        <w:pStyle w:val="61"/>
        <w:rPr>
          <w:rFonts w:hint="eastAsia" w:ascii="黑体" w:hAnsi="黑体" w:eastAsia="黑体" w:cs="黑体"/>
        </w:rPr>
      </w:pPr>
      <w:r>
        <w:rPr>
          <w:rFonts w:hint="eastAsia" w:ascii="黑体" w:hAnsi="黑体" w:eastAsia="黑体" w:cs="黑体"/>
        </w:rPr>
        <w:t xml:space="preserve">生命周期评价  </w:t>
      </w:r>
      <w:r>
        <w:rPr>
          <w:rFonts w:ascii="黑体" w:hAnsi="黑体" w:eastAsia="黑体" w:cs="黑体"/>
        </w:rPr>
        <w:t>life cycle assessment</w:t>
      </w:r>
      <w:r>
        <w:rPr>
          <w:rFonts w:hint="eastAsia" w:ascii="黑体" w:hAnsi="黑体" w:eastAsia="黑体" w:cs="黑体"/>
        </w:rPr>
        <w:t>（LCA）</w:t>
      </w:r>
    </w:p>
    <w:p w14:paraId="2D0BB75B">
      <w:pPr>
        <w:pStyle w:val="61"/>
        <w:rPr>
          <w:rFonts w:hint="eastAsia"/>
        </w:rPr>
      </w:pPr>
      <w:r>
        <w:t xml:space="preserve">一个产品系统在其整个生命周期内的输入、输出和潜在环境影响的汇编与评估。 </w:t>
      </w:r>
    </w:p>
    <w:p w14:paraId="3585EE15">
      <w:pPr>
        <w:pStyle w:val="61"/>
        <w:ind w:firstLine="360"/>
        <w:rPr>
          <w:rFonts w:hint="eastAsia"/>
          <w:sz w:val="18"/>
          <w:szCs w:val="18"/>
        </w:rPr>
      </w:pPr>
      <w:r>
        <w:rPr>
          <w:rFonts w:ascii="黑体" w:hAnsi="黑体" w:eastAsia="黑体"/>
          <w:sz w:val="18"/>
          <w:szCs w:val="18"/>
        </w:rPr>
        <w:t>注：</w:t>
      </w:r>
      <w:r>
        <w:rPr>
          <w:sz w:val="18"/>
          <w:szCs w:val="18"/>
        </w:rPr>
        <w:t xml:space="preserve">“环境影响”的定义请参见 GB/T 24001-2016, 3.2.4。 </w:t>
      </w:r>
    </w:p>
    <w:p w14:paraId="6E0B752A">
      <w:pPr>
        <w:pStyle w:val="61"/>
        <w:rPr>
          <w:rFonts w:hint="eastAsia"/>
        </w:rPr>
      </w:pPr>
      <w:r>
        <w:t>[来源</w:t>
      </w:r>
      <w:r>
        <w:rPr>
          <w:rFonts w:ascii="Times New Roman" w:hAnsi="Times New Roman"/>
        </w:rPr>
        <w:t>：GB/T 24044-2008，3.2</w:t>
      </w:r>
      <w:r>
        <w:t>，有修改]</w:t>
      </w:r>
    </w:p>
    <w:p w14:paraId="2FECF64F">
      <w:pPr>
        <w:spacing w:before="312" w:beforeLines="100" w:after="312" w:afterLines="100"/>
        <w:outlineLvl w:val="0"/>
        <w:rPr>
          <w:rFonts w:hint="eastAsia" w:ascii="黑体" w:hAnsi="黑体" w:eastAsia="黑体" w:cs="黑体"/>
          <w:bCs/>
        </w:rPr>
      </w:pPr>
      <w:bookmarkStart w:id="113" w:name="_Toc174232043"/>
      <w:r>
        <w:rPr>
          <w:rFonts w:hint="eastAsia" w:ascii="黑体" w:hAnsi="黑体" w:eastAsia="黑体" w:cs="黑体"/>
          <w:bCs/>
        </w:rPr>
        <w:t>4</w:t>
      </w:r>
      <w:r>
        <w:rPr>
          <w:rFonts w:ascii="黑体" w:hAnsi="黑体" w:eastAsia="黑体" w:cs="黑体"/>
          <w:bCs/>
        </w:rPr>
        <w:t xml:space="preserve"> </w:t>
      </w:r>
      <w:r>
        <w:rPr>
          <w:rFonts w:hint="eastAsia" w:ascii="黑体" w:hAnsi="黑体" w:eastAsia="黑体" w:cs="黑体"/>
          <w:bCs/>
        </w:rPr>
        <w:t xml:space="preserve"> 量化目的</w:t>
      </w:r>
      <w:bookmarkEnd w:id="113"/>
    </w:p>
    <w:p w14:paraId="30B2070C">
      <w:pPr>
        <w:ind w:firstLine="420" w:firstLineChars="200"/>
      </w:pPr>
      <w:r>
        <w:rPr>
          <w:rFonts w:hint="eastAsia"/>
        </w:rPr>
        <w:t>开展产品碳足迹研究的总体目的是结合取舍准则（见5.2.</w:t>
      </w:r>
      <w:r>
        <w:rPr>
          <w:rFonts w:hint="eastAsia"/>
          <w:lang w:val="en-US" w:eastAsia="zh-CN"/>
        </w:rPr>
        <w:t>4</w:t>
      </w:r>
      <w:r>
        <w:rPr>
          <w:rFonts w:hint="eastAsia"/>
        </w:rPr>
        <w:t>），通过量化产品生命周期或选定过程的所有显著的GHG排放量和清除量，计算产品对全球变暖的潜在影响〔以二氧化碳当量（CO</w:t>
      </w:r>
      <w:r>
        <w:rPr>
          <w:rFonts w:hint="eastAsia"/>
          <w:vertAlign w:val="subscript"/>
        </w:rPr>
        <w:t>2e</w:t>
      </w:r>
      <w:r>
        <w:rPr>
          <w:rFonts w:hint="eastAsia"/>
        </w:rPr>
        <w:t>）表示〕。</w:t>
      </w:r>
    </w:p>
    <w:p w14:paraId="38C522BD">
      <w:pPr>
        <w:ind w:left="424" w:leftChars="202"/>
        <w:rPr>
          <w:sz w:val="18"/>
          <w:szCs w:val="18"/>
        </w:rPr>
      </w:pPr>
      <w:r>
        <w:rPr>
          <w:rFonts w:hint="eastAsia" w:ascii="黑体" w:hAnsi="黑体" w:eastAsia="黑体"/>
          <w:sz w:val="18"/>
          <w:szCs w:val="18"/>
        </w:rPr>
        <w:t>注1</w:t>
      </w:r>
      <w:r>
        <w:rPr>
          <w:rFonts w:hint="eastAsia"/>
          <w:sz w:val="18"/>
          <w:szCs w:val="18"/>
        </w:rPr>
        <w:t>：产品碳足迹量化可支持相关方完成一系列的目的和应用，包括但不限于独立研究、比较研究和长期绩效追踪。</w:t>
      </w:r>
    </w:p>
    <w:p w14:paraId="7DD27C28">
      <w:pPr>
        <w:ind w:firstLine="420" w:firstLineChars="200"/>
      </w:pPr>
      <w:r>
        <w:rPr>
          <w:rFonts w:hint="eastAsia"/>
        </w:rPr>
        <w:t>在确定产品碳足迹研究目的时，应明确说明以下问题：</w:t>
      </w:r>
    </w:p>
    <w:p w14:paraId="0EF20006">
      <w:pPr>
        <w:ind w:firstLine="420" w:firstLineChars="200"/>
      </w:pPr>
      <w:r>
        <w:rPr>
          <w:rFonts w:hint="eastAsia"/>
        </w:rPr>
        <w:t>——应用意图；</w:t>
      </w:r>
    </w:p>
    <w:p w14:paraId="57EE2828">
      <w:pPr>
        <w:ind w:firstLine="420" w:firstLineChars="200"/>
      </w:pPr>
      <w:r>
        <w:rPr>
          <w:rFonts w:hint="eastAsia"/>
        </w:rPr>
        <w:t xml:space="preserve">——开展该项研究的理由； </w:t>
      </w:r>
    </w:p>
    <w:p w14:paraId="66876936">
      <w:pPr>
        <w:ind w:firstLine="420" w:firstLineChars="200"/>
      </w:pPr>
      <w:r>
        <w:rPr>
          <w:rFonts w:hint="eastAsia"/>
        </w:rPr>
        <w:t>——目标受众（即研究结果的接收者）；</w:t>
      </w:r>
    </w:p>
    <w:p w14:paraId="73DC1EEC">
      <w:pPr>
        <w:ind w:firstLine="420" w:firstLineChars="200"/>
      </w:pPr>
      <w:r>
        <w:rPr>
          <w:rFonts w:hint="eastAsia"/>
        </w:rPr>
        <w:t>——符合ISO 14026要求，计划交流的产品碳足迹或产品部分碳足迹的信息（如有）。</w:t>
      </w:r>
    </w:p>
    <w:p w14:paraId="5E9B298F">
      <w:pPr>
        <w:ind w:firstLine="360" w:firstLineChars="200"/>
      </w:pPr>
      <w:r>
        <w:rPr>
          <w:rFonts w:hint="eastAsia" w:ascii="黑体" w:hAnsi="黑体" w:eastAsia="黑体"/>
          <w:sz w:val="18"/>
          <w:szCs w:val="18"/>
        </w:rPr>
        <w:t>注2</w:t>
      </w:r>
      <w:r>
        <w:rPr>
          <w:rFonts w:hint="eastAsia"/>
          <w:sz w:val="18"/>
          <w:szCs w:val="18"/>
        </w:rPr>
        <w:t>：本条款改编自</w:t>
      </w:r>
      <w:r>
        <w:rPr>
          <w:sz w:val="18"/>
          <w:szCs w:val="18"/>
        </w:rPr>
        <w:t xml:space="preserve"> GB/T 24044-2008</w:t>
      </w:r>
      <w:r>
        <w:rPr>
          <w:rFonts w:hint="eastAsia"/>
          <w:sz w:val="18"/>
          <w:szCs w:val="18"/>
        </w:rPr>
        <w:t>，</w:t>
      </w:r>
      <w:r>
        <w:rPr>
          <w:sz w:val="18"/>
          <w:szCs w:val="18"/>
        </w:rPr>
        <w:t>4.2.2</w:t>
      </w:r>
      <w:r>
        <w:rPr>
          <w:rFonts w:hint="eastAsia"/>
          <w:sz w:val="18"/>
          <w:szCs w:val="18"/>
        </w:rPr>
        <w:t>。</w:t>
      </w:r>
    </w:p>
    <w:p w14:paraId="01964D76">
      <w:pPr>
        <w:spacing w:before="312" w:beforeLines="100" w:after="312" w:afterLines="100"/>
        <w:outlineLvl w:val="0"/>
        <w:rPr>
          <w:rFonts w:hint="eastAsia" w:ascii="黑体" w:hAnsi="黑体" w:eastAsia="黑体" w:cs="黑体"/>
          <w:bCs/>
        </w:rPr>
      </w:pPr>
      <w:bookmarkStart w:id="114" w:name="_Toc174232044"/>
      <w:r>
        <w:rPr>
          <w:rFonts w:hint="eastAsia" w:ascii="黑体" w:hAnsi="黑体" w:eastAsia="黑体" w:cs="黑体"/>
          <w:bCs/>
        </w:rPr>
        <w:t xml:space="preserve">5 </w:t>
      </w:r>
      <w:bookmarkEnd w:id="111"/>
      <w:bookmarkEnd w:id="112"/>
      <w:r>
        <w:rPr>
          <w:rFonts w:hint="eastAsia" w:ascii="黑体" w:hAnsi="黑体" w:eastAsia="黑体" w:cs="黑体"/>
          <w:bCs/>
        </w:rPr>
        <w:t xml:space="preserve"> 量化范围</w:t>
      </w:r>
      <w:bookmarkEnd w:id="114"/>
    </w:p>
    <w:p w14:paraId="0290C099">
      <w:pPr>
        <w:pStyle w:val="61"/>
        <w:ind w:firstLine="0" w:firstLineChars="0"/>
        <w:outlineLvl w:val="1"/>
        <w:rPr>
          <w:rFonts w:hint="eastAsia" w:ascii="黑体" w:hAnsi="黑体" w:eastAsia="黑体" w:cs="黑体"/>
        </w:rPr>
      </w:pPr>
      <w:bookmarkStart w:id="115" w:name="_Toc81755148"/>
      <w:bookmarkStart w:id="116" w:name="_Toc101106190"/>
      <w:bookmarkStart w:id="117" w:name="_Toc174232045"/>
      <w:r>
        <w:rPr>
          <w:rFonts w:hint="eastAsia" w:ascii="黑体" w:hAnsi="黑体" w:eastAsia="黑体" w:cs="黑体"/>
        </w:rPr>
        <w:t>5</w:t>
      </w:r>
      <w:r>
        <w:rPr>
          <w:rFonts w:ascii="黑体" w:hAnsi="黑体" w:eastAsia="黑体" w:cs="黑体"/>
        </w:rPr>
        <w:t xml:space="preserve">.1 </w:t>
      </w:r>
      <w:bookmarkEnd w:id="115"/>
      <w:bookmarkEnd w:id="116"/>
      <w:r>
        <w:rPr>
          <w:rFonts w:hint="eastAsia" w:ascii="黑体" w:hAnsi="黑体" w:eastAsia="黑体" w:cs="黑体"/>
        </w:rPr>
        <w:t xml:space="preserve"> 产品说明和声明单位</w:t>
      </w:r>
      <w:bookmarkEnd w:id="117"/>
    </w:p>
    <w:p w14:paraId="4619EAA7">
      <w:pPr>
        <w:pStyle w:val="61"/>
        <w:spacing w:before="156" w:beforeLines="50" w:after="156" w:afterLines="50"/>
        <w:ind w:firstLine="0" w:firstLineChars="0"/>
        <w:outlineLvl w:val="2"/>
        <w:rPr>
          <w:rFonts w:hint="eastAsia" w:ascii="黑体" w:hAnsi="黑体" w:eastAsia="黑体" w:cs="黑体"/>
        </w:rPr>
      </w:pPr>
      <w:bookmarkStart w:id="118" w:name="_Toc482371806"/>
      <w:r>
        <w:rPr>
          <w:rFonts w:hint="eastAsia" w:ascii="黑体" w:hAnsi="黑体" w:eastAsia="黑体" w:cs="黑体"/>
        </w:rPr>
        <w:t>5.1.1  产品说明</w:t>
      </w:r>
    </w:p>
    <w:p w14:paraId="0FF333CA">
      <w:pPr>
        <w:ind w:firstLine="420" w:firstLineChars="200"/>
        <w:rPr>
          <w:szCs w:val="21"/>
        </w:rPr>
      </w:pPr>
      <w:r>
        <w:rPr>
          <w:rFonts w:hint="eastAsia"/>
          <w:szCs w:val="21"/>
        </w:rPr>
        <w:t>产品描述应明确识别产品，</w:t>
      </w:r>
      <w:r>
        <w:rPr>
          <w:rFonts w:hint="eastAsia"/>
        </w:rPr>
        <w:t>可参照国家和行业相关标准</w:t>
      </w:r>
      <w:r>
        <w:t xml:space="preserve">GB/T </w:t>
      </w:r>
      <w:r>
        <w:rPr>
          <w:rFonts w:hint="eastAsia"/>
          <w:lang w:val="en-US" w:eastAsia="zh-CN"/>
        </w:rPr>
        <w:t>728</w:t>
      </w:r>
      <w:r>
        <w:rPr>
          <w:rFonts w:hint="eastAsia"/>
        </w:rPr>
        <w:t>、</w:t>
      </w:r>
      <w:r>
        <w:t>YS/ T 3</w:t>
      </w:r>
      <w:r>
        <w:rPr>
          <w:rFonts w:hint="eastAsia"/>
          <w:lang w:val="en-US" w:eastAsia="zh-CN"/>
        </w:rPr>
        <w:t>3</w:t>
      </w:r>
      <w:r>
        <w:t>9</w:t>
      </w:r>
      <w:r>
        <w:rPr>
          <w:rFonts w:hint="eastAsia"/>
        </w:rPr>
        <w:t>要求进行描述</w:t>
      </w:r>
      <w:r>
        <w:rPr>
          <w:rFonts w:hint="eastAsia"/>
          <w:szCs w:val="21"/>
        </w:rPr>
        <w:t>，至少应包含以下内容：</w:t>
      </w:r>
      <w:r>
        <w:rPr>
          <w:szCs w:val="21"/>
        </w:rPr>
        <w:t xml:space="preserve"> </w:t>
      </w:r>
    </w:p>
    <w:p w14:paraId="00167D9D">
      <w:pPr>
        <w:ind w:firstLine="420" w:firstLineChars="200"/>
        <w:rPr>
          <w:szCs w:val="21"/>
        </w:rPr>
      </w:pPr>
      <w:r>
        <w:rPr>
          <w:rFonts w:hint="eastAsia"/>
          <w:szCs w:val="21"/>
        </w:rPr>
        <w:t>a）产品名称、品级/牌号；</w:t>
      </w:r>
    </w:p>
    <w:p w14:paraId="0CEB35F9">
      <w:pPr>
        <w:ind w:firstLine="420" w:firstLineChars="200"/>
        <w:rPr>
          <w:szCs w:val="21"/>
        </w:rPr>
      </w:pPr>
      <w:r>
        <w:rPr>
          <w:rFonts w:hint="eastAsia"/>
          <w:szCs w:val="21"/>
        </w:rPr>
        <w:t>b）批号；</w:t>
      </w:r>
    </w:p>
    <w:p w14:paraId="3682478E">
      <w:pPr>
        <w:ind w:firstLine="420" w:firstLineChars="200"/>
        <w:rPr>
          <w:szCs w:val="21"/>
        </w:rPr>
      </w:pPr>
      <w:r>
        <w:rPr>
          <w:rFonts w:hint="eastAsia"/>
          <w:szCs w:val="21"/>
        </w:rPr>
        <w:t>c）分析检验结果；</w:t>
      </w:r>
    </w:p>
    <w:p w14:paraId="1521AF4F">
      <w:pPr>
        <w:ind w:firstLine="420" w:firstLineChars="200"/>
        <w:rPr>
          <w:szCs w:val="21"/>
        </w:rPr>
      </w:pPr>
      <w:r>
        <w:rPr>
          <w:rFonts w:hint="eastAsia"/>
          <w:szCs w:val="21"/>
        </w:rPr>
        <w:t>d）出厂日期。</w:t>
      </w:r>
    </w:p>
    <w:p w14:paraId="3B443DA1">
      <w:pPr>
        <w:pStyle w:val="61"/>
        <w:spacing w:before="312" w:beforeLines="100" w:after="312" w:afterLines="100"/>
        <w:ind w:firstLine="0" w:firstLineChars="0"/>
        <w:outlineLvl w:val="2"/>
        <w:rPr>
          <w:rFonts w:hint="eastAsia" w:ascii="黑体" w:hAnsi="黑体" w:eastAsia="黑体" w:cs="黑体"/>
        </w:rPr>
      </w:pPr>
      <w:r>
        <w:rPr>
          <w:rFonts w:hint="eastAsia" w:ascii="黑体" w:hAnsi="黑体" w:eastAsia="黑体" w:cs="黑体"/>
        </w:rPr>
        <w:t>5.1.2 声明单位及基准流</w:t>
      </w:r>
    </w:p>
    <w:p w14:paraId="4905B60C">
      <w:pPr>
        <w:pStyle w:val="61"/>
        <w:rPr>
          <w:rFonts w:ascii="Times New Roman" w:hAnsi="Times New Roman"/>
        </w:rPr>
      </w:pPr>
      <w:r>
        <w:rPr>
          <w:rFonts w:hint="eastAsia" w:ascii="Times New Roman" w:hAnsi="Times New Roman"/>
          <w:lang w:eastAsia="zh-CN"/>
        </w:rPr>
        <w:t>锡</w:t>
      </w:r>
      <w:r>
        <w:rPr>
          <w:rFonts w:ascii="Times New Roman" w:hAnsi="Times New Roman"/>
        </w:rPr>
        <w:t>锭及其前序产品碳足迹研究应明确规定声明单位。声明单位应与产品碳足迹研究的目的和范围保持一致。声明单位的主要目的是为相关输入和输出数据的归一化提供参考基准。因此应对声明单位做出明确的定义并使其可量化。</w:t>
      </w:r>
    </w:p>
    <w:p w14:paraId="1DD10199">
      <w:pPr>
        <w:pStyle w:val="61"/>
        <w:rPr>
          <w:rFonts w:hint="eastAsia"/>
        </w:rPr>
      </w:pPr>
      <w:r>
        <w:rPr>
          <w:rFonts w:hint="eastAsia"/>
        </w:rPr>
        <w:t>本文件的声明单位是指</w:t>
      </w:r>
      <w:bookmarkStart w:id="119" w:name="_Hlk174230776"/>
      <w:r>
        <w:rPr>
          <w:rFonts w:hint="eastAsia"/>
        </w:rPr>
        <w:t>1吨含</w:t>
      </w:r>
      <w:r>
        <w:rPr>
          <w:rFonts w:hint="eastAsia"/>
          <w:lang w:eastAsia="zh-CN"/>
        </w:rPr>
        <w:t>锡</w:t>
      </w:r>
      <w:r>
        <w:rPr>
          <w:rFonts w:hint="eastAsia"/>
        </w:rPr>
        <w:t>矿石、1吨</w:t>
      </w:r>
      <w:r>
        <w:rPr>
          <w:rFonts w:hint="eastAsia"/>
          <w:lang w:eastAsia="zh-CN"/>
        </w:rPr>
        <w:t>锡</w:t>
      </w:r>
      <w:r>
        <w:rPr>
          <w:rFonts w:hint="eastAsia"/>
        </w:rPr>
        <w:t>精矿、1吨粗</w:t>
      </w:r>
      <w:r>
        <w:rPr>
          <w:rFonts w:hint="eastAsia"/>
          <w:lang w:eastAsia="zh-CN"/>
        </w:rPr>
        <w:t>锡</w:t>
      </w:r>
      <w:r>
        <w:rPr>
          <w:rFonts w:hint="eastAsia"/>
        </w:rPr>
        <w:t>、1吨</w:t>
      </w:r>
      <w:r>
        <w:rPr>
          <w:rFonts w:hint="eastAsia"/>
          <w:lang w:eastAsia="zh-CN"/>
        </w:rPr>
        <w:t>锡</w:t>
      </w:r>
      <w:r>
        <w:rPr>
          <w:rFonts w:hint="eastAsia"/>
        </w:rPr>
        <w:t>锭</w:t>
      </w:r>
      <w:bookmarkEnd w:id="119"/>
      <w:r>
        <w:rPr>
          <w:rFonts w:hint="eastAsia"/>
        </w:rPr>
        <w:t>等。</w:t>
      </w:r>
    </w:p>
    <w:p w14:paraId="3F6421CA">
      <w:pPr>
        <w:pStyle w:val="61"/>
        <w:rPr>
          <w:rFonts w:hint="eastAsia"/>
        </w:rPr>
      </w:pPr>
      <w:r>
        <w:rPr>
          <w:rFonts w:hint="eastAsia"/>
        </w:rPr>
        <w:t>本文件的基准流是指生产1吨</w:t>
      </w:r>
      <w:r>
        <w:rPr>
          <w:rFonts w:hint="eastAsia"/>
          <w:lang w:eastAsia="zh-CN"/>
        </w:rPr>
        <w:t>锡</w:t>
      </w:r>
      <w:r>
        <w:rPr>
          <w:rFonts w:hint="eastAsia"/>
        </w:rPr>
        <w:t>锭产品所需过程的输入和输出量</w:t>
      </w:r>
      <w:r>
        <w:t>。</w:t>
      </w:r>
    </w:p>
    <w:p w14:paraId="44B6E4F7">
      <w:pPr>
        <w:pStyle w:val="61"/>
        <w:spacing w:before="312" w:beforeLines="100" w:after="312" w:afterLines="100"/>
        <w:ind w:firstLine="0" w:firstLineChars="0"/>
        <w:outlineLvl w:val="1"/>
        <w:rPr>
          <w:rFonts w:hint="eastAsia" w:ascii="黑体" w:hAnsi="黑体" w:eastAsia="黑体" w:cs="黑体"/>
        </w:rPr>
      </w:pPr>
      <w:bookmarkStart w:id="120" w:name="_Toc81755149"/>
      <w:bookmarkStart w:id="121" w:name="_Toc101106191"/>
      <w:bookmarkStart w:id="122" w:name="_Toc174232046"/>
      <w:r>
        <w:rPr>
          <w:rFonts w:hint="eastAsia" w:ascii="黑体" w:hAnsi="黑体" w:eastAsia="黑体" w:cs="黑体"/>
        </w:rPr>
        <w:t>5</w:t>
      </w:r>
      <w:r>
        <w:rPr>
          <w:rFonts w:ascii="黑体" w:hAnsi="黑体" w:eastAsia="黑体" w:cs="黑体"/>
        </w:rPr>
        <w:t xml:space="preserve">.2 </w:t>
      </w:r>
      <w:bookmarkEnd w:id="120"/>
      <w:bookmarkEnd w:id="121"/>
      <w:r>
        <w:rPr>
          <w:rFonts w:hint="eastAsia" w:ascii="黑体" w:hAnsi="黑体" w:eastAsia="黑体" w:cs="黑体"/>
        </w:rPr>
        <w:t>系统边界</w:t>
      </w:r>
      <w:bookmarkEnd w:id="122"/>
    </w:p>
    <w:p w14:paraId="76A686F2">
      <w:pPr>
        <w:pStyle w:val="61"/>
        <w:spacing w:before="312" w:beforeLines="100" w:after="312" w:afterLines="100"/>
        <w:ind w:firstLine="0" w:firstLineChars="0"/>
        <w:outlineLvl w:val="2"/>
        <w:rPr>
          <w:rFonts w:hint="eastAsia" w:ascii="黑体" w:hAnsi="黑体" w:eastAsia="黑体" w:cs="黑体"/>
        </w:rPr>
      </w:pPr>
      <w:bookmarkStart w:id="123" w:name="_Toc131077486"/>
      <w:r>
        <w:rPr>
          <w:rFonts w:hint="eastAsia" w:ascii="黑体" w:hAnsi="黑体" w:eastAsia="黑体" w:cs="黑体"/>
        </w:rPr>
        <w:t>5</w:t>
      </w:r>
      <w:r>
        <w:rPr>
          <w:rFonts w:ascii="黑体" w:hAnsi="黑体" w:eastAsia="黑体" w:cs="黑体"/>
        </w:rPr>
        <w:t>.</w:t>
      </w:r>
      <w:r>
        <w:rPr>
          <w:rFonts w:hint="eastAsia" w:ascii="黑体" w:hAnsi="黑体" w:eastAsia="黑体" w:cs="黑体"/>
        </w:rPr>
        <w:t>2.</w:t>
      </w:r>
      <w:r>
        <w:rPr>
          <w:rFonts w:ascii="黑体" w:hAnsi="黑体" w:eastAsia="黑体" w:cs="黑体"/>
        </w:rPr>
        <w:t xml:space="preserve">1 </w:t>
      </w:r>
      <w:r>
        <w:rPr>
          <w:rFonts w:hint="eastAsia" w:ascii="黑体" w:hAnsi="黑体" w:eastAsia="黑体" w:cs="黑体"/>
        </w:rPr>
        <w:t>概述</w:t>
      </w:r>
      <w:bookmarkEnd w:id="123"/>
    </w:p>
    <w:p w14:paraId="01495DF7">
      <w:pPr>
        <w:pStyle w:val="61"/>
        <w:rPr>
          <w:rFonts w:hint="eastAsia"/>
        </w:rPr>
      </w:pPr>
      <w:r>
        <w:t>系统边界决定产品碳足迹评价所涵盖的单元过程。系统边界应与产品碳足迹评价目标相一致。应确定和解释用于设定系统边界的准则，例如取舍准则。应确定纳入产品碳足迹评价的单元过程，以及对这些单元过程的评价应达到的详细程度。</w:t>
      </w:r>
      <w:r>
        <w:rPr>
          <w:rFonts w:ascii="Times New Roman" w:hAnsi="Times New Roman"/>
        </w:rPr>
        <w:t>对研究的总体结论不会造成显著影响的生命周期阶段、单元过程、输入或输出才允许被排除，但应明确说明并解释排除的原因及可能造成的后果。造成显著影响的阈值应根据取舍准则列出并予以说明。</w:t>
      </w:r>
    </w:p>
    <w:p w14:paraId="74913234">
      <w:pPr>
        <w:pStyle w:val="61"/>
        <w:spacing w:before="312" w:beforeLines="100" w:after="312" w:afterLines="100"/>
        <w:ind w:firstLine="0" w:firstLineChars="0"/>
        <w:outlineLvl w:val="2"/>
        <w:rPr>
          <w:rFonts w:hint="eastAsia" w:ascii="黑体" w:hAnsi="黑体" w:eastAsia="黑体" w:cs="黑体"/>
          <w:color w:val="C00000"/>
        </w:rPr>
      </w:pPr>
      <w:bookmarkStart w:id="124" w:name="_Toc131077487"/>
      <w:r>
        <w:rPr>
          <w:rFonts w:hint="eastAsia" w:ascii="黑体" w:hAnsi="黑体" w:eastAsia="黑体" w:cs="黑体"/>
        </w:rPr>
        <w:t>5</w:t>
      </w:r>
      <w:r>
        <w:rPr>
          <w:rFonts w:ascii="黑体" w:hAnsi="黑体" w:eastAsia="黑体" w:cs="黑体"/>
        </w:rPr>
        <w:t>.</w:t>
      </w:r>
      <w:r>
        <w:rPr>
          <w:rFonts w:hint="eastAsia" w:ascii="黑体" w:hAnsi="黑体" w:eastAsia="黑体" w:cs="黑体"/>
        </w:rPr>
        <w:t>2.</w:t>
      </w:r>
      <w:r>
        <w:rPr>
          <w:rFonts w:ascii="黑体" w:hAnsi="黑体" w:eastAsia="黑体" w:cs="黑体"/>
        </w:rPr>
        <w:t xml:space="preserve">2 </w:t>
      </w:r>
      <w:r>
        <w:rPr>
          <w:rFonts w:hint="eastAsia" w:ascii="黑体" w:hAnsi="黑体" w:eastAsia="黑体" w:cs="黑体"/>
          <w:color w:val="auto"/>
        </w:rPr>
        <w:t>边界设定</w:t>
      </w:r>
      <w:bookmarkEnd w:id="124"/>
    </w:p>
    <w:p w14:paraId="6308706D">
      <w:pPr>
        <w:pStyle w:val="61"/>
        <w:rPr>
          <w:rFonts w:hint="eastAsia"/>
        </w:rPr>
      </w:pPr>
      <w:r>
        <w:rPr>
          <w:rFonts w:hint="eastAsia"/>
        </w:rPr>
        <w:t>本文件设定的</w:t>
      </w:r>
      <w:r>
        <w:rPr>
          <w:rFonts w:hint="eastAsia"/>
          <w:lang w:eastAsia="zh-CN"/>
        </w:rPr>
        <w:t>锡</w:t>
      </w:r>
      <w:r>
        <w:rPr>
          <w:rFonts w:hint="eastAsia"/>
        </w:rPr>
        <w:t>锭及其前序产品碳足迹的系统边界为“摇篮-到-大门”，即从原材料获取到产品离开报告企业大门为止的温室气体排放量和清除量的累计。</w:t>
      </w:r>
    </w:p>
    <w:p w14:paraId="1EA3A2F0">
      <w:pPr>
        <w:pStyle w:val="61"/>
        <w:rPr>
          <w:rFonts w:hint="eastAsia"/>
        </w:rPr>
      </w:pPr>
      <w:r>
        <w:rPr>
          <w:rFonts w:hint="eastAsia"/>
        </w:rPr>
        <w:t>本文件以流程图形式来描述产品系统各单元过程和它们之间的相互关系。每个单元过程以原料或中间产品的输入为起点，以工艺过程体现单元过程运行特征，以中间产品或</w:t>
      </w:r>
      <w:r>
        <w:rPr>
          <w:rFonts w:hint="eastAsia"/>
          <w:lang w:eastAsia="zh-CN"/>
        </w:rPr>
        <w:t>锡</w:t>
      </w:r>
      <w:r>
        <w:rPr>
          <w:rFonts w:hint="eastAsia"/>
        </w:rPr>
        <w:t>锭的输出为终点。图</w:t>
      </w:r>
      <w:r>
        <w:t>1</w:t>
      </w:r>
      <w:r>
        <w:rPr>
          <w:rFonts w:hint="eastAsia"/>
        </w:rPr>
        <w:t>虚线方框中所示为本文件规定的系统边界，系统边界的包含项及排除项见表</w:t>
      </w:r>
      <w:r>
        <w:rPr>
          <w:rFonts w:hint="eastAsia" w:ascii="Times New Roman" w:hAnsi="Times New Roman"/>
        </w:rPr>
        <w:t>1</w:t>
      </w:r>
      <w:r>
        <w:rPr>
          <w:rFonts w:hint="eastAsia"/>
        </w:rPr>
        <w:t>。</w:t>
      </w:r>
    </w:p>
    <w:p w14:paraId="06AE809F">
      <w:pPr>
        <w:jc w:val="center"/>
        <w:rPr>
          <w:rFonts w:hint="eastAsia" w:ascii="黑体" w:hAnsi="黑体" w:eastAsia="黑体" w:cs="黑体"/>
        </w:rPr>
      </w:pPr>
      <w:r>
        <w:rPr>
          <w:rFonts w:hint="eastAsia" w:ascii="黑体" w:hAnsi="黑体" w:eastAsia="黑体" w:cs="黑体"/>
        </w:rPr>
        <w:t>表1</w:t>
      </w:r>
      <w:r>
        <w:rPr>
          <w:rFonts w:ascii="黑体" w:hAnsi="黑体" w:eastAsia="黑体" w:cs="黑体"/>
        </w:rPr>
        <w:t xml:space="preserve">  </w:t>
      </w:r>
      <w:r>
        <w:rPr>
          <w:rFonts w:hint="eastAsia" w:ascii="黑体" w:hAnsi="黑体" w:eastAsia="黑体" w:cs="黑体"/>
        </w:rPr>
        <w:t>系统边界工艺包含项及排除项</w:t>
      </w:r>
    </w:p>
    <w:tbl>
      <w:tblPr>
        <w:tblStyle w:val="22"/>
        <w:tblW w:w="5000" w:type="pct"/>
        <w:tblInd w:w="0" w:type="dxa"/>
        <w:tblLayout w:type="fixed"/>
        <w:tblCellMar>
          <w:top w:w="0" w:type="dxa"/>
          <w:left w:w="0" w:type="dxa"/>
          <w:bottom w:w="0" w:type="dxa"/>
          <w:right w:w="0" w:type="dxa"/>
        </w:tblCellMar>
      </w:tblPr>
      <w:tblGrid>
        <w:gridCol w:w="4877"/>
        <w:gridCol w:w="3439"/>
      </w:tblGrid>
      <w:tr w14:paraId="6D3FB80B">
        <w:tblPrEx>
          <w:tblCellMar>
            <w:top w:w="0" w:type="dxa"/>
            <w:left w:w="0" w:type="dxa"/>
            <w:bottom w:w="0" w:type="dxa"/>
            <w:right w:w="0" w:type="dxa"/>
          </w:tblCellMar>
        </w:tblPrEx>
        <w:trPr>
          <w:trHeight w:val="276" w:hRule="atLeast"/>
        </w:trPr>
        <w:tc>
          <w:tcPr>
            <w:tcW w:w="2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890669">
            <w:pPr>
              <w:widowControl/>
              <w:ind w:firstLine="360"/>
              <w:jc w:val="center"/>
              <w:rPr>
                <w:rFonts w:hint="eastAsia" w:ascii="宋体" w:hAnsi="宋体" w:cs="宋体"/>
                <w:kern w:val="0"/>
                <w:sz w:val="18"/>
                <w:szCs w:val="18"/>
              </w:rPr>
            </w:pPr>
            <w:r>
              <w:rPr>
                <w:rFonts w:hint="eastAsia" w:ascii="宋体" w:hAnsi="宋体" w:cs="宋体"/>
                <w:kern w:val="0"/>
                <w:sz w:val="18"/>
                <w:szCs w:val="18"/>
              </w:rPr>
              <w:t>包 含 项</w:t>
            </w:r>
          </w:p>
        </w:tc>
        <w:tc>
          <w:tcPr>
            <w:tcW w:w="20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7E240">
            <w:pPr>
              <w:widowControl/>
              <w:ind w:firstLine="360"/>
              <w:jc w:val="center"/>
              <w:rPr>
                <w:rFonts w:hint="eastAsia" w:ascii="宋体" w:hAnsi="宋体" w:cs="宋体"/>
                <w:kern w:val="0"/>
                <w:sz w:val="18"/>
                <w:szCs w:val="18"/>
              </w:rPr>
            </w:pPr>
            <w:r>
              <w:rPr>
                <w:rFonts w:hint="eastAsia" w:ascii="宋体" w:hAnsi="宋体" w:cs="宋体"/>
                <w:kern w:val="0"/>
                <w:sz w:val="18"/>
                <w:szCs w:val="18"/>
              </w:rPr>
              <w:t>排 除 项</w:t>
            </w:r>
          </w:p>
        </w:tc>
      </w:tr>
      <w:tr w14:paraId="05FC7B94">
        <w:tblPrEx>
          <w:tblCellMar>
            <w:top w:w="0" w:type="dxa"/>
            <w:left w:w="0" w:type="dxa"/>
            <w:bottom w:w="0" w:type="dxa"/>
            <w:right w:w="0" w:type="dxa"/>
          </w:tblCellMar>
        </w:tblPrEx>
        <w:trPr>
          <w:trHeight w:val="276" w:hRule="atLeast"/>
        </w:trPr>
        <w:tc>
          <w:tcPr>
            <w:tcW w:w="2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47582">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采矿（露采/地采，</w:t>
            </w:r>
            <w:r>
              <w:rPr>
                <w:rFonts w:hint="eastAsia"/>
                <w:sz w:val="18"/>
              </w:rPr>
              <w:t>矿山范围内运输，</w:t>
            </w:r>
            <w:r>
              <w:rPr>
                <w:rFonts w:hint="eastAsia" w:ascii="宋体" w:hAnsi="宋体" w:cs="宋体"/>
                <w:kern w:val="0"/>
                <w:sz w:val="18"/>
                <w:szCs w:val="18"/>
              </w:rPr>
              <w:t>含废石处置）；</w:t>
            </w:r>
          </w:p>
          <w:p w14:paraId="349CCB47">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选矿（矿石破碎筛分、浮选、浓缩、压滤）；</w:t>
            </w:r>
          </w:p>
          <w:p w14:paraId="7E2F2E78">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sz w:val="18"/>
                <w:lang w:eastAsia="zh-CN"/>
              </w:rPr>
              <w:t>锡</w:t>
            </w:r>
            <w:r>
              <w:rPr>
                <w:rFonts w:hint="eastAsia"/>
                <w:sz w:val="18"/>
              </w:rPr>
              <w:t>精矿冶炼：备料、熔炼—还原、烟化、</w:t>
            </w:r>
            <w:r>
              <w:rPr>
                <w:rFonts w:hint="eastAsia"/>
                <w:sz w:val="18"/>
                <w:lang w:eastAsia="zh-CN"/>
              </w:rPr>
              <w:t>锡</w:t>
            </w:r>
            <w:r>
              <w:rPr>
                <w:rFonts w:hint="eastAsia"/>
                <w:sz w:val="18"/>
              </w:rPr>
              <w:t>精炼；</w:t>
            </w:r>
          </w:p>
          <w:p w14:paraId="73169CF7">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lang w:eastAsia="zh-CN"/>
              </w:rPr>
              <w:t>回收锡原料</w:t>
            </w:r>
            <w:r>
              <w:rPr>
                <w:rFonts w:hint="eastAsia" w:ascii="宋体" w:hAnsi="宋体" w:cs="宋体"/>
                <w:kern w:val="0"/>
                <w:sz w:val="18"/>
                <w:szCs w:val="18"/>
              </w:rPr>
              <w:t>的获取；</w:t>
            </w:r>
          </w:p>
          <w:p w14:paraId="56A9A463">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烟气处理；</w:t>
            </w:r>
          </w:p>
          <w:p w14:paraId="451445FA">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相关的辅助生产（供水、供电、供气、供热、水处理、废渣处理、厂内运输等）；</w:t>
            </w:r>
          </w:p>
          <w:p w14:paraId="35CD63C2">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辅材、药剂、燃料、能源等的生产；</w:t>
            </w:r>
          </w:p>
          <w:p w14:paraId="2378DE73">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原料、辅料、药剂、燃料等从供应商到现场的运输；</w:t>
            </w:r>
          </w:p>
          <w:p w14:paraId="6EFA9480">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第三方提供的生产服务；</w:t>
            </w:r>
          </w:p>
          <w:p w14:paraId="1E1FF195">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废弃物外委处置。</w:t>
            </w:r>
          </w:p>
        </w:tc>
        <w:tc>
          <w:tcPr>
            <w:tcW w:w="2068" w:type="pct"/>
            <w:tcBorders>
              <w:top w:val="single" w:color="auto" w:sz="4" w:space="0"/>
              <w:left w:val="single" w:color="auto" w:sz="4" w:space="0"/>
              <w:bottom w:val="single" w:color="auto" w:sz="4" w:space="0"/>
              <w:right w:val="single" w:color="auto" w:sz="4" w:space="0"/>
            </w:tcBorders>
            <w:shd w:val="clear" w:color="auto" w:fill="auto"/>
            <w:noWrap/>
          </w:tcPr>
          <w:p w14:paraId="4A839701">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相对独立的</w:t>
            </w:r>
            <w:r>
              <w:rPr>
                <w:rFonts w:hint="eastAsia" w:cs="宋体"/>
                <w:color w:val="000000"/>
                <w:sz w:val="18"/>
              </w:rPr>
              <w:t>综合回收单元</w:t>
            </w:r>
            <w:r>
              <w:rPr>
                <w:rFonts w:hint="eastAsia" w:ascii="宋体" w:hAnsi="宋体" w:cs="宋体"/>
                <w:kern w:val="0"/>
                <w:sz w:val="18"/>
                <w:szCs w:val="18"/>
              </w:rPr>
              <w:t>；</w:t>
            </w:r>
          </w:p>
          <w:p w14:paraId="3544CBD8">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员工通勤；</w:t>
            </w:r>
          </w:p>
          <w:p w14:paraId="2B4CE613">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客户接待；</w:t>
            </w:r>
          </w:p>
          <w:p w14:paraId="4023411E">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商务旅行；</w:t>
            </w:r>
          </w:p>
          <w:p w14:paraId="2385EA0D">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产品离开报告主体的运输和仓储；</w:t>
            </w:r>
          </w:p>
          <w:p w14:paraId="6370B981">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资产性商品（设备、厂房）的生产；</w:t>
            </w:r>
          </w:p>
          <w:p w14:paraId="76898052">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再加工阶段；</w:t>
            </w:r>
          </w:p>
          <w:p w14:paraId="140CD0AA">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终端产品制造和使用阶段；</w:t>
            </w:r>
          </w:p>
          <w:p w14:paraId="4AADBB6F">
            <w:pPr>
              <w:pStyle w:val="2"/>
              <w:widowControl/>
              <w:numPr>
                <w:ilvl w:val="0"/>
                <w:numId w:val="1"/>
              </w:numPr>
              <w:adjustRightInd/>
              <w:snapToGrid/>
              <w:spacing w:line="240" w:lineRule="auto"/>
              <w:ind w:left="275" w:hanging="283" w:firstLineChars="0"/>
              <w:rPr>
                <w:rFonts w:hint="eastAsia" w:ascii="宋体" w:hAnsi="宋体" w:cs="宋体"/>
                <w:kern w:val="0"/>
                <w:sz w:val="18"/>
                <w:szCs w:val="18"/>
              </w:rPr>
            </w:pPr>
            <w:r>
              <w:rPr>
                <w:rFonts w:hint="eastAsia" w:ascii="宋体" w:hAnsi="宋体" w:cs="宋体"/>
                <w:kern w:val="0"/>
                <w:sz w:val="18"/>
                <w:szCs w:val="18"/>
              </w:rPr>
              <w:t>寿命期末阶段处理。</w:t>
            </w:r>
          </w:p>
        </w:tc>
      </w:tr>
    </w:tbl>
    <w:p w14:paraId="5D5280C6">
      <w:pPr>
        <w:pStyle w:val="61"/>
        <w:rPr>
          <w:rFonts w:hint="eastAsia"/>
        </w:rPr>
      </w:pPr>
      <w:r>
        <w:rPr>
          <w:rFonts w:hint="eastAsia"/>
        </w:rPr>
        <w:t>本文件要求纳入碳足迹量化的温室气体范围应包括</w:t>
      </w:r>
      <w:r>
        <w:t>二氧化碳(CO</w:t>
      </w:r>
      <w:r>
        <w:rPr>
          <w:vertAlign w:val="subscript"/>
        </w:rPr>
        <w:t>2</w:t>
      </w:r>
      <w:r>
        <w:t>)</w:t>
      </w:r>
      <w:r>
        <w:rPr>
          <w:rFonts w:hint="eastAsia"/>
        </w:rPr>
        <w:t>，宜覆盖甲烷</w:t>
      </w:r>
      <w:r>
        <w:t>(CH</w:t>
      </w:r>
      <w:r>
        <w:rPr>
          <w:vertAlign w:val="subscript"/>
        </w:rPr>
        <w:t>4</w:t>
      </w:r>
      <w:r>
        <w:t>)、氧化亚氮(N</w:t>
      </w:r>
      <w:r>
        <w:rPr>
          <w:vertAlign w:val="subscript"/>
        </w:rPr>
        <w:t>2</w:t>
      </w:r>
      <w:r>
        <w:t>O)、氢氟碳化物(HFCs)、全氟碳化物(PFCs)、六氟化硫(SF</w:t>
      </w:r>
      <w:r>
        <w:rPr>
          <w:vertAlign w:val="subscript"/>
        </w:rPr>
        <w:t>6</w:t>
      </w:r>
      <w:r>
        <w:t>)和三氟化氮(NF</w:t>
      </w:r>
      <w:r>
        <w:rPr>
          <w:vertAlign w:val="subscript"/>
        </w:rPr>
        <w:t>3</w:t>
      </w:r>
      <w:r>
        <w:t>)</w:t>
      </w:r>
      <w:r>
        <w:rPr>
          <w:rFonts w:hint="eastAsia"/>
        </w:rPr>
        <w:t>，如不包含上述六种温室气体，应说明理由。</w:t>
      </w:r>
    </w:p>
    <w:p w14:paraId="2CDC8EC4">
      <w:pPr>
        <w:pStyle w:val="61"/>
        <w:ind w:firstLine="0" w:firstLineChars="0"/>
        <w:rPr>
          <w:rFonts w:hint="eastAsia"/>
        </w:rPr>
      </w:pPr>
      <w:r>
        <mc:AlternateContent>
          <mc:Choice Requires="wpc">
            <w:drawing>
              <wp:inline distT="0" distB="0" distL="0" distR="0">
                <wp:extent cx="5325110" cy="4375150"/>
                <wp:effectExtent l="0" t="0" r="8890" b="6350"/>
                <wp:docPr id="805921463" name="画布 80592146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42390206" name="矩形 1342390206"/>
                        <wps:cNvSpPr/>
                        <wps:spPr>
                          <a:xfrm>
                            <a:off x="1074646" y="4057418"/>
                            <a:ext cx="2316064" cy="31809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4FAE6B1">
                              <w:pPr>
                                <w:pStyle w:val="20"/>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rPr>
                                <w:t>粗</w:t>
                              </w:r>
                              <w:r>
                                <w:rPr>
                                  <w:rFonts w:hint="eastAsia" w:cs="Times New Roman"/>
                                  <w:b/>
                                  <w:bCs/>
                                  <w:kern w:val="2"/>
                                  <w:sz w:val="15"/>
                                  <w:szCs w:val="15"/>
                                  <w:u w:val="single"/>
                                  <w:lang w:eastAsia="zh-CN"/>
                                </w:rPr>
                                <w:t>锡</w:t>
                              </w:r>
                              <w:r>
                                <w:rPr>
                                  <w:rFonts w:hint="eastAsia" w:cs="Times New Roman"/>
                                  <w:b/>
                                  <w:bCs/>
                                  <w:kern w:val="2"/>
                                  <w:sz w:val="15"/>
                                  <w:szCs w:val="15"/>
                                  <w:u w:val="single"/>
                                </w:rPr>
                                <w:t>/</w:t>
                              </w:r>
                              <w:r>
                                <w:rPr>
                                  <w:rFonts w:hint="eastAsia" w:cs="Times New Roman"/>
                                  <w:b/>
                                  <w:bCs/>
                                  <w:kern w:val="2"/>
                                  <w:sz w:val="15"/>
                                  <w:szCs w:val="15"/>
                                  <w:u w:val="single"/>
                                  <w:lang w:eastAsia="zh-CN"/>
                                </w:rPr>
                                <w:t>锡</w:t>
                              </w:r>
                              <w:r>
                                <w:rPr>
                                  <w:rFonts w:hint="eastAsia" w:cs="Times New Roman"/>
                                  <w:b/>
                                  <w:bCs/>
                                  <w:kern w:val="2"/>
                                  <w:sz w:val="15"/>
                                  <w:szCs w:val="15"/>
                                  <w:u w:val="single"/>
                                </w:rPr>
                                <w:t>锭</w:t>
                              </w:r>
                            </w:p>
                          </w:txbxContent>
                        </wps:txbx>
                        <wps:bodyPr rot="0" spcFirstLastPara="0" vert="horz" wrap="square" lIns="91440" tIns="45720" rIns="91440" bIns="45720" numCol="1" spcCol="0" rtlCol="0" fromWordArt="0" anchor="ctr" anchorCtr="0" forceAA="0" compatLnSpc="1">
                          <a:noAutofit/>
                        </wps:bodyPr>
                      </wps:wsp>
                      <wpg:wgp>
                        <wpg:cNvPr id="1018365352" name="组合 1018365352"/>
                        <wpg:cNvGrpSpPr/>
                        <wpg:grpSpPr>
                          <a:xfrm>
                            <a:off x="689538" y="607391"/>
                            <a:ext cx="1121207" cy="2770251"/>
                            <a:chOff x="1301092" y="803881"/>
                            <a:chExt cx="1196207" cy="2770251"/>
                          </a:xfrm>
                        </wpg:grpSpPr>
                        <wps:wsp>
                          <wps:cNvPr id="988419088" name="矩形 988419088"/>
                          <wps:cNvSpPr/>
                          <wps:spPr>
                            <a:xfrm>
                              <a:off x="1493572" y="803881"/>
                              <a:ext cx="851074" cy="2770251"/>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5513264" name="矩形 395513264"/>
                          <wps:cNvSpPr/>
                          <wps:spPr>
                            <a:xfrm>
                              <a:off x="1520521" y="1409564"/>
                              <a:ext cx="797560" cy="318770"/>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870FA21">
                                <w:pPr>
                                  <w:pStyle w:val="20"/>
                                  <w:spacing w:before="0" w:beforeAutospacing="0" w:after="0" w:afterAutospacing="0"/>
                                  <w:jc w:val="center"/>
                                  <w:rPr>
                                    <w:rFonts w:hint="eastAsia"/>
                                    <w:b/>
                                    <w:bCs/>
                                    <w:sz w:val="15"/>
                                    <w:szCs w:val="15"/>
                                  </w:rPr>
                                </w:pPr>
                                <w:r>
                                  <w:rPr>
                                    <w:rFonts w:hint="eastAsia" w:cs="Times New Roman"/>
                                    <w:b/>
                                    <w:bCs/>
                                    <w:sz w:val="15"/>
                                    <w:szCs w:val="15"/>
                                  </w:rPr>
                                  <w:t>电  力</w:t>
                                </w:r>
                              </w:p>
                            </w:txbxContent>
                          </wps:txbx>
                          <wps:bodyPr rot="0" spcFirstLastPara="0" vert="horz" wrap="square" lIns="91440" tIns="45720" rIns="91440" bIns="45720" numCol="1" spcCol="0" rtlCol="0" fromWordArt="0" anchor="ctr" anchorCtr="0" forceAA="0" compatLnSpc="1">
                            <a:noAutofit/>
                          </wps:bodyPr>
                        </wps:wsp>
                        <wps:wsp>
                          <wps:cNvPr id="673967798" name="矩形 673967798"/>
                          <wps:cNvSpPr/>
                          <wps:spPr>
                            <a:xfrm>
                              <a:off x="1518616" y="1800089"/>
                              <a:ext cx="796925" cy="31813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138980E">
                                <w:pPr>
                                  <w:pStyle w:val="20"/>
                                  <w:spacing w:before="0" w:beforeAutospacing="0" w:after="0" w:afterAutospacing="0"/>
                                  <w:jc w:val="center"/>
                                  <w:rPr>
                                    <w:rFonts w:hint="eastAsia"/>
                                    <w:b/>
                                    <w:bCs/>
                                    <w:sz w:val="15"/>
                                    <w:szCs w:val="15"/>
                                  </w:rPr>
                                </w:pPr>
                                <w:r>
                                  <w:rPr>
                                    <w:rFonts w:hint="eastAsia" w:cs="Times New Roman"/>
                                    <w:b/>
                                    <w:bCs/>
                                    <w:sz w:val="15"/>
                                    <w:szCs w:val="15"/>
                                  </w:rPr>
                                  <w:t>热  力</w:t>
                                </w:r>
                              </w:p>
                            </w:txbxContent>
                          </wps:txbx>
                          <wps:bodyPr rot="0" spcFirstLastPara="0" vert="horz" wrap="square" lIns="91440" tIns="45720" rIns="91440" bIns="45720" numCol="1" spcCol="0" rtlCol="0" fromWordArt="0" anchor="ctr" anchorCtr="0" forceAA="0" compatLnSpc="1">
                            <a:noAutofit/>
                          </wps:bodyPr>
                        </wps:wsp>
                        <wps:wsp>
                          <wps:cNvPr id="1934811482" name="矩形 1934811482"/>
                          <wps:cNvSpPr/>
                          <wps:spPr>
                            <a:xfrm>
                              <a:off x="1517346" y="2185534"/>
                              <a:ext cx="796290" cy="317500"/>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532E49A5">
                                <w:pPr>
                                  <w:pStyle w:val="20"/>
                                  <w:spacing w:before="0" w:beforeAutospacing="0" w:after="0" w:afterAutospacing="0"/>
                                  <w:jc w:val="center"/>
                                  <w:rPr>
                                    <w:rFonts w:hint="eastAsia"/>
                                    <w:b/>
                                    <w:bCs/>
                                    <w:sz w:val="15"/>
                                    <w:szCs w:val="15"/>
                                  </w:rPr>
                                </w:pPr>
                                <w:r>
                                  <w:rPr>
                                    <w:rFonts w:hint="eastAsia" w:cs="Times New Roman"/>
                                    <w:b/>
                                    <w:bCs/>
                                    <w:sz w:val="15"/>
                                    <w:szCs w:val="15"/>
                                  </w:rPr>
                                  <w:t>耗能工</w:t>
                                </w:r>
                                <w:r>
                                  <w:rPr>
                                    <w:rFonts w:cs="Times New Roman"/>
                                    <w:b/>
                                    <w:bCs/>
                                    <w:sz w:val="15"/>
                                    <w:szCs w:val="15"/>
                                  </w:rPr>
                                  <w:t>质</w:t>
                                </w:r>
                              </w:p>
                            </w:txbxContent>
                          </wps:txbx>
                          <wps:bodyPr rot="0" spcFirstLastPara="0" vert="horz" wrap="square" lIns="91440" tIns="45720" rIns="91440" bIns="45720" numCol="1" spcCol="0" rtlCol="0" fromWordArt="0" anchor="ctr" anchorCtr="0" forceAA="0" compatLnSpc="1">
                            <a:noAutofit/>
                          </wps:bodyPr>
                        </wps:wsp>
                        <wps:wsp>
                          <wps:cNvPr id="2135122522" name="矩形 2135122522"/>
                          <wps:cNvSpPr/>
                          <wps:spPr>
                            <a:xfrm>
                              <a:off x="1518616" y="2602729"/>
                              <a:ext cx="795655" cy="31686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1CC22BF">
                                <w:pPr>
                                  <w:pStyle w:val="20"/>
                                  <w:spacing w:before="0" w:beforeAutospacing="0" w:after="0" w:afterAutospacing="0"/>
                                  <w:jc w:val="center"/>
                                  <w:rPr>
                                    <w:rFonts w:hint="eastAsia"/>
                                    <w:b/>
                                    <w:bCs/>
                                    <w:sz w:val="15"/>
                                    <w:szCs w:val="15"/>
                                  </w:rPr>
                                </w:pPr>
                                <w:r>
                                  <w:rPr>
                                    <w:rFonts w:hint="eastAsia" w:cs="Times New Roman"/>
                                    <w:b/>
                                    <w:bCs/>
                                    <w:sz w:val="15"/>
                                    <w:szCs w:val="15"/>
                                  </w:rPr>
                                  <w:t>辅材、药剂</w:t>
                                </w:r>
                              </w:p>
                            </w:txbxContent>
                          </wps:txbx>
                          <wps:bodyPr rot="0" spcFirstLastPara="0" vert="horz" wrap="square" lIns="91440" tIns="45720" rIns="91440" bIns="45720" numCol="1" spcCol="0" rtlCol="0" fromWordArt="0" anchor="ctr" anchorCtr="0" forceAA="0" compatLnSpc="1">
                            <a:noAutofit/>
                          </wps:bodyPr>
                        </wps:wsp>
                        <wps:wsp>
                          <wps:cNvPr id="132893670" name="矩形 132893670"/>
                          <wps:cNvSpPr/>
                          <wps:spPr>
                            <a:xfrm>
                              <a:off x="1521790" y="3009764"/>
                              <a:ext cx="795655" cy="31686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F5DD120">
                                <w:pPr>
                                  <w:pStyle w:val="20"/>
                                  <w:spacing w:before="0" w:beforeAutospacing="0" w:after="0" w:afterAutospacing="0"/>
                                  <w:jc w:val="center"/>
                                  <w:rPr>
                                    <w:rFonts w:hint="eastAsia"/>
                                    <w:b/>
                                    <w:bCs/>
                                    <w:sz w:val="15"/>
                                    <w:szCs w:val="15"/>
                                  </w:rPr>
                                </w:pPr>
                                <w:r>
                                  <w:rPr>
                                    <w:rFonts w:hint="eastAsia" w:cs="Times New Roman"/>
                                    <w:b/>
                                    <w:bCs/>
                                    <w:sz w:val="15"/>
                                    <w:szCs w:val="15"/>
                                  </w:rPr>
                                  <w:t>燃料</w:t>
                                </w:r>
                              </w:p>
                            </w:txbxContent>
                          </wps:txbx>
                          <wps:bodyPr rot="0" spcFirstLastPara="0" vert="horz" wrap="square" lIns="91440" tIns="45720" rIns="91440" bIns="45720" numCol="1" spcCol="0" rtlCol="0" fromWordArt="0" anchor="ctr" anchorCtr="0" forceAA="0" compatLnSpc="1">
                            <a:noAutofit/>
                          </wps:bodyPr>
                        </wps:wsp>
                        <wps:wsp>
                          <wps:cNvPr id="969731240" name="矩形 969731240"/>
                          <wps:cNvSpPr/>
                          <wps:spPr>
                            <a:xfrm>
                              <a:off x="1301092" y="851082"/>
                              <a:ext cx="1196207" cy="38227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D2CAD5D">
                                <w:pPr>
                                  <w:pStyle w:val="20"/>
                                  <w:spacing w:before="0" w:beforeAutospacing="0" w:after="0" w:afterAutospacing="0"/>
                                  <w:jc w:val="center"/>
                                  <w:rPr>
                                    <w:rFonts w:hint="eastAsia"/>
                                    <w:b/>
                                    <w:bCs/>
                                    <w:sz w:val="15"/>
                                    <w:szCs w:val="15"/>
                                  </w:rPr>
                                </w:pPr>
                                <w:r>
                                  <w:rPr>
                                    <w:rFonts w:hint="eastAsia" w:cs="Times New Roman"/>
                                    <w:b/>
                                    <w:bCs/>
                                    <w:sz w:val="15"/>
                                    <w:szCs w:val="15"/>
                                    <w:u w:val="single"/>
                                  </w:rPr>
                                  <w:t>消耗品</w:t>
                                </w:r>
                                <w:r>
                                  <w:rPr>
                                    <w:rFonts w:cs="Times New Roman"/>
                                    <w:b/>
                                    <w:bCs/>
                                    <w:sz w:val="15"/>
                                    <w:szCs w:val="15"/>
                                    <w:u w:val="single"/>
                                  </w:rPr>
                                  <w:t>的生产</w:t>
                                </w:r>
                                <w:r>
                                  <w:rPr>
                                    <w:rFonts w:hint="eastAsia" w:cs="Times New Roman"/>
                                    <w:b/>
                                    <w:bCs/>
                                    <w:sz w:val="15"/>
                                    <w:szCs w:val="15"/>
                                    <w:u w:val="single"/>
                                  </w:rPr>
                                  <w:t>：</w:t>
                                </w:r>
                              </w:p>
                            </w:txbxContent>
                          </wps:txbx>
                          <wps:bodyPr rot="0" spcFirstLastPara="0" vert="horz" wrap="square" lIns="91440" tIns="45720" rIns="91440" bIns="45720" numCol="1" spcCol="0" rtlCol="0" fromWordArt="0" anchor="ctr" anchorCtr="0" forceAA="0" compatLnSpc="1">
                            <a:noAutofit/>
                          </wps:bodyPr>
                        </wps:wsp>
                      </wpg:wgp>
                      <wpg:wgp>
                        <wpg:cNvPr id="833060138" name="组合 833060138"/>
                        <wpg:cNvGrpSpPr/>
                        <wpg:grpSpPr>
                          <a:xfrm>
                            <a:off x="3591374" y="594811"/>
                            <a:ext cx="795207" cy="3208537"/>
                            <a:chOff x="4748650" y="791301"/>
                            <a:chExt cx="1085105" cy="3208537"/>
                          </a:xfrm>
                        </wpg:grpSpPr>
                        <wps:wsp>
                          <wps:cNvPr id="664532607" name="矩形 664532607"/>
                          <wps:cNvSpPr/>
                          <wps:spPr>
                            <a:xfrm>
                              <a:off x="4750187" y="791301"/>
                              <a:ext cx="1057944" cy="1655085"/>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1565806058" name="矩形 1565806058"/>
                          <wps:cNvSpPr/>
                          <wps:spPr>
                            <a:xfrm>
                              <a:off x="4798757" y="1218934"/>
                              <a:ext cx="971248" cy="31813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603A2A0">
                                <w:pPr>
                                  <w:pStyle w:val="20"/>
                                  <w:spacing w:before="0" w:beforeAutospacing="0" w:after="0" w:afterAutospacing="0"/>
                                  <w:jc w:val="center"/>
                                  <w:rPr>
                                    <w:rFonts w:hint="eastAsia"/>
                                    <w:b/>
                                    <w:bCs/>
                                    <w:sz w:val="15"/>
                                    <w:szCs w:val="15"/>
                                  </w:rPr>
                                </w:pPr>
                                <w:r>
                                  <w:rPr>
                                    <w:rFonts w:hint="eastAsia" w:cs="Times New Roman"/>
                                    <w:b/>
                                    <w:bCs/>
                                    <w:sz w:val="15"/>
                                    <w:szCs w:val="15"/>
                                  </w:rPr>
                                  <w:t>水处理</w:t>
                                </w:r>
                              </w:p>
                            </w:txbxContent>
                          </wps:txbx>
                          <wps:bodyPr rot="0" spcFirstLastPara="0" vert="horz" wrap="square" lIns="91440" tIns="45720" rIns="91440" bIns="45720" numCol="1" spcCol="0" rtlCol="0" fromWordArt="0" anchor="ctr" anchorCtr="0" forceAA="0" compatLnSpc="1">
                            <a:noAutofit/>
                          </wps:bodyPr>
                        </wps:wsp>
                        <wps:wsp>
                          <wps:cNvPr id="1454943262" name="矩形 1454943262"/>
                          <wps:cNvSpPr/>
                          <wps:spPr>
                            <a:xfrm>
                              <a:off x="4795696" y="1624668"/>
                              <a:ext cx="970473" cy="317500"/>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482A5CD">
                                <w:pPr>
                                  <w:pStyle w:val="20"/>
                                  <w:spacing w:before="0" w:beforeAutospacing="0" w:after="0" w:afterAutospacing="0"/>
                                  <w:jc w:val="center"/>
                                  <w:rPr>
                                    <w:rFonts w:hint="eastAsia"/>
                                    <w:b/>
                                    <w:bCs/>
                                    <w:sz w:val="15"/>
                                    <w:szCs w:val="15"/>
                                  </w:rPr>
                                </w:pPr>
                                <w:r>
                                  <w:rPr>
                                    <w:rFonts w:hint="eastAsia" w:cs="Times New Roman"/>
                                    <w:b/>
                                    <w:bCs/>
                                    <w:sz w:val="15"/>
                                    <w:szCs w:val="15"/>
                                  </w:rPr>
                                  <w:t>渣处理</w:t>
                                </w:r>
                              </w:p>
                            </w:txbxContent>
                          </wps:txbx>
                          <wps:bodyPr rot="0" spcFirstLastPara="0" vert="horz" wrap="square" lIns="91440" tIns="45720" rIns="91440" bIns="45720" numCol="1" spcCol="0" rtlCol="0" fromWordArt="0" anchor="ctr" anchorCtr="0" forceAA="0" compatLnSpc="1">
                            <a:noAutofit/>
                          </wps:bodyPr>
                        </wps:wsp>
                        <wps:wsp>
                          <wps:cNvPr id="76201178" name="矩形 76201178"/>
                          <wps:cNvSpPr/>
                          <wps:spPr>
                            <a:xfrm>
                              <a:off x="4800258" y="2057391"/>
                              <a:ext cx="969698" cy="31686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31F5C7F">
                                <w:pPr>
                                  <w:pStyle w:val="20"/>
                                  <w:spacing w:before="0" w:beforeAutospacing="0" w:after="0" w:afterAutospacing="0"/>
                                  <w:jc w:val="center"/>
                                  <w:rPr>
                                    <w:rFonts w:hint="eastAsia"/>
                                    <w:b/>
                                    <w:bCs/>
                                    <w:sz w:val="15"/>
                                    <w:szCs w:val="15"/>
                                  </w:rPr>
                                </w:pPr>
                                <w:r>
                                  <w:rPr>
                                    <w:rFonts w:hint="eastAsia" w:cs="Times New Roman"/>
                                    <w:b/>
                                    <w:bCs/>
                                    <w:sz w:val="15"/>
                                    <w:szCs w:val="15"/>
                                  </w:rPr>
                                  <w:t>物流运输</w:t>
                                </w:r>
                              </w:p>
                            </w:txbxContent>
                          </wps:txbx>
                          <wps:bodyPr rot="0" spcFirstLastPara="0" vert="horz" wrap="square" lIns="91440" tIns="45720" rIns="91440" bIns="45720" numCol="1" spcCol="0" rtlCol="0" fromWordArt="0" anchor="ctr" anchorCtr="0" forceAA="0" compatLnSpc="1">
                            <a:noAutofit/>
                          </wps:bodyPr>
                        </wps:wsp>
                        <wps:wsp>
                          <wps:cNvPr id="1945483409" name="矩形 1945483409"/>
                          <wps:cNvSpPr/>
                          <wps:spPr>
                            <a:xfrm>
                              <a:off x="4750499" y="838306"/>
                              <a:ext cx="1083256" cy="3816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52C68BA">
                                <w:pPr>
                                  <w:pStyle w:val="20"/>
                                  <w:spacing w:before="0" w:beforeAutospacing="0" w:after="0" w:afterAutospacing="0"/>
                                  <w:jc w:val="center"/>
                                  <w:rPr>
                                    <w:rFonts w:hint="eastAsia"/>
                                    <w:b/>
                                    <w:bCs/>
                                    <w:sz w:val="15"/>
                                    <w:szCs w:val="15"/>
                                  </w:rPr>
                                </w:pPr>
                                <w:r>
                                  <w:rPr>
                                    <w:rFonts w:hint="eastAsia" w:cs="Times New Roman"/>
                                    <w:b/>
                                    <w:bCs/>
                                    <w:sz w:val="15"/>
                                    <w:szCs w:val="15"/>
                                    <w:u w:val="single"/>
                                  </w:rPr>
                                  <w:t>第三方服务：</w:t>
                                </w:r>
                              </w:p>
                            </w:txbxContent>
                          </wps:txbx>
                          <wps:bodyPr rot="0" spcFirstLastPara="0" vert="horz" wrap="square" lIns="91440" tIns="45720" rIns="91440" bIns="45720" numCol="1" spcCol="0" rtlCol="0" fromWordArt="0" anchor="ctr" anchorCtr="0" forceAA="0" compatLnSpc="1">
                            <a:noAutofit/>
                          </wps:bodyPr>
                        </wps:wsp>
                        <wps:wsp>
                          <wps:cNvPr id="2131591309" name="矩形 2131591309"/>
                          <wps:cNvSpPr/>
                          <wps:spPr>
                            <a:xfrm>
                              <a:off x="4748953" y="2591770"/>
                              <a:ext cx="1058164" cy="327717"/>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3BA7352">
                                <w:pPr>
                                  <w:pStyle w:val="20"/>
                                  <w:spacing w:before="0" w:beforeAutospacing="0" w:after="0" w:afterAutospacing="0"/>
                                  <w:jc w:val="center"/>
                                  <w:rPr>
                                    <w:rFonts w:hint="eastAsia" w:eastAsia="宋体" w:cs="Times New Roman"/>
                                    <w:b/>
                                    <w:bCs/>
                                    <w:sz w:val="15"/>
                                    <w:szCs w:val="15"/>
                                    <w:lang w:eastAsia="zh-CN"/>
                                  </w:rPr>
                                </w:pPr>
                                <w:r>
                                  <w:rPr>
                                    <w:rFonts w:hint="eastAsia" w:cs="Times New Roman"/>
                                    <w:b/>
                                    <w:bCs/>
                                    <w:sz w:val="15"/>
                                    <w:szCs w:val="15"/>
                                    <w:lang w:eastAsia="zh-CN"/>
                                  </w:rPr>
                                  <w:t>回收锡原料</w:t>
                                </w:r>
                              </w:p>
                            </w:txbxContent>
                          </wps:txbx>
                          <wps:bodyPr rot="0" spcFirstLastPara="0" vert="horz" wrap="square" lIns="91440" tIns="45720" rIns="91440" bIns="45720" numCol="1" spcCol="0" rtlCol="0" fromWordArt="0" anchor="ctr" anchorCtr="0" forceAA="0" compatLnSpc="1">
                            <a:noAutofit/>
                          </wps:bodyPr>
                        </wps:wsp>
                        <wps:wsp>
                          <wps:cNvPr id="150699059" name="矩形 150699059"/>
                          <wps:cNvSpPr/>
                          <wps:spPr>
                            <a:xfrm>
                              <a:off x="4748650" y="3044554"/>
                              <a:ext cx="1059482" cy="955284"/>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2E70322">
                                <w:pPr>
                                  <w:spacing w:line="240" w:lineRule="exact"/>
                                  <w:jc w:val="left"/>
                                  <w:rPr>
                                    <w:rFonts w:hint="eastAsia" w:ascii="宋体" w:hAnsi="宋体"/>
                                    <w:b/>
                                    <w:bCs/>
                                    <w:sz w:val="15"/>
                                    <w:szCs w:val="15"/>
                                  </w:rPr>
                                </w:pPr>
                                <w:r>
                                  <w:rPr>
                                    <w:rFonts w:hint="eastAsia" w:ascii="宋体" w:hAnsi="宋体"/>
                                    <w:b/>
                                    <w:bCs/>
                                    <w:sz w:val="15"/>
                                    <w:szCs w:val="15"/>
                                  </w:rPr>
                                  <w:t>共生</w:t>
                                </w:r>
                                <w:r>
                                  <w:rPr>
                                    <w:rFonts w:ascii="宋体" w:hAnsi="宋体"/>
                                    <w:b/>
                                    <w:bCs/>
                                    <w:sz w:val="15"/>
                                    <w:szCs w:val="15"/>
                                  </w:rPr>
                                  <w:t>产品</w:t>
                                </w:r>
                                <w:r>
                                  <w:rPr>
                                    <w:rFonts w:hint="eastAsia" w:ascii="宋体" w:hAnsi="宋体"/>
                                    <w:b/>
                                    <w:bCs/>
                                    <w:sz w:val="15"/>
                                    <w:szCs w:val="15"/>
                                  </w:rPr>
                                  <w:t>，</w:t>
                                </w:r>
                                <w:r>
                                  <w:rPr>
                                    <w:rFonts w:ascii="宋体" w:hAnsi="宋体"/>
                                    <w:b/>
                                    <w:bCs/>
                                    <w:sz w:val="15"/>
                                    <w:szCs w:val="15"/>
                                  </w:rPr>
                                  <w:t>如：</w:t>
                                </w:r>
                              </w:p>
                              <w:p w14:paraId="736FE9DE">
                                <w:pPr>
                                  <w:spacing w:line="240" w:lineRule="exact"/>
                                  <w:jc w:val="left"/>
                                  <w:rPr>
                                    <w:rFonts w:hint="eastAsia" w:ascii="宋体" w:hAnsi="宋体"/>
                                    <w:b/>
                                    <w:bCs/>
                                    <w:sz w:val="15"/>
                                    <w:szCs w:val="15"/>
                                  </w:rPr>
                                </w:pPr>
                                <w:r>
                                  <w:rPr>
                                    <w:rFonts w:hint="eastAsia" w:ascii="宋体" w:hAnsi="宋体"/>
                                    <w:b/>
                                    <w:bCs/>
                                    <w:sz w:val="15"/>
                                    <w:szCs w:val="15"/>
                                  </w:rPr>
                                  <w:t>含硫尾矿</w:t>
                                </w:r>
                              </w:p>
                              <w:p w14:paraId="712B2220">
                                <w:pPr>
                                  <w:spacing w:line="240" w:lineRule="exact"/>
                                  <w:jc w:val="left"/>
                                  <w:rPr>
                                    <w:rFonts w:hint="eastAsia" w:ascii="宋体" w:hAnsi="宋体"/>
                                    <w:b/>
                                    <w:bCs/>
                                    <w:sz w:val="15"/>
                                    <w:szCs w:val="15"/>
                                  </w:rPr>
                                </w:pPr>
                              </w:p>
                            </w:txbxContent>
                          </wps:txbx>
                          <wps:bodyPr rot="0" spcFirstLastPara="0" vert="horz" wrap="square" lIns="91440" tIns="45720" rIns="91440" bIns="45720" numCol="1" spcCol="0" rtlCol="0" fromWordArt="0" anchor="ctr" anchorCtr="0" forceAA="0" compatLnSpc="1">
                            <a:noAutofit/>
                          </wps:bodyPr>
                        </wps:wsp>
                      </wpg:wgp>
                      <wpg:wgp>
                        <wpg:cNvPr id="506745540" name="组合 506745540"/>
                        <wpg:cNvGrpSpPr/>
                        <wpg:grpSpPr>
                          <a:xfrm>
                            <a:off x="25400" y="999448"/>
                            <a:ext cx="659187" cy="2038328"/>
                            <a:chOff x="75207" y="1195938"/>
                            <a:chExt cx="785113" cy="2038328"/>
                          </a:xfrm>
                        </wpg:grpSpPr>
                        <wps:wsp>
                          <wps:cNvPr id="614946908" name="矩形 614946908"/>
                          <wps:cNvSpPr/>
                          <wps:spPr>
                            <a:xfrm>
                              <a:off x="75364" y="2730510"/>
                              <a:ext cx="784956" cy="50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6BD896">
                                <w:pPr>
                                  <w:pStyle w:val="20"/>
                                  <w:spacing w:before="0" w:beforeAutospacing="0" w:after="0" w:afterAutospacing="0"/>
                                  <w:jc w:val="center"/>
                                  <w:rPr>
                                    <w:rFonts w:hint="eastAsia" w:cs="Times New Roman"/>
                                    <w:b/>
                                    <w:bCs/>
                                    <w:sz w:val="15"/>
                                    <w:szCs w:val="15"/>
                                  </w:rPr>
                                </w:pPr>
                                <w:r>
                                  <w:rPr>
                                    <w:rFonts w:hint="eastAsia" w:cs="Times New Roman"/>
                                    <w:b/>
                                    <w:bCs/>
                                    <w:sz w:val="15"/>
                                    <w:szCs w:val="15"/>
                                  </w:rPr>
                                  <w:t>地表水/</w:t>
                                </w:r>
                              </w:p>
                              <w:p w14:paraId="1EC914F9">
                                <w:pPr>
                                  <w:pStyle w:val="20"/>
                                  <w:spacing w:before="0" w:beforeAutospacing="0" w:after="0" w:afterAutospacing="0"/>
                                  <w:jc w:val="center"/>
                                  <w:rPr>
                                    <w:rFonts w:hint="eastAsia"/>
                                    <w:b/>
                                    <w:bCs/>
                                    <w:sz w:val="15"/>
                                    <w:szCs w:val="15"/>
                                  </w:rPr>
                                </w:pPr>
                                <w:r>
                                  <w:rPr>
                                    <w:rFonts w:hint="eastAsia" w:cs="Times New Roman"/>
                                    <w:b/>
                                    <w:bCs/>
                                    <w:sz w:val="15"/>
                                    <w:szCs w:val="15"/>
                                  </w:rPr>
                                  <w:t>地下水</w:t>
                                </w:r>
                              </w:p>
                            </w:txbxContent>
                          </wps:txbx>
                          <wps:bodyPr rot="0" spcFirstLastPara="0" vert="horz" wrap="square" lIns="91440" tIns="45720" rIns="91440" bIns="45720" numCol="1" spcCol="0" rtlCol="0" fromWordArt="0" anchor="ctr" anchorCtr="0" forceAA="0" compatLnSpc="1">
                            <a:noAutofit/>
                          </wps:bodyPr>
                        </wps:wsp>
                        <wps:wsp>
                          <wps:cNvPr id="1870183271" name="矩形 1870183271"/>
                          <wps:cNvSpPr/>
                          <wps:spPr>
                            <a:xfrm>
                              <a:off x="75207" y="1949244"/>
                              <a:ext cx="784699" cy="38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3644F0">
                                <w:pPr>
                                  <w:pStyle w:val="20"/>
                                  <w:spacing w:before="0" w:beforeAutospacing="0" w:after="0" w:afterAutospacing="0"/>
                                  <w:jc w:val="center"/>
                                  <w:rPr>
                                    <w:rFonts w:hint="eastAsia"/>
                                    <w:b/>
                                    <w:bCs/>
                                    <w:sz w:val="15"/>
                                    <w:szCs w:val="15"/>
                                  </w:rPr>
                                </w:pPr>
                                <w:r>
                                  <w:rPr>
                                    <w:rFonts w:hint="eastAsia" w:cs="Times New Roman"/>
                                    <w:b/>
                                    <w:bCs/>
                                    <w:sz w:val="15"/>
                                    <w:szCs w:val="15"/>
                                  </w:rPr>
                                  <w:t>能源资源</w:t>
                                </w:r>
                              </w:p>
                            </w:txbxContent>
                          </wps:txbx>
                          <wps:bodyPr rot="0" spcFirstLastPara="0" vert="horz" wrap="square" lIns="91440" tIns="45720" rIns="91440" bIns="45720" numCol="1" spcCol="0" rtlCol="0" fromWordArt="0" anchor="ctr" anchorCtr="0" forceAA="0" compatLnSpc="1">
                            <a:noAutofit/>
                          </wps:bodyPr>
                        </wps:wsp>
                        <wps:wsp>
                          <wps:cNvPr id="831176489" name="矩形 831176489"/>
                          <wps:cNvSpPr/>
                          <wps:spPr>
                            <a:xfrm>
                              <a:off x="75579" y="1195938"/>
                              <a:ext cx="784699" cy="38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FF72AB">
                                <w:pPr>
                                  <w:pStyle w:val="20"/>
                                  <w:spacing w:before="0" w:beforeAutospacing="0" w:after="0" w:afterAutospacing="0"/>
                                  <w:jc w:val="center"/>
                                  <w:rPr>
                                    <w:rFonts w:hint="eastAsia"/>
                                    <w:b/>
                                    <w:bCs/>
                                    <w:sz w:val="15"/>
                                    <w:szCs w:val="15"/>
                                  </w:rPr>
                                </w:pPr>
                                <w:r>
                                  <w:rPr>
                                    <w:rFonts w:hint="eastAsia" w:cs="Times New Roman"/>
                                    <w:b/>
                                    <w:bCs/>
                                    <w:sz w:val="15"/>
                                    <w:szCs w:val="15"/>
                                  </w:rPr>
                                  <w:t>其他资源</w:t>
                                </w:r>
                              </w:p>
                            </w:txbxContent>
                          </wps:txbx>
                          <wps:bodyPr rot="0" spcFirstLastPara="0" vert="horz" wrap="square" lIns="91440" tIns="45720" rIns="91440" bIns="45720" numCol="1" spcCol="0" rtlCol="0" fromWordArt="0" anchor="ctr" anchorCtr="0" forceAA="0" compatLnSpc="1">
                            <a:noAutofit/>
                          </wps:bodyPr>
                        </wps:wsp>
                      </wpg:wgp>
                      <wpg:wgp>
                        <wpg:cNvPr id="39677048" name="组合 39677048"/>
                        <wpg:cNvGrpSpPr/>
                        <wpg:grpSpPr>
                          <a:xfrm>
                            <a:off x="4536325" y="1036761"/>
                            <a:ext cx="778350" cy="1901795"/>
                            <a:chOff x="6151425" y="1233251"/>
                            <a:chExt cx="937233" cy="1901795"/>
                          </a:xfrm>
                        </wpg:grpSpPr>
                        <wps:wsp>
                          <wps:cNvPr id="739000213" name="矩形 739000213"/>
                          <wps:cNvSpPr/>
                          <wps:spPr>
                            <a:xfrm>
                              <a:off x="6151425" y="2751506"/>
                              <a:ext cx="920299" cy="38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DEEEE7">
                                <w:pPr>
                                  <w:pStyle w:val="20"/>
                                  <w:spacing w:before="0" w:beforeAutospacing="0" w:after="0" w:afterAutospacing="0"/>
                                  <w:jc w:val="center"/>
                                  <w:rPr>
                                    <w:rFonts w:hint="eastAsia"/>
                                    <w:b/>
                                    <w:bCs/>
                                    <w:sz w:val="15"/>
                                    <w:szCs w:val="15"/>
                                  </w:rPr>
                                </w:pPr>
                                <w:r>
                                  <w:rPr>
                                    <w:rFonts w:hint="eastAsia" w:cs="Times New Roman"/>
                                    <w:b/>
                                    <w:bCs/>
                                    <w:sz w:val="15"/>
                                    <w:szCs w:val="15"/>
                                  </w:rPr>
                                  <w:t>渣堆存/填埋</w:t>
                                </w:r>
                              </w:p>
                            </w:txbxContent>
                          </wps:txbx>
                          <wps:bodyPr rot="0" spcFirstLastPara="0" vert="horz" wrap="square" lIns="91440" tIns="45720" rIns="91440" bIns="45720" numCol="1" spcCol="0" rtlCol="0" fromWordArt="0" anchor="ctr" anchorCtr="0" forceAA="0" compatLnSpc="1">
                            <a:noAutofit/>
                          </wps:bodyPr>
                        </wps:wsp>
                        <wps:wsp>
                          <wps:cNvPr id="330992071" name="矩形 330992071"/>
                          <wps:cNvSpPr/>
                          <wps:spPr>
                            <a:xfrm>
                              <a:off x="6152062" y="1986996"/>
                              <a:ext cx="936596" cy="3829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7FD33B">
                                <w:pPr>
                                  <w:pStyle w:val="20"/>
                                  <w:spacing w:before="0" w:beforeAutospacing="0" w:after="0" w:afterAutospacing="0"/>
                                  <w:jc w:val="center"/>
                                  <w:rPr>
                                    <w:rFonts w:hint="eastAsia"/>
                                    <w:b/>
                                    <w:bCs/>
                                    <w:sz w:val="15"/>
                                    <w:szCs w:val="15"/>
                                  </w:rPr>
                                </w:pPr>
                                <w:r>
                                  <w:rPr>
                                    <w:rFonts w:hint="eastAsia" w:cs="Times New Roman"/>
                                    <w:b/>
                                    <w:bCs/>
                                    <w:sz w:val="15"/>
                                    <w:szCs w:val="15"/>
                                  </w:rPr>
                                  <w:t>排入自然</w:t>
                                </w:r>
                                <w:r>
                                  <w:rPr>
                                    <w:rFonts w:cs="Times New Roman"/>
                                    <w:b/>
                                    <w:bCs/>
                                    <w:sz w:val="15"/>
                                    <w:szCs w:val="15"/>
                                  </w:rPr>
                                  <w:t>水体</w:t>
                                </w:r>
                              </w:p>
                            </w:txbxContent>
                          </wps:txbx>
                          <wps:bodyPr rot="0" spcFirstLastPara="0" vert="horz" wrap="square" lIns="91440" tIns="45720" rIns="91440" bIns="45720" numCol="1" spcCol="0" rtlCol="0" fromWordArt="0" anchor="ctr" anchorCtr="0" forceAA="0" compatLnSpc="1">
                            <a:noAutofit/>
                          </wps:bodyPr>
                        </wps:wsp>
                        <wps:wsp>
                          <wps:cNvPr id="629010158" name="矩形 629010158"/>
                          <wps:cNvSpPr/>
                          <wps:spPr>
                            <a:xfrm>
                              <a:off x="6152696" y="1233251"/>
                              <a:ext cx="935543" cy="3829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D76AEF">
                                <w:pPr>
                                  <w:pStyle w:val="20"/>
                                  <w:spacing w:before="0" w:beforeAutospacing="0" w:after="0" w:afterAutospacing="0"/>
                                  <w:jc w:val="center"/>
                                  <w:rPr>
                                    <w:rFonts w:hint="eastAsia"/>
                                    <w:b/>
                                    <w:bCs/>
                                    <w:sz w:val="15"/>
                                    <w:szCs w:val="15"/>
                                  </w:rPr>
                                </w:pPr>
                                <w:r>
                                  <w:rPr>
                                    <w:rFonts w:hint="eastAsia" w:cs="Times New Roman"/>
                                    <w:b/>
                                    <w:bCs/>
                                    <w:sz w:val="15"/>
                                    <w:szCs w:val="15"/>
                                  </w:rPr>
                                  <w:t>排入大气</w:t>
                                </w:r>
                              </w:p>
                            </w:txbxContent>
                          </wps:txbx>
                          <wps:bodyPr rot="0" spcFirstLastPara="0" vert="horz" wrap="square" lIns="91440" tIns="45720" rIns="91440" bIns="45720" numCol="1" spcCol="0" rtlCol="0" fromWordArt="0" anchor="ctr" anchorCtr="0" forceAA="0" compatLnSpc="1">
                            <a:noAutofit/>
                          </wps:bodyPr>
                        </wps:wsp>
                      </wpg:wgp>
                      <wps:wsp>
                        <wps:cNvPr id="1008322312" name="矩形 1008322312"/>
                        <wps:cNvSpPr/>
                        <wps:spPr>
                          <a:xfrm>
                            <a:off x="836871" y="446077"/>
                            <a:ext cx="3557329" cy="3415993"/>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wpg:cNvPr id="1038047766" name="组合 1038047766"/>
                        <wpg:cNvGrpSpPr/>
                        <wpg:grpSpPr>
                          <a:xfrm>
                            <a:off x="3422241" y="1129641"/>
                            <a:ext cx="171859" cy="1855228"/>
                            <a:chOff x="3422473" y="1129641"/>
                            <a:chExt cx="279620" cy="1855228"/>
                          </a:xfrm>
                        </wpg:grpSpPr>
                        <wps:wsp>
                          <wps:cNvPr id="1178217931" name="直接箭头连接符 1178217931"/>
                          <wps:cNvCnPr/>
                          <wps:spPr>
                            <a:xfrm>
                              <a:off x="3436363" y="1129641"/>
                              <a:ext cx="25835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46990411" name="直接箭头连接符 2046990411"/>
                          <wps:cNvCnPr/>
                          <wps:spPr>
                            <a:xfrm>
                              <a:off x="3436173" y="1568342"/>
                              <a:ext cx="2468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9835341" name="直接箭头连接符 439835341"/>
                          <wps:cNvCnPr/>
                          <wps:spPr>
                            <a:xfrm flipH="1">
                              <a:off x="3435983" y="1981748"/>
                              <a:ext cx="258737" cy="70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4345246" name="直接箭头连接符 1214345246"/>
                          <wps:cNvCnPr/>
                          <wps:spPr>
                            <a:xfrm>
                              <a:off x="3436363" y="2984869"/>
                              <a:ext cx="265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1209758" name="直接箭头连接符 1211209758"/>
                          <wps:cNvCnPr/>
                          <wps:spPr>
                            <a:xfrm flipH="1">
                              <a:off x="3422473" y="2559139"/>
                              <a:ext cx="245321" cy="6621"/>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g:wgp>
                      <wpg:wgp>
                        <wpg:cNvPr id="2073913460" name="组合 2073913460"/>
                        <wpg:cNvGrpSpPr/>
                        <wpg:grpSpPr>
                          <a:xfrm>
                            <a:off x="4394737" y="1227893"/>
                            <a:ext cx="139163" cy="1518630"/>
                            <a:chOff x="5823031" y="1424383"/>
                            <a:chExt cx="330329" cy="1518630"/>
                          </a:xfrm>
                        </wpg:grpSpPr>
                        <wps:wsp>
                          <wps:cNvPr id="896879729" name="直接箭头连接符 896879729"/>
                          <wps:cNvCnPr/>
                          <wps:spPr>
                            <a:xfrm>
                              <a:off x="5823031" y="1424383"/>
                              <a:ext cx="330329" cy="3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20031030" name="直接箭头连接符 1220031030"/>
                          <wps:cNvCnPr/>
                          <wps:spPr>
                            <a:xfrm>
                              <a:off x="5824128" y="2173423"/>
                              <a:ext cx="328359" cy="4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1291518" name="直接箭头连接符 1061291518"/>
                          <wps:cNvCnPr/>
                          <wps:spPr>
                            <a:xfrm>
                              <a:off x="5823262" y="2942749"/>
                              <a:ext cx="328590" cy="26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1408006965" name="组合 1408006965"/>
                        <wpg:cNvGrpSpPr/>
                        <wpg:grpSpPr>
                          <a:xfrm>
                            <a:off x="666750" y="1191190"/>
                            <a:ext cx="162794" cy="1531546"/>
                            <a:chOff x="611865" y="1191190"/>
                            <a:chExt cx="217744" cy="1531546"/>
                          </a:xfrm>
                        </wpg:grpSpPr>
                        <wps:wsp>
                          <wps:cNvPr id="148817221" name="直接箭头连接符 148817221"/>
                          <wps:cNvCnPr/>
                          <wps:spPr>
                            <a:xfrm>
                              <a:off x="642345" y="1191190"/>
                              <a:ext cx="1872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3215718" name="直接箭头连接符 1403215718"/>
                          <wps:cNvCnPr/>
                          <wps:spPr>
                            <a:xfrm flipV="1">
                              <a:off x="611865" y="1976722"/>
                              <a:ext cx="217663" cy="50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9624178" name="直接箭头连接符 599624178"/>
                          <wps:cNvCnPr/>
                          <wps:spPr>
                            <a:xfrm>
                              <a:off x="634725" y="2722736"/>
                              <a:ext cx="19472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636830710" name="组合 636830710"/>
                        <wpg:cNvGrpSpPr/>
                        <wpg:grpSpPr>
                          <a:xfrm>
                            <a:off x="1722604" y="35999"/>
                            <a:ext cx="1701729" cy="4075394"/>
                            <a:chOff x="2435349" y="232489"/>
                            <a:chExt cx="2068296" cy="4075394"/>
                          </a:xfrm>
                        </wpg:grpSpPr>
                        <wps:wsp>
                          <wps:cNvPr id="610657258" name="矩形 610657258"/>
                          <wps:cNvSpPr/>
                          <wps:spPr>
                            <a:xfrm>
                              <a:off x="2435349" y="803790"/>
                              <a:ext cx="2068296" cy="319584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55345639" name="矩形 2055345639"/>
                          <wps:cNvSpPr/>
                          <wps:spPr>
                            <a:xfrm>
                              <a:off x="2497299" y="1033860"/>
                              <a:ext cx="1034148" cy="3189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2E06E7">
                                <w:pPr>
                                  <w:pStyle w:val="20"/>
                                  <w:spacing w:before="0" w:beforeAutospacing="0" w:after="0" w:afterAutospacing="0"/>
                                  <w:jc w:val="center"/>
                                  <w:rPr>
                                    <w:rFonts w:hint="eastAsia" w:cs="Times New Roman"/>
                                    <w:b/>
                                    <w:bCs/>
                                    <w:kern w:val="2"/>
                                    <w:sz w:val="15"/>
                                    <w:szCs w:val="15"/>
                                  </w:rPr>
                                </w:pPr>
                                <w:r>
                                  <w:rPr>
                                    <w:rFonts w:hint="eastAsia" w:cs="Times New Roman"/>
                                    <w:b/>
                                    <w:bCs/>
                                    <w:kern w:val="2"/>
                                    <w:sz w:val="15"/>
                                    <w:szCs w:val="15"/>
                                  </w:rPr>
                                  <w:t>采  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0687210" name="矩形 1040687210"/>
                          <wps:cNvSpPr/>
                          <wps:spPr>
                            <a:xfrm>
                              <a:off x="2601857" y="1550064"/>
                              <a:ext cx="849898" cy="38276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CB889C">
                                <w:pPr>
                                  <w:pStyle w:val="20"/>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lang w:eastAsia="zh-CN"/>
                                  </w:rPr>
                                  <w:t>锡</w:t>
                                </w:r>
                                <w:r>
                                  <w:rPr>
                                    <w:rFonts w:hint="eastAsia" w:cs="Times New Roman"/>
                                    <w:b/>
                                    <w:bCs/>
                                    <w:kern w:val="2"/>
                                    <w:sz w:val="15"/>
                                    <w:szCs w:val="15"/>
                                    <w:u w:val="single"/>
                                  </w:rPr>
                                  <w:t>矿石</w:t>
                                </w:r>
                              </w:p>
                            </w:txbxContent>
                          </wps:txbx>
                          <wps:bodyPr rot="0" spcFirstLastPara="0" vert="horz" wrap="square" lIns="91440" tIns="45720" rIns="91440" bIns="45720" numCol="1" spcCol="0" rtlCol="0" fromWordArt="0" anchor="ctr" anchorCtr="0" forceAA="0" compatLnSpc="1">
                            <a:noAutofit/>
                          </wps:bodyPr>
                        </wps:wsp>
                        <wps:wsp>
                          <wps:cNvPr id="1601655273" name="矩形 1601655273"/>
                          <wps:cNvSpPr/>
                          <wps:spPr>
                            <a:xfrm>
                              <a:off x="2490245" y="2173286"/>
                              <a:ext cx="1048200" cy="318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44A776">
                                <w:pPr>
                                  <w:pStyle w:val="20"/>
                                  <w:spacing w:before="0" w:beforeAutospacing="0" w:after="0" w:afterAutospacing="0"/>
                                  <w:rPr>
                                    <w:rFonts w:hint="eastAsia" w:cs="Times New Roman"/>
                                    <w:b/>
                                    <w:bCs/>
                                    <w:kern w:val="2"/>
                                    <w:sz w:val="15"/>
                                    <w:szCs w:val="15"/>
                                  </w:rPr>
                                </w:pPr>
                                <w:r>
                                  <w:rPr>
                                    <w:rFonts w:hint="eastAsia" w:cs="Times New Roman"/>
                                    <w:b/>
                                    <w:bCs/>
                                    <w:kern w:val="2"/>
                                    <w:sz w:val="15"/>
                                    <w:szCs w:val="15"/>
                                  </w:rPr>
                                  <w:t>破筛+浮选压滤</w:t>
                                </w:r>
                              </w:p>
                            </w:txbxContent>
                          </wps:txbx>
                          <wps:bodyPr rot="0" spcFirstLastPara="0" vert="horz" wrap="square" lIns="91440" tIns="45720" rIns="91440" bIns="45720" numCol="1" spcCol="0" rtlCol="0" fromWordArt="0" anchor="ctr" anchorCtr="0" forceAA="0" compatLnSpc="1">
                            <a:noAutofit/>
                          </wps:bodyPr>
                        </wps:wsp>
                        <wps:wsp>
                          <wps:cNvPr id="726064364" name="矩形 726064364"/>
                          <wps:cNvSpPr/>
                          <wps:spPr>
                            <a:xfrm>
                              <a:off x="2558826" y="2707049"/>
                              <a:ext cx="923804" cy="3365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D904BA">
                                <w:pPr>
                                  <w:pStyle w:val="20"/>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lang w:eastAsia="zh-CN"/>
                                  </w:rPr>
                                  <w:t>锡</w:t>
                                </w:r>
                                <w:r>
                                  <w:rPr>
                                    <w:rFonts w:hint="eastAsia" w:cs="Times New Roman"/>
                                    <w:b/>
                                    <w:bCs/>
                                    <w:kern w:val="2"/>
                                    <w:sz w:val="15"/>
                                    <w:szCs w:val="15"/>
                                    <w:u w:val="single"/>
                                  </w:rPr>
                                  <w:t>精矿</w:t>
                                </w:r>
                              </w:p>
                            </w:txbxContent>
                          </wps:txbx>
                          <wps:bodyPr rot="0" spcFirstLastPara="0" vert="horz" wrap="square" lIns="91440" tIns="45720" rIns="91440" bIns="45720" numCol="1" spcCol="0" rtlCol="0" fromWordArt="0" anchor="ctr" anchorCtr="0" forceAA="0" compatLnSpc="1">
                            <a:noAutofit/>
                          </wps:bodyPr>
                        </wps:wsp>
                        <wps:wsp>
                          <wps:cNvPr id="1783723015" name="矩形 1783723015"/>
                          <wps:cNvSpPr/>
                          <wps:spPr>
                            <a:xfrm>
                              <a:off x="2490114" y="3357139"/>
                              <a:ext cx="1048457" cy="31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972983">
                                <w:pPr>
                                  <w:pStyle w:val="20"/>
                                  <w:spacing w:before="0" w:beforeAutospacing="0" w:after="0" w:afterAutospacing="0"/>
                                  <w:ind w:firstLine="301"/>
                                  <w:rPr>
                                    <w:rFonts w:hint="eastAsia" w:cs="Times New Roman"/>
                                    <w:b/>
                                    <w:bCs/>
                                    <w:kern w:val="2"/>
                                    <w:sz w:val="15"/>
                                    <w:szCs w:val="15"/>
                                  </w:rPr>
                                </w:pPr>
                                <w:r>
                                  <w:rPr>
                                    <w:rFonts w:hint="eastAsia" w:cs="Times New Roman"/>
                                    <w:b/>
                                    <w:bCs/>
                                    <w:sz w:val="15"/>
                                    <w:szCs w:val="15"/>
                                  </w:rPr>
                                  <w:t>冶</w:t>
                                </w:r>
                                <w:r>
                                  <w:rPr>
                                    <w:rFonts w:hint="eastAsia" w:cs="Times New Roman"/>
                                    <w:b/>
                                    <w:bCs/>
                                    <w:kern w:val="2"/>
                                    <w:sz w:val="15"/>
                                    <w:szCs w:val="15"/>
                                  </w:rPr>
                                  <w:t xml:space="preserve">  炼</w:t>
                                </w:r>
                              </w:p>
                            </w:txbxContent>
                          </wps:txbx>
                          <wps:bodyPr rot="0" spcFirstLastPara="0" vert="horz" wrap="square" lIns="91440" tIns="45720" rIns="91440" bIns="45720" numCol="1" spcCol="0" rtlCol="0" fromWordArt="0" anchor="ctr" anchorCtr="0" forceAA="0" compatLnSpc="1">
                            <a:noAutofit/>
                          </wps:bodyPr>
                        </wps:wsp>
                        <wps:wsp>
                          <wps:cNvPr id="1271038189" name="矩形 1271038189"/>
                          <wps:cNvSpPr/>
                          <wps:spPr>
                            <a:xfrm>
                              <a:off x="2457083" y="232489"/>
                              <a:ext cx="1074269" cy="318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E206D8B">
                                <w:pPr>
                                  <w:pStyle w:val="20"/>
                                  <w:spacing w:before="0" w:beforeAutospacing="0" w:after="0" w:afterAutospacing="0"/>
                                  <w:jc w:val="center"/>
                                  <w:rPr>
                                    <w:rFonts w:hint="eastAsia"/>
                                    <w:b/>
                                    <w:bCs/>
                                    <w:sz w:val="15"/>
                                    <w:szCs w:val="15"/>
                                  </w:rPr>
                                </w:pPr>
                                <w:r>
                                  <w:rPr>
                                    <w:rFonts w:hint="eastAsia" w:cs="Times New Roman"/>
                                    <w:b/>
                                    <w:bCs/>
                                    <w:kern w:val="2"/>
                                    <w:sz w:val="15"/>
                                    <w:szCs w:val="15"/>
                                    <w:lang w:eastAsia="zh-CN"/>
                                  </w:rPr>
                                  <w:t>锡</w:t>
                                </w:r>
                                <w:r>
                                  <w:rPr>
                                    <w:rFonts w:hint="eastAsia" w:cs="Times New Roman"/>
                                    <w:b/>
                                    <w:bCs/>
                                    <w:kern w:val="2"/>
                                    <w:sz w:val="15"/>
                                    <w:szCs w:val="15"/>
                                  </w:rPr>
                                  <w:t>矿</w:t>
                                </w:r>
                                <w:r>
                                  <w:rPr>
                                    <w:rFonts w:cs="Times New Roman"/>
                                    <w:b/>
                                    <w:bCs/>
                                    <w:kern w:val="2"/>
                                    <w:sz w:val="15"/>
                                    <w:szCs w:val="15"/>
                                  </w:rPr>
                                  <w:t>资源</w:t>
                                </w:r>
                              </w:p>
                            </w:txbxContent>
                          </wps:txbx>
                          <wps:bodyPr rot="0" spcFirstLastPara="0" vert="horz" wrap="square" lIns="91440" tIns="45720" rIns="91440" bIns="45720" numCol="1" spcCol="0" rtlCol="0" fromWordArt="0" anchor="ctr" anchorCtr="0" forceAA="0" compatLnSpc="1">
                            <a:noAutofit/>
                          </wps:bodyPr>
                        </wps:wsp>
                        <wps:wsp>
                          <wps:cNvPr id="689630170" name="矩形 689630170"/>
                          <wps:cNvSpPr/>
                          <wps:spPr>
                            <a:xfrm>
                              <a:off x="3572285" y="1624533"/>
                              <a:ext cx="888992" cy="31881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173701">
                                <w:pPr>
                                  <w:pStyle w:val="20"/>
                                  <w:spacing w:before="0" w:beforeAutospacing="0" w:after="0" w:afterAutospacing="0"/>
                                  <w:jc w:val="center"/>
                                  <w:rPr>
                                    <w:rFonts w:hint="eastAsia"/>
                                    <w:b/>
                                    <w:bCs/>
                                    <w:sz w:val="15"/>
                                    <w:szCs w:val="15"/>
                                  </w:rPr>
                                </w:pPr>
                                <w:r>
                                  <w:rPr>
                                    <w:rFonts w:hint="eastAsia" w:cs="Times New Roman"/>
                                    <w:b/>
                                    <w:bCs/>
                                    <w:sz w:val="15"/>
                                    <w:szCs w:val="15"/>
                                  </w:rPr>
                                  <w:t>尾矿处理</w:t>
                                </w:r>
                              </w:p>
                            </w:txbxContent>
                          </wps:txbx>
                          <wps:bodyPr rot="0" spcFirstLastPara="0" vert="horz" wrap="square" lIns="91440" tIns="45720" rIns="91440" bIns="45720" numCol="1" spcCol="0" rtlCol="0" fromWordArt="0" anchor="ctr" anchorCtr="0" forceAA="0" compatLnSpc="1">
                            <a:noAutofit/>
                          </wps:bodyPr>
                        </wps:wsp>
                        <wps:wsp>
                          <wps:cNvPr id="242764412" name="矩形 242764412"/>
                          <wps:cNvSpPr/>
                          <wps:spPr>
                            <a:xfrm>
                              <a:off x="3570949" y="2014504"/>
                              <a:ext cx="888770" cy="318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A5DC1B">
                                <w:pPr>
                                  <w:pStyle w:val="20"/>
                                  <w:spacing w:before="0" w:beforeAutospacing="0" w:after="0" w:afterAutospacing="0"/>
                                  <w:jc w:val="center"/>
                                  <w:rPr>
                                    <w:rFonts w:hint="eastAsia"/>
                                    <w:b/>
                                    <w:bCs/>
                                    <w:sz w:val="15"/>
                                    <w:szCs w:val="15"/>
                                  </w:rPr>
                                </w:pPr>
                                <w:r>
                                  <w:rPr>
                                    <w:rFonts w:hint="eastAsia" w:cs="Times New Roman"/>
                                    <w:b/>
                                    <w:bCs/>
                                    <w:sz w:val="15"/>
                                    <w:szCs w:val="15"/>
                                  </w:rPr>
                                  <w:t>废水处理</w:t>
                                </w:r>
                              </w:p>
                            </w:txbxContent>
                          </wps:txbx>
                          <wps:bodyPr rot="0" spcFirstLastPara="0" vert="horz" wrap="square" lIns="91440" tIns="45720" rIns="91440" bIns="45720" numCol="1" spcCol="0" rtlCol="0" fromWordArt="0" anchor="ctr" anchorCtr="0" forceAA="0" compatLnSpc="1">
                            <a:noAutofit/>
                          </wps:bodyPr>
                        </wps:wsp>
                        <wps:wsp>
                          <wps:cNvPr id="891596936" name="矩形 891596936"/>
                          <wps:cNvSpPr/>
                          <wps:spPr>
                            <a:xfrm>
                              <a:off x="3569613" y="2400400"/>
                              <a:ext cx="888063" cy="31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F9E13B">
                                <w:pPr>
                                  <w:pStyle w:val="20"/>
                                  <w:spacing w:before="0" w:beforeAutospacing="0" w:after="0" w:afterAutospacing="0"/>
                                  <w:jc w:val="center"/>
                                  <w:rPr>
                                    <w:rFonts w:hint="eastAsia"/>
                                    <w:b/>
                                    <w:bCs/>
                                    <w:sz w:val="15"/>
                                    <w:szCs w:val="15"/>
                                  </w:rPr>
                                </w:pPr>
                                <w:r>
                                  <w:rPr>
                                    <w:rFonts w:hint="eastAsia" w:cs="Times New Roman"/>
                                    <w:b/>
                                    <w:bCs/>
                                    <w:sz w:val="15"/>
                                    <w:szCs w:val="15"/>
                                  </w:rPr>
                                  <w:t>烟气处理</w:t>
                                </w:r>
                              </w:p>
                            </w:txbxContent>
                          </wps:txbx>
                          <wps:bodyPr rot="0" spcFirstLastPara="0" vert="horz" wrap="square" lIns="91440" tIns="45720" rIns="91440" bIns="45720" numCol="1" spcCol="0" rtlCol="0" fromWordArt="0" anchor="ctr" anchorCtr="0" forceAA="0" compatLnSpc="1">
                            <a:noAutofit/>
                          </wps:bodyPr>
                        </wps:wsp>
                        <wps:wsp>
                          <wps:cNvPr id="1965576614" name="矩形 1965576614"/>
                          <wps:cNvSpPr/>
                          <wps:spPr>
                            <a:xfrm>
                              <a:off x="3570882" y="2817319"/>
                              <a:ext cx="887355" cy="317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428414">
                                <w:pPr>
                                  <w:pStyle w:val="20"/>
                                  <w:spacing w:before="0" w:beforeAutospacing="0" w:after="0" w:afterAutospacing="0"/>
                                  <w:jc w:val="center"/>
                                  <w:rPr>
                                    <w:rFonts w:hint="eastAsia"/>
                                    <w:b/>
                                    <w:bCs/>
                                    <w:sz w:val="15"/>
                                    <w:szCs w:val="15"/>
                                  </w:rPr>
                                </w:pPr>
                                <w:r>
                                  <w:rPr>
                                    <w:rFonts w:hint="eastAsia" w:cs="Times New Roman"/>
                                    <w:b/>
                                    <w:bCs/>
                                    <w:sz w:val="15"/>
                                    <w:szCs w:val="15"/>
                                  </w:rPr>
                                  <w:t>废渣处理</w:t>
                                </w:r>
                              </w:p>
                            </w:txbxContent>
                          </wps:txbx>
                          <wps:bodyPr rot="0" spcFirstLastPara="0" vert="horz" wrap="square" lIns="91440" tIns="45720" rIns="91440" bIns="45720" numCol="1" spcCol="0" rtlCol="0" fromWordArt="0" anchor="ctr" anchorCtr="0" forceAA="0" compatLnSpc="1">
                            <a:noAutofit/>
                          </wps:bodyPr>
                        </wps:wsp>
                        <wps:wsp>
                          <wps:cNvPr id="932683327" name="矩形 932683327"/>
                          <wps:cNvSpPr/>
                          <wps:spPr>
                            <a:xfrm>
                              <a:off x="3573653" y="3224436"/>
                              <a:ext cx="887355" cy="43915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59ECB3">
                                <w:pPr>
                                  <w:pStyle w:val="20"/>
                                  <w:spacing w:before="0" w:beforeAutospacing="0" w:after="0" w:afterAutospacing="0"/>
                                  <w:jc w:val="center"/>
                                  <w:rPr>
                                    <w:rFonts w:hint="eastAsia"/>
                                    <w:b/>
                                    <w:bCs/>
                                    <w:sz w:val="15"/>
                                    <w:szCs w:val="15"/>
                                  </w:rPr>
                                </w:pPr>
                                <w:r>
                                  <w:rPr>
                                    <w:rFonts w:hint="eastAsia"/>
                                    <w:b/>
                                    <w:bCs/>
                                    <w:sz w:val="15"/>
                                    <w:szCs w:val="15"/>
                                  </w:rPr>
                                  <w:t>其他辅助</w:t>
                                </w:r>
                              </w:p>
                              <w:p w14:paraId="2ED1BF78">
                                <w:pPr>
                                  <w:pStyle w:val="20"/>
                                  <w:spacing w:before="0" w:beforeAutospacing="0" w:after="0" w:afterAutospacing="0"/>
                                  <w:jc w:val="center"/>
                                  <w:rPr>
                                    <w:rFonts w:hint="eastAsia"/>
                                    <w:b/>
                                    <w:bCs/>
                                    <w:sz w:val="15"/>
                                    <w:szCs w:val="15"/>
                                  </w:rPr>
                                </w:pPr>
                                <w:r>
                                  <w:rPr>
                                    <w:rFonts w:hint="eastAsia"/>
                                    <w:b/>
                                    <w:bCs/>
                                    <w:sz w:val="15"/>
                                    <w:szCs w:val="15"/>
                                  </w:rPr>
                                  <w:t>生产</w:t>
                                </w:r>
                              </w:p>
                            </w:txbxContent>
                          </wps:txbx>
                          <wps:bodyPr rot="0" spcFirstLastPara="0" vert="horz" wrap="square" lIns="91440" tIns="45720" rIns="91440" bIns="45720" numCol="1" spcCol="0" rtlCol="0" fromWordArt="0" anchor="ctr" anchorCtr="0" forceAA="0" compatLnSpc="1">
                            <a:noAutofit/>
                          </wps:bodyPr>
                        </wps:wsp>
                        <wps:wsp>
                          <wps:cNvPr id="477459132" name="直接箭头连接符 477459132"/>
                          <wps:cNvCnPr/>
                          <wps:spPr>
                            <a:xfrm>
                              <a:off x="3014575" y="551195"/>
                              <a:ext cx="70" cy="4827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77017074" name="直接箭头连接符 1877017074"/>
                          <wps:cNvCnPr/>
                          <wps:spPr>
                            <a:xfrm>
                              <a:off x="3031390" y="3044014"/>
                              <a:ext cx="318" cy="3136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1294230" name="直接箭头连接符 1081294230"/>
                          <wps:cNvCnPr/>
                          <wps:spPr>
                            <a:xfrm flipH="1">
                              <a:off x="3024402" y="3675517"/>
                              <a:ext cx="7306" cy="6323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6055083" name="直接箭头连接符 896055083"/>
                          <wps:cNvCnPr/>
                          <wps:spPr>
                            <a:xfrm>
                              <a:off x="3014645" y="1343955"/>
                              <a:ext cx="0" cy="313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03520356" name="直接箭头连接符 1103520356"/>
                          <wps:cNvCnPr/>
                          <wps:spPr>
                            <a:xfrm>
                              <a:off x="3024402" y="2490209"/>
                              <a:ext cx="0" cy="313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7725112" name="直接箭头连接符 897725112"/>
                          <wps:cNvCnPr/>
                          <wps:spPr>
                            <a:xfrm>
                              <a:off x="2999626" y="1840659"/>
                              <a:ext cx="0" cy="313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id="_x0000_s1026" o:spid="_x0000_s1026" o:spt="203" style="height:344.5pt;width:419.3pt;" coordsize="5325110,4375150" editas="canvas" o:gfxdata="UEsDBAoAAAAAAIdO4kAAAAAAAAAAAAAAAAAEAAAAZHJzL1BLAwQUAAAACACHTuJA48ySLtcAAAAF&#10;AQAADwAAAGRycy9kb3ducmV2LnhtbE2PQUvDQBCF74L/YRnBi7S7VQgxzaSHglhEKKba8zY7JsHs&#10;bJrdJvXfu3qpl4HHe7z3Tb46206MNPjWMcJirkAQV860XCO8755mKQgfNBvdOSaEb/KwKq6vcp0Z&#10;N/EbjWWoRSxhn2mEJoQ+k9JXDVnt564njt6nG6wOUQ61NIOeYrnt5L1SibS65bjQ6J7WDVVf5cki&#10;TNV23O9en+X2br9xfNwc1+XHC+LtzUItQQQ6h0sYfvEjOhSR6eBObLzoEOIj4e9GL31IExAHhCR9&#10;VCCLXP6nL34AUEsDBBQAAAAIAIdO4kBpFR4msA8AAMeYAAAOAAAAZHJzL2Uyb0RvYy54bWztXU2P&#10;40gZviPxH6Lc2XZ9uKrc2h40mtlZkFbsSsvH2ZNOpyMlcXA80zNc4cAJceCGBBICJCTgtAekFeLX&#10;DMvP4HldZZftpDtd0zPu1k7tYTbtqlTiyvu8H0+97+uPv/9qvZq8nJe7ZbE5m7KPkulkvpkV58vN&#10;4mz6kx8/+56ZTnZVvjnPV8VmfjZ9Pd9Nv//ou9/5+Gp7OufFZbE6n5cTLLLZnV5tz6aXVbU9PTnZ&#10;zS7n63z3UbGdbzB4UZTrvMKf5eLkvMyvsPp6dcKTRJ1cFeX5tixm890OV5/awalbsbzNgsXFxXI2&#10;f1rMXqznm8quWs5XeYVb2l0ut7vpo/rbXlzMZ9XnFxe7eTVZnU1xp1X9Lz4Er5/TvyePPs5PF2W+&#10;vVzO3FfIb/MVBve0zpcbfGi71NO8yicvyuXeUuvlrCx2xUX10axYn9gbqXcEd8GSwd58WhYvtvW9&#10;LE6vFtt20/FDDXb9rZed/ejlF+VkeX42NUmacSaVmE42+Ro//De/+/rNv3458dexV1fbxSne8mm5&#10;/XL7RekuLOxfdPuvLso1/R83NnlV7/Lrdpfnr6rJDBdTwVPG8APMMCaFTlnqfofZJX6svffNLj85&#10;8s6T5oNP6Pu1X+dqCwnd+W3b3W3bvrzMt/P619jRHrhtY0JykSU8Ue2+/fFvb/79p0lnoN6n+k3t&#10;ru1Od9jAA1vGEi2VxGK0OUmqJTNWSJvt44KpREm7fYKZJOM0od2D/HRb7qpP58V6Qi/OpiVAUMtm&#10;/vKzXWWnNlPoC+yK1fL82XK1qv8oF8+frMrJyxyAeVb/51bvTVttJldQHlwn9DvmUAMXgB9errcQ&#10;pd1mMZ3kqwX0y6wq68/eFPQJ+HD79Z7mu0v7GfWy9g7XywqaZbVckzDSf+6TVxvcHv2YdsvoVfXq&#10;+Su3q8+L89f4LcrCYnu3nT1b4r4/y3fVF3kJMOMbQt1h9LIofzGdXAHs+Io/f5GX8+lk9cMNxCJj&#10;UmJaVf8hU83xR9kded4d2bxYPymwPQyKcjurX9L8atW8vCiL9c+g5R7Tp2Io38zw2XYz3B9PKquE&#10;oCdn88eP62nQCNu8+mzz5XZGi9NebYrHL6riYln/bHTj9m7dfkC4LSRrkX+/6oElzAiVipS3cv71&#10;r9789teTzkD9iwQpCGWyVMDgQNhVokXGrCQ0ss4YZzzRVta51gk0h53RqgomoDcBAVrCJMKYdkKj&#10;NRjL1KFFWsTcg9bIjJEsSwxu3SlbqzT8dSfdUDS30BkyExDavT1ottGkpFX2drHdgGCV0UFzsCao&#10;AX9Q3dSYb0Dfm0bq6q4q47Z64nMoi4tVAfVWuFfTCWmOQ9e/3XplBOspsjRlgpM56+HAXw/CQcqT&#10;lEMtQxcwmWQp1sX789MGCDrTqYJCJs8DphMKxZmYxm9p7OJDMp09JOy69vn9AibaWOdAko0dAQsK&#10;9k9pnQ1tgr8ehgVmFLN+JJzEJDHZEAsq42mLBSbSiAVsMIxi9Ddv9jdHwALLhDSMSeO9TRdV+YFA&#10;NGjhoirOTJqKPcugeNZaBp22wUe0DDH6ujH6GgENHMqZcZ7yIRo6A4FoaG0DVwnXfM82pCptbYMy&#10;KtoGZxyjbbh/2yC4yYSC796PGRBHuOthWOBMk+ankCBJMr0fM0QsRF7ubXi5ESxDpjItGCfyshc/&#10;++tBWOhyaeCM4H3h7T587jFpwnDQv3eLGe7CI3Xe+y7ooRjtttGu50NHY5eNEIlKGFHBTo4tueyv&#10;13IcxC2LNGOCaE9o9jSjcKIvzToDXeS4ZcETkwptJ7TcstQSro+1DRqLJfvcMt7GksZT8ou01Krf&#10;SzrtGYdHUBJHbKDT2720oZNqr4foBIlYCExZvYvdPWgoNdy9zqQjlxm8RuzI/SmF++LKbksuf3sP&#10;oUYwdgyOmIGaSL2WcKSAHwgT7czo1Io2DprgPA5IgUzDtOLDHF0cKbKWFYlh0P2HQTKVmYSiH5IC&#10;zA8EoiFVmSOMFZdKDRIPMp1IjewQi4ZIkcUEhdsmKIxgGzSO+BnTQ8vQXg5CAo5LOBkZOI44UNxP&#10;S0B0peiYxiIh0mMRCQ8ICSyD/jcCx98D/78zEIQGaHqZYTGgwQiDOK0fRoEmQEIf7EaNBsPUXQ8S&#10;O4F9cHJJ572RFEDWyrtMMxtBi+M8g1HUvie7nYEw2ZWUYGY1ORZ2CR8dRgvBBGuTKZFhxmoOoA3f&#10;P4jMqEh9tdTXKAQN8p1VliHdeqig2+uhMt6QVCKRMk0HUSwYGrBfiBJIQSPfipt6QpTxDzRh2FOS&#10;o9G7EGxNgumPKSy966/XEh9E73IsZ6nZLAMBOQhWFbQ9sZYk8xxpwTgbHJC72rK/GMexRpqBesZ3&#10;yE99tYEGtctcvNtZosWN38fxqF2GkF8hb3igOVR7PURz6FSQ6aMd0iIBj9137LSRyKC0W5gmqNOo&#10;Hb/29oNN4/Xc7DusM7j+Q2Ky5GgFCSN4igA3FSRwjWzf3slnZyAMC/VZEGmDTGYcBxq1NmhOOYAF&#10;mOwmxhGkyTAesRCTJY8V54yABSPAfClEOgMo+OthSMCBXm0VenYxImF5bnVCLFN7mzI17y2N5nXW&#10;6fQJHeD1cgrayzUqgnxOHKwrkF0WHQly0NQwp0AbQQkD5HaivguZZfVhOLmVrrRVsZTJZgkuqBbW&#10;ipV3PDOhMbC3SGtt/FaO5niCA4f/BBam3Ut78uqvh6iY7h7wuv53wClmPOHR3MZa2PBa2BHMLVKV&#10;MgjonufprwdiAbXjYGdqjWHgZQ6xgKpbOpa19DqKFO6YXnN9hBTDsG9XXfgIWKCiGRSA72Xk+Ouh&#10;WGhTELq2sXE+UeacSmcZkX8asRATcm7VI8F7TCPlYDLUWwqOVh17yTl+IAQZaL1gyODASEiJ1E6X&#10;qdrgArDQAkU81khInKFl4m4ERecgNfgQ9noLc1sObrWgav/gcOu2WZiHSvk/zBJ/1y3nfbcOEQap&#10;Y1rBi+lFYgzEvBuowRAUi6HvDufSFfsznim8xiqds12NQk+HCSr55HtHALREndJGvld3CR+LcU3N&#10;Q1ws5he5z1iM0pyoZkl46vP3X/33N3/55p//ePPnr/73nz/Q67//ddKZ51XNk41r29R002laJ7U9&#10;m4REjEtdoIab0igbpEah24jdkiM06K4q8+XisnpSbDboQlSUtqvNNY2I9nQOUklo62/RXujuKqde&#10;4QaNk59W+XL1yeZ8Ur3eojtWVS7zzWI1d2r2QEKs1UbYelif2hUbyfbwhLjqRKLeoYHbQfnozAuV&#10;D0Z5oCQfqUKm0aBKCKmjIOejfDxU+ZAiA4AFqU6njQ+Kh592VDomF6vl9gcQh7pnlev9Bj2S4oOa&#10;wJahlqavn6FHNEpuap9FJ8eSEqIqKcdXJaiKkEKmQPTNstKZd1RYyER7EWlNDc8Miq0Gdehcwa+N&#10;quTBmhr87ujPhqZKnmM/qEs6847KxzXKxHtqPKUUwaGkUM0bNBqxZErhFYHF+zaDvk5RmfSVST8+&#10;HiUoAIGKdn/oyQJ494KCzkAtK0FBAYwWHPqmpItr1HT1jQ4EBxnKVk5wEmMU1As+pnNAkxouEvKt&#10;yb+RXCJ3qJnxietDCqa3jbY7i7Ty5rdztAMak8HpyqiRR7ObB4Hopx3FYUdPX7slTUjQ3RCCYQTf&#10;dY2k7isoQPuYBFKdkDW9yevrzAuUEMkQXxNoEJtST9w+7pB/B3fQ4g6l2EfOMKJ+LglC48aNLFHg&#10;QEifHRERPy9QRGyxIolIJrmWAxMOEUmbFlzUETIqkQAl4k3OaOkV6LCJQjmc1yAfomfBOwO1gARZ&#10;cKUUCo6s9WUZUpAGWalMgZJr2g2kKBdBbIJP6RhwxWDWXY5Gd4UOqYdCkLZlgV/jPu03Wt0Zpjm5&#10;sDeq53ZaCPQU1LE8sCON+UbOZN2ClZznyOg5xfOAGD0ACl5VCj77mHS0846KRx1m/XTA2XShg05Y&#10;kEeLrUZQYNpV4z2nCT+SEB6teImfYWQrjqM/FO93K6EPBgJ+2lFJ6QQCSkjtctfQNBBVA4NcFeRO&#10;k8zUUXhUJEGK5B4MOLg3lPNqehRHz37767VsBJlvsmEqsVUlcPiRxIc1umdyyIlsDqplggoU2PJ6&#10;RpsgiYgb5DRCBfITBfqvuCU65jtRyP1wKVGdRe7Tfit4z2jB3yHCXNOl9rrH2fGG/t09wEMNqD9h&#10;bxuRMeZ3QKB8CU8TcNL2lv1q987eAp7t8f4P3/DLXmuOjz/5Ix7302NwRjt9pObKqQJB22gViwR0&#10;0mgGwqBArJZVB6AvhAFh2MMCLkp4z9booKk/ejrdDQrXi/OHmSAZ4TMifFgiods17xhl1+PMDwTB&#10;B10VTdPjDM356MlRPfigyBOQcegxXNuuT60pjVWeTaIMkXGxU8LIlCSkFy0lEWgMjAkegdYMBKFB&#10;4kltjgkhmpqbYQCDciEQ5a0xiU+IiRnGt8owdrhoEynfy7MGwdJBf9dF+y5gc1VY7fUgMKSpMeBw&#10;6kBLJ+juNwjWMk7pmQ4LqEKxWcfRNBwMRqJpGNk0oNISZZKoPRmaBj8QhAaYBjxwpkaDQH7rXoYJ&#10;PDODR0O2piF2g42m4eGYBtA1lE2P8HcIBz8QBocUOZk2e7PLwjUnAfRASY50PVtxggOkuz4KIEbd&#10;H8rjascoS0SeE0zD3iNi8LhZdz0EC/RsVeQm2DNpHK6kKM7H+z2rbYxBRXCLBYMyeYxHRyk6Sg+g&#10;OwxHqo2SyM4aGAZ/PRALCRok2aAhQatxBAhDLJAtiHYhPsY88DHmI9gFg/Q2tO7GsXX/bMJfD8MC&#10;kp+oJQqdVKIZIfUjHGIhadIlcDIRI4YYMTygiAGJeynSeSjm7bFJzA+EoQEBA7WZJTQglw3H0kM0&#10;aNSpN5YhPj8ids2HC70pHr+oHoCXlCE3GQ8b4+B3emDw1wOxAL7UWga0gZDgbK/HAmpWGOZi/Rgx&#10;xIjhAWABrRokldj5iOFgCqGf5qFxi/YCFDRoG0ynaLDcNMhriKUmdsA5nDYxh9CphWuzn0hrjEy8&#10;E9cHaoWerOhU5UHxqDlBOy9MPgSod1sAQO3sIS591QlHuvEhBCUj36g3YwpyeQ8SkhgUEqHmwCeW&#10;HpYQP++ohByuCsZhvkysy4lmnFAng75IKB53aaJo2wlpicJi0fKA1AkYWSQG1kcNN2kTP+2oqHTy&#10;1cEBSzz11DK3aEiBp1/0lUlLVKH/faxJdPB4QNLBcKiF5zQIeg7BTeLRmRcmH16BcMoNwoOH8H7P&#10;7Ef5eNi9jkymkXSPJhQ3i4efFiIdSDtGLY1NkGEGeZkoYI7SAXS8g05Y3XKX+vXVAhnqCIAXZb69&#10;XM6e5lXe/bt2c0/nvLgsVufz8tH/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CASAABbQ29udGVudF9UeXBlc10ueG1sUEsBAhQACgAAAAAAh07i&#10;QAAAAAAAAAAAAAAAAAYAAAAAAAAAAAAQAAAAAhEAAF9yZWxzL1BLAQIUABQAAAAIAIdO4kCKFGY8&#10;0QAAAJQBAAALAAAAAAAAAAEAIAAAACYRAABfcmVscy8ucmVsc1BLAQIUAAoAAAAAAIdO4kAAAAAA&#10;AAAAAAAAAAAEAAAAAAAAAAAAEAAAAAAAAABkcnMvUEsBAhQAFAAAAAgAh07iQOPMki7XAAAABQEA&#10;AA8AAAAAAAAAAQAgAAAAIgAAAGRycy9kb3ducmV2LnhtbFBLAQIUABQAAAAIAIdO4kBpFR4msA8A&#10;AMeYAAAOAAAAAAAAAAEAIAAAACYBAABkcnMvZTJvRG9jLnhtbFBLBQYAAAAABgAGAFkBAABIEwAA&#10;AAA=&#10;">
                <o:lock v:ext="edit" aspectratio="f"/>
                <v:shape id="_x0000_s1026" o:spid="_x0000_s1026" style="position:absolute;left:0;top:0;height:4375150;width:5325110;" filled="f" stroked="f" coordsize="21600,21600" o:gfxdata="UEsDBAoAAAAAAIdO4kAAAAAAAAAAAAAAAAAEAAAAZHJzL1BLAwQUAAAACACHTuJA48ySLtcAAAAF&#10;AQAADwAAAGRycy9kb3ducmV2LnhtbE2PQUvDQBCF74L/YRnBi7S7VQgxzaSHglhEKKba8zY7JsHs&#10;bJrdJvXfu3qpl4HHe7z3Tb46206MNPjWMcJirkAQV860XCO8755mKQgfNBvdOSaEb/KwKq6vcp0Z&#10;N/EbjWWoRSxhn2mEJoQ+k9JXDVnt564njt6nG6wOUQ61NIOeYrnt5L1SibS65bjQ6J7WDVVf5cki&#10;TNV23O9en+X2br9xfNwc1+XHC+LtzUItQQQ6h0sYfvEjOhSR6eBObLzoEOIj4e9GL31IExAHhCR9&#10;VCCLXP6nL34AUEsDBBQAAAAIAIdO4kD//mqGaQ8AAN6XAAAOAAAAZHJzL2Uyb0RvYy54bWztXUuP&#10;47gRvgfIfzB8zzZfIqnG9gSDeWwCLLILbB5njdvdbcC2HNkzPZtzDjkFuQdIgCAJECDJaW9BkF+z&#10;2fyMfCVSoiS7283tGXVjhwPMjCzSlE3XV8X6WFX8+IdvV8vJm3m1XZTrsyn/iE0n8/WsPF+sL8+m&#10;P/vpyx/Y6WS7K9bnxbJcz8+mX8630x8++f73Pr7enM5FeVUuz+fVBIOst6fXm7Pp1W63OT052c6u&#10;5qti+1G5ma/ReFFWq2KHl9XlyXlVXGP01fJEMKZPrsvqfFOVs/l2i7vPXePUj1jdZcDy4mIxmz8v&#10;Z69X8/XOjVrNl8UOX2l7tdhsp0/qT3txMZ/tPru42M53k+XZFN90V/+Lh+D6Ff178uTj4vSyKjZX&#10;i5n/CMVdPsLgO62KxRoPbYd6XuyKyetqsTfUajGrym15sftoVq5O3BepZwTfgrPB3Dwr1m8K92Vm&#10;mOvmA+LqHY776hJzgCFPr/HTzutr/LDbTfsTb+/3sC+uis28/kG2p7OfvPm8mizOIXdSCZkzwfR0&#10;si5WkLNv/vi3r//9p0mnwX8WvOmLzeeVf7XFJU3024tqRf9jCidvMR4zSisM9uXZVLHMKG7dbzt/&#10;u5vM0EFIrplW08kMPSS3LBfU4SSMtKm2u0/m5WpCF2fTCrJT/6TFm0+3O9e16UIP3pbLxfnLxXJZ&#10;v6guXz1bVpM3BeTsZf3Hj97rtlxPrvFZhWGQv1kB9FxAanG52mBOtuvL6aRYXgKWs11VP3td0hPw&#10;8OKUnv282F65Z9TDum+4WuwAyOVidTa1jP74Jy/X+HrXm+2pmzK62r199dbP46vy/Ev8FlXpILHd&#10;zF4u8IRPi+3u86ICBvAJoSXQelVWv5pOroERfMRfvi6q+XSy/PEaYpFzpQhU9QuVGYEXVbflVbdl&#10;/Xr1rMT0cOiXzay+pP67ZXN5UZWrX0A5PKWnoqlYz/BsNxn+xbOdwy7Uy2z+9GndDUDaFLtP118Q&#10;LLiftqevd+XFov7Z6Iu7b+vnA8JNEn95en0ZpBzKb6DJoqD6SVW+3uDZNGxHyhm3UmcyE62U/+vX&#10;X//uNxMeGurfo37TJ9WmFfRLKKX6Ff30A1nXNs8ktDQEWTMjc+7koJF0zgUXzDhJF8Ywkfkesyso&#10;wxotEsoGAKAhLJPWth1eeLhwnutDg7R4gWR1PiPN8XvXGbm1iufM4qv3VEa472X7bhpD5RIiuzcH&#10;zTTajHTK3iy2E+AQGaEwOliO1gM13A8qmxrxDeR73d6FwrirlvgMquJiWUK5lf5qOiG9cej+d1ur&#10;jIADmWcZl4KMWQ8H4X4UDjLBMgGlDF3AFcszjIv3F6cNEExuMg117A0nFIo3MI1aaqziYzKcPSRs&#10;u9b5/QImWVhvCsgUjoAFDfunjcmHNiHcj8MCt5q7VSSWiIzZfIgFnYusxQKXWcICJhhGMa02b19t&#10;joAFnktlOVc2rDa9TxUaItFgpPepBLdZJvcsgxZ5axlM1roeyTIk3+tW32sENAgoZy5EJoZo6DRE&#10;oqG1DUIzYcSebch01toGbXWyDd44Jtvw8LZBCptLjbV732eAH+Hvx2FBcEOan7g0xnKz7zMkLCRW&#10;7tuwciNYhlznRnJB1GXPfw73o7DQ5dLAGWH1hbcH97nHpEkrQP7ez2e4D4/Uee+7oIeSt9t6uzUf&#10;CkJ5JGbZSsk040QDexl2xHK4X8twFK8ss5xLojyh1bOcXIm+JJscVJHnlaVgNpPGdWh5ZWUUlj3O&#10;LhgMxvZ5ZbyNs2aVFAZpadUH4JW1VhnoNPpqPX0Q7sfoAwU/iFuMhVnszkFDp+Hbm1x5YpljxYgZ&#10;eTiF8FA82V2J5e/u9tMIho5jEWahJrKgJTwhEBriRDu3JnOijU0mLBwHhEBuYFbxME8VJ3qsZUSS&#10;C/TwLpDKVK6g6IeEAA8NkWjIdO7JYi2U1oOQg9wwZWSDhkSPpdAEuAXr8g6hCSPYBoPtfc7N0DK0&#10;t6OQgK0SQUYGSx5sJu6HJMCz0rRF4+xCosYSEh4REngO/W8ltr4H6/9OQxQaoOlVjsGABist/LS+&#10;GwWKQIoMdqNGg+X6vpuIHac+OrCk895ECCBi5V0GmI2gxbGXwclr35PdTkOc7CoKLnOaHAP7YI8O&#10;mwVngrdhlIgu4zUH0LrvH0RUVKK9WtprlCAPnjGd5yzbU9Dt/VgZb0gqyZTKsoEXC4YG7Be8BFLQ&#10;iLUStu6QZPwDDRUemdqFUBsSyrA94ajdcL+W9ihqV2A4R8vmOcjHgaOqoemJsSR5FwgHxp7ggNg1&#10;jvlFO7Yzshy0Mz5DcTq7euHjhQ1oXe593c4QLWYegtblcPc14oUHyzrd3o/RGiaTZPZohoxk4LD7&#10;izpjFSIn3RRmTCJiktrbrx9tFm/mZd9hdsHND0lBkqOlIYywSgS4Kd9AGET59nY4Og1xWKj3gUgb&#10;5CoX2MyotUGzwwEswFw3/o0kTZawkIIkHwfvZSVYLw0vZwCFcD8OCdjMq61Czy4mJCzOnU5IyWnf&#10;Jjlt5BVnHULPaOOuF0vQ3q4REbXexIa6BsnlkMEQd6aHsQTGSgoUoCUncroQTVZvgtOS0ueoaZ5x&#10;1QwhJEbbCybIpUHD3iDtqusBFp3gvrF2AvvSzqXbcQ33Y9RLdw6EycgP7pvaXDCRTG3Kfo3Pfh1h&#10;2YkQpRwCurfqDPcjsYBscbAytcawWGEOsYBMW9qOdbQ6EhPuGVZzs3eUXLDvVib4CFigRBkkfe9F&#10;4oT7sVhoQw+6trFZeCK1OVPeMiLmNGEhBeLcKfSgu/AcARUcGZZSoDTHXkhOaIjBBYotWDI3MBFK&#10;IaDTx6c2qAAojETajjMRCjtnubwfNdHZPo3eer3ZvtyVfVteUkGQaEfrrrGXh5L3P8yk/lFKhUiL&#10;cDGjsYLpeWEchLxvqKEQ5Yehyo4Qyif3c5FrXGOUzn6uQWKnRwSleIo96p+GqMPYaN3VHSKQ/8JQ&#10;sRDvh4VBHtIPo9AmylGSgfL8/Vf//e1fvvnnP77+81f/+88f6Prvf510+gVF82x9rNyQVPBvNQzs&#10;cFIaVYNwKFQXcVNyhP7c7qpicXm1e1au16g5VFauhs0NZYf2NA7CR2jq71BM6P4Kpx7hFn1TnO6K&#10;xfLF+nyy+3KDmk67alGsL5dzr2QPBME6XYSph+WpDc5IdQMEI46aKeQ4NHA7KB+dfrHywSn2k+Qj&#10;04guGmQFIVwUpHySj8cqH0rmALAk1em18UHxCN2OSsfkYrnY/AjiUFeo8mXLoEcyPKhxajnyZ/r6&#10;GXrEIM2mXrEYdiwQIamSanxVgkwIJVUGRN8uK51+R4WFTHQQkdbUiNwiwWqQdy40VrVJlTxaU4Pf&#10;HfXYUEQp8OsHdUmn31H5uEGZhJWayCgscCgplOcGjUYMmda4IrCE8nKDOk5JmfSVSdc3HsEhAHGK&#10;0n6ovwJo9xyCTkMtJ1EOAQwWFvNNCpcwyOHqGxwIDSKSnYxgB8ZqqBY8prMxk1khGa2raW2jhEK8&#10;UNPjhY8GAsPb+tmdQVpZe4CNGZtjwZVT0Y5mNg+CMHQ7isGOjr5xShp3oDshBMEEvJviIR7KIUCp&#10;GAapZmRJb1vxdfpFSoji8K0JNPBLqfptH3eIucNS0OEOqddH9i6Sbq4IQuP6jJxp8B+kz46ISOgX&#10;KSIuOZFEJFfCqIH5hohkTbktqv6YlEiEEhnZeqOSJpLisEeDGIie9e401MIRZb211kgucpaX5wg5&#10;GkShcg0qriktkCE1BD4JntIx3prDpPu4jO4IHTIPSR9teYIwxkPabpS0s9wIWrreqprbbjGw01DF&#10;6sCMNKYbMZJ1qVVaNCcmzyudR8TkAVBYUWXgsY9JR9vvqHjU7tXPB1xNFzqoeAV5dNhqBAVmXTcr&#10;54yJIwHgyYJX+BlGtuDY8EOifjfr+aATELodlZSOE6ClMj5eDcUBkSUwiE9BrDTJTO19J0USpUhG&#10;Nt7g25C2a5Dj0dgbl4ET7tdyEWW6yX5p5jJIsNBH0B7G6O7DIQay2ZpWDNkmsON1jzYgEp42CGm4&#10;CLQ+lKiz4ofomG6mEevhQ6A6gzyk7dZYNaPMfof8cgGR4X7AWHv6QXNmReCmPBnanQMcXEA1CHvT&#10;iAixMAMSqUo4McBL2resSbu33xZxesf733DDL3ujKT5+tkfa4KdDK0bbcaQCypkGKdtoFYcEVMxo&#10;GuKgQGyWUwegLaQFUdjDAm4qrJydwcGJN6jddD8o3CzOH2ZAZILPiPDhTEG3G9Exyr6WWWiIgg+q&#10;J9qmlhmK8NHZUD34IKETkPHoscK46k6tKU0ZnY2RJhIuVUQYmYqE9KJ0JJyMgTHBIWdNQxQaFM5i&#10;8ywI0dPCDp0XpAeBIG+NSToFJkUU3ymi2OPi/Z4mCIYO+rtO0PcEoc+6au9HgSHLrAV/UztahqGK&#10;38BZywWFZHosIOvExRkn03DQGUmmYWTTgMxKpEUi12RoGkJDFBpgGnCoTI0GiZjWvagSrMwsDn9s&#10;TUOq+ppMw+MxDaBrKIIe7u8QDqEhDg4Z4jBdxGaXhWt2AejQSIEQPZdjgs2j+5b7T173h3Ig7QgJ&#10;Vzg6FgFdfO8YmHA/Bgt0fipiEtx+NDZWMiTj4/2B1bbWIgO4xYJFWjza00IpLZSOHc48AhYEQmy0&#10;QlTWwDCE+5FYYCiG5JwGhpLicBCGWCBbkOxCOqg88qDyEbBgEdaGEt3Ysu7vTYT7cVhA4BOVQKGd&#10;ShQepNqDQyywJlQCOxPJY0gewyPyGBC0lyGUh3zeHpvEQ0McGuAwUDlZQgPi2LAtPUSDQWZ6YxnS&#10;ORGpOj6W0I/lnIgcMck4VEyA3+mBIdyPxAL4UmcZUPhBgbO9GQvIVeHoi/GTx5A8hkfgMaA8g6K0&#10;uuAxHAwfDN0CNO5QUoCcBuOc6QzFlJuCeA2x1PgO2IczNsUPerVwY/QTaY2RiXfi+kCt0AmKt4ap&#10;h35x8iFBvbvgfypbD3Hpq04spJs1hKRA5Fv1Zgo/rh5AQphFAhHyDUJg6UEFghNimn5HJeRwJjA2&#10;8xVzS04U34Q6GVRCQsK4DxNFmU5ISxIWh5ZHpE7A1CIwsN5quE2bhG5HRaUTqw4OWOHUU8fcoggF&#10;TrnoK5OWqEKt+5SL6OHxiKSDY1MLZzJIOnPgNvHo9IuTj6BABMUG4YAhvD8w+0k+Hnd9I5sbBN2j&#10;8MTt4hG6xUgHwo6RR+MCZLhFXCYSl5N0AB3voPpVSHXB1ewUf2v397IqNleL2fNiV3Rf14vc07ko&#10;r8rl+bx68n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ZEQAAW0NvbnRlbnRfVHlwZXNdLnhtbFBLAQIUAAoAAAAAAIdO4kAAAAAAAAAAAAAAAAAG&#10;AAAAAAAAAAAAEAAAALsQAABfcmVscy9QSwECFAAUAAAACACHTuJAihRmPNEAAACUAQAACwAAAAAA&#10;AAABACAAAADfEAAAX3JlbHMvLnJlbHNQSwECFAAKAAAAAACHTuJAAAAAAAAAAAAAAAAABAAAAAAA&#10;AAAAABAAAAAAAAAAZHJzL1BLAQIUABQAAAAIAIdO4kDjzJIu1wAAAAUBAAAPAAAAAAAAAAEAIAAA&#10;ACIAAABkcnMvZG93bnJldi54bWxQSwECFAAUAAAACACHTuJA//5qhmkPAADelwAADgAAAAAAAAAB&#10;ACAAAAAmAQAAZHJzL2Uyb0RvYy54bWxQSwUGAAAAAAYABgBZAQAAARMAAAAA&#10;">
                  <v:fill on="f" focussize="0,0"/>
                  <v:stroke on="f"/>
                  <v:imagedata o:title=""/>
                  <o:lock v:ext="edit" aspectratio="t"/>
                </v:shape>
                <v:rect id="_x0000_s1026" o:spid="_x0000_s1026" o:spt="1" style="position:absolute;left:1074646;top:4057418;height:318092;width:2316064;v-text-anchor:middle;" fillcolor="#FFFFFF [3201]" filled="t" stroked="f" coordsize="21600,21600" o:gfxdata="UEsDBAoAAAAAAIdO4kAAAAAAAAAAAAAAAAAEAAAAZHJzL1BLAwQUAAAACACHTuJAZhLiz9YAAAAF&#10;AQAADwAAAGRycy9kb3ducmV2LnhtbE2PzU7DMBCE70i8g7VI3KhdKkJI4/RQiUMOSNBy4OjG2yQk&#10;Xke289O3x3Chl5VGM5r5Nt8tpmcTOt9akrBeCWBIldUt1RI+j68PKTAfFGnVW0IJF/SwK25vcpVp&#10;O9MHTodQs1hCPlMSmhCGjHNfNWiUX9kBKXpn64wKUbqaa6fmWG56/ihEwo1qKS40asB9g1V3GI2E&#10;rizNuDxVU/n+9vy9cfOlO37tpby/W4stsIBL+A/DL35EhyIynexI2rNeQnwk/N3opZs0AXaSkKQv&#10;AniR82v64gdQSwMEFAAAAAgAh07iQLXhznB1AgAAxAQAAA4AAABkcnMvZTJvRG9jLnhtbK1UzW7b&#10;MAy+D9g7CLqv/ombpEGdImiQYUCxFeiGnRVZjgXob5QSp3uZAbvtIfY4w15jlOy2WXfpYT44ZMh8&#10;H/mRzOXVUStyEOClNTUtznJKhOG2kWZX008fN2/mlPjATMOUNaKm98LTq+XrV5e9W4jSdlY1AgiC&#10;GL/oXU27ENwiyzzvhGb+zDphMNha0CygC7usAdYjulZZmefTrLfQOLBceI/frocgHRHhJYC2bSUX&#10;a8v3WpgwoIJQLGBLvpPO02Wqtm0FDx/a1otAVE2x05DeSIL2Nr6z5SVb7IC5TvKxBPaSEp71pJk0&#10;SPoItWaBkT3If6C05GC9bcMZtzobGkmKYBdF/kybu445kXpBqb17FN3/P1j+/nALRDa4CZOqnFzk&#10;ZT6lxDCNk//97cevn9/JSQDV6p1f4I/u3C2Mnkcztn5sQcdPbIocES+fVdMKwe5rWuXns6qYD2qL&#10;YyAcE8pJMc2nFSUcMybFPL8oY0L2hOTAh7fCahKNmgJOM4nMDjc+DKkPKZHYWyWbjVQqObDbXisg&#10;B4aT36RnRP8rTRnSY63lLMeN4Az3ucU9QlM71MSbHSVM7fBQeIDEbWxkQHK2iNxr5ruBI8EOHWoZ&#10;8ESU1DWd5/EZmZXB9qKAg2TRCsftcdRxa5t7nAXYYUm94xuJDDfMh1sGuJVYId4tRjsLXynpcWux&#10;xC97BoIS9c7gWlwUVRXXPDnV+axEB04j29OI2etri/IUePGOJzPmB/VgtmD1ZzzXVWTFEDMcuQcx&#10;Ruc6DNeEB8/FapXScLUdCzfmzvEIHrUydrUPtpVpbLHxodtRD1zuNPjxEOP1nPop6+nPZ/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ZhLiz9YAAAAFAQAADwAAAAAAAAABACAAAAAiAAAAZHJzL2Rv&#10;d25yZXYueG1sUEsBAhQAFAAAAAgAh07iQLXhznB1AgAAxAQAAA4AAAAAAAAAAQAgAAAAJQEAAGRy&#10;cy9lMm9Eb2MueG1sUEsFBgAAAAAGAAYAWQEAAAwGAAAAAA==&#10;">
                  <v:fill on="t" focussize="0,0"/>
                  <v:stroke on="f" weight="1pt" miterlimit="8" joinstyle="miter"/>
                  <v:imagedata o:title=""/>
                  <o:lock v:ext="edit" aspectratio="f"/>
                  <v:textbox>
                    <w:txbxContent>
                      <w:p w14:paraId="54FAE6B1">
                        <w:pPr>
                          <w:pStyle w:val="20"/>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rPr>
                          <w:t>粗</w:t>
                        </w:r>
                        <w:r>
                          <w:rPr>
                            <w:rFonts w:hint="eastAsia" w:cs="Times New Roman"/>
                            <w:b/>
                            <w:bCs/>
                            <w:kern w:val="2"/>
                            <w:sz w:val="15"/>
                            <w:szCs w:val="15"/>
                            <w:u w:val="single"/>
                            <w:lang w:eastAsia="zh-CN"/>
                          </w:rPr>
                          <w:t>锡</w:t>
                        </w:r>
                        <w:r>
                          <w:rPr>
                            <w:rFonts w:hint="eastAsia" w:cs="Times New Roman"/>
                            <w:b/>
                            <w:bCs/>
                            <w:kern w:val="2"/>
                            <w:sz w:val="15"/>
                            <w:szCs w:val="15"/>
                            <w:u w:val="single"/>
                          </w:rPr>
                          <w:t>/</w:t>
                        </w:r>
                        <w:r>
                          <w:rPr>
                            <w:rFonts w:hint="eastAsia" w:cs="Times New Roman"/>
                            <w:b/>
                            <w:bCs/>
                            <w:kern w:val="2"/>
                            <w:sz w:val="15"/>
                            <w:szCs w:val="15"/>
                            <w:u w:val="single"/>
                            <w:lang w:eastAsia="zh-CN"/>
                          </w:rPr>
                          <w:t>锡</w:t>
                        </w:r>
                        <w:r>
                          <w:rPr>
                            <w:rFonts w:hint="eastAsia" w:cs="Times New Roman"/>
                            <w:b/>
                            <w:bCs/>
                            <w:kern w:val="2"/>
                            <w:sz w:val="15"/>
                            <w:szCs w:val="15"/>
                            <w:u w:val="single"/>
                          </w:rPr>
                          <w:t>锭</w:t>
                        </w:r>
                      </w:p>
                    </w:txbxContent>
                  </v:textbox>
                </v:rect>
                <v:group id="_x0000_s1026" o:spid="_x0000_s1026" o:spt="203" style="position:absolute;left:689538;top:607391;height:2770251;width:1121207;" coordorigin="1301092,803881" coordsize="1196207,2770251"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LFGfsNMBAAAOBgAAA4AAABkcnMvZTJvRG9jLnhtbO1Yy27r&#10;NhDdF+g/CNo3Fqm3EOciSJqgQNAbIC26pmVJFiCJKknHTtdddHn/oEB3/Yain3PR3+ghJcuO7YXd&#10;FCkKyAuZj+GQPJwzQ87lh3VdWc+ZkCVvpja5cGwra1I+L5tian//3d1XkW1JxZo5q3iTTe2XTNof&#10;rr784nLVJhnlC17NM2FBSSOTVTu1F0q1yWQi00VWM3nB26xBZ85FzRSqopjMBVtBe11NqOMEkxUX&#10;81bwNJMSrbddp91rFKco5HleptktT5d11qhOq8gqprAluShbaV+Z1eZ5lqqPeS4zZVVTGztV5otJ&#10;UJ7p7+TqkiWFYO2iTPslsFOWsLenmpUNJh1U3TLFrKUoD1TVZSq45Lm6SHk96TZiEMEuiLOHzb3g&#10;y9bspUhWRTuAjoPaQ/0fq02/fX4UVjmHJTgkcgPf9altNazGyf/1x8+fP/1i7XQArVVbJBh0L9qn&#10;9lH0DUVX0wCsc1Hrf2zNWk/tIIp9Fxb1gqITujHpEM/WykrRTQgl1AltK4UADUOH+r1EusDBaQ3E&#10;BTAxFgWJyHGjaBD4elASB8eUTDarmehFD2tctTBcuUVTvg3NpwVrM3NIUgPToxlHkUdiJ8LWezB/&#10;/f3zn79Z23YDnRkyACkTCUyPoEi82PXDQww2MEY+cULvAMUBAJa0Qqr7jNeWLkxtAWIYe2XPD1Jh&#10;KRDdiOj5G35XVhXaWVI11gqnQEMHnEkZGJ+DaSjWLaxGNoVtsaqAK0mVMColr8q5Hq5HS1HMbiph&#10;PTNNQPPTFoDpXonpuW+ZXHRypqszlLpU8DZVWevD179+dNVAiT7JDjFdmvH5C9AXvCO5bNO7Emof&#10;mFSPTIDVWD/8nvqIT15xbIr3JdtacPHTsXYtD/NAr22t4CWw4R+XTGS2VX3TwHBi4nnarZiKhyNC&#10;Rez2zHZ7mmV9w4EDgYdtU1PU8qraFHPB6x/gHq/1rOhiTYq5O2j7yo3qvBccbJpdXxsxuJKWqYfm&#10;qU218u4Ar5eK56U52y06PWgwf83kd+CBG/s+cWkA43zFg237WTzwqeNTwAdfQDwn9qHXGOmGCGEc&#10;+gGA0+7EJREcSm8vG7e0MfITeWAs8agt35lfr/2V2P+GMGo9W/fon8qdkQsnBe7jMSFA/AvCMN6P&#10;Cdv287hAooAEHRe0b4zifS4EMfUHLhDXH7kAgBF6jgSPkQt9OHinuEBi14sI8aLtbbO7IO10nMmG&#10;0PU6NlAS+b57EBkCGg+RIfSHm8QYGQ6vUiMb3pcNFM6ZUOrTfTbsdJzJhiE20MChIT2IDX7gD7Eh&#10;iIIxNvTBcYwN//mbAe+FKHYD3N1fvxm27edxgZJQe379JHCcODx8M4xcOPmRPUaG940McRCHLqE6&#10;yfDq/bxtP4sLu7k05Ixw+8Jwlmyez4TsZNLciCLp87Y3w1vySDtj/4300Gi5g+WafCgSyuYx1Ce/&#10;dcZ6t24yRduE/9X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dNfTVdYAAAAFAQAADwAAAAAAAAAB&#10;ACAAAAAiAAAAZHJzL2Rvd25yZXYueG1sUEsBAhQAFAAAAAgAh07iQLFGfsNMBAAAOBgAAA4AAAAA&#10;AAAAAQAgAAAAJQEAAGRycy9lMm9Eb2MueG1sUEsFBgAAAAAGAAYAWQEAAOMHAAAAAA==&#10;">
                  <o:lock v:ext="edit" aspectratio="f"/>
                  <v:rect id="_x0000_s1026" o:spid="_x0000_s1026" o:spt="1" style="position:absolute;left:1493572;top:803881;height:2770251;width:851074;v-text-anchor:middle;" filled="f" stroked="t" coordsize="21600,21600" o:gfxdata="UEsDBAoAAAAAAIdO4kAAAAAAAAAAAAAAAAAEAAAAZHJzL1BLAwQUAAAACACHTuJAE+Y45cAAAADi&#10;AAAADwAAAGRycy9kb3ducmV2LnhtbEVPz2vCMBS+D/Y/hDfwNpMOlVqNHjoGkwkyt8tuj+bZdmte&#10;ShJb99+bg+Dx4/u93l5sJwbyoXWsIZsqEMSVMy3XGr6/3p5zECEiG+wck4Z/CrDdPD6ssTBu5E8a&#10;jrEWKYRDgRqaGPtCylA1ZDFMXU+cuJPzFmOCvpbG45jCbSdflFpIiy2nhgZ7Khuq/o5nq+Fn/isP&#10;bTnieb97/ZgP3qly5rSePGVqBSLSJd7FN/e70bDM81m2VHnanC6lOyA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5jjl&#10;wAAAAOI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rect>
                  <v:rect id="_x0000_s1026" o:spid="_x0000_s1026" o:spt="1" style="position:absolute;left:1520521;top:1409564;height:318770;width:797560;v-text-anchor:middle;" fillcolor="#FFFFFF [3212]" filled="t" stroked="t" coordsize="21600,21600" o:gfxdata="UEsDBAoAAAAAAIdO4kAAAAAAAAAAAAAAAAAEAAAAZHJzL1BLAwQUAAAACACHTuJA2QxsVcQAAADi&#10;AAAADwAAAGRycy9kb3ducmV2LnhtbEWPzWrDMBCE74W+g9hAbo3k/JjWjZJDSaCHXuz20N4Wa2ub&#10;WCtjKbHdp68CgRyHmfmG2e5H24oL9b5xrCFZKBDEpTMNVxq+Po9PzyB8QDbYOiYNE3nY7x4ftpgZ&#10;N3BOlyJUIkLYZ6ihDqHLpPRlTRb9wnXE0ft1vcUQZV9J0+MQ4baVS6VSabHhuFBjR281lafibDVg&#10;Mf5M0/Q9DDJvVXP4y7viI9d6PkvUK4hAY7iHb+13o2H1stkkq2W6huuleAfk7h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QxsVcQAAADiAAAADwAAAAAAAAABACAAAAAiAAAAZHJzL2Rvd25yZXYueG1sUEsBAhQAFAAAAAgA&#10;h07iQDMvBZ47AAAAOQAAABAAAAAAAAAAAQAgAAAAEwEAAGRycy9zaGFwZXhtbC54bWxQSwUGAAAA&#10;AAYABgBbAQAAvQMAAAAA&#10;">
                    <v:fill on="t" focussize="0,0"/>
                    <v:stroke weight="1pt" color="#000000 [3213]" miterlimit="8" joinstyle="miter"/>
                    <v:imagedata o:title=""/>
                    <o:lock v:ext="edit" aspectratio="f"/>
                    <v:textbox>
                      <w:txbxContent>
                        <w:p w14:paraId="3870FA21">
                          <w:pPr>
                            <w:pStyle w:val="20"/>
                            <w:spacing w:before="0" w:beforeAutospacing="0" w:after="0" w:afterAutospacing="0"/>
                            <w:jc w:val="center"/>
                            <w:rPr>
                              <w:rFonts w:hint="eastAsia"/>
                              <w:b/>
                              <w:bCs/>
                              <w:sz w:val="15"/>
                              <w:szCs w:val="15"/>
                            </w:rPr>
                          </w:pPr>
                          <w:r>
                            <w:rPr>
                              <w:rFonts w:hint="eastAsia" w:cs="Times New Roman"/>
                              <w:b/>
                              <w:bCs/>
                              <w:sz w:val="15"/>
                              <w:szCs w:val="15"/>
                            </w:rPr>
                            <w:t>电  力</w:t>
                          </w:r>
                        </w:p>
                      </w:txbxContent>
                    </v:textbox>
                  </v:rect>
                  <v:rect id="_x0000_s1026" o:spid="_x0000_s1026" o:spt="1" style="position:absolute;left:1518616;top:1800089;height:318135;width:796925;v-text-anchor:middle;" fillcolor="#FFFFFF [3212]" filled="t" stroked="t" coordsize="21600,21600" o:gfxdata="UEsDBAoAAAAAAIdO4kAAAAAAAAAAAAAAAAAEAAAAZHJzL1BLAwQUAAAACACHTuJAS3WjoMAAAADi&#10;AAAADwAAAGRycy9kb3ducmV2LnhtbEVPPW/CMBDdK/EfrEPqVmyolECKYUAgMXRJYKDbKb4mUeNz&#10;FBuS9NfXQyXGp/e93Y+2FQ/qfeNYw3KhQBCXzjRcabheTm9rED4gG2wdk4aJPOx3s5ctZsYNnNOj&#10;CJWIIewz1FCH0GVS+rImi37hOuLIfbveYoiwr6TpcYjhtpUrpRJpseHYUGNHh5rKn+JuNWAxfk3T&#10;dBsGmbeqOf7mXfGZa/06X6oPEIHG8BT/u89GQ5K+b5I03cTN8VK8A3L3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daOg&#10;wAAAAOI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6138980E">
                          <w:pPr>
                            <w:pStyle w:val="20"/>
                            <w:spacing w:before="0" w:beforeAutospacing="0" w:after="0" w:afterAutospacing="0"/>
                            <w:jc w:val="center"/>
                            <w:rPr>
                              <w:rFonts w:hint="eastAsia"/>
                              <w:b/>
                              <w:bCs/>
                              <w:sz w:val="15"/>
                              <w:szCs w:val="15"/>
                            </w:rPr>
                          </w:pPr>
                          <w:r>
                            <w:rPr>
                              <w:rFonts w:hint="eastAsia" w:cs="Times New Roman"/>
                              <w:b/>
                              <w:bCs/>
                              <w:sz w:val="15"/>
                              <w:szCs w:val="15"/>
                            </w:rPr>
                            <w:t>热  力</w:t>
                          </w:r>
                        </w:p>
                      </w:txbxContent>
                    </v:textbox>
                  </v:rect>
                  <v:rect id="_x0000_s1026" o:spid="_x0000_s1026" o:spt="1" style="position:absolute;left:1517346;top:2185534;height:317500;width:796290;v-text-anchor:middle;" fillcolor="#FFFFFF [3212]" filled="t" stroked="t" coordsize="21600,21600" o:gfxdata="UEsDBAoAAAAAAIdO4kAAAAAAAAAAAAAAAAAEAAAAZHJzL1BLAwQUAAAACACHTuJATgqvi8EAAADj&#10;AAAADwAAAGRycy9kb3ducmV2LnhtbEVPvW7CMBDeK/EO1lXqVuxQVIUUw4CKxNAlKQNsp/iaRI3P&#10;UeySpE+PkZAY7/u/9Xa0rbhQ7xvHGpK5AkFcOtNwpeH4vX9NQfiAbLB1TBom8rDdzJ7WmBk3cE6X&#10;IlQihrDPUEMdQpdJ6cuaLPq564gj9+N6iyGefSVNj0MMt61cKPUuLTYcG2rsaFdT+Vv8WQ1YjOdp&#10;mk7DIPNWNZ//eVd85Vq/PCfqA0SgMTzEd/fBxPmrt2WaJMt0AbefIgBycw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gqv&#10;i8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532E49A5">
                          <w:pPr>
                            <w:pStyle w:val="20"/>
                            <w:spacing w:before="0" w:beforeAutospacing="0" w:after="0" w:afterAutospacing="0"/>
                            <w:jc w:val="center"/>
                            <w:rPr>
                              <w:rFonts w:hint="eastAsia"/>
                              <w:b/>
                              <w:bCs/>
                              <w:sz w:val="15"/>
                              <w:szCs w:val="15"/>
                            </w:rPr>
                          </w:pPr>
                          <w:r>
                            <w:rPr>
                              <w:rFonts w:hint="eastAsia" w:cs="Times New Roman"/>
                              <w:b/>
                              <w:bCs/>
                              <w:sz w:val="15"/>
                              <w:szCs w:val="15"/>
                            </w:rPr>
                            <w:t>耗能工</w:t>
                          </w:r>
                          <w:r>
                            <w:rPr>
                              <w:rFonts w:cs="Times New Roman"/>
                              <w:b/>
                              <w:bCs/>
                              <w:sz w:val="15"/>
                              <w:szCs w:val="15"/>
                            </w:rPr>
                            <w:t>质</w:t>
                          </w:r>
                        </w:p>
                      </w:txbxContent>
                    </v:textbox>
                  </v:rect>
                  <v:rect id="_x0000_s1026" o:spid="_x0000_s1026" o:spt="1" style="position:absolute;left:1518616;top:2602729;height:316865;width:795655;v-text-anchor:middle;" fillcolor="#FFFFFF [3212]" filled="t" stroked="t" coordsize="21600,21600" o:gfxdata="UEsDBAoAAAAAAIdO4kAAAAAAAAAAAAAAAAAEAAAAZHJzL1BLAwQUAAAACACHTuJA+DVrfMMAAADj&#10;AAAADwAAAGRycy9kb3ducmV2LnhtbEWPMWvDMBSE90D/g3iFbo1klZTiRslQWujQxU6GZHtYL7aJ&#10;9WQsNbb766tAIONxd99x6+3kOnGhIbSeDWRLBYK48rbl2sB+9/X8BiJEZIudZzIwU4Dt5mGxxtz6&#10;kQu6lLEWCcIhRwNNjH0uZagachiWvidO3skPDmOSQy3tgGOCu05qpV6lw5bTQoM9fTRUnctfZwDL&#10;6TjP82EcZdGp9vOv6Mufwpinx0y9g4g0xXv41v62BnT2ssq0XmkN10/pD8jN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4&#10;NWt8wwAAAOM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31CC22BF">
                          <w:pPr>
                            <w:pStyle w:val="20"/>
                            <w:spacing w:before="0" w:beforeAutospacing="0" w:after="0" w:afterAutospacing="0"/>
                            <w:jc w:val="center"/>
                            <w:rPr>
                              <w:rFonts w:hint="eastAsia"/>
                              <w:b/>
                              <w:bCs/>
                              <w:sz w:val="15"/>
                              <w:szCs w:val="15"/>
                            </w:rPr>
                          </w:pPr>
                          <w:r>
                            <w:rPr>
                              <w:rFonts w:hint="eastAsia" w:cs="Times New Roman"/>
                              <w:b/>
                              <w:bCs/>
                              <w:sz w:val="15"/>
                              <w:szCs w:val="15"/>
                            </w:rPr>
                            <w:t>辅材、药剂</w:t>
                          </w:r>
                        </w:p>
                      </w:txbxContent>
                    </v:textbox>
                  </v:rect>
                  <v:rect id="_x0000_s1026" o:spid="_x0000_s1026" o:spt="1" style="position:absolute;left:1521790;top:3009764;height:316865;width:795655;v-text-anchor:middle;" fillcolor="#FFFFFF [3212]" filled="t" stroked="t" coordsize="21600,21600" o:gfxdata="UEsDBAoAAAAAAIdO4kAAAAAAAAAAAAAAAAAEAAAAZHJzL1BLAwQUAAAACACHTuJA+ToIpcAAAADi&#10;AAAADwAAAGRycy9kb3ducmV2LnhtbEVPPW/CMBDdK/U/WFeJrdiARCFgGKpW6tAlKQNsp/hIosbn&#10;KHZJwq/vDZU6Pr3v/XH0rbpRH5vAFhZzA4q4DK7hysLp6/15AyomZIdtYLIwUYTj4fFhj5kLA+d0&#10;K1KlJIRjhhbqlLpM61jW5DHOQ0cs3DX0HpPAvtKux0HCfauXxqy1x4alocaOXmsqv4sfbwGL8TJN&#10;03kYdN6a5u2ed8Vnbu3saWF2oBKN6V/85/5wMn+13GxX6xc5IZcEgz7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Ogil&#10;wAAAAOI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7F5DD120">
                          <w:pPr>
                            <w:pStyle w:val="20"/>
                            <w:spacing w:before="0" w:beforeAutospacing="0" w:after="0" w:afterAutospacing="0"/>
                            <w:jc w:val="center"/>
                            <w:rPr>
                              <w:rFonts w:hint="eastAsia"/>
                              <w:b/>
                              <w:bCs/>
                              <w:sz w:val="15"/>
                              <w:szCs w:val="15"/>
                            </w:rPr>
                          </w:pPr>
                          <w:r>
                            <w:rPr>
                              <w:rFonts w:hint="eastAsia" w:cs="Times New Roman"/>
                              <w:b/>
                              <w:bCs/>
                              <w:sz w:val="15"/>
                              <w:szCs w:val="15"/>
                            </w:rPr>
                            <w:t>燃料</w:t>
                          </w:r>
                        </w:p>
                      </w:txbxContent>
                    </v:textbox>
                  </v:rect>
                  <v:rect id="_x0000_s1026" o:spid="_x0000_s1026" o:spt="1" style="position:absolute;left:1301092;top:851082;height:382270;width:1196207;v-text-anchor:middle;" filled="f" stroked="f" coordsize="21600,21600" o:gfxdata="UEsDBAoAAAAAAIdO4kAAAAAAAAAAAAAAAAAEAAAAZHJzL1BLAwQUAAAACACHTuJAz333RMIAAADi&#10;AAAADwAAAGRycy9kb3ducmV2LnhtbEWPy2oCMRSG90LfIZxCd5oZW7xMjYJCaYsL0db9MTnODJ2c&#10;DEmc0bdvFoLLn//Gt1hdbSM68qF2rCAfZSCItTM1lwp+fz6GMxAhIhtsHJOCGwVYLZ8GCyyM63lP&#10;3SGWIo1wKFBBFWNbSBl0RRbDyLXEyTs7bzEm6UtpPPZp3DZynGUTabHm9FBhS5uK9N/hYhUc3Xnd&#10;W33i7+62qy+fW6/1bKvUy3OevYOIdI2P8L39ZRTMJ/Ppaz5+SxAJKeGAXP4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99&#10;90TCAAAA4gAAAA8AAAAAAAAAAQAgAAAAIgAAAGRycy9kb3ducmV2LnhtbFBLAQIUABQAAAAIAIdO&#10;4kAzLwWeOwAAADkAAAAQAAAAAAAAAAEAIAAAABEBAABkcnMvc2hhcGV4bWwueG1sUEsFBgAAAAAG&#10;AAYAWwEAALsDAAAAAA==&#10;">
                    <v:fill on="f" focussize="0,0"/>
                    <v:stroke on="f" weight="1pt" miterlimit="8" joinstyle="miter"/>
                    <v:imagedata o:title=""/>
                    <o:lock v:ext="edit" aspectratio="f"/>
                    <v:textbox>
                      <w:txbxContent>
                        <w:p w14:paraId="4D2CAD5D">
                          <w:pPr>
                            <w:pStyle w:val="20"/>
                            <w:spacing w:before="0" w:beforeAutospacing="0" w:after="0" w:afterAutospacing="0"/>
                            <w:jc w:val="center"/>
                            <w:rPr>
                              <w:rFonts w:hint="eastAsia"/>
                              <w:b/>
                              <w:bCs/>
                              <w:sz w:val="15"/>
                              <w:szCs w:val="15"/>
                            </w:rPr>
                          </w:pPr>
                          <w:r>
                            <w:rPr>
                              <w:rFonts w:hint="eastAsia" w:cs="Times New Roman"/>
                              <w:b/>
                              <w:bCs/>
                              <w:sz w:val="15"/>
                              <w:szCs w:val="15"/>
                              <w:u w:val="single"/>
                            </w:rPr>
                            <w:t>消耗品</w:t>
                          </w:r>
                          <w:r>
                            <w:rPr>
                              <w:rFonts w:cs="Times New Roman"/>
                              <w:b/>
                              <w:bCs/>
                              <w:sz w:val="15"/>
                              <w:szCs w:val="15"/>
                              <w:u w:val="single"/>
                            </w:rPr>
                            <w:t>的生产</w:t>
                          </w:r>
                          <w:r>
                            <w:rPr>
                              <w:rFonts w:hint="eastAsia" w:cs="Times New Roman"/>
                              <w:b/>
                              <w:bCs/>
                              <w:sz w:val="15"/>
                              <w:szCs w:val="15"/>
                              <w:u w:val="single"/>
                            </w:rPr>
                            <w:t>：</w:t>
                          </w:r>
                        </w:p>
                      </w:txbxContent>
                    </v:textbox>
                  </v:rect>
                </v:group>
                <v:group id="_x0000_s1026" o:spid="_x0000_s1026" o:spt="203" style="position:absolute;left:3591374;top:594811;height:3208537;width:795207;" coordorigin="4748650,791301" coordsize="1085105,3208537"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Ir3C21cBAAAuRcAAA4AAABkcnMvZTJvRG9jLnhtbO1YTW7r&#10;NhDeF+gdBO0bixKpHyPOQ5A0QYGgDZAWXdO0ZAuQRJWkY6frLrrsDQp01zMUPc5Dr9GPlGT72VnE&#10;yUOAos7CoTjkkPPxm+Fwzj+s68p7zJUuZTPxyVnge3kj5Kxs5hP/h+9vvkp9TxvezHglm3ziP+Xa&#10;/3Dx5Rfnq3ach3Ihq1muPChp9HjVTvyFMe14NNJikddcn8k2byAspKq5waeaj2aKr6C9rkZhEMSj&#10;lVSzVkmRa43e607o9xrVSxTKoihFfi3Fss4b02lVecUNTNKLstX+hdttUeTCfFcUOjdeNfFhqXG/&#10;WATtqf0dXZzz8VzxdlGKfgv8JVvYs6nmZYNFN6quueHeUpUHqupSKKllYc6ErEedIQ4RWEGCPWxu&#10;lVy2zpb5eDVvN6DjoPZQf7Va8e3jvfLK2cRPoyiIAxLh+Bte4+D/+euXj7/96m37gdWqnY8x5Va1&#10;D+296jvm3Zc1f12o2v6HYd564kcsI1FCfe9p4rOMpoR0gOdr4wnIk4yFQeJ7AvIoDFIWJd0AscCx&#10;WQ00oWnMcFoYkUBZ0GsQi697HQTTSMAOlIyG3Yzspjd7XLWgrd5iqd+G5cOCt7k7Im2B6bGMY8qi&#10;MLam9Vj+/ufHv//wtv0OOjdlA6Qea2D6DIo0YQFJoWsPgwFFWJ9kFChbGEnMGBCxMG4Q4ONWaXOb&#10;y9qzjYmv4BeOrvzxTptu6DDEbqCRN2VVoZ+Pq8ZbQWuYBDgEweHwBRwNzboFaXQz9z1ezRFJhFFO&#10;pZZVObPT7Wyt5tOrSnmP3Pqf++t39skwu/Y114tunBN1PKhLg2BTlTX4uTu7amCePcoOMtuaytkT&#10;4Fey83HdipsSau+4Nvdcwamxf4Q9SBdS/ex7Kzg9DPhpyVXue9U3DZiQEUoxzLgPypIQH2pXMt2V&#10;NMv6SsIugoDZCte04001NAsl6x8R7S7tqhDxRmDtDqr+48p0wQjxUuSXl24YIkPLzV3z0AqrvDuQ&#10;y6WRRenOamttDwL4bF3zHYhNWMxShAm2jRIds3cEx1E7SxPWUZuEJM0i2h38wO0sISHFYi5CkJRE&#10;b2S249az7Lxxf8+x8z/jAmY9Xffon7zhPbyBMppRBPpwL86TreBIb2BxFrtAT+KQxnG67w0BTaLB&#10;G3AtuATm9XH+5A2nu6FL249KIJ9PepIYKSxJ9m+GTfdRnoDbPrSXDDKaEOlNlO1ljhn8JNvcCzFy&#10;xD5yDxnokM68MOM5ecLJEz6bJ5AM8T+NaJDt3wtbwVHegEhPMyiDN6RRinfap9cCnkBRyHBvuCwp&#10;JfFbs6S35P87cz9HWn/KafrE/p0y/JBExL7aD7i7IziOuzTNGHIWG8mhOEn6osuQ4eP1Csb2r9co&#10;TBLiagCvT2p2CHjK3PGoPb1jDws0hAVxlgXsIEBv+o/l+FCkigJKGdt7xYLjqH7hlWADdMZYmLoB&#10;J47/T2s1riSJiq6r0fXVZ1sy3v12tZ1txf3i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HTX01XW&#10;AAAABQEAAA8AAAAAAAAAAQAgAAAAIgAAAGRycy9kb3ducmV2LnhtbFBLAQIUABQAAAAIAIdO4kCK&#10;9wttXAQAALkXAAAOAAAAAAAAAAEAIAAAACUBAABkcnMvZTJvRG9jLnhtbFBLBQYAAAAABgAGAFkB&#10;AADzBwAAAAA=&#10;">
                  <o:lock v:ext="edit" aspectratio="f"/>
                  <v:rect id="_x0000_s1026" o:spid="_x0000_s1026" o:spt="1" style="position:absolute;left:4750187;top:791301;height:1655085;width:1057944;v-text-anchor:middle;" filled="f" stroked="t" coordsize="21600,21600" o:gfxdata="UEsDBAoAAAAAAIdO4kAAAAAAAAAAAAAAAAAEAAAAZHJzL1BLAwQUAAAACACHTuJA2raEH8QAAADi&#10;AAAADwAAAGRycy9kb3ducmV2LnhtbEWPT0vDQBTE74LfYXlCb3a3fxJL2m0PkUJFQay99PbIPpNo&#10;9m3Y3Sb127uC4HGYmd8wm93VdmIgH1rHGmZTBYK4cqblWsPpfX+/AhEissHOMWn4pgC77e3NBgvj&#10;Rn6j4RhrkSAcCtTQxNgXUoaqIYth6nri5H04bzEm6WtpPI4Jbjs5VyqXFltOCw32VDZUfR0vVsM5&#10;+5SvbTni5eXp8TkbvFPl0mk9uZupNYhI1/gf/msfjIY8X2aLea4e4PdSugNy+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2raEH8QAAADi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rect>
                  <v:rect id="_x0000_s1026" o:spid="_x0000_s1026" o:spt="1" style="position:absolute;left:4798757;top:1218934;height:318135;width:971248;v-text-anchor:middle;" fillcolor="#FFFFFF [3212]" filled="t" stroked="t" coordsize="21600,21600" o:gfxdata="UEsDBAoAAAAAAIdO4kAAAAAAAAAAAAAAAAAEAAAAZHJzL1BLAwQUAAAACACHTuJAcZWfCMMAAADj&#10;AAAADwAAAGRycy9kb3ducmV2LnhtbEWPQWvDMAyF74P+B6PBbqvdQUJJ6/ZQVthhl2Q7rDcRq0lo&#10;LIfYa5L9+ukw2FF6T+992h9n36s7jbELbGGzNqCI6+A6bix8fpyft6BiQnbYByYLC0U4HlYPeyxc&#10;mLike5UaJSEcC7TQpjQUWse6JY9xHQZi0a5h9JhkHBvtRpwk3Pf6xZhce+xYGloc6NRSfau+vQWs&#10;5suyLF/TpMvedK8/5VC9l9Y+PW7MDlSiOf2b/67fnOBnebY1uckEWn6SBejD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lZ8IwwAAAOM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603A2A0">
                          <w:pPr>
                            <w:pStyle w:val="20"/>
                            <w:spacing w:before="0" w:beforeAutospacing="0" w:after="0" w:afterAutospacing="0"/>
                            <w:jc w:val="center"/>
                            <w:rPr>
                              <w:rFonts w:hint="eastAsia"/>
                              <w:b/>
                              <w:bCs/>
                              <w:sz w:val="15"/>
                              <w:szCs w:val="15"/>
                            </w:rPr>
                          </w:pPr>
                          <w:r>
                            <w:rPr>
                              <w:rFonts w:hint="eastAsia" w:cs="Times New Roman"/>
                              <w:b/>
                              <w:bCs/>
                              <w:sz w:val="15"/>
                              <w:szCs w:val="15"/>
                            </w:rPr>
                            <w:t>水处理</w:t>
                          </w:r>
                        </w:p>
                      </w:txbxContent>
                    </v:textbox>
                  </v:rect>
                  <v:rect id="_x0000_s1026" o:spid="_x0000_s1026" o:spt="1" style="position:absolute;left:4795696;top:1624668;height:317500;width:970473;v-text-anchor:middle;" fillcolor="#FFFFFF [3212]" filled="t" stroked="t" coordsize="21600,21600" o:gfxdata="UEsDBAoAAAAAAIdO4kAAAAAAAAAAAAAAAAAEAAAAZHJzL1BLAwQUAAAACACHTuJAMud/98EAAADj&#10;AAAADwAAAGRycy9kb3ducmV2LnhtbEVPvW7CMBDekfoO1lViA5uQopJiGCqQOrAkdGi3U3wkUeNz&#10;FLsk6dPjSpU63vd/u8NoW3Gj3jeONayWCgRx6UzDlYb3y2nxDMIHZIOtY9IwkYfD/mG2w8y4gXO6&#10;FaESMYR9hhrqELpMSl/WZNEvXUccuavrLYZ49pU0PQ4x3LYyUWojLTYcG2rs6LWm8qv4thqwGD+n&#10;afoYBpm3qjn+5F1xzrWeP67UC4hAY/gX/7nfTJyfPqXbdJ1sEvj9KQIg93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ud/&#10;98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1482A5CD">
                          <w:pPr>
                            <w:pStyle w:val="20"/>
                            <w:spacing w:before="0" w:beforeAutospacing="0" w:after="0" w:afterAutospacing="0"/>
                            <w:jc w:val="center"/>
                            <w:rPr>
                              <w:rFonts w:hint="eastAsia"/>
                              <w:b/>
                              <w:bCs/>
                              <w:sz w:val="15"/>
                              <w:szCs w:val="15"/>
                            </w:rPr>
                          </w:pPr>
                          <w:r>
                            <w:rPr>
                              <w:rFonts w:hint="eastAsia" w:cs="Times New Roman"/>
                              <w:b/>
                              <w:bCs/>
                              <w:sz w:val="15"/>
                              <w:szCs w:val="15"/>
                            </w:rPr>
                            <w:t>渣处理</w:t>
                          </w:r>
                        </w:p>
                      </w:txbxContent>
                    </v:textbox>
                  </v:rect>
                  <v:rect id="_x0000_s1026" o:spid="_x0000_s1026" o:spt="1" style="position:absolute;left:4800258;top:2057391;height:316865;width:969698;v-text-anchor:middle;" fillcolor="#FFFFFF [3212]" filled="t" stroked="t" coordsize="21600,21600" o:gfxdata="UEsDBAoAAAAAAIdO4kAAAAAAAAAAAAAAAAAEAAAAZHJzL1BLAwQUAAAACACHTuJAFFszur4AAADh&#10;AAAADwAAAGRycy9kb3ducmV2LnhtbEVPPW/CMBDdkfgP1lXqRuwwQBUwDKhIDCxJGWA7xUcSEZ+j&#10;2JCEX18PlTo+ve/tfrSteFHvG8ca0kSBIC6dabjScPk5Lr5A+IBssHVMGibysN/NZ1vMjBs4p1cR&#10;KhFD2GeooQ6hy6T0ZU0WfeI64sjdXW8xRNhX0vQ4xHDbyqVSK2mx4dhQY0eHmspH8bQasBhv0zRd&#10;h0HmrWq+33lXnHOtPz9StQERaAz/4j/3yWhYr5YqTddxcnwU3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szur4A&#10;AADhAAAADwAAAAAAAAABACAAAAAiAAAAZHJzL2Rvd25yZXYueG1sUEsBAhQAFAAAAAgAh07iQDMv&#10;BZ47AAAAOQAAABAAAAAAAAAAAQAgAAAADQEAAGRycy9zaGFwZXhtbC54bWxQSwUGAAAAAAYABgBb&#10;AQAAtwMAAAAA&#10;">
                    <v:fill on="t" focussize="0,0"/>
                    <v:stroke weight="1pt" color="#000000 [3213]" miterlimit="8" joinstyle="miter"/>
                    <v:imagedata o:title=""/>
                    <o:lock v:ext="edit" aspectratio="f"/>
                    <v:textbox>
                      <w:txbxContent>
                        <w:p w14:paraId="731F5C7F">
                          <w:pPr>
                            <w:pStyle w:val="20"/>
                            <w:spacing w:before="0" w:beforeAutospacing="0" w:after="0" w:afterAutospacing="0"/>
                            <w:jc w:val="center"/>
                            <w:rPr>
                              <w:rFonts w:hint="eastAsia"/>
                              <w:b/>
                              <w:bCs/>
                              <w:sz w:val="15"/>
                              <w:szCs w:val="15"/>
                            </w:rPr>
                          </w:pPr>
                          <w:r>
                            <w:rPr>
                              <w:rFonts w:hint="eastAsia" w:cs="Times New Roman"/>
                              <w:b/>
                              <w:bCs/>
                              <w:sz w:val="15"/>
                              <w:szCs w:val="15"/>
                            </w:rPr>
                            <w:t>物流运输</w:t>
                          </w:r>
                        </w:p>
                      </w:txbxContent>
                    </v:textbox>
                  </v:rect>
                  <v:rect id="_x0000_s1026" o:spid="_x0000_s1026" o:spt="1" style="position:absolute;left:4750499;top:838306;height:381635;width:1083256;v-text-anchor:middle;" filled="f" stroked="f" coordsize="21600,21600" o:gfxdata="UEsDBAoAAAAAAIdO4kAAAAAAAAAAAAAAAAAEAAAAZHJzL1BLAwQUAAAACACHTuJA6KGNO8AAAADj&#10;AAAADwAAAGRycy9kb3ducmV2LnhtbEVPX0vDMBB/F/Ydwg18c8lmla4uG0wQlT0Mp76fya0tNpeS&#10;ZO327Y0g+Hi//7fanF0nBgqx9axhPlMgiI23LdcaPt6fbkoQMSFb7DyThgtF2KwnVyusrB/5jYZD&#10;qkUO4VihhialvpIymoYcxpnviTN39MFhymeopQ045nDXyYVS99Jhy7mhwZ4eGzLfh5PT8OmP29GZ&#10;L34dLvv29LwLxpQ7ra+nc/UAItE5/Yv/3C82z18Wd0V5W6gl/P6UAZD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oY07&#10;wAAAAOMAAAAPAAAAAAAAAAEAIAAAACIAAABkcnMvZG93bnJldi54bWxQSwECFAAUAAAACACHTuJA&#10;My8FnjsAAAA5AAAAEAAAAAAAAAABACAAAAAPAQAAZHJzL3NoYXBleG1sLnhtbFBLBQYAAAAABgAG&#10;AFsBAAC5AwAAAAA=&#10;">
                    <v:fill on="f" focussize="0,0"/>
                    <v:stroke on="f" weight="1pt" miterlimit="8" joinstyle="miter"/>
                    <v:imagedata o:title=""/>
                    <o:lock v:ext="edit" aspectratio="f"/>
                    <v:textbox>
                      <w:txbxContent>
                        <w:p w14:paraId="152C68BA">
                          <w:pPr>
                            <w:pStyle w:val="20"/>
                            <w:spacing w:before="0" w:beforeAutospacing="0" w:after="0" w:afterAutospacing="0"/>
                            <w:jc w:val="center"/>
                            <w:rPr>
                              <w:rFonts w:hint="eastAsia"/>
                              <w:b/>
                              <w:bCs/>
                              <w:sz w:val="15"/>
                              <w:szCs w:val="15"/>
                            </w:rPr>
                          </w:pPr>
                          <w:r>
                            <w:rPr>
                              <w:rFonts w:hint="eastAsia" w:cs="Times New Roman"/>
                              <w:b/>
                              <w:bCs/>
                              <w:sz w:val="15"/>
                              <w:szCs w:val="15"/>
                              <w:u w:val="single"/>
                            </w:rPr>
                            <w:t>第三方服务：</w:t>
                          </w:r>
                        </w:p>
                      </w:txbxContent>
                    </v:textbox>
                  </v:rect>
                  <v:rect id="_x0000_s1026" o:spid="_x0000_s1026" o:spt="1" style="position:absolute;left:4748953;top:2591770;height:327717;width:1058164;v-text-anchor:middle;" filled="f" stroked="t" coordsize="21600,21600" o:gfxdata="UEsDBAoAAAAAAIdO4kAAAAAAAAAAAAAAAAAEAAAAZHJzL1BLAwQUAAAACACHTuJAF1NcrMQAAADj&#10;AAAADwAAAGRycy9kb3ducmV2LnhtbEWPQUsDMRSE70L/Q3gFbzZJ64pdm/awRVAUxOrF22Pz3F27&#10;eVmSdLf+eyMIHoeZ+YbZ7M6uFyOF2Hk2oBcKBHHtbceNgfe3+6tbEDEhW+w9k4FvirDbzi42WFo/&#10;8SuNh9SIDOFYooE2paGUMtYtOYwLPxBn79MHhynL0EgbcMpw18ulUjfSYcd5ocWBqpbq4+HkDHwU&#10;X/KlqyY8PT/un4oxeFVde2Mu51rdgUh0Tv/hv/aDNbDUK12s9Uqt4fdT/gNy+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1NcrMQAAADj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textbox>
                      <w:txbxContent>
                        <w:p w14:paraId="63BA7352">
                          <w:pPr>
                            <w:pStyle w:val="20"/>
                            <w:spacing w:before="0" w:beforeAutospacing="0" w:after="0" w:afterAutospacing="0"/>
                            <w:jc w:val="center"/>
                            <w:rPr>
                              <w:rFonts w:hint="eastAsia" w:eastAsia="宋体" w:cs="Times New Roman"/>
                              <w:b/>
                              <w:bCs/>
                              <w:sz w:val="15"/>
                              <w:szCs w:val="15"/>
                              <w:lang w:eastAsia="zh-CN"/>
                            </w:rPr>
                          </w:pPr>
                          <w:r>
                            <w:rPr>
                              <w:rFonts w:hint="eastAsia" w:cs="Times New Roman"/>
                              <w:b/>
                              <w:bCs/>
                              <w:sz w:val="15"/>
                              <w:szCs w:val="15"/>
                              <w:lang w:eastAsia="zh-CN"/>
                            </w:rPr>
                            <w:t>回收锡原料</w:t>
                          </w:r>
                        </w:p>
                      </w:txbxContent>
                    </v:textbox>
                  </v:rect>
                  <v:rect id="_x0000_s1026" o:spid="_x0000_s1026" o:spt="1" style="position:absolute;left:4748650;top:3044554;height:955284;width:1059482;v-text-anchor:middle;" filled="f" stroked="t" coordsize="21600,21600" o:gfxdata="UEsDBAoAAAAAAIdO4kAAAAAAAAAAAAAAAAAEAAAAZHJzL1BLAwQUAAAACACHTuJACy0/I8AAAADi&#10;AAAADwAAAGRycy9kb3ducmV2LnhtbEVPz2vCMBS+D/Y/hDfwNhPHKms1eugYTByMqRdvj+bZ1jUv&#10;JYmt/vfLYLDjx/d7ub7aTgzkQ+tYw2yqQBBXzrRcazjs3x5fQISIbLBzTBpuFGC9ur9bYmHcyF80&#10;7GItUgiHAjU0MfaFlKFqyGKYup44cSfnLcYEfS2NxzGF204+KTWXFltODQ32VDZUfe8uVsMxO8vP&#10;thzx8rF53WaDd6p8dlpPHmZqASLSNf6L/9zvJs3P1DzPVZbD76WEQa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LT8j&#10;wAAAAOI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textbox>
                      <w:txbxContent>
                        <w:p w14:paraId="02E70322">
                          <w:pPr>
                            <w:spacing w:line="240" w:lineRule="exact"/>
                            <w:jc w:val="left"/>
                            <w:rPr>
                              <w:rFonts w:hint="eastAsia" w:ascii="宋体" w:hAnsi="宋体"/>
                              <w:b/>
                              <w:bCs/>
                              <w:sz w:val="15"/>
                              <w:szCs w:val="15"/>
                            </w:rPr>
                          </w:pPr>
                          <w:r>
                            <w:rPr>
                              <w:rFonts w:hint="eastAsia" w:ascii="宋体" w:hAnsi="宋体"/>
                              <w:b/>
                              <w:bCs/>
                              <w:sz w:val="15"/>
                              <w:szCs w:val="15"/>
                            </w:rPr>
                            <w:t>共生</w:t>
                          </w:r>
                          <w:r>
                            <w:rPr>
                              <w:rFonts w:ascii="宋体" w:hAnsi="宋体"/>
                              <w:b/>
                              <w:bCs/>
                              <w:sz w:val="15"/>
                              <w:szCs w:val="15"/>
                            </w:rPr>
                            <w:t>产品</w:t>
                          </w:r>
                          <w:r>
                            <w:rPr>
                              <w:rFonts w:hint="eastAsia" w:ascii="宋体" w:hAnsi="宋体"/>
                              <w:b/>
                              <w:bCs/>
                              <w:sz w:val="15"/>
                              <w:szCs w:val="15"/>
                            </w:rPr>
                            <w:t>，</w:t>
                          </w:r>
                          <w:r>
                            <w:rPr>
                              <w:rFonts w:ascii="宋体" w:hAnsi="宋体"/>
                              <w:b/>
                              <w:bCs/>
                              <w:sz w:val="15"/>
                              <w:szCs w:val="15"/>
                            </w:rPr>
                            <w:t>如：</w:t>
                          </w:r>
                        </w:p>
                        <w:p w14:paraId="736FE9DE">
                          <w:pPr>
                            <w:spacing w:line="240" w:lineRule="exact"/>
                            <w:jc w:val="left"/>
                            <w:rPr>
                              <w:rFonts w:hint="eastAsia" w:ascii="宋体" w:hAnsi="宋体"/>
                              <w:b/>
                              <w:bCs/>
                              <w:sz w:val="15"/>
                              <w:szCs w:val="15"/>
                            </w:rPr>
                          </w:pPr>
                          <w:r>
                            <w:rPr>
                              <w:rFonts w:hint="eastAsia" w:ascii="宋体" w:hAnsi="宋体"/>
                              <w:b/>
                              <w:bCs/>
                              <w:sz w:val="15"/>
                              <w:szCs w:val="15"/>
                            </w:rPr>
                            <w:t>含硫尾矿</w:t>
                          </w:r>
                        </w:p>
                        <w:p w14:paraId="712B2220">
                          <w:pPr>
                            <w:spacing w:line="240" w:lineRule="exact"/>
                            <w:jc w:val="left"/>
                            <w:rPr>
                              <w:rFonts w:hint="eastAsia" w:ascii="宋体" w:hAnsi="宋体"/>
                              <w:b/>
                              <w:bCs/>
                              <w:sz w:val="15"/>
                              <w:szCs w:val="15"/>
                            </w:rPr>
                          </w:pPr>
                        </w:p>
                      </w:txbxContent>
                    </v:textbox>
                  </v:rect>
                </v:group>
                <v:group id="_x0000_s1026" o:spid="_x0000_s1026" o:spt="203" style="position:absolute;left:25400;top:999448;height:2038328;width:659187;" coordorigin="75207,1195938" coordsize="785113,2038328"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E6bCnVaAwAAUAwAAA4AAABkcnMvZTJvRG9jLnhtbO1Xy27U&#10;MBTdI/EPlvc0j8lz1BRVLa2QKqhUEGuP4zykxDa2p5myZsGSP0BixzcgPqfiN7h20pnpY9EWCTbN&#10;ImP72uf6nutzndl9ueo7dM6UbgUvcLDjY8Q4FWXL6wK/f3f0IsNIG8JL0gnOCnzBNH659/zZ7iDn&#10;LBSN6EqmEIBwPR9kgRtj5NzzNG1YT/SOkIyDsRKqJwa6qvZKRQZA7zsv9P3EG4QqpRKUaQ2jh6MR&#10;T4jqPoCiqlrKDgVd9oybEVWxjhgISTet1HjP7baqGDVvq0ozg7oCQ6TGvcEJtBf27e3tknmtiGxa&#10;Om2B3GcLN2LqScvB6RrqkBiClqq9BdW3VAktKrNDRe+NgThGIIrAv8HNsRJL6WKp50Mt16RDom6w&#10;/mhY+ub8VKG2LHDsJ2kUxxEww0kPif/98/Pl1y9oMw5cDbKew5JjJc/kqZoG6rFnw19Vqre/EBha&#10;FTgEOMC7KHCe51GUjXSzlUEUrEmcB1mKEQV76M+yWThNoA0kza5P49CHCWAPgjzOZ2v7qwkizeIg&#10;mN2C8K524tkNr/c3SDiyesOj/jsezxoimUuPtqRMPCZBlEdJ7oOMJh6//bj89R1txh1tbsmaRD3X&#10;wOcdDKbxLIkcA2E68+NgOrFXFKZZlMfJGH/sz1JoA/o6fDKXSptjJnpkGwVWIAh3Tsn5iTbj1Ksp&#10;1rsWXVsetV3nOqpeHHQKnRMQz5F7JvRr0zqOBkhQmNpUUwIloQIpQrOXcKw0rzEiXQ21hhrlfF9b&#10;rbed+O65y4nd5CHRzbgZhzAepr41UI66ti9wtr2648CDTfhIrG2Z1WI1cb8Q5QXkS4mxIGhJj1rw&#10;cEK0OSUKKgCEAjUSrI1QnzAaoEJALB+XRDGMutccjk4eRFYsxnWiOA2ho7Yti20LX/YHAngMoLpK&#10;6pp2vumumpUS/QcojfvWK5gIp+B7ZG3qHJixckFxpWx/302DMiKJOeFnklpwmzcu9pdGVK3Lrw18&#10;jHbiAwRgdfwPlADi9gNQdQoxX5PCluFhWlhXgzzKwygaT8CWFpI8H7UAxcRWsictuGLwpIX/roVs&#10;FgRpEmVwPq9JYTP+MCXEKSDdvBeflNCWT7eCvTwedyu4ryX40HRFY/ootl+y2313i2z+COz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HTX01XWAAAABQEAAA8AAAAAAAAAAQAgAAAAIgAAAGRycy9k&#10;b3ducmV2LnhtbFBLAQIUABQAAAAIAIdO4kBOmwp1WgMAAFAMAAAOAAAAAAAAAAEAIAAAACUBAABk&#10;cnMvZTJvRG9jLnhtbFBLBQYAAAAABgAGAFkBAADxBgAAAAA=&#10;">
                  <o:lock v:ext="edit" aspectratio="f"/>
                  <v:rect id="_x0000_s1026" o:spid="_x0000_s1026" o:spt="1" style="position:absolute;left:75364;top:2730510;height:503756;width:784956;v-text-anchor:middle;" fillcolor="#FFFFFF [3201]" filled="t" stroked="t" coordsize="21600,21600" o:gfxdata="UEsDBAoAAAAAAIdO4kAAAAAAAAAAAAAAAAAEAAAAZHJzL1BLAwQUAAAACACHTuJA39UErr8AAADi&#10;AAAADwAAAGRycy9kb3ducmV2LnhtbEVPPW/CMBDdK/EfrEPqVuwgFJWAYUAgMbAk7QDbKT6SiPgc&#10;xYYk/fX1UKnj0/ve7kfbihf1vnGsIVkoEMSlMw1XGr6/Th+fIHxANtg6Jg0TedjvZm9bzIwbOKdX&#10;ESoRQ9hnqKEOocuk9GVNFv3CdcSRu7veYoiwr6TpcYjhtpVLpVJpseHYUGNHh5rKR/G0GrAYb9M0&#10;XYdB5q1qjj95V1xyrd/nidqACDSGf/Gf+2w0pMlqvUrXKm6Ol+IdkL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BK6/&#10;AAAA4gAAAA8AAAAAAAAAAQAgAAAAIgAAAGRycy9kb3ducmV2LnhtbFBLAQIUABQAAAAIAIdO4kAz&#10;LwWeOwAAADkAAAAQAAAAAAAAAAEAIAAAAA4BAABkcnMvc2hhcGV4bWwueG1sUEsFBgAAAAAGAAYA&#10;WwEAALgDAAAAAA==&#10;">
                    <v:fill on="t" focussize="0,0"/>
                    <v:stroke weight="1pt" color="#000000 [3213]" miterlimit="8" joinstyle="miter"/>
                    <v:imagedata o:title=""/>
                    <o:lock v:ext="edit" aspectratio="f"/>
                    <v:textbox>
                      <w:txbxContent>
                        <w:p w14:paraId="326BD896">
                          <w:pPr>
                            <w:pStyle w:val="20"/>
                            <w:spacing w:before="0" w:beforeAutospacing="0" w:after="0" w:afterAutospacing="0"/>
                            <w:jc w:val="center"/>
                            <w:rPr>
                              <w:rFonts w:hint="eastAsia" w:cs="Times New Roman"/>
                              <w:b/>
                              <w:bCs/>
                              <w:sz w:val="15"/>
                              <w:szCs w:val="15"/>
                            </w:rPr>
                          </w:pPr>
                          <w:r>
                            <w:rPr>
                              <w:rFonts w:hint="eastAsia" w:cs="Times New Roman"/>
                              <w:b/>
                              <w:bCs/>
                              <w:sz w:val="15"/>
                              <w:szCs w:val="15"/>
                            </w:rPr>
                            <w:t>地表水/</w:t>
                          </w:r>
                        </w:p>
                        <w:p w14:paraId="1EC914F9">
                          <w:pPr>
                            <w:pStyle w:val="20"/>
                            <w:spacing w:before="0" w:beforeAutospacing="0" w:after="0" w:afterAutospacing="0"/>
                            <w:jc w:val="center"/>
                            <w:rPr>
                              <w:rFonts w:hint="eastAsia"/>
                              <w:b/>
                              <w:bCs/>
                              <w:sz w:val="15"/>
                              <w:szCs w:val="15"/>
                            </w:rPr>
                          </w:pPr>
                          <w:r>
                            <w:rPr>
                              <w:rFonts w:hint="eastAsia" w:cs="Times New Roman"/>
                              <w:b/>
                              <w:bCs/>
                              <w:sz w:val="15"/>
                              <w:szCs w:val="15"/>
                            </w:rPr>
                            <w:t>地下水</w:t>
                          </w:r>
                        </w:p>
                      </w:txbxContent>
                    </v:textbox>
                  </v:rect>
                  <v:rect id="_x0000_s1026" o:spid="_x0000_s1026" o:spt="1" style="position:absolute;left:75207;top:1949244;height:383540;width:784699;v-text-anchor:middle;" fillcolor="#FFFFFF [3201]" filled="t" stroked="t" coordsize="21600,21600" o:gfxdata="UEsDBAoAAAAAAIdO4kAAAAAAAAAAAAAAAAAEAAAAZHJzL1BLAwQUAAAACACHTuJADZxvsMAAAADj&#10;AAAADwAAAGRycy9kb3ducmV2LnhtbEVPvW7CMBDekXgH65C6gR0qlShgGBCVGFgSGGA7xdckanyO&#10;Ypckffq6UqWO9/3f7jDaVjyp941jDclKgSAunWm40nC7vi9TED4gG2wdk4aJPBz289kOM+MGzulZ&#10;hErEEPYZaqhD6DIpfVmTRb9yHXHkPlxvMcSzr6TpcYjhtpVrpd6kxYZjQ40dHWsqP4svqwGL8TFN&#10;030YZN6q5vSdd8Ul1/plkagtiEBj+Bf/uc8mzk83Kklf15sEfn+KAMj9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G+w&#10;wAAAAOM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233644F0">
                          <w:pPr>
                            <w:pStyle w:val="20"/>
                            <w:spacing w:before="0" w:beforeAutospacing="0" w:after="0" w:afterAutospacing="0"/>
                            <w:jc w:val="center"/>
                            <w:rPr>
                              <w:rFonts w:hint="eastAsia"/>
                              <w:b/>
                              <w:bCs/>
                              <w:sz w:val="15"/>
                              <w:szCs w:val="15"/>
                            </w:rPr>
                          </w:pPr>
                          <w:r>
                            <w:rPr>
                              <w:rFonts w:hint="eastAsia" w:cs="Times New Roman"/>
                              <w:b/>
                              <w:bCs/>
                              <w:sz w:val="15"/>
                              <w:szCs w:val="15"/>
                            </w:rPr>
                            <w:t>能源资源</w:t>
                          </w:r>
                        </w:p>
                      </w:txbxContent>
                    </v:textbox>
                  </v:rect>
                  <v:rect id="_x0000_s1026" o:spid="_x0000_s1026" o:spt="1" style="position:absolute;left:75579;top:1195938;height:383540;width:784699;v-text-anchor:middle;" fillcolor="#FFFFFF [3201]" filled="t" stroked="t" coordsize="21600,21600" o:gfxdata="UEsDBAoAAAAAAIdO4kAAAAAAAAAAAAAAAAAEAAAAZHJzL1BLAwQUAAAACACHTuJAm+02nsQAAADi&#10;AAAADwAAAGRycy9kb3ducmV2LnhtbEWPMW/CMBSE90r9D9ZD6lbs0IqGgGGoQOrAkrRD2Z7iRxIR&#10;P0exIUl/Pa5UqePp7r7TbXajbcWNet841pDMFQji0pmGKw1fn4fnFIQPyAZbx6RhIg+77ePDBjPj&#10;Bs7pVoRKRAj7DDXUIXSZlL6syaKfu444emfXWwxR9pU0PQ4Rblu5UGopLTYcF2rs6L2m8lJcrQYs&#10;xtM0Td/DIPNWNfufvCuOudZPs0StQQQaw3/4r/1hNKQvSfK2fE1X8Hsp3gG5v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02nsQAAADiAAAADwAAAAAAAAABACAAAAAiAAAAZHJzL2Rvd25yZXYueG1sUEsBAhQAFAAAAAgA&#10;h07iQDMvBZ47AAAAOQAAABAAAAAAAAAAAQAgAAAAEwEAAGRycy9zaGFwZXhtbC54bWxQSwUGAAAA&#10;AAYABgBbAQAAvQMAAAAA&#10;">
                    <v:fill on="t" focussize="0,0"/>
                    <v:stroke weight="1pt" color="#000000 [3213]" miterlimit="8" joinstyle="miter"/>
                    <v:imagedata o:title=""/>
                    <o:lock v:ext="edit" aspectratio="f"/>
                    <v:textbox>
                      <w:txbxContent>
                        <w:p w14:paraId="73FF72AB">
                          <w:pPr>
                            <w:pStyle w:val="20"/>
                            <w:spacing w:before="0" w:beforeAutospacing="0" w:after="0" w:afterAutospacing="0"/>
                            <w:jc w:val="center"/>
                            <w:rPr>
                              <w:rFonts w:hint="eastAsia"/>
                              <w:b/>
                              <w:bCs/>
                              <w:sz w:val="15"/>
                              <w:szCs w:val="15"/>
                            </w:rPr>
                          </w:pPr>
                          <w:r>
                            <w:rPr>
                              <w:rFonts w:hint="eastAsia" w:cs="Times New Roman"/>
                              <w:b/>
                              <w:bCs/>
                              <w:sz w:val="15"/>
                              <w:szCs w:val="15"/>
                            </w:rPr>
                            <w:t>其他资源</w:t>
                          </w:r>
                        </w:p>
                      </w:txbxContent>
                    </v:textbox>
                  </v:rect>
                </v:group>
                <v:group id="_x0000_s1026" o:spid="_x0000_s1026" o:spt="203" style="position:absolute;left:4536325;top:1036761;height:1901795;width:778350;" coordorigin="6151425,1233251" coordsize="937233,1901795"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K1oeD9lAwAAVwwAAA4AAABkcnMvZTJvRG9jLnhtbO1XSW7k&#10;NhTdN5A7ENzHoqSSVBKsMgw7NhowOgbcQdYsFjUAEsmQLKvc6170MjcIkF3OEPRxjL5Gf1KqwcPC&#10;ToBkYy1UHN////1JdXyy6Tt0y7VppShxeEQw4oLJVSvqEv/y8eLHOUbGUrGinRS8xHfc4JPFD++O&#10;B1XwSDayW3GNAESYYlAlbqxVRRAY1vCemiOpuIDNSuqeWpjqOlhpOgB63wURIWkwSL1SWjJuDKye&#10;j5t4QtQvAZRV1TJ+Ltm658KOqJp31IJJpmmVwQuvbVVxZn+uKsMt6koMllr/BiEwXrp3sDimRa2p&#10;alo2qUBfosIjm3raChC6gzqnlqK1bp9A9S3T0sjKHjHZB6MhnhGwIiSPuLnUcq28LXUx1GpHOjjq&#10;Eev/GJZ9uL3WqF2VOM7TLCMz8L6gPfj929+f73//gnbLwNSg6gIuXGp1o671tFCPM2f8ptK9+wWz&#10;0KbEsyRO4yjB6A7ijMRploYj33xjEYMDWTaPE/AEcwdyEmZ5Mh5gDXjNQaRhEs62EFEMaBMEa36a&#10;QPI4g40nIMFWncBpvVNyUBC1Zk+l+XdU3jRUce8h45iZqMzinBAShaDVxOUff91//RPt1z13/sqO&#10;SVMYIPUZGg85iLIkTEj6kMY8IlGejwzEwOjMh/WOAFoobewllz1ygxJryAofrPT2ylhQBY5ujzj5&#10;Rnbt6qLtOj/R9fKs0+iWQgZd+MdJhysPjnUCDeDEKCPOnxTqQgX5CMNeQWwZUWNEuxoKDrPay35w&#10;2xwKAergeU6IU/KcmmZUxiOMTPSthZrUtX2J54e3OwGaOpeP1LqR3Sw3E/tLuboDj2k5VgWj2EUL&#10;Eq6osddUQxkAU6BQwm4j9SeMBigTYMtva6o5Rt17AcGThzOgG1k/mSVZBBN9uLM83BHr/kwCjyGU&#10;WMX80J233XZYadn/CvXx1EmFLSoYyB5ZmyZndixfUGEZPz31x6CWKGqvxI1iDtz5TcjTtZVV6/3r&#10;DB+tnfiAFHDp/B/kQhyTHAI0A5Mf5MJ+/ZW5EJE0GktKPk/z/HEuxGkCa76kxPMoJ76ivOUCLd5y&#10;4X/PhRTiMSRhsu+xY1/Yr782F1IX6657HvbGbXvN4ySZTZ3xLRfe+sJL+4L/YoLvTd/lp29j90F7&#10;OPd9ZP9/YPE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dNfTVdYAAAAFAQAADwAAAAAAAAABACAA&#10;AAAiAAAAZHJzL2Rvd25yZXYueG1sUEsBAhQAFAAAAAgAh07iQK1oeD9lAwAAVwwAAA4AAAAAAAAA&#10;AQAgAAAAJQEAAGRycy9lMm9Eb2MueG1sUEsFBgAAAAAGAAYAWQEAAPwGAAAAAA==&#10;">
                  <o:lock v:ext="edit" aspectratio="f"/>
                  <v:rect id="_x0000_s1026" o:spid="_x0000_s1026" o:spt="1" style="position:absolute;left:6151425;top:2751506;height:383540;width:920299;v-text-anchor:middle;" fillcolor="#FFFFFF [3201]" filled="t" stroked="t" coordsize="21600,21600" o:gfxdata="UEsDBAoAAAAAAIdO4kAAAAAAAAAAAAAAAAAEAAAAZHJzL1BLAwQUAAAACACHTuJATX09OMIAAADi&#10;AAAADwAAAGRycy9kb3ducmV2LnhtbEWPQWvCQBSE7wX/w/KE3upuFFqNrh6kggcvST3o7ZF9JsHs&#10;25DdmqS/3i0Uehxm5htmsxtsIx7U+dqxhmSmQBAXztRcajh/Hd6WIHxANtg4Jg0jedhtJy8bTI3r&#10;OaNHHkoRIexT1FCF0KZS+qIii37mWuLo3VxnMUTZldJ02Ee4beRcqXdpsea4UGFL+4qKe/5tNWA+&#10;XMdxvPS9zBpVf/5kbX7KtH6dJmoNItAQ/sN/7aPR8LFYKaXmyQJ+L8U7ILd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19&#10;PTjCAAAA4gAAAA8AAAAAAAAAAQAgAAAAIgAAAGRycy9kb3ducmV2LnhtbFBLAQIUABQAAAAIAIdO&#10;4kAzLwWeOwAAADkAAAAQAAAAAAAAAAEAIAAAABEBAABkcnMvc2hhcGV4bWwueG1sUEsFBgAAAAAG&#10;AAYAWwEAALsDAAAAAA==&#10;">
                    <v:fill on="t" focussize="0,0"/>
                    <v:stroke weight="1pt" color="#000000 [3213]" miterlimit="8" joinstyle="miter"/>
                    <v:imagedata o:title=""/>
                    <o:lock v:ext="edit" aspectratio="f"/>
                    <v:textbox>
                      <w:txbxContent>
                        <w:p w14:paraId="29DEEEE7">
                          <w:pPr>
                            <w:pStyle w:val="20"/>
                            <w:spacing w:before="0" w:beforeAutospacing="0" w:after="0" w:afterAutospacing="0"/>
                            <w:jc w:val="center"/>
                            <w:rPr>
                              <w:rFonts w:hint="eastAsia"/>
                              <w:b/>
                              <w:bCs/>
                              <w:sz w:val="15"/>
                              <w:szCs w:val="15"/>
                            </w:rPr>
                          </w:pPr>
                          <w:r>
                            <w:rPr>
                              <w:rFonts w:hint="eastAsia" w:cs="Times New Roman"/>
                              <w:b/>
                              <w:bCs/>
                              <w:sz w:val="15"/>
                              <w:szCs w:val="15"/>
                            </w:rPr>
                            <w:t>渣堆存/填埋</w:t>
                          </w:r>
                        </w:p>
                      </w:txbxContent>
                    </v:textbox>
                  </v:rect>
                  <v:rect id="_x0000_s1026" o:spid="_x0000_s1026" o:spt="1" style="position:absolute;left:6152062;top:1986996;height:382905;width:936596;v-text-anchor:middle;" fillcolor="#FFFFFF [3201]" filled="t" stroked="t" coordsize="21600,21600" o:gfxdata="UEsDBAoAAAAAAIdO4kAAAAAAAAAAAAAAAAAEAAAAZHJzL1BLAwQUAAAACACHTuJAhDAoN8MAAADi&#10;AAAADwAAAGRycy9kb3ducmV2LnhtbEWPMWvDMBSE90D+g3iBbonkBJrGtZwhNJChi50O7fawXm0T&#10;68lYamz311eFQsfj7r7jsuNkO3GnwbeONSQbBYK4cqblWsPb9bx+AuEDssHOMWmYycMxXy4yTI0b&#10;uaB7GWoRIexT1NCE0KdS+qohi37jeuLofbrBYohyqKUZcIxw28mtUo/SYstxocGeTg1Vt/LLasBy&#10;+pjn+X0cZdGp9uW76MvXQuuHVaKeQQSawn/4r30xGnY7dThs1T6B30vxDsj8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E&#10;MCg3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687FD33B">
                          <w:pPr>
                            <w:pStyle w:val="20"/>
                            <w:spacing w:before="0" w:beforeAutospacing="0" w:after="0" w:afterAutospacing="0"/>
                            <w:jc w:val="center"/>
                            <w:rPr>
                              <w:rFonts w:hint="eastAsia"/>
                              <w:b/>
                              <w:bCs/>
                              <w:sz w:val="15"/>
                              <w:szCs w:val="15"/>
                            </w:rPr>
                          </w:pPr>
                          <w:r>
                            <w:rPr>
                              <w:rFonts w:hint="eastAsia" w:cs="Times New Roman"/>
                              <w:b/>
                              <w:bCs/>
                              <w:sz w:val="15"/>
                              <w:szCs w:val="15"/>
                            </w:rPr>
                            <w:t>排入自然</w:t>
                          </w:r>
                          <w:r>
                            <w:rPr>
                              <w:rFonts w:cs="Times New Roman"/>
                              <w:b/>
                              <w:bCs/>
                              <w:sz w:val="15"/>
                              <w:szCs w:val="15"/>
                            </w:rPr>
                            <w:t>水体</w:t>
                          </w:r>
                        </w:p>
                      </w:txbxContent>
                    </v:textbox>
                  </v:rect>
                  <v:rect id="_x0000_s1026" o:spid="_x0000_s1026" o:spt="1" style="position:absolute;left:6152696;top:1233251;height:382905;width:935543;v-text-anchor:middle;" fillcolor="#FFFFFF [3201]" filled="t" stroked="t" coordsize="21600,21600" o:gfxdata="UEsDBAoAAAAAAIdO4kAAAAAAAAAAAAAAAAAEAAAAZHJzL1BLAwQUAAAACACHTuJAgbya6b8AAADi&#10;AAAADwAAAGRycy9kb3ducmV2LnhtbEVPPW/CMBDdkfofrKvEBnaQimjAMKAiMXRJYKDbKT6SiPgc&#10;xS5J+PV4QGJ8et+b3WAbcafO1441JHMFgrhwpuZSw/l0mK1A+IBssHFMGkbysNt+TDaYGtdzRvc8&#10;lCKGsE9RQxVCm0rpi4os+rlriSN3dZ3FEGFXStNhH8NtIxdKLaXFmmNDhS3tKypu+b/VgPnwN47j&#10;pe9l1qj655G1+W+m9fQzUWsQgYbwFr/cR6NhufhWiUq+4uZ4Kd4BuX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8mum/&#10;AAAA4gAAAA8AAAAAAAAAAQAgAAAAIgAAAGRycy9kb3ducmV2LnhtbFBLAQIUABQAAAAIAIdO4kAz&#10;LwWeOwAAADkAAAAQAAAAAAAAAAEAIAAAAA4BAABkcnMvc2hhcGV4bWwueG1sUEsFBgAAAAAGAAYA&#10;WwEAALgDAAAAAA==&#10;">
                    <v:fill on="t" focussize="0,0"/>
                    <v:stroke weight="1pt" color="#000000 [3213]" miterlimit="8" joinstyle="miter"/>
                    <v:imagedata o:title=""/>
                    <o:lock v:ext="edit" aspectratio="f"/>
                    <v:textbox>
                      <w:txbxContent>
                        <w:p w14:paraId="0AD76AEF">
                          <w:pPr>
                            <w:pStyle w:val="20"/>
                            <w:spacing w:before="0" w:beforeAutospacing="0" w:after="0" w:afterAutospacing="0"/>
                            <w:jc w:val="center"/>
                            <w:rPr>
                              <w:rFonts w:hint="eastAsia"/>
                              <w:b/>
                              <w:bCs/>
                              <w:sz w:val="15"/>
                              <w:szCs w:val="15"/>
                            </w:rPr>
                          </w:pPr>
                          <w:r>
                            <w:rPr>
                              <w:rFonts w:hint="eastAsia" w:cs="Times New Roman"/>
                              <w:b/>
                              <w:bCs/>
                              <w:sz w:val="15"/>
                              <w:szCs w:val="15"/>
                            </w:rPr>
                            <w:t>排入大气</w:t>
                          </w:r>
                        </w:p>
                      </w:txbxContent>
                    </v:textbox>
                  </v:rect>
                </v:group>
                <v:rect id="_x0000_s1026" o:spid="_x0000_s1026" o:spt="1" style="position:absolute;left:836871;top:446077;height:3415993;width:3557329;v-text-anchor:middle;" filled="f" stroked="t" coordsize="21600,21600" o:gfxdata="UEsDBAoAAAAAAIdO4kAAAAAAAAAAAAAAAAAEAAAAZHJzL1BLAwQUAAAACACHTuJA0G58EtcAAAAF&#10;AQAADwAAAGRycy9kb3ducmV2LnhtbE2PS0/DMBCE70j9D9YicUHUDo/IhDg9IKEKCSG1pZy38ZKE&#10;xusodh/8+7pc4LLSaEYz35azo+vFnsbQeTaQTRUI4trbjhsDH6uXGw0iRGSLvWcy8EMBZtXkosTC&#10;+gMvaL+MjUglHAo00MY4FFKGuiWHYeoH4uR9+dFhTHJspB3xkMpdL2+VyqXDjtNCiwM9t1Rvlztn&#10;gN8f9Of1ar7O/Pcb6vtuHV/nmTFXl5l6AhHpGP/CcMZP6FAlpo3fsQ2iN5Aeib83efpO5yA2BnL9&#10;qEBWpfxPX50AUEsDBBQAAAAIAIdO4kBG6PXZfgIAAOkEAAAOAAAAZHJzL2Uyb0RvYy54bWytVEtu&#10;2zAQ3RfoHQjuG8myHX8QOTBipCgQNAbSomuaoiwC/JWkP+llCnTXQ/Q4Ra/RR0lJ3LSLLOoFPeQM&#10;Z/jevNHF5VErshc+SGtKOjjLKRGG20qabUk/frh+M6UkRGYqpqwRJb0XgV4uXr+6OLi5KGxjVSU8&#10;QRIT5gdX0iZGN8+ywBuhWTizThg4a+s1i9j6bVZ5dkB2rbIiz8+zg/WV85aLEHC66py0z+hfktDW&#10;teRiZflOCxO7rF4oFgEpNNIFumhfW9eCx9u6DiISVVIgje2KIrA3ac0WF2y+9cw1kvdPYC95wjNM&#10;mkmDoo+pViwysvPyr1Racm+DreMZtzrrgLSMAMUgf8bNXcOcaLGA6uAeSQ//Ly1/v197IisoIc+n&#10;w6IYDgpKDNPo/K+v33/++EZOHGDr4MIcl+7c2ve7ADNBP9Zep3+AIseSTofn08mAkvuSjkbn+WTS&#10;cS2OkXC4h+PxZFjMKOEIGI4G49lsmCKyp0TOh/hWWE2SUVKPZrYcs/1NiF3oQ0iqa+y1VArnbK4M&#10;OQBRMcnRZ86g0hrqgKkdkAazpYSpLeTPo29TBqtkla6n28FvN1fKkz1Loml//cv+CEu1Vyw0XZza&#10;JrvDqGXEiCipwcLpdWWALxHYUZasja3u0QBvO2UGx68l8t6wENfMQ4oAgGGNt1hqZYHK9hYljfVf&#10;/nWe4qEQeCk5QNpA/HnHvKBEvTPQzmwwGqVZaDej8aTAxp96Nqces9NXFkSglXhda6b4qB7M2lv9&#10;CTO9TFXhYoajdsdtv7mK3cjhq8DFctmGQf+OxRtz53hK3nVwuYu2lm1zn9jpScMEtPLopzWN2Om+&#10;jXr6Qi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NBufBLXAAAABQEAAA8AAAAAAAAAAQAgAAAA&#10;IgAAAGRycy9kb3ducmV2LnhtbFBLAQIUABQAAAAIAIdO4kBG6PXZfgIAAOkEAAAOAAAAAAAAAAEA&#10;IAAAACYBAABkcnMvZTJvRG9jLnhtbFBLBQYAAAAABgAGAFkBAAAWBgAAAAA=&#10;">
                  <v:fill on="f" focussize="0,0"/>
                  <v:stroke weight="1pt" color="#000000 [3213]" miterlimit="8" joinstyle="miter" dashstyle="longDash"/>
                  <v:imagedata o:title=""/>
                  <o:lock v:ext="edit" aspectratio="f"/>
                </v:rect>
                <v:group id="_x0000_s1026" o:spid="_x0000_s1026" o:spt="203" style="position:absolute;left:3422241;top:1129641;height:1855228;width:171859;" coordorigin="3422473,1129641" coordsize="279620,1855228"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NPmR1BqAwAA7w0AAA4AAABkcnMvZTJvRG9jLnhtbO1XzW4k&#10;NRC+I/EOlu+k2+7/Vjp7SHbDAcFKCw/gdLt/JLdt2U4muXPghLgjcQJOwGlvHHiaZXkMyu6emexk&#10;2QSQYA+ZkWbc7XKV/dVXn+3jJ9ezQFfc2EnJBpOjGCMuW9VNcmjwF58/+6jEyDomOyaU5A2+4RY/&#10;Ofnwg+ONrjlVoxIdNwicSFtvdINH53QdRbYd+czskdJcQmevzMwcPJoh6gzbgPdZRDSO82ijTKeN&#10;arm18PZs6cSrR/MQh6rvp5afqfZy5tItXg0XzMGS7Dhpi0/CbPuet+6zvrfcIdFgWKkLvxAE2hf+&#10;Nzo5ZvVgmB6ndp0Ce8gUDtY0s0lC0J2rM+YYujTTHVfz1BplVe+OWjVHy0ICIrAKEh9gc27UpQ5r&#10;GerNoHegQ6IOUP/HbttPr54bNHXAhDgp47Qo8hwjyWbI/Otfv3z1zVfoVgegtdFDDYPOjX6hn5v1&#10;xbA8eQCuezP7f1gaum5wklJKU4LRDUQgtMqhHTDn1w61YEAKUmYVRq03KLOM0nIxaEfI3NZFWiR3&#10;XbTj09UJLaqcQkoPnETb6UR+1rtJbjQw1+7htP8Ozhcj0zxkyXpktnCSoqSkqBJY+wrnty9///qH&#10;17/8/Or7l3/89p1v//QjInu7AGbwcSpXaG1tAeW34prk8L0LyhZXmpVJViyQBJrvwGC1NtadczUj&#10;32iwdYZNw+hOlZRQMMqQQGV29Yl1MCcYuB3gJyLVs0mIkEMh0abBeZJ56BloQQ81CM1ZA5+sHDBi&#10;YgCRaZ0JHq0SU+dHez/WDBenwqAr5kszfHziIdobZj70GbPjYhe6Fn7MkwMdEtPc4HI3mtWOTeKp&#10;7JC70UBhZyYmB8FXz0JCAJ/+BVXfulDdTQA7vAdaeIr/B/ygcZpXVZySe/hxy+7v8oNsiybLS6jD&#10;BbYdP9K8LNaSeeTH+8ePNKmggBMvne+Sj73ZvexAvZj0x6CyoRZ3+pxkEGjRkaokRbrK744nWVkk&#10;q44UcZmuSG1lfqsMj1Ly/0kJoSRN0oym+5377VvN3u5esryxhe+3GlqVaZlXB1KSZ0XyKCXv7VYD&#10;/CA0rooMTvbv0pJbdvfy4y/EBM5666ZDs6wiySFT0iyhoGj+nJbn0II4j+cSVj/sXBJOsXAPCJit&#10;dxZ/0bj9HM43+3vay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B019NV1gAAAAUBAAAPAAAAAAAA&#10;AAEAIAAAACIAAABkcnMvZG93bnJldi54bWxQSwECFAAUAAAACACHTuJA0+ZHUGoDAADvDQAADgAA&#10;AAAAAAABACAAAAAlAQAAZHJzL2Uyb0RvYy54bWxQSwUGAAAAAAYABgBZAQAAAQcAAAAA&#10;">
                  <o:lock v:ext="edit" aspectratio="f"/>
                  <v:shape id="_x0000_s1026" o:spid="_x0000_s1026" o:spt="32" type="#_x0000_t32" style="position:absolute;left:3436363;top:1129641;height:0;width:258357;" filled="f" stroked="t" coordsize="21600,21600" o:gfxdata="UEsDBAoAAAAAAIdO4kAAAAAAAAAAAAAAAAAEAAAAZHJzL1BLAwQUAAAACACHTuJAn2ny6cAAAADj&#10;AAAADwAAAGRycy9kb3ducmV2LnhtbEVPO2vDMBDeC/0P4grdGlkxJI4TJUPB0KEE8up8WFfbiXUy&#10;kuqk/z4qFDLe977V5mZ7MZIPnWMNapKBIK6d6bjRcDxUbwWIEJEN9o5Jwy8F2Kyfn1ZYGnflHY37&#10;2IgUwqFEDW2MQyllqFuyGCZuIE7ct/MWYzp9I43Hawq3vZxm2Uxa7Dg1tDjQe0v1Zf9jNXxuF8Xx&#10;osaxquqvc+65wlyetH59UdkSRKRbfIj/3R8mzVfzYqrmi1zB308JALm+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afLp&#10;wAAAAOMAAAAPAAAAAAAAAAEAIAAAACIAAABkcnMvZG93bnJldi54bWxQSwECFAAUAAAACACHTuJA&#10;My8FnjsAAAA5AAAAEAAAAAAAAAABACAAAAAPAQAAZHJzL3NoYXBleG1sLnhtbFBLBQYAAAAABgAG&#10;AFsBAAC5AwAAAAA=&#10;">
                    <v:fill on="f" focussize="0,0"/>
                    <v:stroke weight="0.5pt" color="#000000 [3213]" miterlimit="8" joinstyle="miter" endarrow="block"/>
                    <v:imagedata o:title=""/>
                    <o:lock v:ext="edit" aspectratio="f"/>
                  </v:shape>
                  <v:shape id="_x0000_s1026" o:spid="_x0000_s1026" o:spt="32" type="#_x0000_t32" style="position:absolute;left:3436173;top:1568342;height:0;width:246870;" filled="f" stroked="t" coordsize="21600,21600" o:gfxdata="UEsDBAoAAAAAAIdO4kAAAAAAAAAAAAAAAAAEAAAAZHJzL1BLAwQUAAAACACHTuJARQXOx8MAAADj&#10;AAAADwAAAGRycy9kb3ducmV2LnhtbEWPQWsCMRSE74X+h/AK3moSFXFXo4fCQg8i1NqeH5vn7tbN&#10;y5Kkq/77plDocZiZb5jN7uZ6MVKInWcDeqpAENfedtwYOL1XzysQMSFb7D2TgTtF2G0fHzZYWn/l&#10;NxqPqREZwrFEA21KQyllrFtyGKd+IM7e2QeHKcvQSBvwmuGulzOlltJhx3mhxYFeWqovx29nYH8o&#10;VqeLHseqqj+/5oErnMsPYyZPWq1BJLql//Bf+9UamKnFsijUQmv4/ZT/gNz+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F&#10;Bc7HwwAAAOM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3435983;top:1981748;flip:x;height:7084;width:258737;" filled="f" stroked="t" coordsize="21600,21600" o:gfxdata="UEsDBAoAAAAAAIdO4kAAAAAAAAAAAAAAAAAEAAAAZHJzL1BLAwQUAAAACACHTuJAWteMocQAAADi&#10;AAAADwAAAGRycy9kb3ducmV2LnhtbEWPUWvCMBSF34X9h3AHe5GZ1LqhndEHpygMxub2Ay7JXVvW&#10;3JQm2vrvzWDg4+Gc8x3Ocj24RpypC7VnDdlEgSA23tZcavj+2j3OQYSIbLHxTBouFGC9uhstsbC+&#10;5086H2MpEoRDgRqqGNtCymAqchgmviVO3o/vHMYku1LaDvsEd42cKvUsHdacFipsaVOR+T2enIZB&#10;bhcHNTb7V37rp9Y07x+bfqz1w32mXkBEGuIt/N8+WA2zfDHPn/JZBn+X0h2Qqyt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WteMocQAAADi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shape id="_x0000_s1026" o:spid="_x0000_s1026" o:spt="32" type="#_x0000_t32" style="position:absolute;left:3436363;top:2984869;height:0;width:265730;" filled="f" stroked="t" coordsize="21600,21600" o:gfxdata="UEsDBAoAAAAAAIdO4kAAAAAAAAAAAAAAAAAEAAAAZHJzL1BLAwQUAAAACACHTuJAsiXU1MAAAADj&#10;AAAADwAAAGRycy9kb3ducmV2LnhtbEVPS2vCQBC+F/oflin0Vjcvg42uHgoBD6WgtT0P2TFJzc6G&#10;3TXaf98tCB7ne89qczWDmMj53rKCdJaAIG6s7rlVcPisXxYgfEDWOFgmBb/kYbN+fFhhpe2FdzTt&#10;QytiCPsKFXQhjJWUvunIoJ/ZkThyR+sMhni6VmqHlxhuBpklSSkN9hwbOhzpraPmtD8bBe8fr4vD&#10;KZ2mum6+f3LHNebyS6nnpzRZggh0DXfxzb3VcX6WFnkxz4oS/n+KAMj1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JdTU&#10;wAAAAOMAAAAPAAAAAAAAAAEAIAAAACIAAABkcnMvZG93bnJldi54bWxQSwECFAAUAAAACACHTuJA&#10;My8FnjsAAAA5AAAAEAAAAAAAAAABACAAAAAPAQAAZHJzL3NoYXBleG1sLnhtbFBLBQYAAAAABgAG&#10;AFsBAAC5AwAAAAA=&#10;">
                    <v:fill on="f" focussize="0,0"/>
                    <v:stroke weight="0.5pt" color="#000000 [3213]" miterlimit="8" joinstyle="miter" endarrow="block"/>
                    <v:imagedata o:title=""/>
                    <o:lock v:ext="edit" aspectratio="f"/>
                  </v:shape>
                  <v:shape id="_x0000_s1026" o:spid="_x0000_s1026" o:spt="32" type="#_x0000_t32" style="position:absolute;left:3422473;top:2559139;flip:x;height:6621;width:245321;" filled="f" stroked="t" coordsize="21600,21600" o:gfxdata="UEsDBAoAAAAAAIdO4kAAAAAAAAAAAAAAAAAEAAAAZHJzL1BLAwQUAAAACACHTuJAdUfmMMUAAADj&#10;AAAADwAAAGRycy9kb3ducmV2LnhtbEWPzWrDMBCE74W8g9hAL6GRbOhP3Cg5pC0NFEKb9gEWaWub&#10;WitjqbH79tlDoMfdmZ35dr2dQqdONKQ2soViaUARu+hbri18fb7cPIBKGdljF5ks/FGC7WZ2tcbK&#10;x5E/6HTMtZIQThVaaHLuK62TayhgWsaeWLTvOATMMg619gOOEh46XRpzpwO2LA0N9rRryP0cf4OF&#10;ST+v9mbhXp/4bSy96w7vu3Fh7fW8MI+gMk3533y53nvBL4uiNKv7W4GWn2QBenMG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VH5jDFAAAA4wAAAA8AAAAAAAAAAQAgAAAAIgAAAGRycy9kb3ducmV2LnhtbFBLAQIUABQAAAAI&#10;AIdO4kAzLwWeOwAAADkAAAAQAAAAAAAAAAEAIAAAABQBAABkcnMvc2hhcGV4bWwueG1sUEsFBgAA&#10;AAAGAAYAWwEAAL4DAAAAAA==&#10;">
                    <v:fill on="f" focussize="0,0"/>
                    <v:stroke weight="0.5pt" color="#000000 [3213]" miterlimit="8" joinstyle="miter" endarrow="block"/>
                    <v:imagedata o:title=""/>
                    <o:lock v:ext="edit" aspectratio="f"/>
                  </v:shape>
                </v:group>
                <v:group id="_x0000_s1026" o:spid="_x0000_s1026" o:spt="203" style="position:absolute;left:4394737;top:1227893;height:1518630;width:139163;" coordorigin="5823031,1424383" coordsize="330329,1518630"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Gfy0HL+AgAAnAkAAA4AAABkcnMvZTJvRG9jLnhtbO1WzW7U&#10;MBC+I/EOlu80iZ3NJlHTHrptLwgqFR7ATZwfKbEt2+127xw4Ie5InIATcOqNA09TymMwTtLdpeWn&#10;BQlx6B6yjj3zeebzNxNvbp92LTrh2jRSZDjY8DHiIpdFI6oMP32y9yDGyFgmCtZKwTO84AZvb92/&#10;tzlXKSeylm3BNQIQYdK5ynBtrUo9z+Q175jZkIoLWCyl7piFV115hWZzQO9aj/h+5M2lLpSWOTcG&#10;ZmfDIh4R9U0AZVk2OZ/J/Ljjwg6omrfMQkqmbpTBW320Zclz+7gsDbeozTBkavsnbALjI/f0tjZZ&#10;Wmmm6iYfQ2A3CeFKTh1rBGy6hJoxy9Cxbq5BdU2upZGl3chl5w2J9IxAFoF/hZt9LY9Vn0uVziu1&#10;JB0O6grrfwybPzo50KgpMkz8KU0CGkZAjWAdnPzFp2fnL5+jtQVga66qFJz2tTpUB3qcqIY3R8Bp&#10;qTv3D6mh0wyHNAmndIrRArRGyDRO6MA5P7UoB4MANo0oRrkzmARxRMdDyWs4OQcxiQn1aTBAhCSk&#10;8QiR17sjCAUDklwD8S7D8VzUyyDnCpRrVnSav6PzsGaK96dkHDMjnXESxdNk6qIa2Xx19uXF24uP&#10;H87fnH39/NqN379DK7Oeyh5hR4zEmtQAxz9g9aeUXLK6TgglgaN8SQZLlTZ2n8sOuUGGjdWsqWq7&#10;I4WAgpE66KXMTh4aOzheOrhQhNxr2hbmWdoKNM9wRCcgmZxBLyihBmHYKdCTERVGrK2gyeRW94hG&#10;tk3hvJ2z0dXRTqvRCXOl2f/GML8zc1vPmKkHu35pEFDXWOhDbdNlOF56s9Sypt0VBbILBRK2umGi&#10;avmI3ArgwR3/wKsbHcli0dPdz4MsnMT/gT6gGHxQtQ9y/6VA1uxuqZAwINDKoaxIMKUhuVJ3lMR0&#10;MpZMGAeTO4kMUv+fJOJHAUlcU/yNRFZ2t5QIJREZJJKEZBomQ2UtmwiJJ4krbaehKLxTyG0U0n9y&#10;4KPdN97xguFuBevvfTNaXaq2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tBQAAW0NvbnRlbnRfVHlwZXNdLnhtbFBLAQIUAAoAAAAAAIdO4kAA&#10;AAAAAAAAAAAAAAAGAAAAAAAAAAAAEAAAAE8EAABfcmVscy9QSwECFAAUAAAACACHTuJAihRmPNEA&#10;AACUAQAACwAAAAAAAAABACAAAABzBAAAX3JlbHMvLnJlbHNQSwECFAAKAAAAAACHTuJAAAAAAAAA&#10;AAAAAAAABAAAAAAAAAAAABAAAAAAAAAAZHJzL1BLAQIUABQAAAAIAIdO4kB019NV1gAAAAUBAAAP&#10;AAAAAAAAAAEAIAAAACIAAABkcnMvZG93bnJldi54bWxQSwECFAAUAAAACACHTuJAZ/LQcv4CAACc&#10;CQAADgAAAAAAAAABACAAAAAlAQAAZHJzL2Uyb0RvYy54bWxQSwUGAAAAAAYABgBZAQAAlQYAAAAA&#10;">
                  <o:lock v:ext="edit" aspectratio="f"/>
                  <v:shape id="_x0000_s1026" o:spid="_x0000_s1026" o:spt="32" type="#_x0000_t32" style="position:absolute;left:5823031;top:1424383;height:321;width:330329;" filled="f" stroked="t" coordsize="21600,21600" o:gfxdata="UEsDBAoAAAAAAIdO4kAAAAAAAAAAAAAAAAAEAAAAZHJzL1BLAwQUAAAACACHTuJAUwdPxcIAAADi&#10;AAAADwAAAGRycy9kb3ducmV2LnhtbEWPT4vCMBTE7wt+h/AWvK1pFbTtGj0IhT2IsP47P5q3bdfm&#10;pSTZqt9+Iwgeh5n5DbNc30wnBnK+tawgnSQgiCurW64VHA/lRwbCB2SNnWVScCcP69XobYmFtlf+&#10;pmEfahEh7AtU0ITQF1L6qiGDfmJ74uj9WGcwROlqqR1eI9x0cpokc2mw5bjQYE+bhqrL/s8o2O7y&#10;7HhJh6Esq/PvzHGJM3lSavyeJp8gAt3CK/xsf2kFWT7PFvlimsPjUrwDcv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MH&#10;T8X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5824128;top:2173423;height:4815;width:328359;" filled="f" stroked="t" coordsize="21600,21600" o:gfxdata="UEsDBAoAAAAAAIdO4kAAAAAAAAAAAAAAAAAEAAAAZHJzL1BLAwQUAAAACACHTuJAmtUVK8IAAADj&#10;AAAADwAAAGRycy9kb3ducmV2LnhtbEWPQWvDMAyF74P9B6PBbqudBkab1e2hEOhhDNa1PYtYS9LG&#10;crDdtPv302Gw49N7+qS32tz9oCaKqQ9soZgZUMRNcD23Fg5f9csCVMrIDofAZOGHEmzWjw8rrFy4&#10;8SdN+9wqgXCq0EKX81hpnZqOPKZZGInF+w7RYxYZW+0i3gTuBz035lV77FkudDjStqPmsr96C+8f&#10;y8XhUkxTXTencxm5xlIfrX1+KswbqEz3/B/+2945eX8uzLIwpbSQTjIAvf4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rV&#10;FSvCAAAA4w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5823262;top:2942749;height:264;width:328590;" filled="f" stroked="t" coordsize="21600,21600" o:gfxdata="UEsDBAoAAAAAAIdO4kAAAAAAAAAAAAAAAAAEAAAAZHJzL1BLAwQUAAAACACHTuJAJp+dJcMAAADj&#10;AAAADwAAAGRycy9kb3ducmV2LnhtbEWPQU/DMAyF70j8h8iTuLEkm5i2smwHpEocEBJjcLYa03Zr&#10;nCoJ3fj3+IDE0X7P733e7q9hUBOl3Ed2YOcGFHETfc+tg+N7fb8GlQuyxyEyOfihDPvd7c0WKx8v&#10;/EbTobRKQjhX6KArZay0zk1HAfM8jsSifcUUsMiYWu0TXiQ8DHphzEoH7FkaOhzpqaPmfPgODl5e&#10;N+vj2U5TXTefp2XiGpf6w7m7mTWPoApdy7/57/rZC75Z2cXGPliBlp9kAXr3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m&#10;n50lwwAAAOM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group>
                <v:group id="_x0000_s1026" o:spid="_x0000_s1026" o:spt="203" style="position:absolute;left:666750;top:1191190;height:1531546;width:162794;" coordorigin="611865,1191190" coordsize="217744,1531546"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JNp9icIAwAAmwkAAA4AAABkcnMvZTJvRG9jLnhtbO1Wv2/U&#10;MBTekfgfrOw0l1wuuYua69BfCwKkArubOIklx7Zs93K3MzAhdiQmYAKmbgz8NaX8GTw7ubRci1pA&#10;QgyNTjn//Pze97734u2dZcPQgihNBc+8YGvkIcJzUVBeZd6zpwcPph7SBvMCM8FJ5q2I9nbm9+9t&#10;tzIloagFK4hCAMJ12srMq42Rqe/rvCYN1ltCEg6TpVANNtBVlV8o3AJ6w/xwNIr9VqhCKpETrWF0&#10;r5v0ekR1G0BRljQneyI/aQg3HaoiDBtwSddUam/urC1LkpvHZamJQSzzwFPj3nAItI/t259v47RS&#10;WNY0703AtzFhw6cGUw6HDlB72GB0ougVqIbmSmhRmq1cNH7niGMEvAhGG9wcKnEinS9V2lZyIB0C&#10;tcH6H8PmjxZPFKIFKCEaTSE8s3jiIY4biPz5lxdnr1+iSxPAViurFDYdKnkkn6h+oOp6loBlqRr7&#10;D66hZebFcZxMgOwVHBDM4NdTTpYG5TAfxGEyizyU2wWTcTCJ4i4meQ2BcwhBMLU2bSLk9X6PEQZJ&#10;El3F8NfG+NbmwcRWgm71BZn678g8qrEkLkba8jKQOZ0GSRgGA5dvTr+9en/++dPZu9PvX9/a9scP&#10;QO16mSPSIezynladamD4Ok6jcBxdw8jA6TQJ454PR/fABE6l0uaQiAbZRuZpozCtarMrOIdcESpw&#10;KsaLh9qASbBxvcHawcUBZQzGcco4aiG6YxvbHEMZKCH9oNlIkJLmlYcwq6C+5EY5RC0YLexuu1mr&#10;6niXKbTANivdY4MOp/20zB69h3XdrXNTnTYaaqAEMdpkHkgWnm7YYMr2eYHMSoJ6jaKYV4z0yIzD&#10;ATb2Ham2dSyKlePajYMmrLr/iThG4zCYJAFU2j7TfqGOYd2N8kAlo/I55JBje518l1JnlsSgx46o&#10;tVAgceJ43CXfZBS6zLvTihX3f6OVyWwWh1GQ3CCVi2U3KsUm4Fof4ygJu0ISgjiScV971/oIZjAf&#10;dvq4KyS/VUjcNwe+2a6q9fcLeym43Hciu7hTz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dNfT&#10;VdYAAAAFAQAADwAAAAAAAAABACAAAAAiAAAAZHJzL2Rvd25yZXYueG1sUEsBAhQAFAAAAAgAh07i&#10;QJNp9icIAwAAmwkAAA4AAAAAAAAAAQAgAAAAJQEAAGRycy9lMm9Eb2MueG1sUEsFBgAAAAAGAAYA&#10;WQEAAJ8GAAAAAA==&#10;">
                  <o:lock v:ext="edit" aspectratio="f"/>
                  <v:shape id="_x0000_s1026" o:spid="_x0000_s1026" o:spt="32" type="#_x0000_t32" style="position:absolute;left:642345;top:1191190;height:0;width:187264;" filled="f" stroked="t" coordsize="21600,21600" o:gfxdata="UEsDBAoAAAAAAIdO4kAAAAAAAAAAAAAAAAAEAAAAZHJzL1BLAwQUAAAACACHTuJAEwG4L78AAADi&#10;AAAADwAAAGRycy9kb3ducmV2LnhtbEVPz2vCMBS+D/Y/hDfwNtNU2Wpn9DAoeJCBzu38aJ5tZ/NS&#10;kqzqf78Iwo4f3+/l+mJ7MZIPnWMNapqBIK6d6bjRcPisngsQISIb7B2ThisFWK8eH5ZYGnfmHY37&#10;2IgUwqFEDW2MQyllqFuyGKZuIE7c0XmLMUHfSOPxnMJtL/Mse5EWO04NLQ703lJ92v9aDduPRXE4&#10;qXGsqvr7Z+a5wpn80nrypLI3EJEu8V98d29Mmj8vCvWa5wpulxIG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BuC+/&#10;AAAA4gAAAA8AAAAAAAAAAQAgAAAAIgAAAGRycy9kb3ducmV2LnhtbFBLAQIUABQAAAAIAIdO4kAz&#10;LwWeOwAAADkAAAAQAAAAAAAAAAEAIAAAAA4BAABkcnMvc2hhcGV4bWwueG1sUEsFBgAAAAAGAAYA&#10;WwEAALgDAAAAAA==&#10;">
                    <v:fill on="f" focussize="0,0"/>
                    <v:stroke weight="0.5pt" color="#000000 [3213]" miterlimit="8" joinstyle="miter" endarrow="block"/>
                    <v:imagedata o:title=""/>
                    <o:lock v:ext="edit" aspectratio="f"/>
                  </v:shape>
                  <v:shape id="_x0000_s1026" o:spid="_x0000_s1026" o:spt="32" type="#_x0000_t32" style="position:absolute;left:611865;top:1976722;flip:y;height:5026;width:217663;" filled="f" stroked="t" coordsize="21600,21600" o:gfxdata="UEsDBAoAAAAAAIdO4kAAAAAAAAAAAAAAAAAEAAAAZHJzL1BLAwQUAAAACACHTuJAmGPXTcQAAADj&#10;AAAADwAAAGRycy9kb3ducmV2LnhtbEWPQU/DMAyF70j8h8hIXCaWtDAYZdkOA8QkpAnGfoCVmLai&#10;caomrOXf4wMSR/s9v/d5tZlCp040pDayhWJuQBG76FuuLRw/nq+WoFJG9thFJgs/lGCzPj9bYeXj&#10;yO90OuRaSQinCi00OfeV1sk1FDDNY08s2mccAmYZh1r7AUcJD50ujbnVAVuWhgZ72jbkvg7fwcKk&#10;n+53ZuZeHvl1LL3r9m/bcWbt5UVhHkBlmvK/+e965wX/xlyXxeKuEGj5SRag1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mGPXTcQAAADj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shape id="_x0000_s1026" o:spid="_x0000_s1026" o:spt="32" type="#_x0000_t32" style="position:absolute;left:634725;top:2722736;height:0;width:194722;" filled="f" stroked="t" coordsize="21600,21600" o:gfxdata="UEsDBAoAAAAAAIdO4kAAAAAAAAAAAAAAAAAEAAAAZHJzL1BLAwQUAAAACACHTuJA0EZaPL8AAADi&#10;AAAADwAAAGRycy9kb3ducmV2LnhtbEVPz2vCMBS+D/wfwhN2m2nVqa1GD0LBgwhzzvOjebbV5qUk&#10;WdX/3hwGO358v1ebh2lFT843lhWkowQEcWl1w5WC03fxsQDhA7LG1jIpeJKHzXrwtsJc2zt/UX8M&#10;lYgh7HNUUIfQ5VL6siaDfmQ74shdrDMYInSV1A7vMdy0cpwkM2mw4dhQY0fbmsrb8dco2B+yxemW&#10;9n1RlOfrxHGBE/mj1PswTZYgAj3Cv/jPvdMKPrNsNp6m87g5Xop3QK5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GWjy/&#10;AAAA4gAAAA8AAAAAAAAAAQAgAAAAIgAAAGRycy9kb3ducmV2LnhtbFBLAQIUABQAAAAIAIdO4kAz&#10;LwWeOwAAADkAAAAQAAAAAAAAAAEAIAAAAA4BAABkcnMvc2hhcGV4bWwueG1sUEsFBgAAAAAGAAYA&#10;WwEAALgDAAAAAA==&#10;">
                    <v:fill on="f" focussize="0,0"/>
                    <v:stroke weight="0.5pt" color="#000000 [3213]" miterlimit="8" joinstyle="miter" endarrow="block"/>
                    <v:imagedata o:title=""/>
                    <o:lock v:ext="edit" aspectratio="f"/>
                  </v:shape>
                </v:group>
                <v:group id="_x0000_s1026" o:spid="_x0000_s1026" o:spt="203" style="position:absolute;left:1722604;top:35999;height:4075394;width:1701729;" coordorigin="2435349,232489" coordsize="2068296,4075394"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LBRM9jRBgAAyTQAAA4AAABkcnMvZTJvRG9jLnhtbO1bS4/c&#10;RBC+I/EfLN/J9MPubo8yG612swEpIisFxLnX45mx5Bdt784uZw6cEHckkBAgIQGn3BDi14TwM/ja&#10;j/HMZKLsJCg7SF4pE7u73XaX66uqr7p8/8F1mjhXkSnjPJu49B5xnSgL82mczSfup5+cfaBcp6x0&#10;NtVJnkUT9yYq3QdH7793f1mMI5Yv8mQaGQeTZOV4WUzcRVUV49GoDBdRqst7eRFl6JzlJtUVTs18&#10;NDV6idnTZMQIEaNlbqaFycOoLNF62nS67YzmNhPms1kcRqd5eJlGWdXMaqJEV1hSuYiL0j2qn3Y2&#10;i8LqyWxWRpWTTFystKp/cRMcX9jf0dF9PZ4bXSzisH0EfZtH2FpTquMMN11Ndaor7Vya+KWp0jg0&#10;eZnPqnthno6ahdQSwSoo2ZLNI5NfFvVa5uPlvFgJHS9qS+pvPG348dW5ceLpxBVcKE4khWQyneLF&#10;v/jjy+fffOX07ZDVspiPcckjUzwtzk3bMG/O7PKvZya1/2NhzjW0SzImiOc6NxOX+0EQNPKOrisn&#10;rLsJRgSuE6LfI9LngdeMCBd4bXYG5nGfexiCEYwzT7VThIuH7SSMCMUC8dIko+5pRvahV8+4LKC2&#10;ZS/L8u1k+XShi6h+RaUVTCdLSoQvmQ8otbL8/pfnf/7giFV7Lbr6kpUgy3EJme6Q4roMFOEyaNW2&#10;E+OGBDgNfOVRK8aVBPS4MGX1KMpTxx5MXANc1Oqqrx6XVTO0G2IfIMvP4iRBux4nmbPEi2SSQDFC&#10;DcDPADQcpgWUpszmrqOTOSxJWJl6yjJP4qm93F5dmvnFSWKcK23xV/+1T7YxzN77VJeLZlzd1ehB&#10;GlcwNkmcTly1fnWSYXn2VTYis0cX+fQG4jd5g/GyCM9iTPtYl9W5NgA1nh9mr3qCn1mSY1F5e+Q6&#10;i9x8savdjod+oNd1ljASWPDnl9pErpN8lEFzAup5mLaqTzy8cZyY9Z6L9Z7sMj3JIQcKA1uE9aEd&#10;XyXd4czk6Wewjsf2rujSWYh7N6JtT06qxnjBvobR8XE9DJak0NXj7GkR2smbF3h8WeWzuH63vXRa&#10;oUH/LZTfARAY8QFfX3AgeAMJax37QSGAwWjMASWcK7GFBTR61APurEnhVAVKvh0UamXcqc5n9d8u&#10;df7fYKa6vrhuxT/A5wDhQ4kH7ybZmlNuHMlax17wEYQqX9belPo+orHW33auRHkBINOiRzEp1IAe&#10;CBiedIfHeQP0DM7kVoHv7qiKQnuF7zPJt5zJWsdeaPACwjy/iS2p5EyJJuro0ACUKVCWlTORsvY2&#10;bx5XDc5kMxYb4PAWcJCgVsLjMOGboVXfvhcYfF8pBhpliZYkkoB04Xo97sAQMK4slasDKw56MwRW&#10;rW8cXMOd8wwqFZeMEwprvsEz1jr2QgNcA6Vt4oL7koLAbKDBugYQvpVroNxvtaFLgXR8+paUe3AN&#10;g2toMqh75fJeESkx5PG4Av3dhkPfsR8cfEkUwq6tLFznGyiRHhO4Wcu6h0AJUSMEPPCGQ0hCCRUI&#10;uAYE75u+oW/fBwvwBoyphjVQAf7A+aZrUEoFAVthQdG6fyANA4c+hISsh6SO51Ho50acxFbte2KB&#10;BN3uDKGeD4KA63vSACxYXzD4hdvsYAz5pHZP4h1tTqiA+oEIOEjvBhb69v2wIAIBW1/HSB5B5nZr&#10;awJYIAL9bYw0MIYhRrI7rYexUUcDZFalEJbzboBhrWM/NIAwKHgZyxgUkqt0i0DDMXAfUVSDBom9&#10;iIE/Q8ADYzgExhBwhmIYzpDf2QBD374nFpAvbTwDZ8xDznY7Suqx4HF4pYExtMZgSK3eeWrVk9Lz&#10;A8p7xvDts7+//unF7789//HZP399Z49//dnph/XQOMnaGrGuTqcryVoViIGWI4vakGnfp6hd2kRG&#10;xx2wDyfVazxEWRkdzxfVSZ5lqG/KTVMKc9sSJ8F9S1QOosJJjysdJw+zqVPdFCjFq0yss3kSvRoV&#10;TfmGdSDvNoamlt8htSL7uGGneqyN208/OFLveC+2moeg2ArxCa7vCSZKfLoYggtE11YCvZZt5eAH&#10;DTF3oCFEURZ42JxZOdPdGtKPe62GOLMkLj7sit3aYlOOzXyPNCEnFxLmpN6h7HVFctKWiQrOoC2D&#10;sjRo2eFk78qcIFOLisF6q6ENvHbqSj/stapijcVKQagn2noPyhFogX/g+l5BVokqjocYtOPgtINi&#10;U8tn+NdnbHaqx9q4/fSjNyDM1gaRLc466MdhByMqkCi6p2vJ7Z3q0Q/bRztQdhyItkCGKtRl+oN2&#10;1NbzPwhV60808IVLHby1X+PYT2jWz+vQtv8C6eh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dNfT&#10;VdYAAAAFAQAADwAAAAAAAAABACAAAAAiAAAAZHJzL2Rvd25yZXYueG1sUEsBAhQAFAAAAAgAh07i&#10;QLBRM9jRBgAAyTQAAA4AAAAAAAAAAQAgAAAAJQEAAGRycy9lMm9Eb2MueG1sUEsFBgAAAAAGAAYA&#10;WQEAAGgKAAAAAA==&#10;">
                  <o:lock v:ext="edit" aspectratio="f"/>
                  <v:rect id="_x0000_s1026" o:spid="_x0000_s1026" o:spt="1" style="position:absolute;left:2435349;top:803790;height:3195841;width:2068296;v-text-anchor:middle;" filled="f" stroked="t" coordsize="21600,21600" o:gfxdata="UEsDBAoAAAAAAIdO4kAAAAAAAAAAAAAAAAAEAAAAZHJzL1BLAwQUAAAACACHTuJABcWJG8AAAADi&#10;AAAADwAAAGRycy9kb3ducmV2LnhtbEVPz0vDMBS+C/4P4Qm7uaRjrVKX7VARHBvIphdvj+bZVpuX&#10;kmTt9t8vh4HHj+/3anO2vRjJh86xhmyuQBDXznTcaPj6fHt8BhEissHeMWm4UIDN+v5uhaVxEx9o&#10;PMZGpBAOJWpoYxxKKUPdksUwdwNx4n6ctxgT9I00HqcUbnu5UKqQFjtODS0OVLVU/x1PVsN3/is/&#10;umrC0377ustH71S1dFrPHjL1AiLSOf6Lb+53o6HIVJE/LfK0OV1Kd0Cu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xYkb&#10;wAAAAOI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rect>
                  <v:rect id="_x0000_s1026" o:spid="_x0000_s1026" o:spt="1" style="position:absolute;left:2497299;top:1033860;height:318987;width:1034148;v-text-anchor:middle;" fillcolor="#FFFFFF [3201]" filled="t" stroked="t" coordsize="21600,21600" o:gfxdata="UEsDBAoAAAAAAIdO4kAAAAAAAAAAAAAAAAAEAAAAZHJzL1BLAwQUAAAACACHTuJAxKsZSMUAAADj&#10;AAAADwAAAGRycy9kb3ducmV2LnhtbEWPzW7CMBCE75V4B2uReis2P0FtwHBAVOqhlwQO7W0VL0lE&#10;vI5iQ5I+fY1UqcfRzHyj2e4H24g7db52rGE+UyCIC2dqLjWcT+8vryB8QDbYOCYNI3nY7yZPW0yN&#10;6zmjex5KESHsU9RQhdCmUvqiIot+5lri6F1cZzFE2ZXSdNhHuG3kQqm1tFhzXKiwpUNFxTW/WQ2Y&#10;D9/jOH71vcwaVR9/sjb/zLR+ns7VBkSgIfyH/9ofRsNCJclylayXb/D4FP+A3P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SrGUjFAAAA4wAAAA8AAAAAAAAAAQAgAAAAIgAAAGRycy9kb3ducmV2LnhtbFBLAQIUABQAAAAI&#10;AIdO4kAzLwWeOwAAADkAAAAQAAAAAAAAAAEAIAAAABQBAABkcnMvc2hhcGV4bWwueG1sUEsFBgAA&#10;AAAGAAYAWwEAAL4DAAAAAA==&#10;">
                    <v:fill on="t" focussize="0,0"/>
                    <v:stroke weight="1pt" color="#000000 [3213]" miterlimit="8" joinstyle="miter"/>
                    <v:imagedata o:title=""/>
                    <o:lock v:ext="edit" aspectratio="f"/>
                    <v:textbox>
                      <w:txbxContent>
                        <w:p w14:paraId="052E06E7">
                          <w:pPr>
                            <w:pStyle w:val="20"/>
                            <w:spacing w:before="0" w:beforeAutospacing="0" w:after="0" w:afterAutospacing="0"/>
                            <w:jc w:val="center"/>
                            <w:rPr>
                              <w:rFonts w:hint="eastAsia" w:cs="Times New Roman"/>
                              <w:b/>
                              <w:bCs/>
                              <w:kern w:val="2"/>
                              <w:sz w:val="15"/>
                              <w:szCs w:val="15"/>
                            </w:rPr>
                          </w:pPr>
                          <w:r>
                            <w:rPr>
                              <w:rFonts w:hint="eastAsia" w:cs="Times New Roman"/>
                              <w:b/>
                              <w:bCs/>
                              <w:kern w:val="2"/>
                              <w:sz w:val="15"/>
                              <w:szCs w:val="15"/>
                            </w:rPr>
                            <w:t>采  矿</w:t>
                          </w:r>
                        </w:p>
                      </w:txbxContent>
                    </v:textbox>
                  </v:rect>
                  <v:rect id="_x0000_s1026" o:spid="_x0000_s1026" o:spt="1" style="position:absolute;left:2601857;top:1550064;height:382768;width:849898;v-text-anchor:middle;" fillcolor="#FFFFFF [3201]" filled="t" stroked="t" coordsize="21600,21600" o:gfxdata="UEsDBAoAAAAAAIdO4kAAAAAAAAAAAAAAAAAEAAAAZHJzL1BLAwQUAAAACACHTuJAjEZMH8QAAADj&#10;AAAADwAAAGRycy9kb3ducmV2LnhtbEWPsW7DMAxE9wD9B4EFujWSgyINnCgZghbo0MVOhnYjLMY2&#10;YlGGpcZ2v74cCmQkeby7tztMvlM3GmIb2EK2NKCIq+Bari2cT+/PG1AxITvsApOFmSIc9g+LHeYu&#10;jFzQrUy1EhOOOVpoUupzrWPVkMe4DD2x3C5h8JhkHGrtBhzF3Hd6Zcxae2xZEhrs6dhQdS1/vAUs&#10;p+95nr/GURedad9+i778LKx9eszMFlSiKd3F/98fTuqbF7PevK4yoRAmWYDe/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EZMH8QAAADjAAAADwAAAAAAAAABACAAAAAiAAAAZHJzL2Rvd25yZXYueG1sUEsBAhQAFAAAAAgA&#10;h07iQDMvBZ47AAAAOQAAABAAAAAAAAAAAQAgAAAAEwEAAGRycy9zaGFwZXhtbC54bWxQSwUGAAAA&#10;AAYABgBbAQAAvQMAAAAA&#10;">
                    <v:fill on="t" focussize="0,0"/>
                    <v:stroke weight="1pt" color="#000000 [3213]" miterlimit="8" joinstyle="miter"/>
                    <v:imagedata o:title=""/>
                    <o:lock v:ext="edit" aspectratio="f"/>
                    <v:textbox>
                      <w:txbxContent>
                        <w:p w14:paraId="51CB889C">
                          <w:pPr>
                            <w:pStyle w:val="20"/>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lang w:eastAsia="zh-CN"/>
                            </w:rPr>
                            <w:t>锡</w:t>
                          </w:r>
                          <w:r>
                            <w:rPr>
                              <w:rFonts w:hint="eastAsia" w:cs="Times New Roman"/>
                              <w:b/>
                              <w:bCs/>
                              <w:kern w:val="2"/>
                              <w:sz w:val="15"/>
                              <w:szCs w:val="15"/>
                              <w:u w:val="single"/>
                            </w:rPr>
                            <w:t>矿石</w:t>
                          </w:r>
                        </w:p>
                      </w:txbxContent>
                    </v:textbox>
                  </v:rect>
                  <v:rect id="_x0000_s1026" o:spid="_x0000_s1026" o:spt="1" style="position:absolute;left:2490245;top:2173286;height:318770;width:1048200;v-text-anchor:middle;" fillcolor="#FFFFFF [3201]" filled="t" stroked="t" coordsize="21600,21600" o:gfxdata="UEsDBAoAAAAAAIdO4kAAAAAAAAAAAAAAAAAEAAAAZHJzL1BLAwQUAAAACACHTuJAv57i68EAAADj&#10;AAAADwAAAGRycy9kb3ducmV2LnhtbEVPvW7CMBDeK/EO1iF1K3ZAhCrFMCCQGFiSdijbKb4mUeNz&#10;FBuS9OlxpUod7/u/7X60rbhT7xvHGpKFAkFcOtNwpeHj/fTyCsIHZIOtY9IwkYf9bva0xcy4gXO6&#10;F6ESMYR9hhrqELpMSl/WZNEvXEccuS/XWwzx7CtpehxiuG3lUqlUWmw4NtTY0aGm8ru4WQ1YjNdp&#10;mj6HQeatao4/eVdccq2f54l6AxFoDP/iP/fZxPmpStL1erlZwe9PEQC5e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57i&#10;68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0844A776">
                          <w:pPr>
                            <w:pStyle w:val="20"/>
                            <w:spacing w:before="0" w:beforeAutospacing="0" w:after="0" w:afterAutospacing="0"/>
                            <w:rPr>
                              <w:rFonts w:hint="eastAsia" w:cs="Times New Roman"/>
                              <w:b/>
                              <w:bCs/>
                              <w:kern w:val="2"/>
                              <w:sz w:val="15"/>
                              <w:szCs w:val="15"/>
                            </w:rPr>
                          </w:pPr>
                          <w:r>
                            <w:rPr>
                              <w:rFonts w:hint="eastAsia" w:cs="Times New Roman"/>
                              <w:b/>
                              <w:bCs/>
                              <w:kern w:val="2"/>
                              <w:sz w:val="15"/>
                              <w:szCs w:val="15"/>
                            </w:rPr>
                            <w:t>破筛+浮选压滤</w:t>
                          </w:r>
                        </w:p>
                      </w:txbxContent>
                    </v:textbox>
                  </v:rect>
                  <v:rect id="_x0000_s1026" o:spid="_x0000_s1026" o:spt="1" style="position:absolute;left:2558826;top:2707049;height:336577;width:923804;v-text-anchor:middle;" fillcolor="#FFFFFF [3201]" filled="t" stroked="t" coordsize="21600,21600" o:gfxdata="UEsDBAoAAAAAAIdO4kAAAAAAAAAAAAAAAAAEAAAAZHJzL1BLAwQUAAAACACHTuJAW1upVMMAAADi&#10;AAAADwAAAGRycy9kb3ducmV2LnhtbEWPT2vCQBTE70K/w/IKvemuf0hLdPVQKnjoJdGDvT2yr0kw&#10;+zZkV5P003cFweMwM79hNrvBNuJGna8da5jPFAjiwpmaSw2n4376AcIHZIONY9Iwkofd9mWywdS4&#10;njO65aEUEcI+RQ1VCG0qpS8qsuhnriWO3q/rLIYou1KaDvsIt41cKJVIizXHhQpb+qyouORXqwHz&#10;4Wccx3Pfy6xR9ddf1ubfmdZvr3O1BhFoCM/wo30wGt4XiUpWy2QF90vxDsjt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b&#10;W6lU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CD904BA">
                          <w:pPr>
                            <w:pStyle w:val="20"/>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lang w:eastAsia="zh-CN"/>
                            </w:rPr>
                            <w:t>锡</w:t>
                          </w:r>
                          <w:r>
                            <w:rPr>
                              <w:rFonts w:hint="eastAsia" w:cs="Times New Roman"/>
                              <w:b/>
                              <w:bCs/>
                              <w:kern w:val="2"/>
                              <w:sz w:val="15"/>
                              <w:szCs w:val="15"/>
                              <w:u w:val="single"/>
                            </w:rPr>
                            <w:t>精矿</w:t>
                          </w:r>
                        </w:p>
                      </w:txbxContent>
                    </v:textbox>
                  </v:rect>
                  <v:rect id="_x0000_s1026" o:spid="_x0000_s1026" o:spt="1" style="position:absolute;left:2490114;top:3357139;height:318135;width:1048457;v-text-anchor:middle;" fillcolor="#FFFFFF [3201]" filled="t" stroked="t" coordsize="21600,21600" o:gfxdata="UEsDBAoAAAAAAIdO4kAAAAAAAAAAAAAAAAAEAAAAZHJzL1BLAwQUAAAACACHTuJAq4rjdMAAAADj&#10;AAAADwAAAGRycy9kb3ducmV2LnhtbEVPvW7CMBDeK/EO1iF1K3ZALShgGFCRGFiSMsB2io8kIj5H&#10;sUuSPj2uVKnjff+32Q22EQ/qfO1YQzJTIIgLZ2ouNZy/Dm8rED4gG2wck4aRPOy2k5cNpsb1nNEj&#10;D6WIIexT1FCF0KZS+qIii37mWuLI3VxnMcSzK6XpsI/htpFzpT6kxZpjQ4Ut7Ssq7vm31YD5cB3H&#10;8dL3MmtU/fmTtfkp0/p1mqg1iEBD+Bf/uY8mzl+uFsv5QiXv8PtTBEBu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iuN0&#10;wAAAAOM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3C972983">
                          <w:pPr>
                            <w:pStyle w:val="20"/>
                            <w:spacing w:before="0" w:beforeAutospacing="0" w:after="0" w:afterAutospacing="0"/>
                            <w:ind w:firstLine="301"/>
                            <w:rPr>
                              <w:rFonts w:hint="eastAsia" w:cs="Times New Roman"/>
                              <w:b/>
                              <w:bCs/>
                              <w:kern w:val="2"/>
                              <w:sz w:val="15"/>
                              <w:szCs w:val="15"/>
                            </w:rPr>
                          </w:pPr>
                          <w:r>
                            <w:rPr>
                              <w:rFonts w:hint="eastAsia" w:cs="Times New Roman"/>
                              <w:b/>
                              <w:bCs/>
                              <w:sz w:val="15"/>
                              <w:szCs w:val="15"/>
                            </w:rPr>
                            <w:t>冶</w:t>
                          </w:r>
                          <w:r>
                            <w:rPr>
                              <w:rFonts w:hint="eastAsia" w:cs="Times New Roman"/>
                              <w:b/>
                              <w:bCs/>
                              <w:kern w:val="2"/>
                              <w:sz w:val="15"/>
                              <w:szCs w:val="15"/>
                            </w:rPr>
                            <w:t xml:space="preserve">  炼</w:t>
                          </w:r>
                        </w:p>
                      </w:txbxContent>
                    </v:textbox>
                  </v:rect>
                  <v:rect id="_x0000_s1026" o:spid="_x0000_s1026" o:spt="1" style="position:absolute;left:2457083;top:232489;height:318770;width:1074269;v-text-anchor:middle;" fillcolor="#FFFFFF [3201]" filled="t" stroked="t" coordsize="21600,21600" o:gfxdata="UEsDBAoAAAAAAIdO4kAAAAAAAAAAAAAAAAAEAAAAZHJzL1BLAwQUAAAACACHTuJAwkq8VsEAAADj&#10;AAAADwAAAGRycy9kb3ducmV2LnhtbEVPvW7CMBDeK/EO1iF1K3ZAatMUw4BAYuiSlAG2U3xNosbn&#10;KDYk6dPXlZAY7/u/9Xa0rbhR7xvHGpKFAkFcOtNwpeH0dXhJQfiAbLB1TBom8rDdzJ7WmBk3cE63&#10;IlQihrDPUEMdQpdJ6cuaLPqF64gj9+16iyGefSVNj0MMt61cKvUqLTYcG2rsaFdT+VNcrQYsxss0&#10;TedhkHmrmv1v3hWfudbP80R9gAg0hof47j6aOH/5lqhVmqTv8P9TBEB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kq8&#10;Vs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0E206D8B">
                          <w:pPr>
                            <w:pStyle w:val="20"/>
                            <w:spacing w:before="0" w:beforeAutospacing="0" w:after="0" w:afterAutospacing="0"/>
                            <w:jc w:val="center"/>
                            <w:rPr>
                              <w:rFonts w:hint="eastAsia"/>
                              <w:b/>
                              <w:bCs/>
                              <w:sz w:val="15"/>
                              <w:szCs w:val="15"/>
                            </w:rPr>
                          </w:pPr>
                          <w:r>
                            <w:rPr>
                              <w:rFonts w:hint="eastAsia" w:cs="Times New Roman"/>
                              <w:b/>
                              <w:bCs/>
                              <w:kern w:val="2"/>
                              <w:sz w:val="15"/>
                              <w:szCs w:val="15"/>
                              <w:lang w:eastAsia="zh-CN"/>
                            </w:rPr>
                            <w:t>锡</w:t>
                          </w:r>
                          <w:r>
                            <w:rPr>
                              <w:rFonts w:hint="eastAsia" w:cs="Times New Roman"/>
                              <w:b/>
                              <w:bCs/>
                              <w:kern w:val="2"/>
                              <w:sz w:val="15"/>
                              <w:szCs w:val="15"/>
                            </w:rPr>
                            <w:t>矿</w:t>
                          </w:r>
                          <w:r>
                            <w:rPr>
                              <w:rFonts w:cs="Times New Roman"/>
                              <w:b/>
                              <w:bCs/>
                              <w:kern w:val="2"/>
                              <w:sz w:val="15"/>
                              <w:szCs w:val="15"/>
                            </w:rPr>
                            <w:t>资源</w:t>
                          </w:r>
                        </w:p>
                      </w:txbxContent>
                    </v:textbox>
                  </v:rect>
                  <v:rect id="_x0000_s1026" o:spid="_x0000_s1026" o:spt="1" style="position:absolute;left:3572285;top:1624533;height:318813;width:888992;v-text-anchor:middle;" fillcolor="#FFFFFF [3201]" filled="t" stroked="t" coordsize="21600,21600" o:gfxdata="UEsDBAoAAAAAAIdO4kAAAAAAAAAAAAAAAAAEAAAAZHJzL1BLAwQUAAAACACHTuJAK/ZL0sEAAADi&#10;AAAADwAAAGRycy9kb3ducmV2LnhtbEWPvW7CMBSF90q8g3WRuhU7IKUQMAyISgwsSTuU7Sq+JBHx&#10;dRS7JOnT46FSx6Pzp293GG0rHtT7xrGGZKFAEJfONFxp+Pr8eFuD8AHZYOuYNEzk4bCfvewwM27g&#10;nB5FqEQcYZ+hhjqELpPSlzVZ9AvXEUfv5nqLIcq+kqbHIY7bVi6VSqXFhuNDjR0dayrvxY/VgMV4&#10;nabpexhk3qrm9Jt3xSXX+nWeqC2IQGP4D/+1z0ZDut6kK5W8R4iIFHFA7p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ZL&#10;0sEAAADi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0D173701">
                          <w:pPr>
                            <w:pStyle w:val="20"/>
                            <w:spacing w:before="0" w:beforeAutospacing="0" w:after="0" w:afterAutospacing="0"/>
                            <w:jc w:val="center"/>
                            <w:rPr>
                              <w:rFonts w:hint="eastAsia"/>
                              <w:b/>
                              <w:bCs/>
                              <w:sz w:val="15"/>
                              <w:szCs w:val="15"/>
                            </w:rPr>
                          </w:pPr>
                          <w:r>
                            <w:rPr>
                              <w:rFonts w:hint="eastAsia" w:cs="Times New Roman"/>
                              <w:b/>
                              <w:bCs/>
                              <w:sz w:val="15"/>
                              <w:szCs w:val="15"/>
                            </w:rPr>
                            <w:t>尾矿处理</w:t>
                          </w:r>
                        </w:p>
                      </w:txbxContent>
                    </v:textbox>
                  </v:rect>
                  <v:rect id="_x0000_s1026" o:spid="_x0000_s1026" o:spt="1" style="position:absolute;left:3570949;top:2014504;height:318770;width:888770;v-text-anchor:middle;" fillcolor="#FFFFFF [3201]" filled="t" stroked="t" coordsize="21600,21600" o:gfxdata="UEsDBAoAAAAAAIdO4kAAAAAAAAAAAAAAAAAEAAAAZHJzL1BLAwQUAAAACACHTuJAYiJGPsMAAADi&#10;AAAADwAAAGRycy9kb3ducmV2LnhtbEWPMWvDMBSE90D/g3iFbo1kY9LgRMkQWujQxW6HZHtYL7aJ&#10;9WQsNbb766tAIONxd99x2/1kO3GlwbeONSRLBYK4cqblWsPP98frGoQPyAY7x6RhJg/73dNii7lx&#10;Ixd0LUMtIoR9jhqaEPpcSl81ZNEvXU8cvbMbLIYoh1qaAccIt51MlVpJiy3HhQZ7OjRUXcpfqwHL&#10;6TTP83EcZdGp9v2v6MuvQuuX50RtQASawiN8b38aDWmWvq2yLEnhdineAbn7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i&#10;IkY+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EA5DC1B">
                          <w:pPr>
                            <w:pStyle w:val="20"/>
                            <w:spacing w:before="0" w:beforeAutospacing="0" w:after="0" w:afterAutospacing="0"/>
                            <w:jc w:val="center"/>
                            <w:rPr>
                              <w:rFonts w:hint="eastAsia"/>
                              <w:b/>
                              <w:bCs/>
                              <w:sz w:val="15"/>
                              <w:szCs w:val="15"/>
                            </w:rPr>
                          </w:pPr>
                          <w:r>
                            <w:rPr>
                              <w:rFonts w:hint="eastAsia" w:cs="Times New Roman"/>
                              <w:b/>
                              <w:bCs/>
                              <w:sz w:val="15"/>
                              <w:szCs w:val="15"/>
                            </w:rPr>
                            <w:t>废水处理</w:t>
                          </w:r>
                        </w:p>
                      </w:txbxContent>
                    </v:textbox>
                  </v:rect>
                  <v:rect id="_x0000_s1026" o:spid="_x0000_s1026" o:spt="1" style="position:absolute;left:3569613;top:2400400;height:318135;width:888063;v-text-anchor:middle;" fillcolor="#FFFFFF [3201]" filled="t" stroked="t" coordsize="21600,21600" o:gfxdata="UEsDBAoAAAAAAIdO4kAAAAAAAAAAAAAAAAAEAAAAZHJzL1BLAwQUAAAACACHTuJAAncOksMAAADi&#10;AAAADwAAAGRycy9kb3ducmV2LnhtbEWPMWvDMBSE90D/g3iFbonklJrYiZKhtNChi50O7fawXm0T&#10;68lYSmz311eBQMbj7r7jdofJduJCg28da0hWCgRx5UzLtYav4/tyA8IHZIOdY9Iwk4fD/mGxw9y4&#10;kQu6lKEWEcI+Rw1NCH0upa8asuhXrieO3q8bLIYoh1qaAccIt51cK5VKiy3HhQZ7em2oOpVnqwHL&#10;6Wee5+9xlEWn2re/oi8/C62fHhO1BRFoCvfwrf1hNGyy5CVLs+cUrpfiHZD7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C&#10;dw6S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BF9E13B">
                          <w:pPr>
                            <w:pStyle w:val="20"/>
                            <w:spacing w:before="0" w:beforeAutospacing="0" w:after="0" w:afterAutospacing="0"/>
                            <w:jc w:val="center"/>
                            <w:rPr>
                              <w:rFonts w:hint="eastAsia"/>
                              <w:b/>
                              <w:bCs/>
                              <w:sz w:val="15"/>
                              <w:szCs w:val="15"/>
                            </w:rPr>
                          </w:pPr>
                          <w:r>
                            <w:rPr>
                              <w:rFonts w:hint="eastAsia" w:cs="Times New Roman"/>
                              <w:b/>
                              <w:bCs/>
                              <w:sz w:val="15"/>
                              <w:szCs w:val="15"/>
                            </w:rPr>
                            <w:t>烟气处理</w:t>
                          </w:r>
                        </w:p>
                      </w:txbxContent>
                    </v:textbox>
                  </v:rect>
                  <v:rect id="_x0000_s1026" o:spid="_x0000_s1026" o:spt="1" style="position:absolute;left:3570882;top:2817319;height:317500;width:887355;v-text-anchor:middle;" fillcolor="#FFFFFF [3201]" filled="t" stroked="t" coordsize="21600,21600" o:gfxdata="UEsDBAoAAAAAAIdO4kAAAAAAAAAAAAAAAAAEAAAAZHJzL1BLAwQUAAAACACHTuJAXJ+fCcEAAADj&#10;AAAADwAAAGRycy9kb3ducmV2LnhtbEVPvW7CMBDekXgH65C6gR1U0jbFMCAqdWBJ2qHdTvE1iRqf&#10;o9iQpE9fIyEx3vd/2/1oW3Gh3jeONSQrBYK4dKbhSsPnx9vyGYQPyAZbx6RhIg/73Xy2xcy4gXO6&#10;FKESMYR9hhrqELpMSl/WZNGvXEccuR/XWwzx7CtpehxiuG3lWqlUWmw4NtTY0aGm8rc4Ww1YjN/T&#10;NH0Ng8xb1Rz/8q445Vo/LBL1CiLQGO7im/vdxPkv6WbzlKbJI1x/igDI3T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J+f&#10;Cc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4C428414">
                          <w:pPr>
                            <w:pStyle w:val="20"/>
                            <w:spacing w:before="0" w:beforeAutospacing="0" w:after="0" w:afterAutospacing="0"/>
                            <w:jc w:val="center"/>
                            <w:rPr>
                              <w:rFonts w:hint="eastAsia"/>
                              <w:b/>
                              <w:bCs/>
                              <w:sz w:val="15"/>
                              <w:szCs w:val="15"/>
                            </w:rPr>
                          </w:pPr>
                          <w:r>
                            <w:rPr>
                              <w:rFonts w:hint="eastAsia" w:cs="Times New Roman"/>
                              <w:b/>
                              <w:bCs/>
                              <w:sz w:val="15"/>
                              <w:szCs w:val="15"/>
                            </w:rPr>
                            <w:t>废渣处理</w:t>
                          </w:r>
                        </w:p>
                      </w:txbxContent>
                    </v:textbox>
                  </v:rect>
                  <v:rect id="_x0000_s1026" o:spid="_x0000_s1026" o:spt="1" style="position:absolute;left:3573653;top:3224436;height:439153;width:887355;v-text-anchor:middle;" fillcolor="#FFFFFF [3201]" filled="t" stroked="t" coordsize="21600,21600" o:gfxdata="UEsDBAoAAAAAAIdO4kAAAAAAAAAAAAAAAAAEAAAAZHJzL1BLAwQUAAAACACHTuJAvbGLOsMAAADi&#10;AAAADwAAAGRycy9kb3ducmV2LnhtbEWPQWvCQBSE74L/YXlCb7prAlajq4fSQg+9JPXQ3h7ZZxLM&#10;vg3ZrUn6612h0OMwM98wh9NoW3Gj3jeONaxXCgRx6UzDlYbz59tyC8IHZIOtY9IwkYfTcT47YGbc&#10;wDndilCJCGGfoYY6hC6T0pc1WfQr1xFH7+J6iyHKvpKmxyHCbSsTpTbSYsNxocaOXmoqr8WP1YDF&#10;+D1N09cwyLxVzetv3hUfudZPi7Xagwg0hv/wX/vdaNilyWabpskzPC7FOyCP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9&#10;sYs6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4D59ECB3">
                          <w:pPr>
                            <w:pStyle w:val="20"/>
                            <w:spacing w:before="0" w:beforeAutospacing="0" w:after="0" w:afterAutospacing="0"/>
                            <w:jc w:val="center"/>
                            <w:rPr>
                              <w:rFonts w:hint="eastAsia"/>
                              <w:b/>
                              <w:bCs/>
                              <w:sz w:val="15"/>
                              <w:szCs w:val="15"/>
                            </w:rPr>
                          </w:pPr>
                          <w:r>
                            <w:rPr>
                              <w:rFonts w:hint="eastAsia"/>
                              <w:b/>
                              <w:bCs/>
                              <w:sz w:val="15"/>
                              <w:szCs w:val="15"/>
                            </w:rPr>
                            <w:t>其他辅助</w:t>
                          </w:r>
                        </w:p>
                        <w:p w14:paraId="2ED1BF78">
                          <w:pPr>
                            <w:pStyle w:val="20"/>
                            <w:spacing w:before="0" w:beforeAutospacing="0" w:after="0" w:afterAutospacing="0"/>
                            <w:jc w:val="center"/>
                            <w:rPr>
                              <w:rFonts w:hint="eastAsia"/>
                              <w:b/>
                              <w:bCs/>
                              <w:sz w:val="15"/>
                              <w:szCs w:val="15"/>
                            </w:rPr>
                          </w:pPr>
                          <w:r>
                            <w:rPr>
                              <w:rFonts w:hint="eastAsia"/>
                              <w:b/>
                              <w:bCs/>
                              <w:sz w:val="15"/>
                              <w:szCs w:val="15"/>
                            </w:rPr>
                            <w:t>生产</w:t>
                          </w:r>
                        </w:p>
                      </w:txbxContent>
                    </v:textbox>
                  </v:rect>
                  <v:shape id="_x0000_s1026" o:spid="_x0000_s1026" o:spt="32" type="#_x0000_t32" style="position:absolute;left:3014575;top:551195;height:482780;width:70;" filled="f" stroked="t" coordsize="21600,21600" o:gfxdata="UEsDBAoAAAAAAIdO4kAAAAAAAAAAAAAAAAAEAAAAZHJzL1BLAwQUAAAACACHTuJAwOEoK8MAAADi&#10;AAAADwAAAGRycy9kb3ducmV2LnhtbEWPQWvCQBSE70L/w/IK3nQTo9WkWT0IAQ+loLU9P7KvSWr2&#10;bdhdo/333UKhx2FmvmHK3d30YiTnO8sK0nkCgri2uuNGwfmtmm1A+ICssbdMCr7Jw277MCmx0PbG&#10;RxpPoRERwr5ABW0IQyGlr1sy6Od2II7ep3UGQ5SukdrhLcJNLxdJ8iQNdhwXWhxo31J9OV2NgpfX&#10;fHO+pONYVfXHV+a4wky+KzV9TJNnEIHu4T/81z5oBcv1ernK02wBv5fiHZDb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A&#10;4SgrwwAAAOI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3031390;top:3044014;height:313663;width:318;" filled="f" stroked="t" coordsize="21600,21600" o:gfxdata="UEsDBAoAAAAAAIdO4kAAAAAAAAAAAAAAAAAEAAAAZHJzL1BLAwQUAAAACACHTuJAAlJBxcAAAADj&#10;AAAADwAAAGRycy9kb3ducmV2LnhtbEVPT2vCMBS/D/YdwhvsNpPqsF01ehgUdhiCzu38aJ5tZ/NS&#10;kljdtzcDweP7/X/L9cX2YiQfOscasokCQVw703GjYf9VvRQgQkQ22DsmDX8UYL16fFhiadyZtzTu&#10;YiNSCIcSNbQxDqWUoW7JYpi4gThxB+ctxnT6RhqP5xRuezlVai4tdpwaWhzovaX6uDtZDZ+bt2J/&#10;zMaxquqf35nnCmfyW+vnp0wtQES6xLv45v4waX6R5yrLVf4K/z8lAOTq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UkHF&#10;wAAAAOMAAAAPAAAAAAAAAAEAIAAAACIAAABkcnMvZG93bnJldi54bWxQSwECFAAUAAAACACHTuJA&#10;My8FnjsAAAA5AAAAEAAAAAAAAAABACAAAAAPAQAAZHJzL3NoYXBleG1sLnhtbFBLBQYAAAAABgAG&#10;AFsBAAC5AwAAAAA=&#10;">
                    <v:fill on="f" focussize="0,0"/>
                    <v:stroke weight="0.5pt" color="#000000 [3213]" miterlimit="8" joinstyle="miter" endarrow="block"/>
                    <v:imagedata o:title=""/>
                    <o:lock v:ext="edit" aspectratio="f"/>
                  </v:shape>
                  <v:shape id="_x0000_s1026" o:spid="_x0000_s1026" o:spt="32" type="#_x0000_t32" style="position:absolute;left:3024402;top:3675517;flip:x;height:632366;width:7306;" filled="f" stroked="t" coordsize="21600,21600" o:gfxdata="UEsDBAoAAAAAAIdO4kAAAAAAAAAAAAAAAAAEAAAAZHJzL1BLAwQUAAAACACHTuJAuBdUJ8QAAADj&#10;AAAADwAAAGRycy9kb3ducmV2LnhtbEWPQU/DMAyF70j7D5EncZlY0oLQVpbtMEBMQkIw+AFWYtqK&#10;xqmasJZ/Px8mcbT9/N77NrspdOpEQ2ojWyiWBhSxi77l2sLX5/PNClTKyB67yGThjxLstrOrDVY+&#10;jvxBp2OulZhwqtBCk3NfaZ1cQwHTMvbEcvuOQ8As41BrP+Ao5qHTpTH3OmDLktBgT/uG3M/xN1iY&#10;9NP6YBbu5ZFfx9K77u19Py6svZ4X5gFUpin/iy/fBy/1zaoo13flrVAIkyxAb8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BdUJ8QAAADj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shape id="_x0000_s1026" o:spid="_x0000_s1026" o:spt="32" type="#_x0000_t32" style="position:absolute;left:3014645;top:1343955;height:313055;width:0;" filled="f" stroked="t" coordsize="21600,21600" o:gfxdata="UEsDBAoAAAAAAIdO4kAAAAAAAAAAAAAAAAAEAAAAZHJzL1BLAwQUAAAACACHTuJAzeCvVMIAAADi&#10;AAAADwAAAGRycy9kb3ducmV2LnhtbEWPwWrDMBBE74H+g9hCb4nkmgTHjZJDwZBDCTR1el6sre3G&#10;WhlJcZK/rwqFHoeZecNsdjc7iIl86B1ryBYKBHHjTM+thvqjmhcgQkQ2ODgmDXcKsNs+zDZYGnfl&#10;d5qOsRUJwqFEDV2MYyllaDqyGBZuJE7el/MWY5K+lcbjNcHtIJ+VWkmLPaeFDkd67ag5Hy9Ww9th&#10;XdTnbJqqqvn8zj1XmMuT1k+PmXoBEekW/8N/7b3RUKxXarlURQ6/l9IdkN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3g&#10;r1T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3024402;top:2490209;height:313055;width:0;" filled="f" stroked="t" coordsize="21600,21600" o:gfxdata="UEsDBAoAAAAAAIdO4kAAAAAAAAAAAAAAAAAEAAAAZHJzL1BLAwQUAAAACACHTuJA0LoKysIAAADj&#10;AAAADwAAAGRycy9kb3ducmV2LnhtbEVPwWoCMRC9F/yHMEJvNVmXiq5GD8JCD0WotT0Pm3F3dTNZ&#10;krjavzeC0MM7zLx5781bbW62EwP50DrWkE0UCOLKmZZrDYfv8m0OIkRkg51j0vBHATbr0csKC+Ou&#10;/EXDPtYimXAoUEMTY19IGaqGLIaJ64kTd3TeYkyjr6XxeE3mtpNTpWbSYsspocGetg1V5/3Favjc&#10;LeaHczYMZVn9nnLPJebyR+vXcaaWICLd4v/xU/1h0vuZyt+nCTN4dEoLkOs7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C6&#10;CsrCAAAA4w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2999626;top:1840659;height:313055;width:0;" filled="f" stroked="t" coordsize="21600,21600" o:gfxdata="UEsDBAoAAAAAAIdO4kAAAAAAAAAAAAAAAAAEAAAAZHJzL1BLAwQUAAAACACHTuJA43Wp58MAAADi&#10;AAAADwAAAGRycy9kb3ducmV2LnhtbEWPzWrDMBCE74G+g9hCbokshzaOGyWHgiGHUshfz4u1td1Y&#10;KyOpTvr2VSHQ4zAz3zDr7c32YiQfOsca1DwDQVw703Gj4XSsZgWIEJEN9o5Jww8F2G4eJmssjbvy&#10;nsZDbESCcChRQxvjUEoZ6pYshrkbiJP36bzFmKRvpPF4TXDbyzzLnqXFjtNCiwO9tlRfDt9Ww9v7&#10;qjhd1DhWVf3xtfBc4UKetZ4+quwFRKRb/A/f2zujoVgtl/mTUjn8XUp3QG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j&#10;dannwwAAAOI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group>
                <w10:wrap type="none"/>
                <w10:anchorlock/>
              </v:group>
            </w:pict>
          </mc:Fallback>
        </mc:AlternateContent>
      </w:r>
    </w:p>
    <w:p w14:paraId="220F2548">
      <w:pPr>
        <w:jc w:val="center"/>
        <w:rPr>
          <w:rFonts w:hint="eastAsia" w:hAnsi="宋体"/>
        </w:rPr>
      </w:pPr>
      <w:r>
        <w:rPr>
          <w:rFonts w:hint="eastAsia" w:ascii="黑体" w:hAnsi="黑体" w:eastAsia="黑体" w:cs="黑体"/>
        </w:rPr>
        <w:t>图</w:t>
      </w:r>
      <w:r>
        <w:rPr>
          <w:rFonts w:ascii="黑体" w:hAnsi="黑体" w:eastAsia="黑体" w:cs="黑体"/>
        </w:rPr>
        <w:t xml:space="preserve">1 </w:t>
      </w:r>
      <w:r>
        <w:rPr>
          <w:rFonts w:hint="eastAsia" w:ascii="黑体" w:hAnsi="黑体" w:eastAsia="黑体" w:cs="黑体"/>
        </w:rPr>
        <w:t xml:space="preserve"> </w:t>
      </w:r>
      <w:r>
        <w:rPr>
          <w:rFonts w:hint="eastAsia" w:ascii="黑体" w:hAnsi="黑体" w:eastAsia="黑体" w:cs="黑体"/>
          <w:lang w:eastAsia="zh-CN"/>
        </w:rPr>
        <w:t>锡</w:t>
      </w:r>
      <w:r>
        <w:rPr>
          <w:rFonts w:hint="eastAsia" w:ascii="黑体" w:hAnsi="黑体" w:eastAsia="黑体" w:cs="黑体"/>
        </w:rPr>
        <w:t>锭/粗</w:t>
      </w:r>
      <w:r>
        <w:rPr>
          <w:rFonts w:hint="eastAsia" w:ascii="黑体" w:hAnsi="黑体" w:eastAsia="黑体" w:cs="黑体"/>
          <w:lang w:eastAsia="zh-CN"/>
        </w:rPr>
        <w:t>锡</w:t>
      </w:r>
      <w:r>
        <w:rPr>
          <w:rFonts w:hint="eastAsia" w:ascii="黑体" w:hAnsi="黑体" w:eastAsia="黑体" w:cs="黑体"/>
        </w:rPr>
        <w:t>产品碳足迹系统边界图</w:t>
      </w:r>
    </w:p>
    <w:p w14:paraId="49BDD209">
      <w:pPr>
        <w:pStyle w:val="61"/>
        <w:spacing w:before="312" w:beforeLines="100" w:after="312" w:afterLines="100"/>
        <w:ind w:firstLine="0" w:firstLineChars="0"/>
        <w:outlineLvl w:val="2"/>
        <w:rPr>
          <w:rFonts w:hint="eastAsia" w:ascii="黑体" w:hAnsi="黑体" w:eastAsia="黑体" w:cs="黑体"/>
          <w:color w:val="auto"/>
        </w:rPr>
      </w:pPr>
      <w:r>
        <w:rPr>
          <w:rFonts w:hint="eastAsia" w:ascii="黑体" w:hAnsi="黑体" w:eastAsia="黑体" w:cs="黑体"/>
          <w:color w:val="auto"/>
        </w:rPr>
        <w:t>5</w:t>
      </w:r>
      <w:r>
        <w:rPr>
          <w:rFonts w:ascii="黑体" w:hAnsi="黑体" w:eastAsia="黑体" w:cs="黑体"/>
          <w:color w:val="auto"/>
        </w:rPr>
        <w:t>.</w:t>
      </w:r>
      <w:r>
        <w:rPr>
          <w:rFonts w:hint="eastAsia" w:ascii="黑体" w:hAnsi="黑体" w:eastAsia="黑体" w:cs="黑体"/>
          <w:color w:val="auto"/>
        </w:rPr>
        <w:t>2.</w:t>
      </w:r>
      <w:r>
        <w:rPr>
          <w:rFonts w:ascii="黑体" w:hAnsi="黑体" w:eastAsia="黑体" w:cs="黑体"/>
          <w:color w:val="auto"/>
        </w:rPr>
        <w:t xml:space="preserve">3 </w:t>
      </w:r>
      <w:r>
        <w:rPr>
          <w:rFonts w:hint="eastAsia" w:ascii="黑体" w:hAnsi="黑体" w:eastAsia="黑体" w:cs="黑体"/>
          <w:color w:val="auto"/>
        </w:rPr>
        <w:t>生命周期阶段描述</w:t>
      </w:r>
    </w:p>
    <w:p w14:paraId="6B9EC8FB">
      <w:pPr>
        <w:pStyle w:val="6"/>
        <w:tabs>
          <w:tab w:val="left" w:pos="284"/>
        </w:tabs>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5.2.3.1 概述</w:t>
      </w:r>
    </w:p>
    <w:p w14:paraId="09313CD4">
      <w:pPr>
        <w:ind w:firstLine="420" w:firstLineChars="200"/>
      </w:pPr>
      <w:r>
        <w:rPr>
          <w:rFonts w:hint="eastAsia"/>
          <w:lang w:eastAsia="zh-CN"/>
        </w:rPr>
        <w:t>锡</w:t>
      </w:r>
      <w:r>
        <w:rPr>
          <w:rFonts w:hint="eastAsia"/>
        </w:rPr>
        <w:t>锭主要生产工艺见附录A。</w:t>
      </w:r>
    </w:p>
    <w:p w14:paraId="0EA72541">
      <w:pPr>
        <w:pStyle w:val="61"/>
        <w:rPr>
          <w:rFonts w:hint="eastAsia"/>
        </w:rPr>
      </w:pPr>
      <w:r>
        <w:rPr>
          <w:rFonts w:hint="eastAsia"/>
        </w:rPr>
        <w:t>本文件提到的产品系统边界包含了以下几个主要阶段：</w:t>
      </w:r>
    </w:p>
    <w:p w14:paraId="3C59D690">
      <w:pPr>
        <w:pStyle w:val="61"/>
        <w:numPr>
          <w:ilvl w:val="0"/>
          <w:numId w:val="0"/>
        </w:numPr>
        <w:ind w:left="420" w:leftChars="0"/>
        <w:rPr>
          <w:rFonts w:hint="eastAsia"/>
        </w:rPr>
      </w:pPr>
      <w:r>
        <w:rPr>
          <w:rFonts w:hint="eastAsia"/>
          <w:lang w:val="en-US" w:eastAsia="zh-CN"/>
        </w:rPr>
        <w:t>a)</w:t>
      </w:r>
      <w:r>
        <w:rPr>
          <w:rFonts w:hint="eastAsia"/>
          <w:lang w:eastAsia="zh-CN"/>
        </w:rPr>
        <w:t>锡</w:t>
      </w:r>
      <w:r>
        <w:rPr>
          <w:rFonts w:hint="eastAsia"/>
        </w:rPr>
        <w:t>矿石的开采：</w:t>
      </w:r>
    </w:p>
    <w:p w14:paraId="5D891C91">
      <w:pPr>
        <w:pStyle w:val="61"/>
        <w:numPr>
          <w:ilvl w:val="0"/>
          <w:numId w:val="0"/>
        </w:numPr>
        <w:ind w:left="420" w:leftChars="0"/>
        <w:rPr>
          <w:rFonts w:hint="eastAsia"/>
        </w:rPr>
      </w:pPr>
      <w:r>
        <w:rPr>
          <w:rFonts w:hint="eastAsia"/>
          <w:lang w:val="en-US" w:eastAsia="zh-CN"/>
        </w:rPr>
        <w:t>b)</w:t>
      </w:r>
      <w:r>
        <w:rPr>
          <w:rFonts w:hint="eastAsia"/>
          <w:lang w:eastAsia="zh-CN"/>
        </w:rPr>
        <w:t>锡</w:t>
      </w:r>
      <w:r>
        <w:rPr>
          <w:rFonts w:hint="eastAsia"/>
        </w:rPr>
        <w:t>精矿的生产；</w:t>
      </w:r>
    </w:p>
    <w:p w14:paraId="7019C0BD">
      <w:pPr>
        <w:pStyle w:val="61"/>
        <w:numPr>
          <w:ilvl w:val="0"/>
          <w:numId w:val="0"/>
        </w:numPr>
        <w:ind w:left="420" w:leftChars="0"/>
        <w:rPr>
          <w:rFonts w:hint="eastAsia"/>
        </w:rPr>
      </w:pPr>
      <w:r>
        <w:rPr>
          <w:rFonts w:hint="eastAsia"/>
          <w:lang w:val="en-US" w:eastAsia="zh-CN"/>
        </w:rPr>
        <w:t>c)</w:t>
      </w:r>
      <w:r>
        <w:rPr>
          <w:rFonts w:hint="eastAsia"/>
          <w:lang w:eastAsia="zh-CN"/>
        </w:rPr>
        <w:t>回收锡原料</w:t>
      </w:r>
      <w:r>
        <w:rPr>
          <w:rFonts w:hint="eastAsia"/>
        </w:rPr>
        <w:t>的获取和预处理；</w:t>
      </w:r>
    </w:p>
    <w:p w14:paraId="652C4FF9">
      <w:pPr>
        <w:pStyle w:val="61"/>
        <w:numPr>
          <w:ilvl w:val="0"/>
          <w:numId w:val="0"/>
        </w:numPr>
        <w:ind w:left="420" w:leftChars="0"/>
        <w:rPr>
          <w:rFonts w:hint="eastAsia"/>
        </w:rPr>
      </w:pPr>
      <w:r>
        <w:rPr>
          <w:rFonts w:hint="eastAsia"/>
          <w:lang w:val="en-US" w:eastAsia="zh-CN"/>
        </w:rPr>
        <w:t>d)</w:t>
      </w:r>
      <w:r>
        <w:rPr>
          <w:rFonts w:hint="eastAsia"/>
          <w:lang w:eastAsia="zh-CN"/>
        </w:rPr>
        <w:t>锡</w:t>
      </w:r>
      <w:r>
        <w:rPr>
          <w:rFonts w:hint="eastAsia"/>
        </w:rPr>
        <w:t>冶炼的生产。</w:t>
      </w:r>
    </w:p>
    <w:p w14:paraId="0C4EAE35">
      <w:pPr>
        <w:pStyle w:val="61"/>
        <w:rPr>
          <w:rFonts w:ascii="Times New Roman" w:hAnsi="Times New Roman"/>
        </w:rPr>
      </w:pPr>
      <w:r>
        <w:rPr>
          <w:rFonts w:hint="eastAsia"/>
        </w:rPr>
        <w:t>表</w:t>
      </w:r>
      <w:r>
        <w:rPr>
          <w:rFonts w:hint="eastAsia" w:ascii="Times New Roman" w:hAnsi="Times New Roman"/>
          <w:lang w:val="en-US" w:eastAsia="zh-CN"/>
        </w:rPr>
        <w:t xml:space="preserve">2 </w:t>
      </w:r>
      <w:r>
        <w:rPr>
          <w:rFonts w:ascii="Times New Roman" w:hAnsi="Times New Roman"/>
        </w:rPr>
        <w:t>概述了产品系统边界内各阶段的温室气体排放源。</w:t>
      </w:r>
    </w:p>
    <w:p w14:paraId="417DD004">
      <w:pPr>
        <w:pStyle w:val="61"/>
        <w:ind w:firstLine="0" w:firstLineChars="0"/>
        <w:jc w:val="center"/>
        <w:rPr>
          <w:rFonts w:hint="eastAsia" w:ascii="黑体" w:hAnsi="黑体" w:eastAsia="黑体"/>
        </w:rPr>
      </w:pPr>
      <w:r>
        <w:rPr>
          <w:rFonts w:hint="eastAsia" w:ascii="黑体" w:hAnsi="黑体" w:eastAsia="黑体"/>
        </w:rPr>
        <w:t>表2</w:t>
      </w:r>
      <w:r>
        <w:rPr>
          <w:rFonts w:ascii="黑体" w:hAnsi="黑体" w:eastAsia="黑体"/>
        </w:rPr>
        <w:t xml:space="preserve">    </w:t>
      </w:r>
      <w:r>
        <w:rPr>
          <w:rFonts w:hint="eastAsia" w:ascii="黑体" w:hAnsi="黑体" w:eastAsia="黑体"/>
        </w:rPr>
        <w:t>系统边界内各阶段排放源汇总</w:t>
      </w:r>
      <w:r>
        <w:rPr>
          <w:rFonts w:ascii="黑体" w:hAnsi="黑体" w:eastAsia="黑体"/>
        </w:rPr>
        <w:t xml:space="preserve">   </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76"/>
        <w:gridCol w:w="1121"/>
        <w:gridCol w:w="5619"/>
      </w:tblGrid>
      <w:tr w14:paraId="2CDC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blHeader/>
        </w:trPr>
        <w:tc>
          <w:tcPr>
            <w:tcW w:w="947" w:type="pct"/>
            <w:shd w:val="clear" w:color="auto" w:fill="auto"/>
            <w:noWrap/>
            <w:vAlign w:val="bottom"/>
          </w:tcPr>
          <w:p w14:paraId="0E88C1B3">
            <w:pPr>
              <w:widowControl/>
              <w:jc w:val="center"/>
              <w:rPr>
                <w:rFonts w:hint="eastAsia" w:ascii="宋体" w:hAnsi="宋体" w:cs="宋体"/>
                <w:kern w:val="0"/>
                <w:sz w:val="18"/>
                <w:szCs w:val="18"/>
              </w:rPr>
            </w:pPr>
            <w:r>
              <w:rPr>
                <w:rFonts w:hint="eastAsia" w:ascii="宋体" w:hAnsi="宋体" w:cs="宋体"/>
                <w:kern w:val="0"/>
                <w:sz w:val="18"/>
                <w:szCs w:val="18"/>
              </w:rPr>
              <w:t>生命周期阶段</w:t>
            </w:r>
          </w:p>
        </w:tc>
        <w:tc>
          <w:tcPr>
            <w:tcW w:w="674" w:type="pct"/>
          </w:tcPr>
          <w:p w14:paraId="2F7BA082">
            <w:pPr>
              <w:widowControl/>
              <w:jc w:val="center"/>
              <w:rPr>
                <w:rFonts w:hint="eastAsia" w:ascii="宋体" w:hAnsi="宋体" w:cs="宋体"/>
                <w:kern w:val="0"/>
                <w:sz w:val="18"/>
                <w:szCs w:val="18"/>
              </w:rPr>
            </w:pPr>
            <w:r>
              <w:rPr>
                <w:rFonts w:hint="eastAsia" w:ascii="宋体" w:hAnsi="宋体" w:cs="宋体"/>
                <w:kern w:val="0"/>
                <w:sz w:val="18"/>
                <w:szCs w:val="18"/>
              </w:rPr>
              <w:t>排放类别</w:t>
            </w:r>
          </w:p>
        </w:tc>
        <w:tc>
          <w:tcPr>
            <w:tcW w:w="3379" w:type="pct"/>
            <w:shd w:val="clear" w:color="auto" w:fill="auto"/>
            <w:noWrap/>
            <w:vAlign w:val="bottom"/>
          </w:tcPr>
          <w:p w14:paraId="34C962B6">
            <w:pPr>
              <w:widowControl/>
              <w:jc w:val="center"/>
              <w:rPr>
                <w:rFonts w:hint="eastAsia" w:ascii="宋体" w:hAnsi="宋体" w:cs="宋体"/>
                <w:kern w:val="0"/>
                <w:sz w:val="18"/>
                <w:szCs w:val="18"/>
              </w:rPr>
            </w:pPr>
            <w:r>
              <w:rPr>
                <w:rFonts w:hint="eastAsia" w:ascii="宋体" w:hAnsi="宋体" w:cs="宋体"/>
                <w:kern w:val="0"/>
                <w:sz w:val="18"/>
                <w:szCs w:val="18"/>
              </w:rPr>
              <w:t>描述</w:t>
            </w:r>
          </w:p>
        </w:tc>
      </w:tr>
      <w:tr w14:paraId="4685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restart"/>
            <w:shd w:val="clear" w:color="auto" w:fill="auto"/>
            <w:noWrap/>
            <w:vAlign w:val="center"/>
          </w:tcPr>
          <w:p w14:paraId="26BAAD03">
            <w:pPr>
              <w:widowControl/>
              <w:jc w:val="center"/>
              <w:rPr>
                <w:rFonts w:hint="eastAsia" w:ascii="宋体" w:hAnsi="宋体" w:cs="宋体"/>
                <w:kern w:val="0"/>
                <w:sz w:val="18"/>
                <w:szCs w:val="18"/>
              </w:rPr>
            </w:pPr>
            <w:r>
              <w:rPr>
                <w:rFonts w:hint="eastAsia" w:ascii="宋体" w:hAnsi="宋体" w:cs="宋体"/>
                <w:kern w:val="0"/>
                <w:sz w:val="18"/>
                <w:szCs w:val="18"/>
                <w:lang w:eastAsia="zh-CN"/>
              </w:rPr>
              <w:t>锡</w:t>
            </w:r>
            <w:r>
              <w:rPr>
                <w:rFonts w:hint="eastAsia" w:ascii="宋体" w:hAnsi="宋体" w:cs="宋体"/>
                <w:kern w:val="0"/>
                <w:sz w:val="18"/>
                <w:szCs w:val="18"/>
              </w:rPr>
              <w:t>矿石的开采</w:t>
            </w:r>
          </w:p>
        </w:tc>
        <w:tc>
          <w:tcPr>
            <w:tcW w:w="674" w:type="pct"/>
            <w:vMerge w:val="restart"/>
            <w:vAlign w:val="center"/>
          </w:tcPr>
          <w:p w14:paraId="628C0B41">
            <w:pPr>
              <w:widowControl/>
              <w:rPr>
                <w:rFonts w:hint="eastAsia" w:ascii="宋体" w:hAnsi="宋体" w:cs="宋体"/>
                <w:kern w:val="0"/>
                <w:sz w:val="18"/>
                <w:szCs w:val="18"/>
              </w:rPr>
            </w:pPr>
            <w:r>
              <w:rPr>
                <w:rFonts w:hint="eastAsia" w:ascii="宋体" w:hAnsi="宋体" w:cs="宋体"/>
                <w:kern w:val="0"/>
                <w:sz w:val="18"/>
                <w:szCs w:val="18"/>
              </w:rPr>
              <w:t>生产直接排放</w:t>
            </w:r>
          </w:p>
        </w:tc>
        <w:tc>
          <w:tcPr>
            <w:tcW w:w="3379" w:type="pct"/>
            <w:shd w:val="clear" w:color="auto" w:fill="auto"/>
            <w:noWrap/>
            <w:vAlign w:val="bottom"/>
          </w:tcPr>
          <w:p w14:paraId="31989B2D">
            <w:pPr>
              <w:widowControl/>
              <w:jc w:val="left"/>
              <w:rPr>
                <w:rFonts w:hint="eastAsia" w:ascii="宋体" w:hAnsi="宋体" w:cs="宋体"/>
                <w:kern w:val="0"/>
                <w:sz w:val="18"/>
                <w:szCs w:val="18"/>
              </w:rPr>
            </w:pPr>
            <w:r>
              <w:rPr>
                <w:rFonts w:hint="eastAsia" w:ascii="宋体" w:hAnsi="宋体" w:cs="宋体"/>
                <w:kern w:val="0"/>
                <w:sz w:val="18"/>
                <w:szCs w:val="18"/>
              </w:rPr>
              <w:t>化石燃料燃烧</w:t>
            </w:r>
          </w:p>
        </w:tc>
      </w:tr>
      <w:tr w14:paraId="5E1E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15966111">
            <w:pPr>
              <w:widowControl/>
              <w:jc w:val="center"/>
              <w:rPr>
                <w:rFonts w:hint="eastAsia" w:ascii="宋体" w:hAnsi="宋体" w:cs="宋体"/>
                <w:kern w:val="0"/>
                <w:sz w:val="18"/>
                <w:szCs w:val="18"/>
              </w:rPr>
            </w:pPr>
          </w:p>
        </w:tc>
        <w:tc>
          <w:tcPr>
            <w:tcW w:w="674" w:type="pct"/>
            <w:vMerge w:val="continue"/>
            <w:vAlign w:val="center"/>
          </w:tcPr>
          <w:p w14:paraId="451688A4">
            <w:pPr>
              <w:widowControl/>
              <w:rPr>
                <w:rFonts w:hint="eastAsia" w:ascii="宋体" w:hAnsi="宋体" w:cs="宋体"/>
                <w:kern w:val="0"/>
                <w:sz w:val="18"/>
                <w:szCs w:val="18"/>
              </w:rPr>
            </w:pPr>
          </w:p>
        </w:tc>
        <w:tc>
          <w:tcPr>
            <w:tcW w:w="3379" w:type="pct"/>
            <w:shd w:val="clear" w:color="auto" w:fill="auto"/>
            <w:noWrap/>
            <w:vAlign w:val="bottom"/>
          </w:tcPr>
          <w:p w14:paraId="0C84CFA7">
            <w:pPr>
              <w:widowControl/>
              <w:jc w:val="left"/>
              <w:rPr>
                <w:rFonts w:hint="eastAsia" w:ascii="宋体" w:hAnsi="宋体" w:cs="宋体"/>
                <w:kern w:val="0"/>
                <w:sz w:val="18"/>
                <w:szCs w:val="18"/>
              </w:rPr>
            </w:pPr>
            <w:r>
              <w:rPr>
                <w:rFonts w:hint="eastAsia" w:ascii="宋体" w:hAnsi="宋体" w:cs="宋体"/>
                <w:kern w:val="0"/>
                <w:sz w:val="18"/>
                <w:szCs w:val="18"/>
              </w:rPr>
              <w:t>过程排放</w:t>
            </w:r>
          </w:p>
        </w:tc>
      </w:tr>
      <w:tr w14:paraId="7407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6257434D">
            <w:pPr>
              <w:widowControl/>
              <w:jc w:val="center"/>
              <w:rPr>
                <w:rFonts w:hint="eastAsia" w:ascii="宋体" w:hAnsi="宋体" w:cs="宋体"/>
                <w:kern w:val="0"/>
                <w:sz w:val="18"/>
                <w:szCs w:val="18"/>
              </w:rPr>
            </w:pPr>
          </w:p>
        </w:tc>
        <w:tc>
          <w:tcPr>
            <w:tcW w:w="674" w:type="pct"/>
            <w:vMerge w:val="restart"/>
            <w:vAlign w:val="center"/>
          </w:tcPr>
          <w:p w14:paraId="48BDDF14">
            <w:pPr>
              <w:widowControl/>
              <w:rPr>
                <w:rFonts w:hint="eastAsia" w:ascii="宋体" w:hAnsi="宋体" w:cs="宋体"/>
                <w:kern w:val="0"/>
                <w:sz w:val="18"/>
                <w:szCs w:val="18"/>
              </w:rPr>
            </w:pPr>
            <w:r>
              <w:rPr>
                <w:rFonts w:hint="eastAsia" w:ascii="宋体" w:hAnsi="宋体" w:cs="宋体"/>
                <w:kern w:val="0"/>
                <w:sz w:val="18"/>
                <w:szCs w:val="18"/>
              </w:rPr>
              <w:t>能源生产排放</w:t>
            </w:r>
          </w:p>
        </w:tc>
        <w:tc>
          <w:tcPr>
            <w:tcW w:w="3379" w:type="pct"/>
            <w:shd w:val="clear" w:color="auto" w:fill="auto"/>
            <w:noWrap/>
            <w:vAlign w:val="bottom"/>
          </w:tcPr>
          <w:p w14:paraId="3723D0A4">
            <w:pPr>
              <w:widowControl/>
              <w:jc w:val="left"/>
              <w:rPr>
                <w:rFonts w:hint="eastAsia" w:ascii="宋体" w:hAnsi="宋体" w:cs="宋体"/>
                <w:kern w:val="0"/>
                <w:sz w:val="18"/>
                <w:szCs w:val="18"/>
              </w:rPr>
            </w:pPr>
            <w:r>
              <w:rPr>
                <w:rFonts w:hint="eastAsia" w:ascii="宋体" w:hAnsi="宋体" w:cs="宋体"/>
                <w:kern w:val="0"/>
                <w:sz w:val="18"/>
                <w:szCs w:val="18"/>
              </w:rPr>
              <w:t>燃料的生产</w:t>
            </w:r>
          </w:p>
        </w:tc>
      </w:tr>
      <w:tr w14:paraId="6F71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718C03CD">
            <w:pPr>
              <w:widowControl/>
              <w:jc w:val="center"/>
              <w:rPr>
                <w:rFonts w:hint="eastAsia" w:ascii="宋体" w:hAnsi="宋体" w:cs="宋体"/>
                <w:kern w:val="0"/>
                <w:sz w:val="18"/>
                <w:szCs w:val="18"/>
              </w:rPr>
            </w:pPr>
          </w:p>
        </w:tc>
        <w:tc>
          <w:tcPr>
            <w:tcW w:w="674" w:type="pct"/>
            <w:vMerge w:val="continue"/>
            <w:vAlign w:val="center"/>
          </w:tcPr>
          <w:p w14:paraId="237AB11B">
            <w:pPr>
              <w:widowControl/>
              <w:rPr>
                <w:rFonts w:hint="eastAsia" w:ascii="宋体" w:hAnsi="宋体" w:cs="宋体"/>
                <w:kern w:val="0"/>
                <w:sz w:val="18"/>
                <w:szCs w:val="18"/>
              </w:rPr>
            </w:pPr>
          </w:p>
        </w:tc>
        <w:tc>
          <w:tcPr>
            <w:tcW w:w="3379" w:type="pct"/>
            <w:shd w:val="clear" w:color="auto" w:fill="auto"/>
            <w:noWrap/>
            <w:vAlign w:val="bottom"/>
          </w:tcPr>
          <w:p w14:paraId="34E9265C">
            <w:pPr>
              <w:widowControl/>
              <w:jc w:val="left"/>
              <w:rPr>
                <w:rFonts w:hint="eastAsia" w:ascii="宋体" w:hAnsi="宋体" w:cs="宋体"/>
                <w:kern w:val="0"/>
                <w:sz w:val="18"/>
                <w:szCs w:val="18"/>
              </w:rPr>
            </w:pPr>
            <w:r>
              <w:rPr>
                <w:rFonts w:hint="eastAsia" w:ascii="宋体" w:hAnsi="宋体" w:cs="宋体"/>
                <w:kern w:val="0"/>
                <w:sz w:val="18"/>
                <w:szCs w:val="18"/>
              </w:rPr>
              <w:t>自产电力（热力）</w:t>
            </w:r>
          </w:p>
        </w:tc>
      </w:tr>
      <w:tr w14:paraId="3A0C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6E100923">
            <w:pPr>
              <w:widowControl/>
              <w:jc w:val="center"/>
              <w:rPr>
                <w:rFonts w:hint="eastAsia" w:ascii="宋体" w:hAnsi="宋体" w:cs="宋体"/>
                <w:kern w:val="0"/>
                <w:sz w:val="18"/>
                <w:szCs w:val="18"/>
              </w:rPr>
            </w:pPr>
          </w:p>
        </w:tc>
        <w:tc>
          <w:tcPr>
            <w:tcW w:w="674" w:type="pct"/>
            <w:vMerge w:val="continue"/>
            <w:vAlign w:val="center"/>
          </w:tcPr>
          <w:p w14:paraId="783B87A9">
            <w:pPr>
              <w:widowControl/>
              <w:rPr>
                <w:rFonts w:hint="eastAsia" w:ascii="宋体" w:hAnsi="宋体" w:cs="宋体"/>
                <w:kern w:val="0"/>
                <w:sz w:val="18"/>
                <w:szCs w:val="18"/>
              </w:rPr>
            </w:pPr>
          </w:p>
        </w:tc>
        <w:tc>
          <w:tcPr>
            <w:tcW w:w="3379" w:type="pct"/>
            <w:shd w:val="clear" w:color="auto" w:fill="auto"/>
            <w:noWrap/>
            <w:vAlign w:val="bottom"/>
          </w:tcPr>
          <w:p w14:paraId="1ED059A7">
            <w:pPr>
              <w:widowControl/>
              <w:jc w:val="left"/>
              <w:rPr>
                <w:rFonts w:hint="eastAsia" w:ascii="宋体" w:hAnsi="宋体" w:cs="宋体"/>
                <w:kern w:val="0"/>
                <w:sz w:val="18"/>
                <w:szCs w:val="18"/>
              </w:rPr>
            </w:pPr>
            <w:r>
              <w:rPr>
                <w:rFonts w:hint="eastAsia" w:ascii="宋体" w:hAnsi="宋体" w:cs="宋体"/>
                <w:kern w:val="0"/>
                <w:sz w:val="18"/>
                <w:szCs w:val="18"/>
              </w:rPr>
              <w:t>外购电力（热力）</w:t>
            </w:r>
          </w:p>
        </w:tc>
      </w:tr>
      <w:tr w14:paraId="6AFD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00485B18">
            <w:pPr>
              <w:widowControl/>
              <w:jc w:val="center"/>
              <w:rPr>
                <w:rFonts w:hint="eastAsia" w:ascii="宋体" w:hAnsi="宋体" w:cs="宋体"/>
                <w:kern w:val="0"/>
                <w:sz w:val="18"/>
                <w:szCs w:val="18"/>
              </w:rPr>
            </w:pPr>
          </w:p>
        </w:tc>
        <w:tc>
          <w:tcPr>
            <w:tcW w:w="674" w:type="pct"/>
            <w:vMerge w:val="restart"/>
            <w:vAlign w:val="center"/>
          </w:tcPr>
          <w:p w14:paraId="72DB5918">
            <w:pPr>
              <w:widowControl/>
              <w:rPr>
                <w:rFonts w:hint="eastAsia" w:ascii="宋体" w:hAnsi="宋体" w:cs="宋体"/>
                <w:kern w:val="0"/>
                <w:sz w:val="18"/>
                <w:szCs w:val="18"/>
              </w:rPr>
            </w:pPr>
            <w:r>
              <w:rPr>
                <w:rFonts w:hint="eastAsia" w:ascii="宋体" w:hAnsi="宋体" w:cs="宋体"/>
                <w:kern w:val="0"/>
                <w:sz w:val="18"/>
                <w:szCs w:val="18"/>
              </w:rPr>
              <w:t>其他间接排放</w:t>
            </w:r>
          </w:p>
        </w:tc>
        <w:tc>
          <w:tcPr>
            <w:tcW w:w="3379" w:type="pct"/>
            <w:shd w:val="clear" w:color="auto" w:fill="auto"/>
            <w:noWrap/>
            <w:vAlign w:val="bottom"/>
          </w:tcPr>
          <w:p w14:paraId="63F5E275">
            <w:pPr>
              <w:widowControl/>
              <w:jc w:val="left"/>
              <w:rPr>
                <w:rFonts w:hint="eastAsia" w:ascii="宋体" w:hAnsi="宋体" w:cs="宋体"/>
                <w:kern w:val="0"/>
                <w:sz w:val="18"/>
                <w:szCs w:val="18"/>
              </w:rPr>
            </w:pPr>
            <w:r>
              <w:rPr>
                <w:rFonts w:hint="eastAsia" w:ascii="宋体" w:hAnsi="宋体" w:cs="宋体"/>
                <w:kern w:val="0"/>
                <w:sz w:val="18"/>
                <w:szCs w:val="18"/>
              </w:rPr>
              <w:t>辅材、药剂的获取，如：炸药、雷管、轮胎、水泥等的生产</w:t>
            </w:r>
          </w:p>
        </w:tc>
      </w:tr>
      <w:tr w14:paraId="58AE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1BBA3512">
            <w:pPr>
              <w:widowControl/>
              <w:jc w:val="center"/>
              <w:rPr>
                <w:rFonts w:hint="eastAsia" w:ascii="宋体" w:hAnsi="宋体" w:cs="宋体"/>
                <w:kern w:val="0"/>
                <w:sz w:val="18"/>
                <w:szCs w:val="18"/>
              </w:rPr>
            </w:pPr>
          </w:p>
        </w:tc>
        <w:tc>
          <w:tcPr>
            <w:tcW w:w="674" w:type="pct"/>
            <w:vMerge w:val="continue"/>
            <w:vAlign w:val="center"/>
          </w:tcPr>
          <w:p w14:paraId="5192BD31">
            <w:pPr>
              <w:widowControl/>
              <w:rPr>
                <w:rFonts w:hint="eastAsia" w:ascii="宋体" w:hAnsi="宋体" w:cs="宋体"/>
                <w:kern w:val="0"/>
                <w:sz w:val="18"/>
                <w:szCs w:val="18"/>
              </w:rPr>
            </w:pPr>
          </w:p>
        </w:tc>
        <w:tc>
          <w:tcPr>
            <w:tcW w:w="3379" w:type="pct"/>
            <w:shd w:val="clear" w:color="auto" w:fill="auto"/>
            <w:noWrap/>
            <w:vAlign w:val="bottom"/>
          </w:tcPr>
          <w:p w14:paraId="0570EFD9">
            <w:pPr>
              <w:widowControl/>
              <w:jc w:val="left"/>
              <w:rPr>
                <w:rFonts w:hint="eastAsia" w:ascii="宋体" w:hAnsi="宋体" w:cs="宋体"/>
                <w:kern w:val="0"/>
                <w:sz w:val="18"/>
                <w:szCs w:val="18"/>
              </w:rPr>
            </w:pPr>
            <w:r>
              <w:rPr>
                <w:rFonts w:hint="eastAsia" w:ascii="宋体" w:hAnsi="宋体" w:cs="宋体"/>
                <w:kern w:val="0"/>
                <w:sz w:val="18"/>
                <w:szCs w:val="18"/>
              </w:rPr>
              <w:t>各类物料的运输</w:t>
            </w:r>
          </w:p>
        </w:tc>
      </w:tr>
      <w:tr w14:paraId="0FEA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290E5AB3">
            <w:pPr>
              <w:widowControl/>
              <w:jc w:val="center"/>
              <w:rPr>
                <w:rFonts w:hint="eastAsia" w:ascii="宋体" w:hAnsi="宋体" w:cs="宋体"/>
                <w:kern w:val="0"/>
                <w:sz w:val="18"/>
                <w:szCs w:val="18"/>
              </w:rPr>
            </w:pPr>
          </w:p>
        </w:tc>
        <w:tc>
          <w:tcPr>
            <w:tcW w:w="674" w:type="pct"/>
            <w:vMerge w:val="continue"/>
            <w:vAlign w:val="center"/>
          </w:tcPr>
          <w:p w14:paraId="26BA4A30">
            <w:pPr>
              <w:widowControl/>
              <w:rPr>
                <w:rFonts w:hint="eastAsia" w:ascii="宋体" w:hAnsi="宋体" w:cs="宋体"/>
                <w:kern w:val="0"/>
                <w:sz w:val="18"/>
                <w:szCs w:val="18"/>
              </w:rPr>
            </w:pPr>
          </w:p>
        </w:tc>
        <w:tc>
          <w:tcPr>
            <w:tcW w:w="3379" w:type="pct"/>
            <w:shd w:val="clear" w:color="auto" w:fill="auto"/>
            <w:noWrap/>
            <w:vAlign w:val="bottom"/>
          </w:tcPr>
          <w:p w14:paraId="53BCE003">
            <w:pPr>
              <w:widowControl/>
              <w:jc w:val="left"/>
              <w:rPr>
                <w:rFonts w:hint="eastAsia" w:ascii="宋体" w:hAnsi="宋体" w:cs="宋体"/>
                <w:kern w:val="0"/>
                <w:sz w:val="18"/>
                <w:szCs w:val="18"/>
              </w:rPr>
            </w:pPr>
            <w:r>
              <w:rPr>
                <w:rFonts w:hint="eastAsia" w:ascii="宋体" w:hAnsi="宋体" w:cs="宋体"/>
                <w:kern w:val="0"/>
                <w:sz w:val="18"/>
                <w:szCs w:val="18"/>
              </w:rPr>
              <w:t>现场第三方服务，如运输、采矿生产等</w:t>
            </w:r>
          </w:p>
        </w:tc>
      </w:tr>
      <w:tr w14:paraId="6011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3CA20DF9">
            <w:pPr>
              <w:widowControl/>
              <w:jc w:val="center"/>
              <w:rPr>
                <w:rFonts w:hint="eastAsia" w:ascii="宋体" w:hAnsi="宋体" w:cs="宋体"/>
                <w:kern w:val="0"/>
                <w:sz w:val="18"/>
                <w:szCs w:val="18"/>
              </w:rPr>
            </w:pPr>
          </w:p>
        </w:tc>
        <w:tc>
          <w:tcPr>
            <w:tcW w:w="674" w:type="pct"/>
            <w:vMerge w:val="continue"/>
            <w:vAlign w:val="center"/>
          </w:tcPr>
          <w:p w14:paraId="2FFEE219">
            <w:pPr>
              <w:widowControl/>
              <w:rPr>
                <w:rFonts w:hint="eastAsia" w:ascii="宋体" w:hAnsi="宋体" w:cs="宋体"/>
                <w:kern w:val="0"/>
                <w:sz w:val="18"/>
                <w:szCs w:val="18"/>
              </w:rPr>
            </w:pPr>
          </w:p>
        </w:tc>
        <w:tc>
          <w:tcPr>
            <w:tcW w:w="3379" w:type="pct"/>
            <w:shd w:val="clear" w:color="auto" w:fill="auto"/>
            <w:vAlign w:val="bottom"/>
          </w:tcPr>
          <w:p w14:paraId="6034AE59">
            <w:pPr>
              <w:widowControl/>
              <w:jc w:val="left"/>
              <w:rPr>
                <w:rFonts w:hint="eastAsia" w:ascii="宋体" w:hAnsi="宋体" w:cs="宋体"/>
                <w:kern w:val="0"/>
                <w:sz w:val="18"/>
                <w:szCs w:val="18"/>
              </w:rPr>
            </w:pPr>
            <w:r>
              <w:rPr>
                <w:rFonts w:hint="eastAsia" w:ascii="宋体" w:hAnsi="宋体" w:cs="宋体"/>
                <w:kern w:val="0"/>
                <w:sz w:val="18"/>
                <w:szCs w:val="18"/>
              </w:rPr>
              <w:t>废弃物外委处置服务</w:t>
            </w:r>
          </w:p>
        </w:tc>
      </w:tr>
      <w:tr w14:paraId="6994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vAlign w:val="center"/>
          </w:tcPr>
          <w:p w14:paraId="1A9A08D8">
            <w:pPr>
              <w:widowControl/>
              <w:jc w:val="center"/>
              <w:rPr>
                <w:rFonts w:hint="eastAsia" w:ascii="宋体" w:hAnsi="宋体" w:cs="宋体"/>
                <w:kern w:val="0"/>
                <w:sz w:val="18"/>
                <w:szCs w:val="18"/>
              </w:rPr>
            </w:pPr>
          </w:p>
        </w:tc>
        <w:tc>
          <w:tcPr>
            <w:tcW w:w="674" w:type="pct"/>
            <w:vAlign w:val="center"/>
          </w:tcPr>
          <w:p w14:paraId="2251FDD8">
            <w:pPr>
              <w:widowControl/>
              <w:rPr>
                <w:rFonts w:hint="eastAsia" w:ascii="宋体" w:hAnsi="宋体" w:cs="宋体"/>
                <w:kern w:val="0"/>
                <w:sz w:val="18"/>
                <w:szCs w:val="18"/>
              </w:rPr>
            </w:pPr>
            <w:r>
              <w:rPr>
                <w:rFonts w:hint="eastAsia" w:ascii="宋体" w:hAnsi="宋体" w:cs="宋体"/>
                <w:kern w:val="0"/>
                <w:sz w:val="18"/>
                <w:szCs w:val="18"/>
              </w:rPr>
              <w:t>特殊排放</w:t>
            </w:r>
          </w:p>
        </w:tc>
        <w:tc>
          <w:tcPr>
            <w:tcW w:w="3379" w:type="pct"/>
            <w:shd w:val="clear" w:color="auto" w:fill="auto"/>
            <w:noWrap/>
            <w:vAlign w:val="bottom"/>
          </w:tcPr>
          <w:p w14:paraId="3E8403DD">
            <w:pPr>
              <w:widowControl/>
              <w:jc w:val="left"/>
              <w:rPr>
                <w:rFonts w:hint="eastAsia" w:ascii="宋体" w:hAnsi="宋体" w:cs="宋体"/>
                <w:kern w:val="0"/>
                <w:sz w:val="18"/>
                <w:szCs w:val="18"/>
              </w:rPr>
            </w:pPr>
            <w:r>
              <w:rPr>
                <w:rFonts w:hint="eastAsia" w:ascii="宋体" w:hAnsi="宋体" w:cs="宋体"/>
                <w:kern w:val="0"/>
                <w:sz w:val="18"/>
                <w:szCs w:val="18"/>
              </w:rPr>
              <w:t>共生产品碳信用（如有）</w:t>
            </w:r>
          </w:p>
        </w:tc>
      </w:tr>
      <w:tr w14:paraId="53DA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restart"/>
            <w:shd w:val="clear" w:color="auto" w:fill="auto"/>
            <w:noWrap/>
            <w:vAlign w:val="center"/>
          </w:tcPr>
          <w:p w14:paraId="130277E0">
            <w:pPr>
              <w:widowControl/>
              <w:jc w:val="center"/>
              <w:rPr>
                <w:rFonts w:hint="eastAsia" w:ascii="宋体" w:hAnsi="宋体" w:cs="宋体"/>
                <w:kern w:val="0"/>
                <w:sz w:val="18"/>
                <w:szCs w:val="18"/>
              </w:rPr>
            </w:pPr>
            <w:r>
              <w:rPr>
                <w:rFonts w:hint="eastAsia" w:ascii="宋体" w:hAnsi="宋体" w:cs="宋体"/>
                <w:kern w:val="0"/>
                <w:sz w:val="18"/>
                <w:szCs w:val="18"/>
                <w:lang w:eastAsia="zh-CN"/>
              </w:rPr>
              <w:t>锡</w:t>
            </w:r>
            <w:r>
              <w:rPr>
                <w:rFonts w:hint="eastAsia" w:ascii="宋体" w:hAnsi="宋体" w:cs="宋体"/>
                <w:kern w:val="0"/>
                <w:sz w:val="18"/>
                <w:szCs w:val="18"/>
              </w:rPr>
              <w:t>精矿的生产</w:t>
            </w:r>
          </w:p>
        </w:tc>
        <w:tc>
          <w:tcPr>
            <w:tcW w:w="674" w:type="pct"/>
            <w:vMerge w:val="restart"/>
            <w:vAlign w:val="center"/>
          </w:tcPr>
          <w:p w14:paraId="60BD7A74">
            <w:pPr>
              <w:widowControl/>
              <w:rPr>
                <w:rFonts w:hint="eastAsia" w:ascii="宋体" w:hAnsi="宋体" w:cs="宋体"/>
                <w:kern w:val="0"/>
                <w:sz w:val="18"/>
                <w:szCs w:val="18"/>
              </w:rPr>
            </w:pPr>
            <w:r>
              <w:rPr>
                <w:rFonts w:hint="eastAsia" w:ascii="宋体" w:hAnsi="宋体" w:cs="宋体"/>
                <w:kern w:val="0"/>
                <w:sz w:val="18"/>
                <w:szCs w:val="18"/>
              </w:rPr>
              <w:t>生产直接排放</w:t>
            </w:r>
          </w:p>
        </w:tc>
        <w:tc>
          <w:tcPr>
            <w:tcW w:w="3379" w:type="pct"/>
            <w:shd w:val="clear" w:color="auto" w:fill="auto"/>
            <w:noWrap/>
            <w:vAlign w:val="bottom"/>
          </w:tcPr>
          <w:p w14:paraId="600FA92D">
            <w:pPr>
              <w:widowControl/>
              <w:jc w:val="left"/>
              <w:rPr>
                <w:rFonts w:hint="eastAsia" w:ascii="宋体" w:hAnsi="宋体" w:cs="宋体"/>
                <w:kern w:val="0"/>
                <w:sz w:val="18"/>
                <w:szCs w:val="18"/>
              </w:rPr>
            </w:pPr>
            <w:r>
              <w:rPr>
                <w:rFonts w:hint="eastAsia" w:ascii="宋体" w:hAnsi="宋体" w:cs="宋体"/>
                <w:kern w:val="0"/>
                <w:sz w:val="18"/>
                <w:szCs w:val="18"/>
              </w:rPr>
              <w:t>化石燃料燃烧</w:t>
            </w:r>
          </w:p>
        </w:tc>
      </w:tr>
      <w:tr w14:paraId="1CA4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70FA7C42">
            <w:pPr>
              <w:widowControl/>
              <w:jc w:val="center"/>
              <w:rPr>
                <w:rFonts w:hint="eastAsia" w:ascii="宋体" w:hAnsi="宋体" w:cs="宋体"/>
                <w:kern w:val="0"/>
                <w:sz w:val="18"/>
                <w:szCs w:val="18"/>
              </w:rPr>
            </w:pPr>
          </w:p>
        </w:tc>
        <w:tc>
          <w:tcPr>
            <w:tcW w:w="674" w:type="pct"/>
            <w:vMerge w:val="continue"/>
            <w:vAlign w:val="center"/>
          </w:tcPr>
          <w:p w14:paraId="547DD31B">
            <w:pPr>
              <w:widowControl/>
              <w:rPr>
                <w:rFonts w:hint="eastAsia" w:ascii="宋体" w:hAnsi="宋体" w:cs="宋体"/>
                <w:kern w:val="0"/>
                <w:sz w:val="18"/>
                <w:szCs w:val="18"/>
              </w:rPr>
            </w:pPr>
          </w:p>
        </w:tc>
        <w:tc>
          <w:tcPr>
            <w:tcW w:w="3379" w:type="pct"/>
            <w:shd w:val="clear" w:color="auto" w:fill="auto"/>
            <w:noWrap/>
            <w:vAlign w:val="bottom"/>
          </w:tcPr>
          <w:p w14:paraId="7A1898A2">
            <w:pPr>
              <w:widowControl/>
              <w:jc w:val="left"/>
              <w:rPr>
                <w:rFonts w:hint="eastAsia" w:ascii="宋体" w:hAnsi="宋体" w:cs="宋体"/>
                <w:kern w:val="0"/>
                <w:sz w:val="18"/>
                <w:szCs w:val="18"/>
              </w:rPr>
            </w:pPr>
            <w:r>
              <w:rPr>
                <w:rFonts w:hint="eastAsia" w:ascii="宋体" w:hAnsi="宋体" w:cs="宋体"/>
                <w:kern w:val="0"/>
                <w:sz w:val="18"/>
                <w:szCs w:val="18"/>
              </w:rPr>
              <w:t>过程排放</w:t>
            </w:r>
          </w:p>
        </w:tc>
      </w:tr>
      <w:tr w14:paraId="72BC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6CCDB7DD">
            <w:pPr>
              <w:widowControl/>
              <w:jc w:val="center"/>
              <w:rPr>
                <w:rFonts w:hint="eastAsia" w:ascii="宋体" w:hAnsi="宋体" w:cs="宋体"/>
                <w:kern w:val="0"/>
                <w:sz w:val="18"/>
                <w:szCs w:val="18"/>
              </w:rPr>
            </w:pPr>
          </w:p>
        </w:tc>
        <w:tc>
          <w:tcPr>
            <w:tcW w:w="674" w:type="pct"/>
            <w:vMerge w:val="restart"/>
            <w:vAlign w:val="center"/>
          </w:tcPr>
          <w:p w14:paraId="2B138B07">
            <w:pPr>
              <w:widowControl/>
              <w:rPr>
                <w:rFonts w:hint="eastAsia" w:ascii="宋体" w:hAnsi="宋体" w:cs="宋体"/>
                <w:kern w:val="0"/>
                <w:sz w:val="18"/>
                <w:szCs w:val="18"/>
              </w:rPr>
            </w:pPr>
            <w:r>
              <w:rPr>
                <w:rFonts w:hint="eastAsia" w:ascii="宋体" w:hAnsi="宋体" w:cs="宋体"/>
                <w:kern w:val="0"/>
                <w:sz w:val="18"/>
                <w:szCs w:val="18"/>
              </w:rPr>
              <w:t>能源生产排放</w:t>
            </w:r>
          </w:p>
        </w:tc>
        <w:tc>
          <w:tcPr>
            <w:tcW w:w="3379" w:type="pct"/>
            <w:shd w:val="clear" w:color="auto" w:fill="auto"/>
            <w:noWrap/>
            <w:vAlign w:val="bottom"/>
          </w:tcPr>
          <w:p w14:paraId="27C95B32">
            <w:pPr>
              <w:widowControl/>
              <w:jc w:val="left"/>
              <w:rPr>
                <w:rFonts w:hint="eastAsia" w:ascii="宋体" w:hAnsi="宋体" w:cs="宋体"/>
                <w:kern w:val="0"/>
                <w:sz w:val="18"/>
                <w:szCs w:val="18"/>
              </w:rPr>
            </w:pPr>
            <w:r>
              <w:rPr>
                <w:rFonts w:hint="eastAsia" w:ascii="宋体" w:hAnsi="宋体" w:cs="宋体"/>
                <w:kern w:val="0"/>
                <w:sz w:val="18"/>
                <w:szCs w:val="18"/>
              </w:rPr>
              <w:t>燃料的生产</w:t>
            </w:r>
          </w:p>
        </w:tc>
      </w:tr>
      <w:tr w14:paraId="5BD1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3B843FB1">
            <w:pPr>
              <w:widowControl/>
              <w:jc w:val="center"/>
              <w:rPr>
                <w:rFonts w:hint="eastAsia" w:ascii="宋体" w:hAnsi="宋体" w:cs="宋体"/>
                <w:kern w:val="0"/>
                <w:sz w:val="18"/>
                <w:szCs w:val="18"/>
              </w:rPr>
            </w:pPr>
          </w:p>
        </w:tc>
        <w:tc>
          <w:tcPr>
            <w:tcW w:w="674" w:type="pct"/>
            <w:vMerge w:val="continue"/>
            <w:vAlign w:val="center"/>
          </w:tcPr>
          <w:p w14:paraId="5B8C2B03">
            <w:pPr>
              <w:widowControl/>
              <w:rPr>
                <w:rFonts w:hint="eastAsia" w:ascii="宋体" w:hAnsi="宋体" w:cs="宋体"/>
                <w:kern w:val="0"/>
                <w:sz w:val="18"/>
                <w:szCs w:val="18"/>
              </w:rPr>
            </w:pPr>
          </w:p>
        </w:tc>
        <w:tc>
          <w:tcPr>
            <w:tcW w:w="3379" w:type="pct"/>
            <w:shd w:val="clear" w:color="auto" w:fill="auto"/>
            <w:noWrap/>
            <w:vAlign w:val="bottom"/>
          </w:tcPr>
          <w:p w14:paraId="2B5AF765">
            <w:pPr>
              <w:widowControl/>
              <w:jc w:val="left"/>
              <w:rPr>
                <w:rFonts w:hint="eastAsia" w:ascii="宋体" w:hAnsi="宋体" w:cs="宋体"/>
                <w:kern w:val="0"/>
                <w:sz w:val="18"/>
                <w:szCs w:val="18"/>
              </w:rPr>
            </w:pPr>
            <w:r>
              <w:rPr>
                <w:rFonts w:hint="eastAsia" w:ascii="宋体" w:hAnsi="宋体" w:cs="宋体"/>
                <w:kern w:val="0"/>
                <w:sz w:val="18"/>
                <w:szCs w:val="18"/>
              </w:rPr>
              <w:t>自产电力（热力）</w:t>
            </w:r>
          </w:p>
        </w:tc>
      </w:tr>
      <w:tr w14:paraId="54AD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150DCA04">
            <w:pPr>
              <w:widowControl/>
              <w:jc w:val="center"/>
              <w:rPr>
                <w:rFonts w:hint="eastAsia" w:ascii="宋体" w:hAnsi="宋体" w:cs="宋体"/>
                <w:kern w:val="0"/>
                <w:sz w:val="18"/>
                <w:szCs w:val="18"/>
              </w:rPr>
            </w:pPr>
          </w:p>
        </w:tc>
        <w:tc>
          <w:tcPr>
            <w:tcW w:w="674" w:type="pct"/>
            <w:vMerge w:val="continue"/>
            <w:vAlign w:val="center"/>
          </w:tcPr>
          <w:p w14:paraId="4D0BB645">
            <w:pPr>
              <w:widowControl/>
              <w:rPr>
                <w:rFonts w:hint="eastAsia" w:ascii="宋体" w:hAnsi="宋体" w:cs="宋体"/>
                <w:kern w:val="0"/>
                <w:sz w:val="18"/>
                <w:szCs w:val="18"/>
              </w:rPr>
            </w:pPr>
          </w:p>
        </w:tc>
        <w:tc>
          <w:tcPr>
            <w:tcW w:w="3379" w:type="pct"/>
            <w:shd w:val="clear" w:color="auto" w:fill="auto"/>
            <w:noWrap/>
            <w:vAlign w:val="bottom"/>
          </w:tcPr>
          <w:p w14:paraId="555C6575">
            <w:pPr>
              <w:widowControl/>
              <w:jc w:val="left"/>
              <w:rPr>
                <w:rFonts w:hint="eastAsia" w:ascii="宋体" w:hAnsi="宋体" w:cs="宋体"/>
                <w:kern w:val="0"/>
                <w:sz w:val="18"/>
                <w:szCs w:val="18"/>
              </w:rPr>
            </w:pPr>
            <w:r>
              <w:rPr>
                <w:rFonts w:hint="eastAsia" w:ascii="宋体" w:hAnsi="宋体" w:cs="宋体"/>
                <w:kern w:val="0"/>
                <w:sz w:val="18"/>
                <w:szCs w:val="18"/>
              </w:rPr>
              <w:t>外购电力（热力）</w:t>
            </w:r>
          </w:p>
        </w:tc>
      </w:tr>
      <w:tr w14:paraId="57B0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11724A1F">
            <w:pPr>
              <w:widowControl/>
              <w:jc w:val="center"/>
              <w:rPr>
                <w:rFonts w:hint="eastAsia" w:ascii="宋体" w:hAnsi="宋体" w:cs="宋体"/>
                <w:kern w:val="0"/>
                <w:sz w:val="18"/>
                <w:szCs w:val="18"/>
              </w:rPr>
            </w:pPr>
          </w:p>
        </w:tc>
        <w:tc>
          <w:tcPr>
            <w:tcW w:w="674" w:type="pct"/>
            <w:vMerge w:val="restart"/>
            <w:vAlign w:val="center"/>
          </w:tcPr>
          <w:p w14:paraId="68925329">
            <w:pPr>
              <w:widowControl/>
              <w:rPr>
                <w:rFonts w:hint="eastAsia" w:ascii="宋体" w:hAnsi="宋体" w:cs="宋体"/>
                <w:kern w:val="0"/>
                <w:sz w:val="18"/>
                <w:szCs w:val="18"/>
              </w:rPr>
            </w:pPr>
            <w:r>
              <w:rPr>
                <w:rFonts w:hint="eastAsia" w:ascii="宋体" w:hAnsi="宋体" w:cs="宋体"/>
                <w:kern w:val="0"/>
                <w:sz w:val="18"/>
                <w:szCs w:val="18"/>
              </w:rPr>
              <w:t>其他间接排放</w:t>
            </w:r>
          </w:p>
        </w:tc>
        <w:tc>
          <w:tcPr>
            <w:tcW w:w="3379" w:type="pct"/>
            <w:shd w:val="clear" w:color="auto" w:fill="auto"/>
            <w:noWrap/>
            <w:vAlign w:val="bottom"/>
          </w:tcPr>
          <w:p w14:paraId="508D4C2C">
            <w:pPr>
              <w:widowControl/>
              <w:jc w:val="left"/>
              <w:rPr>
                <w:rFonts w:hint="eastAsia" w:ascii="宋体" w:hAnsi="宋体" w:cs="宋体"/>
                <w:kern w:val="0"/>
                <w:sz w:val="18"/>
                <w:szCs w:val="18"/>
              </w:rPr>
            </w:pPr>
            <w:r>
              <w:rPr>
                <w:rFonts w:hint="eastAsia" w:ascii="宋体" w:hAnsi="宋体" w:cs="宋体"/>
                <w:kern w:val="0"/>
                <w:sz w:val="18"/>
                <w:szCs w:val="18"/>
              </w:rPr>
              <w:t>辅材、药剂的获取，如：钢球、衬板、药剂等的生产</w:t>
            </w:r>
          </w:p>
        </w:tc>
      </w:tr>
      <w:tr w14:paraId="0E72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17E12B65">
            <w:pPr>
              <w:widowControl/>
              <w:jc w:val="center"/>
              <w:rPr>
                <w:rFonts w:hint="eastAsia" w:ascii="宋体" w:hAnsi="宋体" w:cs="宋体"/>
                <w:kern w:val="0"/>
                <w:sz w:val="18"/>
                <w:szCs w:val="18"/>
              </w:rPr>
            </w:pPr>
          </w:p>
        </w:tc>
        <w:tc>
          <w:tcPr>
            <w:tcW w:w="674" w:type="pct"/>
            <w:vMerge w:val="continue"/>
            <w:vAlign w:val="center"/>
          </w:tcPr>
          <w:p w14:paraId="344A904B">
            <w:pPr>
              <w:widowControl/>
              <w:rPr>
                <w:rFonts w:hint="eastAsia" w:ascii="宋体" w:hAnsi="宋体" w:cs="宋体"/>
                <w:kern w:val="0"/>
                <w:sz w:val="18"/>
                <w:szCs w:val="18"/>
              </w:rPr>
            </w:pPr>
          </w:p>
        </w:tc>
        <w:tc>
          <w:tcPr>
            <w:tcW w:w="3379" w:type="pct"/>
            <w:shd w:val="clear" w:color="auto" w:fill="auto"/>
            <w:noWrap/>
            <w:vAlign w:val="bottom"/>
          </w:tcPr>
          <w:p w14:paraId="2B8E557B">
            <w:pPr>
              <w:widowControl/>
              <w:jc w:val="left"/>
              <w:rPr>
                <w:rFonts w:hint="eastAsia" w:ascii="宋体" w:hAnsi="宋体" w:cs="宋体"/>
                <w:kern w:val="0"/>
                <w:sz w:val="18"/>
                <w:szCs w:val="18"/>
              </w:rPr>
            </w:pPr>
            <w:r>
              <w:rPr>
                <w:rFonts w:hint="eastAsia" w:ascii="宋体" w:hAnsi="宋体" w:cs="宋体"/>
                <w:kern w:val="0"/>
                <w:sz w:val="18"/>
                <w:szCs w:val="18"/>
              </w:rPr>
              <w:t>矿石的运输</w:t>
            </w:r>
          </w:p>
        </w:tc>
      </w:tr>
      <w:tr w14:paraId="74FA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478586D7">
            <w:pPr>
              <w:widowControl/>
              <w:jc w:val="center"/>
              <w:rPr>
                <w:rFonts w:hint="eastAsia" w:ascii="宋体" w:hAnsi="宋体" w:cs="宋体"/>
                <w:kern w:val="0"/>
                <w:sz w:val="18"/>
                <w:szCs w:val="18"/>
              </w:rPr>
            </w:pPr>
          </w:p>
        </w:tc>
        <w:tc>
          <w:tcPr>
            <w:tcW w:w="674" w:type="pct"/>
            <w:vMerge w:val="continue"/>
            <w:vAlign w:val="center"/>
          </w:tcPr>
          <w:p w14:paraId="6892CF61">
            <w:pPr>
              <w:widowControl/>
              <w:rPr>
                <w:rFonts w:hint="eastAsia" w:ascii="宋体" w:hAnsi="宋体" w:cs="宋体"/>
                <w:kern w:val="0"/>
                <w:sz w:val="18"/>
                <w:szCs w:val="18"/>
              </w:rPr>
            </w:pPr>
          </w:p>
        </w:tc>
        <w:tc>
          <w:tcPr>
            <w:tcW w:w="3379" w:type="pct"/>
            <w:shd w:val="clear" w:color="auto" w:fill="auto"/>
            <w:noWrap/>
            <w:vAlign w:val="bottom"/>
          </w:tcPr>
          <w:p w14:paraId="632A9DF1">
            <w:pPr>
              <w:widowControl/>
              <w:jc w:val="left"/>
              <w:rPr>
                <w:rFonts w:hint="eastAsia" w:ascii="宋体" w:hAnsi="宋体" w:cs="宋体"/>
                <w:kern w:val="0"/>
                <w:sz w:val="18"/>
                <w:szCs w:val="18"/>
              </w:rPr>
            </w:pPr>
            <w:r>
              <w:rPr>
                <w:rFonts w:hint="eastAsia" w:ascii="宋体" w:hAnsi="宋体" w:cs="宋体"/>
                <w:kern w:val="0"/>
                <w:sz w:val="18"/>
                <w:szCs w:val="18"/>
              </w:rPr>
              <w:t>其他物料的运输</w:t>
            </w:r>
          </w:p>
        </w:tc>
      </w:tr>
      <w:tr w14:paraId="1615D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3ADE9519">
            <w:pPr>
              <w:widowControl/>
              <w:jc w:val="center"/>
              <w:rPr>
                <w:rFonts w:hint="eastAsia" w:ascii="宋体" w:hAnsi="宋体" w:cs="宋体"/>
                <w:kern w:val="0"/>
                <w:sz w:val="18"/>
                <w:szCs w:val="18"/>
              </w:rPr>
            </w:pPr>
          </w:p>
        </w:tc>
        <w:tc>
          <w:tcPr>
            <w:tcW w:w="674" w:type="pct"/>
            <w:vMerge w:val="continue"/>
            <w:vAlign w:val="center"/>
          </w:tcPr>
          <w:p w14:paraId="080AAF6F">
            <w:pPr>
              <w:widowControl/>
              <w:rPr>
                <w:rFonts w:hint="eastAsia" w:ascii="宋体" w:hAnsi="宋体" w:cs="宋体"/>
                <w:kern w:val="0"/>
                <w:sz w:val="18"/>
                <w:szCs w:val="18"/>
              </w:rPr>
            </w:pPr>
          </w:p>
        </w:tc>
        <w:tc>
          <w:tcPr>
            <w:tcW w:w="3379" w:type="pct"/>
            <w:shd w:val="clear" w:color="auto" w:fill="auto"/>
            <w:vAlign w:val="bottom"/>
          </w:tcPr>
          <w:p w14:paraId="1CF8F684">
            <w:pPr>
              <w:widowControl/>
              <w:jc w:val="left"/>
              <w:rPr>
                <w:rFonts w:hint="eastAsia" w:ascii="宋体" w:hAnsi="宋体" w:cs="宋体"/>
                <w:kern w:val="0"/>
                <w:sz w:val="18"/>
                <w:szCs w:val="18"/>
              </w:rPr>
            </w:pPr>
            <w:r>
              <w:rPr>
                <w:rFonts w:hint="eastAsia" w:ascii="宋体" w:hAnsi="宋体" w:cs="宋体"/>
                <w:kern w:val="0"/>
                <w:sz w:val="18"/>
                <w:szCs w:val="18"/>
              </w:rPr>
              <w:t>现场第三方服务，如运输、废水处理等</w:t>
            </w:r>
          </w:p>
        </w:tc>
      </w:tr>
      <w:tr w14:paraId="0431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5F6B60D2">
            <w:pPr>
              <w:widowControl/>
              <w:jc w:val="center"/>
              <w:rPr>
                <w:rFonts w:hint="eastAsia" w:ascii="宋体" w:hAnsi="宋体" w:cs="宋体"/>
                <w:kern w:val="0"/>
                <w:sz w:val="18"/>
                <w:szCs w:val="18"/>
              </w:rPr>
            </w:pPr>
          </w:p>
        </w:tc>
        <w:tc>
          <w:tcPr>
            <w:tcW w:w="674" w:type="pct"/>
            <w:vMerge w:val="continue"/>
            <w:vAlign w:val="center"/>
          </w:tcPr>
          <w:p w14:paraId="356E44B6">
            <w:pPr>
              <w:widowControl/>
              <w:rPr>
                <w:rFonts w:hint="eastAsia" w:ascii="宋体" w:hAnsi="宋体" w:cs="宋体"/>
                <w:kern w:val="0"/>
                <w:sz w:val="18"/>
                <w:szCs w:val="18"/>
              </w:rPr>
            </w:pPr>
          </w:p>
        </w:tc>
        <w:tc>
          <w:tcPr>
            <w:tcW w:w="3379" w:type="pct"/>
            <w:shd w:val="clear" w:color="auto" w:fill="auto"/>
            <w:noWrap/>
            <w:vAlign w:val="bottom"/>
          </w:tcPr>
          <w:p w14:paraId="624ECD96">
            <w:pPr>
              <w:widowControl/>
              <w:jc w:val="left"/>
              <w:rPr>
                <w:rFonts w:hint="eastAsia" w:ascii="宋体" w:hAnsi="宋体" w:cs="宋体"/>
                <w:kern w:val="0"/>
                <w:sz w:val="18"/>
                <w:szCs w:val="18"/>
              </w:rPr>
            </w:pPr>
            <w:r>
              <w:rPr>
                <w:rFonts w:hint="eastAsia" w:ascii="宋体" w:hAnsi="宋体" w:cs="宋体"/>
                <w:kern w:val="0"/>
                <w:sz w:val="18"/>
                <w:szCs w:val="18"/>
              </w:rPr>
              <w:t>废弃物外委处置服务</w:t>
            </w:r>
          </w:p>
        </w:tc>
      </w:tr>
      <w:tr w14:paraId="7F8F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vAlign w:val="center"/>
          </w:tcPr>
          <w:p w14:paraId="079EB089">
            <w:pPr>
              <w:widowControl/>
              <w:jc w:val="center"/>
              <w:rPr>
                <w:rFonts w:hint="eastAsia" w:ascii="宋体" w:hAnsi="宋体" w:cs="宋体"/>
                <w:kern w:val="0"/>
                <w:sz w:val="18"/>
                <w:szCs w:val="18"/>
              </w:rPr>
            </w:pPr>
          </w:p>
        </w:tc>
        <w:tc>
          <w:tcPr>
            <w:tcW w:w="674" w:type="pct"/>
            <w:vAlign w:val="center"/>
          </w:tcPr>
          <w:p w14:paraId="6DE72626">
            <w:pPr>
              <w:widowControl/>
              <w:rPr>
                <w:rFonts w:hint="eastAsia" w:ascii="宋体" w:hAnsi="宋体" w:cs="宋体"/>
                <w:kern w:val="0"/>
                <w:sz w:val="18"/>
                <w:szCs w:val="18"/>
              </w:rPr>
            </w:pPr>
            <w:r>
              <w:rPr>
                <w:rFonts w:hint="eastAsia" w:ascii="宋体" w:hAnsi="宋体" w:cs="宋体"/>
                <w:kern w:val="0"/>
                <w:sz w:val="18"/>
                <w:szCs w:val="18"/>
              </w:rPr>
              <w:t>特殊排放</w:t>
            </w:r>
          </w:p>
        </w:tc>
        <w:tc>
          <w:tcPr>
            <w:tcW w:w="3379" w:type="pct"/>
            <w:shd w:val="clear" w:color="auto" w:fill="auto"/>
            <w:noWrap/>
            <w:vAlign w:val="bottom"/>
          </w:tcPr>
          <w:p w14:paraId="57AF6A5A">
            <w:pPr>
              <w:widowControl/>
              <w:jc w:val="left"/>
              <w:rPr>
                <w:rFonts w:hint="eastAsia" w:ascii="宋体" w:hAnsi="宋体" w:cs="宋体"/>
                <w:kern w:val="0"/>
                <w:sz w:val="18"/>
                <w:szCs w:val="18"/>
              </w:rPr>
            </w:pPr>
            <w:r>
              <w:rPr>
                <w:rFonts w:hint="eastAsia" w:ascii="宋体" w:hAnsi="宋体" w:cs="宋体"/>
                <w:kern w:val="0"/>
                <w:sz w:val="18"/>
                <w:szCs w:val="18"/>
              </w:rPr>
              <w:t>共生产品碳信用（如有）</w:t>
            </w:r>
          </w:p>
        </w:tc>
      </w:tr>
      <w:tr w14:paraId="1E8F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restart"/>
            <w:shd w:val="clear" w:color="auto" w:fill="auto"/>
            <w:noWrap/>
            <w:vAlign w:val="center"/>
          </w:tcPr>
          <w:p w14:paraId="4E27BDC9">
            <w:pPr>
              <w:jc w:val="center"/>
              <w:rPr>
                <w:rFonts w:hint="eastAsia" w:ascii="宋体" w:hAnsi="宋体" w:cs="宋体"/>
                <w:kern w:val="0"/>
                <w:sz w:val="18"/>
                <w:szCs w:val="18"/>
              </w:rPr>
            </w:pPr>
            <w:r>
              <w:rPr>
                <w:rFonts w:hint="eastAsia" w:ascii="宋体" w:hAnsi="宋体" w:cs="宋体"/>
                <w:kern w:val="0"/>
                <w:sz w:val="18"/>
                <w:szCs w:val="18"/>
                <w:lang w:eastAsia="zh-CN"/>
              </w:rPr>
              <w:t>回收锡原料</w:t>
            </w:r>
            <w:r>
              <w:rPr>
                <w:rFonts w:hint="eastAsia" w:ascii="宋体" w:hAnsi="宋体" w:cs="宋体"/>
                <w:kern w:val="0"/>
                <w:sz w:val="18"/>
                <w:szCs w:val="18"/>
              </w:rPr>
              <w:t>的获取</w:t>
            </w:r>
          </w:p>
        </w:tc>
        <w:tc>
          <w:tcPr>
            <w:tcW w:w="674" w:type="pct"/>
            <w:vMerge w:val="restart"/>
            <w:vAlign w:val="center"/>
          </w:tcPr>
          <w:p w14:paraId="65A894F8">
            <w:pPr>
              <w:widowControl/>
              <w:rPr>
                <w:rFonts w:hint="eastAsia" w:ascii="宋体" w:hAnsi="宋体" w:cs="宋体"/>
                <w:kern w:val="0"/>
                <w:sz w:val="18"/>
                <w:szCs w:val="18"/>
              </w:rPr>
            </w:pPr>
            <w:r>
              <w:rPr>
                <w:rFonts w:hint="eastAsia" w:ascii="宋体" w:hAnsi="宋体" w:cs="宋体"/>
                <w:kern w:val="0"/>
                <w:sz w:val="18"/>
                <w:szCs w:val="18"/>
              </w:rPr>
              <w:t>生产直接排放</w:t>
            </w:r>
          </w:p>
        </w:tc>
        <w:tc>
          <w:tcPr>
            <w:tcW w:w="3379" w:type="pct"/>
            <w:shd w:val="clear" w:color="auto" w:fill="auto"/>
            <w:noWrap/>
            <w:vAlign w:val="bottom"/>
          </w:tcPr>
          <w:p w14:paraId="0F67DCD7">
            <w:pPr>
              <w:widowControl/>
              <w:jc w:val="left"/>
              <w:rPr>
                <w:rFonts w:hint="eastAsia" w:ascii="宋体" w:hAnsi="宋体" w:cs="宋体"/>
                <w:kern w:val="0"/>
                <w:sz w:val="18"/>
                <w:szCs w:val="18"/>
              </w:rPr>
            </w:pPr>
            <w:r>
              <w:rPr>
                <w:rFonts w:hint="eastAsia" w:ascii="宋体" w:hAnsi="宋体" w:cs="宋体"/>
                <w:kern w:val="0"/>
                <w:sz w:val="18"/>
                <w:szCs w:val="18"/>
              </w:rPr>
              <w:t>化石燃料燃烧</w:t>
            </w:r>
          </w:p>
        </w:tc>
      </w:tr>
      <w:tr w14:paraId="7ABB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shd w:val="clear" w:color="auto" w:fill="auto"/>
            <w:noWrap/>
            <w:vAlign w:val="center"/>
          </w:tcPr>
          <w:p w14:paraId="533E6981">
            <w:pPr>
              <w:jc w:val="center"/>
              <w:rPr>
                <w:rFonts w:hint="eastAsia" w:ascii="宋体" w:hAnsi="宋体" w:cs="宋体"/>
                <w:kern w:val="0"/>
                <w:sz w:val="18"/>
                <w:szCs w:val="18"/>
              </w:rPr>
            </w:pPr>
          </w:p>
        </w:tc>
        <w:tc>
          <w:tcPr>
            <w:tcW w:w="674" w:type="pct"/>
            <w:vMerge w:val="continue"/>
            <w:vAlign w:val="center"/>
          </w:tcPr>
          <w:p w14:paraId="1C625B7F">
            <w:pPr>
              <w:widowControl/>
              <w:rPr>
                <w:rFonts w:hint="eastAsia" w:ascii="宋体" w:hAnsi="宋体" w:cs="宋体"/>
                <w:kern w:val="0"/>
                <w:sz w:val="18"/>
                <w:szCs w:val="18"/>
              </w:rPr>
            </w:pPr>
          </w:p>
        </w:tc>
        <w:tc>
          <w:tcPr>
            <w:tcW w:w="3379" w:type="pct"/>
            <w:shd w:val="clear" w:color="auto" w:fill="auto"/>
            <w:noWrap/>
            <w:vAlign w:val="bottom"/>
          </w:tcPr>
          <w:p w14:paraId="045CE49E">
            <w:pPr>
              <w:widowControl/>
              <w:jc w:val="left"/>
              <w:rPr>
                <w:rFonts w:hint="eastAsia" w:ascii="宋体" w:hAnsi="宋体" w:cs="宋体"/>
                <w:kern w:val="0"/>
                <w:sz w:val="18"/>
                <w:szCs w:val="18"/>
              </w:rPr>
            </w:pPr>
            <w:r>
              <w:rPr>
                <w:rFonts w:hint="eastAsia" w:ascii="宋体" w:hAnsi="宋体" w:cs="宋体"/>
                <w:kern w:val="0"/>
                <w:sz w:val="18"/>
                <w:szCs w:val="18"/>
              </w:rPr>
              <w:t>过程排放</w:t>
            </w:r>
          </w:p>
        </w:tc>
      </w:tr>
      <w:tr w14:paraId="5228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11FA6206">
            <w:pPr>
              <w:widowControl/>
              <w:jc w:val="center"/>
              <w:rPr>
                <w:rFonts w:hint="eastAsia" w:ascii="宋体" w:hAnsi="宋体" w:cs="宋体"/>
                <w:kern w:val="0"/>
                <w:sz w:val="18"/>
                <w:szCs w:val="18"/>
              </w:rPr>
            </w:pPr>
          </w:p>
        </w:tc>
        <w:tc>
          <w:tcPr>
            <w:tcW w:w="674" w:type="pct"/>
            <w:vMerge w:val="restart"/>
            <w:vAlign w:val="center"/>
          </w:tcPr>
          <w:p w14:paraId="4D8F43D7">
            <w:pPr>
              <w:widowControl/>
              <w:rPr>
                <w:rFonts w:hint="eastAsia" w:ascii="宋体" w:hAnsi="宋体" w:cs="宋体"/>
                <w:kern w:val="0"/>
                <w:sz w:val="18"/>
                <w:szCs w:val="18"/>
              </w:rPr>
            </w:pPr>
            <w:r>
              <w:rPr>
                <w:rFonts w:hint="eastAsia" w:ascii="宋体" w:hAnsi="宋体" w:cs="宋体"/>
                <w:kern w:val="0"/>
                <w:sz w:val="18"/>
                <w:szCs w:val="18"/>
              </w:rPr>
              <w:t>能源生产排放</w:t>
            </w:r>
          </w:p>
        </w:tc>
        <w:tc>
          <w:tcPr>
            <w:tcW w:w="3379" w:type="pct"/>
            <w:shd w:val="clear" w:color="auto" w:fill="auto"/>
            <w:noWrap/>
            <w:vAlign w:val="bottom"/>
          </w:tcPr>
          <w:p w14:paraId="0C2A69C6">
            <w:pPr>
              <w:widowControl/>
              <w:jc w:val="left"/>
              <w:rPr>
                <w:rFonts w:hint="eastAsia" w:ascii="宋体" w:hAnsi="宋体" w:cs="宋体"/>
                <w:kern w:val="0"/>
                <w:sz w:val="18"/>
                <w:szCs w:val="18"/>
              </w:rPr>
            </w:pPr>
            <w:r>
              <w:rPr>
                <w:rFonts w:hint="eastAsia" w:ascii="宋体" w:hAnsi="宋体" w:cs="宋体"/>
                <w:kern w:val="0"/>
                <w:sz w:val="18"/>
                <w:szCs w:val="18"/>
              </w:rPr>
              <w:t>燃料的生产</w:t>
            </w:r>
          </w:p>
        </w:tc>
      </w:tr>
      <w:tr w14:paraId="1598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4ED38A9A">
            <w:pPr>
              <w:widowControl/>
              <w:jc w:val="center"/>
              <w:rPr>
                <w:rFonts w:hint="eastAsia" w:ascii="宋体" w:hAnsi="宋体" w:cs="宋体"/>
                <w:kern w:val="0"/>
                <w:sz w:val="18"/>
                <w:szCs w:val="18"/>
              </w:rPr>
            </w:pPr>
          </w:p>
        </w:tc>
        <w:tc>
          <w:tcPr>
            <w:tcW w:w="674" w:type="pct"/>
            <w:vMerge w:val="continue"/>
            <w:vAlign w:val="center"/>
          </w:tcPr>
          <w:p w14:paraId="24790718">
            <w:pPr>
              <w:widowControl/>
              <w:rPr>
                <w:rFonts w:hint="eastAsia" w:ascii="宋体" w:hAnsi="宋体" w:cs="宋体"/>
                <w:kern w:val="0"/>
                <w:sz w:val="18"/>
                <w:szCs w:val="18"/>
              </w:rPr>
            </w:pPr>
          </w:p>
        </w:tc>
        <w:tc>
          <w:tcPr>
            <w:tcW w:w="3379" w:type="pct"/>
            <w:shd w:val="clear" w:color="auto" w:fill="auto"/>
            <w:noWrap/>
            <w:vAlign w:val="bottom"/>
          </w:tcPr>
          <w:p w14:paraId="5211F2B1">
            <w:pPr>
              <w:widowControl/>
              <w:jc w:val="left"/>
              <w:rPr>
                <w:rFonts w:hint="eastAsia" w:ascii="宋体" w:hAnsi="宋体" w:cs="宋体"/>
                <w:kern w:val="0"/>
                <w:sz w:val="18"/>
                <w:szCs w:val="18"/>
              </w:rPr>
            </w:pPr>
            <w:r>
              <w:rPr>
                <w:rFonts w:hint="eastAsia" w:ascii="宋体" w:hAnsi="宋体" w:cs="宋体"/>
                <w:kern w:val="0"/>
                <w:sz w:val="18"/>
                <w:szCs w:val="18"/>
              </w:rPr>
              <w:t>自产电力（热力）</w:t>
            </w:r>
          </w:p>
        </w:tc>
      </w:tr>
      <w:tr w14:paraId="33D3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56F5A69B">
            <w:pPr>
              <w:widowControl/>
              <w:jc w:val="center"/>
              <w:rPr>
                <w:rFonts w:hint="eastAsia" w:ascii="宋体" w:hAnsi="宋体" w:cs="宋体"/>
                <w:kern w:val="0"/>
                <w:sz w:val="18"/>
                <w:szCs w:val="18"/>
              </w:rPr>
            </w:pPr>
          </w:p>
        </w:tc>
        <w:tc>
          <w:tcPr>
            <w:tcW w:w="674" w:type="pct"/>
            <w:vMerge w:val="continue"/>
            <w:vAlign w:val="center"/>
          </w:tcPr>
          <w:p w14:paraId="2905697E">
            <w:pPr>
              <w:widowControl/>
              <w:rPr>
                <w:rFonts w:hint="eastAsia" w:ascii="宋体" w:hAnsi="宋体" w:cs="宋体"/>
                <w:kern w:val="0"/>
                <w:sz w:val="18"/>
                <w:szCs w:val="18"/>
              </w:rPr>
            </w:pPr>
          </w:p>
        </w:tc>
        <w:tc>
          <w:tcPr>
            <w:tcW w:w="3379" w:type="pct"/>
            <w:shd w:val="clear" w:color="auto" w:fill="auto"/>
            <w:noWrap/>
            <w:vAlign w:val="bottom"/>
          </w:tcPr>
          <w:p w14:paraId="4FACD0CD">
            <w:pPr>
              <w:widowControl/>
              <w:jc w:val="left"/>
              <w:rPr>
                <w:rFonts w:hint="eastAsia" w:ascii="宋体" w:hAnsi="宋体" w:cs="宋体"/>
                <w:kern w:val="0"/>
                <w:sz w:val="18"/>
                <w:szCs w:val="18"/>
              </w:rPr>
            </w:pPr>
            <w:r>
              <w:rPr>
                <w:rFonts w:hint="eastAsia" w:ascii="宋体" w:hAnsi="宋体" w:cs="宋体"/>
                <w:kern w:val="0"/>
                <w:sz w:val="18"/>
                <w:szCs w:val="18"/>
              </w:rPr>
              <w:t>外购电力（热力）</w:t>
            </w:r>
          </w:p>
        </w:tc>
      </w:tr>
      <w:tr w14:paraId="2894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763029AD">
            <w:pPr>
              <w:widowControl/>
              <w:jc w:val="center"/>
              <w:rPr>
                <w:rFonts w:hint="eastAsia" w:ascii="宋体" w:hAnsi="宋体" w:cs="宋体"/>
                <w:kern w:val="0"/>
                <w:sz w:val="18"/>
                <w:szCs w:val="18"/>
              </w:rPr>
            </w:pPr>
          </w:p>
        </w:tc>
        <w:tc>
          <w:tcPr>
            <w:tcW w:w="674" w:type="pct"/>
            <w:vMerge w:val="restart"/>
            <w:vAlign w:val="center"/>
          </w:tcPr>
          <w:p w14:paraId="30BBCA8F">
            <w:pPr>
              <w:widowControl/>
              <w:rPr>
                <w:rFonts w:hint="eastAsia" w:ascii="宋体" w:hAnsi="宋体" w:cs="宋体"/>
                <w:kern w:val="0"/>
                <w:sz w:val="18"/>
                <w:szCs w:val="18"/>
              </w:rPr>
            </w:pPr>
            <w:r>
              <w:rPr>
                <w:rFonts w:hint="eastAsia" w:ascii="宋体" w:hAnsi="宋体" w:cs="宋体"/>
                <w:kern w:val="0"/>
                <w:sz w:val="18"/>
                <w:szCs w:val="18"/>
              </w:rPr>
              <w:t>其他间接排放</w:t>
            </w:r>
          </w:p>
        </w:tc>
        <w:tc>
          <w:tcPr>
            <w:tcW w:w="3379" w:type="pct"/>
            <w:shd w:val="clear" w:color="auto" w:fill="auto"/>
            <w:noWrap/>
            <w:vAlign w:val="bottom"/>
          </w:tcPr>
          <w:p w14:paraId="2F569B67">
            <w:pPr>
              <w:widowControl/>
              <w:jc w:val="left"/>
              <w:rPr>
                <w:rFonts w:hint="eastAsia" w:ascii="宋体" w:hAnsi="宋体" w:cs="宋体"/>
                <w:kern w:val="0"/>
                <w:sz w:val="18"/>
                <w:szCs w:val="18"/>
              </w:rPr>
            </w:pPr>
            <w:r>
              <w:rPr>
                <w:rFonts w:hint="eastAsia" w:ascii="宋体" w:hAnsi="宋体" w:cs="宋体"/>
                <w:kern w:val="0"/>
                <w:sz w:val="18"/>
                <w:szCs w:val="18"/>
              </w:rPr>
              <w:t>辅材、药剂的获取，如：消费前</w:t>
            </w:r>
            <w:r>
              <w:rPr>
                <w:rFonts w:hint="eastAsia" w:ascii="宋体" w:hAnsi="宋体" w:cs="宋体"/>
                <w:kern w:val="0"/>
                <w:sz w:val="18"/>
                <w:szCs w:val="18"/>
                <w:lang w:eastAsia="zh-CN"/>
              </w:rPr>
              <w:t>回收锡原料</w:t>
            </w:r>
            <w:r>
              <w:rPr>
                <w:rFonts w:hint="eastAsia" w:ascii="宋体" w:hAnsi="宋体" w:cs="宋体"/>
                <w:kern w:val="0"/>
                <w:sz w:val="18"/>
                <w:szCs w:val="18"/>
              </w:rPr>
              <w:t>的分配、消费后</w:t>
            </w:r>
            <w:r>
              <w:rPr>
                <w:rFonts w:hint="eastAsia" w:ascii="宋体" w:hAnsi="宋体" w:cs="宋体"/>
                <w:kern w:val="0"/>
                <w:sz w:val="18"/>
                <w:szCs w:val="18"/>
                <w:lang w:eastAsia="zh-CN"/>
              </w:rPr>
              <w:t>回收锡原料</w:t>
            </w:r>
            <w:r>
              <w:rPr>
                <w:rFonts w:hint="eastAsia" w:ascii="宋体" w:hAnsi="宋体" w:cs="宋体"/>
                <w:kern w:val="0"/>
                <w:sz w:val="18"/>
                <w:szCs w:val="18"/>
              </w:rPr>
              <w:t>的拆解等</w:t>
            </w:r>
          </w:p>
        </w:tc>
      </w:tr>
      <w:tr w14:paraId="1A92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4C4E3943">
            <w:pPr>
              <w:widowControl/>
              <w:jc w:val="center"/>
              <w:rPr>
                <w:rFonts w:hint="eastAsia" w:ascii="宋体" w:hAnsi="宋体" w:cs="宋体"/>
                <w:kern w:val="0"/>
                <w:sz w:val="18"/>
                <w:szCs w:val="18"/>
              </w:rPr>
            </w:pPr>
          </w:p>
        </w:tc>
        <w:tc>
          <w:tcPr>
            <w:tcW w:w="674" w:type="pct"/>
            <w:vMerge w:val="continue"/>
            <w:vAlign w:val="center"/>
          </w:tcPr>
          <w:p w14:paraId="6FF7A5C4">
            <w:pPr>
              <w:widowControl/>
              <w:rPr>
                <w:rFonts w:hint="eastAsia" w:ascii="宋体" w:hAnsi="宋体" w:cs="宋体"/>
                <w:kern w:val="0"/>
                <w:sz w:val="18"/>
                <w:szCs w:val="18"/>
              </w:rPr>
            </w:pPr>
          </w:p>
        </w:tc>
        <w:tc>
          <w:tcPr>
            <w:tcW w:w="3379" w:type="pct"/>
            <w:shd w:val="clear" w:color="auto" w:fill="auto"/>
            <w:noWrap/>
            <w:vAlign w:val="bottom"/>
          </w:tcPr>
          <w:p w14:paraId="0A9F4120">
            <w:pPr>
              <w:widowControl/>
              <w:jc w:val="left"/>
              <w:rPr>
                <w:rFonts w:hint="eastAsia" w:ascii="宋体" w:hAnsi="宋体" w:cs="宋体"/>
                <w:kern w:val="0"/>
                <w:sz w:val="18"/>
                <w:szCs w:val="18"/>
              </w:rPr>
            </w:pPr>
            <w:r>
              <w:rPr>
                <w:rFonts w:hint="eastAsia" w:ascii="宋体" w:hAnsi="宋体" w:cs="宋体"/>
                <w:kern w:val="0"/>
                <w:sz w:val="18"/>
                <w:szCs w:val="18"/>
              </w:rPr>
              <w:t>矿石的运输</w:t>
            </w:r>
          </w:p>
        </w:tc>
      </w:tr>
      <w:tr w14:paraId="752F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482C8FEF">
            <w:pPr>
              <w:widowControl/>
              <w:jc w:val="center"/>
              <w:rPr>
                <w:rFonts w:hint="eastAsia" w:ascii="宋体" w:hAnsi="宋体" w:cs="宋体"/>
                <w:kern w:val="0"/>
                <w:sz w:val="18"/>
                <w:szCs w:val="18"/>
              </w:rPr>
            </w:pPr>
          </w:p>
        </w:tc>
        <w:tc>
          <w:tcPr>
            <w:tcW w:w="674" w:type="pct"/>
            <w:vMerge w:val="continue"/>
            <w:vAlign w:val="center"/>
          </w:tcPr>
          <w:p w14:paraId="709A9797">
            <w:pPr>
              <w:widowControl/>
              <w:rPr>
                <w:rFonts w:hint="eastAsia" w:ascii="宋体" w:hAnsi="宋体" w:cs="宋体"/>
                <w:kern w:val="0"/>
                <w:sz w:val="18"/>
                <w:szCs w:val="18"/>
              </w:rPr>
            </w:pPr>
          </w:p>
        </w:tc>
        <w:tc>
          <w:tcPr>
            <w:tcW w:w="3379" w:type="pct"/>
            <w:shd w:val="clear" w:color="auto" w:fill="auto"/>
            <w:noWrap/>
            <w:vAlign w:val="bottom"/>
          </w:tcPr>
          <w:p w14:paraId="75B67EE7">
            <w:pPr>
              <w:widowControl/>
              <w:jc w:val="left"/>
              <w:rPr>
                <w:rFonts w:hint="eastAsia" w:ascii="宋体" w:hAnsi="宋体" w:cs="宋体"/>
                <w:kern w:val="0"/>
                <w:sz w:val="18"/>
                <w:szCs w:val="18"/>
              </w:rPr>
            </w:pPr>
            <w:r>
              <w:rPr>
                <w:rFonts w:hint="eastAsia" w:ascii="宋体" w:hAnsi="宋体" w:cs="宋体"/>
                <w:kern w:val="0"/>
                <w:sz w:val="18"/>
                <w:szCs w:val="18"/>
              </w:rPr>
              <w:t>其他物料的运输</w:t>
            </w:r>
          </w:p>
        </w:tc>
      </w:tr>
      <w:tr w14:paraId="2003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2AEC8413">
            <w:pPr>
              <w:widowControl/>
              <w:jc w:val="center"/>
              <w:rPr>
                <w:rFonts w:hint="eastAsia" w:ascii="宋体" w:hAnsi="宋体" w:cs="宋体"/>
                <w:kern w:val="0"/>
                <w:sz w:val="18"/>
                <w:szCs w:val="18"/>
              </w:rPr>
            </w:pPr>
          </w:p>
        </w:tc>
        <w:tc>
          <w:tcPr>
            <w:tcW w:w="674" w:type="pct"/>
            <w:vMerge w:val="continue"/>
            <w:vAlign w:val="center"/>
          </w:tcPr>
          <w:p w14:paraId="4E939BF3">
            <w:pPr>
              <w:widowControl/>
              <w:rPr>
                <w:rFonts w:hint="eastAsia" w:ascii="宋体" w:hAnsi="宋体" w:cs="宋体"/>
                <w:kern w:val="0"/>
                <w:sz w:val="18"/>
                <w:szCs w:val="18"/>
              </w:rPr>
            </w:pPr>
          </w:p>
        </w:tc>
        <w:tc>
          <w:tcPr>
            <w:tcW w:w="3379" w:type="pct"/>
            <w:shd w:val="clear" w:color="auto" w:fill="auto"/>
            <w:noWrap/>
            <w:vAlign w:val="bottom"/>
          </w:tcPr>
          <w:p w14:paraId="0FD2AB52">
            <w:pPr>
              <w:widowControl/>
              <w:jc w:val="left"/>
              <w:rPr>
                <w:rFonts w:hint="eastAsia" w:ascii="宋体" w:hAnsi="宋体" w:cs="宋体"/>
                <w:kern w:val="0"/>
                <w:sz w:val="18"/>
                <w:szCs w:val="18"/>
              </w:rPr>
            </w:pPr>
            <w:r>
              <w:rPr>
                <w:rFonts w:hint="eastAsia" w:ascii="宋体" w:hAnsi="宋体" w:cs="宋体"/>
                <w:kern w:val="0"/>
                <w:sz w:val="18"/>
                <w:szCs w:val="18"/>
              </w:rPr>
              <w:t>现场第三方服务，如运输、废水处理等</w:t>
            </w:r>
          </w:p>
        </w:tc>
      </w:tr>
      <w:tr w14:paraId="1DE5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1D6DD5E6">
            <w:pPr>
              <w:widowControl/>
              <w:jc w:val="center"/>
              <w:rPr>
                <w:rFonts w:hint="eastAsia" w:ascii="宋体" w:hAnsi="宋体" w:cs="宋体"/>
                <w:kern w:val="0"/>
                <w:sz w:val="18"/>
                <w:szCs w:val="18"/>
              </w:rPr>
            </w:pPr>
          </w:p>
        </w:tc>
        <w:tc>
          <w:tcPr>
            <w:tcW w:w="674" w:type="pct"/>
            <w:vMerge w:val="continue"/>
            <w:vAlign w:val="center"/>
          </w:tcPr>
          <w:p w14:paraId="19B3A3EF">
            <w:pPr>
              <w:widowControl/>
              <w:rPr>
                <w:rFonts w:hint="eastAsia" w:ascii="宋体" w:hAnsi="宋体" w:cs="宋体"/>
                <w:kern w:val="0"/>
                <w:sz w:val="18"/>
                <w:szCs w:val="18"/>
              </w:rPr>
            </w:pPr>
          </w:p>
        </w:tc>
        <w:tc>
          <w:tcPr>
            <w:tcW w:w="3379" w:type="pct"/>
            <w:shd w:val="clear" w:color="auto" w:fill="auto"/>
            <w:noWrap/>
            <w:vAlign w:val="bottom"/>
          </w:tcPr>
          <w:p w14:paraId="1BA4D753">
            <w:pPr>
              <w:widowControl/>
              <w:jc w:val="left"/>
              <w:rPr>
                <w:rFonts w:hint="eastAsia" w:ascii="宋体" w:hAnsi="宋体" w:cs="宋体"/>
                <w:kern w:val="0"/>
                <w:sz w:val="18"/>
                <w:szCs w:val="18"/>
              </w:rPr>
            </w:pPr>
            <w:r>
              <w:rPr>
                <w:rFonts w:hint="eastAsia" w:ascii="宋体" w:hAnsi="宋体" w:cs="宋体"/>
                <w:kern w:val="0"/>
                <w:sz w:val="18"/>
                <w:szCs w:val="18"/>
              </w:rPr>
              <w:t>废弃物外委处置服务</w:t>
            </w:r>
          </w:p>
        </w:tc>
      </w:tr>
      <w:tr w14:paraId="39E1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shd w:val="clear" w:color="auto" w:fill="auto"/>
            <w:noWrap/>
            <w:vAlign w:val="center"/>
          </w:tcPr>
          <w:p w14:paraId="67209377">
            <w:pPr>
              <w:widowControl/>
              <w:jc w:val="center"/>
              <w:rPr>
                <w:rFonts w:hint="eastAsia" w:ascii="宋体" w:hAnsi="宋体" w:cs="宋体"/>
                <w:kern w:val="0"/>
                <w:sz w:val="18"/>
                <w:szCs w:val="18"/>
              </w:rPr>
            </w:pPr>
          </w:p>
        </w:tc>
        <w:tc>
          <w:tcPr>
            <w:tcW w:w="674" w:type="pct"/>
            <w:vAlign w:val="center"/>
          </w:tcPr>
          <w:p w14:paraId="67C6359D">
            <w:pPr>
              <w:widowControl/>
              <w:rPr>
                <w:rFonts w:hint="eastAsia" w:ascii="宋体" w:hAnsi="宋体" w:cs="宋体"/>
                <w:kern w:val="0"/>
                <w:sz w:val="18"/>
                <w:szCs w:val="18"/>
              </w:rPr>
            </w:pPr>
            <w:r>
              <w:rPr>
                <w:rFonts w:hint="eastAsia" w:ascii="宋体" w:hAnsi="宋体" w:cs="宋体"/>
                <w:kern w:val="0"/>
                <w:sz w:val="18"/>
                <w:szCs w:val="18"/>
              </w:rPr>
              <w:t>特殊排放</w:t>
            </w:r>
          </w:p>
        </w:tc>
        <w:tc>
          <w:tcPr>
            <w:tcW w:w="3379" w:type="pct"/>
            <w:shd w:val="clear" w:color="auto" w:fill="auto"/>
            <w:noWrap/>
            <w:vAlign w:val="bottom"/>
          </w:tcPr>
          <w:p w14:paraId="3A03ABC4">
            <w:pPr>
              <w:widowControl/>
              <w:jc w:val="left"/>
              <w:rPr>
                <w:rFonts w:hint="eastAsia" w:ascii="宋体" w:hAnsi="宋体" w:cs="宋体"/>
                <w:kern w:val="0"/>
                <w:sz w:val="18"/>
                <w:szCs w:val="18"/>
              </w:rPr>
            </w:pPr>
            <w:r>
              <w:rPr>
                <w:rFonts w:hint="eastAsia" w:ascii="宋体" w:hAnsi="宋体" w:cs="宋体"/>
                <w:kern w:val="0"/>
                <w:sz w:val="18"/>
                <w:szCs w:val="18"/>
              </w:rPr>
              <w:t>共生产品碳信用（如有）</w:t>
            </w:r>
          </w:p>
        </w:tc>
      </w:tr>
      <w:tr w14:paraId="7893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restart"/>
            <w:shd w:val="clear" w:color="auto" w:fill="auto"/>
            <w:noWrap/>
            <w:vAlign w:val="center"/>
          </w:tcPr>
          <w:p w14:paraId="139F9F52">
            <w:pPr>
              <w:widowControl/>
              <w:jc w:val="center"/>
              <w:rPr>
                <w:rFonts w:hint="eastAsia" w:ascii="宋体" w:hAnsi="宋体" w:cs="宋体"/>
                <w:kern w:val="0"/>
                <w:sz w:val="18"/>
                <w:szCs w:val="18"/>
              </w:rPr>
            </w:pPr>
            <w:r>
              <w:rPr>
                <w:rFonts w:hint="eastAsia" w:ascii="宋体" w:hAnsi="宋体" w:cs="宋体"/>
                <w:kern w:val="0"/>
                <w:sz w:val="18"/>
                <w:szCs w:val="18"/>
                <w:lang w:eastAsia="zh-CN"/>
              </w:rPr>
              <w:t>锡</w:t>
            </w:r>
            <w:r>
              <w:rPr>
                <w:rFonts w:hint="eastAsia" w:ascii="宋体" w:hAnsi="宋体" w:cs="宋体"/>
                <w:kern w:val="0"/>
                <w:sz w:val="18"/>
                <w:szCs w:val="18"/>
              </w:rPr>
              <w:t>冶炼生产阶段</w:t>
            </w:r>
          </w:p>
        </w:tc>
        <w:tc>
          <w:tcPr>
            <w:tcW w:w="674" w:type="pct"/>
            <w:vMerge w:val="restart"/>
            <w:vAlign w:val="center"/>
          </w:tcPr>
          <w:p w14:paraId="6DAFBFBD">
            <w:pPr>
              <w:widowControl/>
              <w:rPr>
                <w:rFonts w:hint="eastAsia" w:ascii="宋体" w:hAnsi="宋体" w:cs="宋体"/>
                <w:kern w:val="0"/>
                <w:sz w:val="18"/>
                <w:szCs w:val="18"/>
              </w:rPr>
            </w:pPr>
            <w:r>
              <w:rPr>
                <w:rFonts w:hint="eastAsia" w:ascii="宋体" w:hAnsi="宋体" w:cs="宋体"/>
                <w:kern w:val="0"/>
                <w:sz w:val="18"/>
                <w:szCs w:val="18"/>
              </w:rPr>
              <w:t>生产直接排放</w:t>
            </w:r>
          </w:p>
        </w:tc>
        <w:tc>
          <w:tcPr>
            <w:tcW w:w="3379" w:type="pct"/>
            <w:shd w:val="clear" w:color="auto" w:fill="auto"/>
            <w:noWrap/>
            <w:vAlign w:val="bottom"/>
          </w:tcPr>
          <w:p w14:paraId="0A5BA349">
            <w:pPr>
              <w:widowControl/>
              <w:jc w:val="left"/>
              <w:rPr>
                <w:rFonts w:hint="eastAsia" w:ascii="宋体" w:hAnsi="宋体" w:cs="宋体"/>
                <w:kern w:val="0"/>
                <w:sz w:val="18"/>
                <w:szCs w:val="18"/>
              </w:rPr>
            </w:pPr>
            <w:r>
              <w:rPr>
                <w:rFonts w:hint="eastAsia" w:ascii="宋体" w:hAnsi="宋体" w:cs="宋体"/>
                <w:kern w:val="0"/>
                <w:sz w:val="18"/>
                <w:szCs w:val="18"/>
              </w:rPr>
              <w:t>化石燃料燃烧</w:t>
            </w:r>
          </w:p>
        </w:tc>
      </w:tr>
      <w:tr w14:paraId="7104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5D4117E8">
            <w:pPr>
              <w:widowControl/>
              <w:jc w:val="center"/>
              <w:rPr>
                <w:rFonts w:hint="eastAsia" w:ascii="宋体" w:hAnsi="宋体" w:cs="宋体"/>
                <w:kern w:val="0"/>
                <w:sz w:val="18"/>
                <w:szCs w:val="18"/>
              </w:rPr>
            </w:pPr>
          </w:p>
        </w:tc>
        <w:tc>
          <w:tcPr>
            <w:tcW w:w="674" w:type="pct"/>
            <w:vMerge w:val="continue"/>
            <w:vAlign w:val="center"/>
          </w:tcPr>
          <w:p w14:paraId="253F155F">
            <w:pPr>
              <w:widowControl/>
              <w:rPr>
                <w:rFonts w:hint="eastAsia" w:ascii="宋体" w:hAnsi="宋体" w:cs="宋体"/>
                <w:kern w:val="0"/>
                <w:sz w:val="18"/>
                <w:szCs w:val="18"/>
              </w:rPr>
            </w:pPr>
          </w:p>
        </w:tc>
        <w:tc>
          <w:tcPr>
            <w:tcW w:w="3379" w:type="pct"/>
            <w:shd w:val="clear" w:color="auto" w:fill="auto"/>
            <w:noWrap/>
            <w:vAlign w:val="bottom"/>
          </w:tcPr>
          <w:p w14:paraId="00239B2F">
            <w:pPr>
              <w:widowControl/>
              <w:jc w:val="left"/>
              <w:rPr>
                <w:rFonts w:hint="eastAsia" w:ascii="宋体" w:hAnsi="宋体" w:cs="宋体"/>
                <w:kern w:val="0"/>
                <w:sz w:val="18"/>
                <w:szCs w:val="18"/>
              </w:rPr>
            </w:pPr>
            <w:r>
              <w:rPr>
                <w:rFonts w:hint="eastAsia" w:ascii="宋体" w:hAnsi="宋体" w:cs="宋体"/>
                <w:kern w:val="0"/>
                <w:sz w:val="18"/>
                <w:szCs w:val="18"/>
              </w:rPr>
              <w:t>过程排放（含还原剂排放）</w:t>
            </w:r>
          </w:p>
        </w:tc>
      </w:tr>
      <w:tr w14:paraId="7F22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66F76DA6">
            <w:pPr>
              <w:widowControl/>
              <w:jc w:val="center"/>
              <w:rPr>
                <w:rFonts w:hint="eastAsia" w:ascii="宋体" w:hAnsi="宋体" w:cs="宋体"/>
                <w:kern w:val="0"/>
                <w:sz w:val="18"/>
                <w:szCs w:val="18"/>
              </w:rPr>
            </w:pPr>
          </w:p>
        </w:tc>
        <w:tc>
          <w:tcPr>
            <w:tcW w:w="674" w:type="pct"/>
            <w:vMerge w:val="restart"/>
            <w:vAlign w:val="center"/>
          </w:tcPr>
          <w:p w14:paraId="3D366294">
            <w:pPr>
              <w:rPr>
                <w:rFonts w:hint="eastAsia" w:ascii="宋体" w:hAnsi="宋体" w:cs="宋体"/>
                <w:kern w:val="0"/>
                <w:sz w:val="18"/>
                <w:szCs w:val="18"/>
              </w:rPr>
            </w:pPr>
            <w:r>
              <w:rPr>
                <w:rFonts w:hint="eastAsia" w:ascii="宋体" w:hAnsi="宋体" w:cs="宋体"/>
                <w:kern w:val="0"/>
                <w:sz w:val="18"/>
                <w:szCs w:val="18"/>
              </w:rPr>
              <w:t>能源生产排放</w:t>
            </w:r>
          </w:p>
        </w:tc>
        <w:tc>
          <w:tcPr>
            <w:tcW w:w="3379" w:type="pct"/>
            <w:shd w:val="clear" w:color="auto" w:fill="auto"/>
            <w:noWrap/>
            <w:vAlign w:val="bottom"/>
          </w:tcPr>
          <w:p w14:paraId="6A70A978">
            <w:pPr>
              <w:widowControl/>
              <w:jc w:val="left"/>
              <w:rPr>
                <w:rFonts w:hint="eastAsia" w:ascii="宋体" w:hAnsi="宋体" w:cs="宋体"/>
                <w:kern w:val="0"/>
                <w:sz w:val="18"/>
                <w:szCs w:val="18"/>
              </w:rPr>
            </w:pPr>
            <w:r>
              <w:rPr>
                <w:rFonts w:hint="eastAsia" w:ascii="宋体" w:hAnsi="宋体" w:cs="宋体"/>
                <w:kern w:val="0"/>
                <w:sz w:val="18"/>
                <w:szCs w:val="18"/>
              </w:rPr>
              <w:t>燃料的生产</w:t>
            </w:r>
          </w:p>
        </w:tc>
      </w:tr>
      <w:tr w14:paraId="5F27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64194D17">
            <w:pPr>
              <w:widowControl/>
              <w:jc w:val="center"/>
              <w:rPr>
                <w:rFonts w:hint="eastAsia" w:ascii="宋体" w:hAnsi="宋体" w:cs="宋体"/>
                <w:kern w:val="0"/>
                <w:sz w:val="18"/>
                <w:szCs w:val="18"/>
              </w:rPr>
            </w:pPr>
          </w:p>
        </w:tc>
        <w:tc>
          <w:tcPr>
            <w:tcW w:w="674" w:type="pct"/>
            <w:vMerge w:val="continue"/>
            <w:vAlign w:val="center"/>
          </w:tcPr>
          <w:p w14:paraId="39AF6112">
            <w:pPr>
              <w:ind w:firstLine="360"/>
              <w:rPr>
                <w:rFonts w:hint="eastAsia" w:ascii="宋体" w:hAnsi="宋体" w:cs="宋体"/>
                <w:kern w:val="0"/>
                <w:sz w:val="18"/>
                <w:szCs w:val="18"/>
              </w:rPr>
            </w:pPr>
          </w:p>
        </w:tc>
        <w:tc>
          <w:tcPr>
            <w:tcW w:w="3379" w:type="pct"/>
            <w:shd w:val="clear" w:color="auto" w:fill="auto"/>
            <w:noWrap/>
            <w:vAlign w:val="bottom"/>
          </w:tcPr>
          <w:p w14:paraId="182BB0BB">
            <w:pPr>
              <w:widowControl/>
              <w:jc w:val="left"/>
              <w:rPr>
                <w:rFonts w:hint="eastAsia" w:ascii="宋体" w:hAnsi="宋体" w:cs="宋体"/>
                <w:kern w:val="0"/>
                <w:sz w:val="18"/>
                <w:szCs w:val="18"/>
              </w:rPr>
            </w:pPr>
            <w:r>
              <w:rPr>
                <w:rFonts w:hint="eastAsia" w:ascii="宋体" w:hAnsi="宋体" w:cs="宋体"/>
                <w:kern w:val="0"/>
                <w:sz w:val="18"/>
                <w:szCs w:val="18"/>
              </w:rPr>
              <w:t>自产电力（热力）</w:t>
            </w:r>
          </w:p>
        </w:tc>
      </w:tr>
      <w:tr w14:paraId="5B4A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0FC33102">
            <w:pPr>
              <w:widowControl/>
              <w:jc w:val="center"/>
              <w:rPr>
                <w:rFonts w:hint="eastAsia" w:ascii="宋体" w:hAnsi="宋体" w:cs="宋体"/>
                <w:kern w:val="0"/>
                <w:sz w:val="18"/>
                <w:szCs w:val="18"/>
              </w:rPr>
            </w:pPr>
          </w:p>
        </w:tc>
        <w:tc>
          <w:tcPr>
            <w:tcW w:w="674" w:type="pct"/>
            <w:vMerge w:val="continue"/>
            <w:vAlign w:val="center"/>
          </w:tcPr>
          <w:p w14:paraId="4E3BDFC9">
            <w:pPr>
              <w:widowControl/>
              <w:rPr>
                <w:rFonts w:hint="eastAsia" w:ascii="宋体" w:hAnsi="宋体" w:cs="宋体"/>
                <w:kern w:val="0"/>
                <w:sz w:val="18"/>
                <w:szCs w:val="18"/>
              </w:rPr>
            </w:pPr>
          </w:p>
        </w:tc>
        <w:tc>
          <w:tcPr>
            <w:tcW w:w="3379" w:type="pct"/>
            <w:shd w:val="clear" w:color="auto" w:fill="auto"/>
            <w:noWrap/>
            <w:vAlign w:val="bottom"/>
          </w:tcPr>
          <w:p w14:paraId="6A04F57D">
            <w:pPr>
              <w:widowControl/>
              <w:jc w:val="left"/>
              <w:rPr>
                <w:rFonts w:hint="eastAsia" w:ascii="宋体" w:hAnsi="宋体" w:cs="宋体"/>
                <w:kern w:val="0"/>
                <w:sz w:val="18"/>
                <w:szCs w:val="18"/>
              </w:rPr>
            </w:pPr>
            <w:r>
              <w:rPr>
                <w:rFonts w:hint="eastAsia" w:ascii="宋体" w:hAnsi="宋体" w:cs="宋体"/>
                <w:kern w:val="0"/>
                <w:sz w:val="18"/>
                <w:szCs w:val="18"/>
              </w:rPr>
              <w:t>外购电力（热力）</w:t>
            </w:r>
          </w:p>
        </w:tc>
      </w:tr>
      <w:tr w14:paraId="2E82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59728FE7">
            <w:pPr>
              <w:widowControl/>
              <w:jc w:val="center"/>
              <w:rPr>
                <w:rFonts w:hint="eastAsia" w:ascii="宋体" w:hAnsi="宋体" w:cs="宋体"/>
                <w:kern w:val="0"/>
                <w:sz w:val="18"/>
                <w:szCs w:val="18"/>
              </w:rPr>
            </w:pPr>
          </w:p>
        </w:tc>
        <w:tc>
          <w:tcPr>
            <w:tcW w:w="674" w:type="pct"/>
            <w:vMerge w:val="restart"/>
            <w:vAlign w:val="center"/>
          </w:tcPr>
          <w:p w14:paraId="1B0765AA">
            <w:pPr>
              <w:widowControl/>
              <w:rPr>
                <w:rFonts w:hint="eastAsia" w:ascii="宋体" w:hAnsi="宋体" w:cs="宋体"/>
                <w:kern w:val="0"/>
                <w:sz w:val="18"/>
                <w:szCs w:val="18"/>
              </w:rPr>
            </w:pPr>
            <w:r>
              <w:rPr>
                <w:rFonts w:hint="eastAsia" w:ascii="宋体" w:hAnsi="宋体" w:cs="宋体"/>
                <w:kern w:val="0"/>
                <w:sz w:val="18"/>
                <w:szCs w:val="18"/>
              </w:rPr>
              <w:t>其他间接排放</w:t>
            </w:r>
          </w:p>
        </w:tc>
        <w:tc>
          <w:tcPr>
            <w:tcW w:w="3379" w:type="pct"/>
            <w:shd w:val="clear" w:color="auto" w:fill="auto"/>
            <w:noWrap/>
            <w:vAlign w:val="bottom"/>
          </w:tcPr>
          <w:p w14:paraId="05D3EEF2">
            <w:pPr>
              <w:widowControl/>
              <w:jc w:val="left"/>
              <w:rPr>
                <w:rFonts w:hint="eastAsia" w:ascii="宋体" w:hAnsi="宋体" w:cs="宋体"/>
                <w:kern w:val="0"/>
                <w:sz w:val="18"/>
                <w:szCs w:val="18"/>
              </w:rPr>
            </w:pPr>
            <w:r>
              <w:rPr>
                <w:rFonts w:hint="eastAsia" w:ascii="宋体" w:hAnsi="宋体" w:cs="宋体"/>
                <w:kern w:val="0"/>
                <w:sz w:val="18"/>
                <w:szCs w:val="18"/>
              </w:rPr>
              <w:t>辅材、药剂的获取，如：石英石、石灰石、化学品等的生产</w:t>
            </w:r>
          </w:p>
        </w:tc>
      </w:tr>
      <w:tr w14:paraId="3391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5E5A9399">
            <w:pPr>
              <w:widowControl/>
              <w:jc w:val="center"/>
              <w:rPr>
                <w:rFonts w:hint="eastAsia" w:ascii="宋体" w:hAnsi="宋体" w:cs="宋体"/>
                <w:kern w:val="0"/>
                <w:sz w:val="18"/>
                <w:szCs w:val="18"/>
              </w:rPr>
            </w:pPr>
          </w:p>
        </w:tc>
        <w:tc>
          <w:tcPr>
            <w:tcW w:w="674" w:type="pct"/>
            <w:vMerge w:val="continue"/>
            <w:vAlign w:val="center"/>
          </w:tcPr>
          <w:p w14:paraId="53DD4FFD">
            <w:pPr>
              <w:widowControl/>
              <w:rPr>
                <w:rFonts w:hint="eastAsia" w:ascii="宋体" w:hAnsi="宋体" w:cs="宋体"/>
                <w:kern w:val="0"/>
                <w:sz w:val="18"/>
                <w:szCs w:val="18"/>
              </w:rPr>
            </w:pPr>
          </w:p>
        </w:tc>
        <w:tc>
          <w:tcPr>
            <w:tcW w:w="3379" w:type="pct"/>
            <w:shd w:val="clear" w:color="auto" w:fill="auto"/>
            <w:noWrap/>
            <w:vAlign w:val="bottom"/>
          </w:tcPr>
          <w:p w14:paraId="6C527CF7">
            <w:pPr>
              <w:widowControl/>
              <w:jc w:val="left"/>
              <w:rPr>
                <w:rFonts w:hint="eastAsia" w:ascii="宋体" w:hAnsi="宋体" w:cs="宋体"/>
                <w:kern w:val="0"/>
                <w:sz w:val="18"/>
                <w:szCs w:val="18"/>
              </w:rPr>
            </w:pPr>
            <w:r>
              <w:rPr>
                <w:rFonts w:hint="eastAsia" w:ascii="宋体" w:hAnsi="宋体" w:cs="宋体"/>
                <w:kern w:val="0"/>
                <w:sz w:val="18"/>
                <w:szCs w:val="18"/>
              </w:rPr>
              <w:t>精矿/含</w:t>
            </w:r>
            <w:r>
              <w:rPr>
                <w:rFonts w:hint="eastAsia" w:ascii="宋体" w:hAnsi="宋体" w:cs="宋体"/>
                <w:kern w:val="0"/>
                <w:sz w:val="18"/>
                <w:szCs w:val="18"/>
                <w:lang w:eastAsia="zh-CN"/>
              </w:rPr>
              <w:t>锡</w:t>
            </w:r>
            <w:r>
              <w:rPr>
                <w:rFonts w:hint="eastAsia" w:ascii="宋体" w:hAnsi="宋体" w:cs="宋体"/>
                <w:kern w:val="0"/>
                <w:sz w:val="18"/>
                <w:szCs w:val="18"/>
              </w:rPr>
              <w:t>原料的运输</w:t>
            </w:r>
          </w:p>
        </w:tc>
      </w:tr>
      <w:tr w14:paraId="27DC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5E53DE9F">
            <w:pPr>
              <w:widowControl/>
              <w:jc w:val="center"/>
              <w:rPr>
                <w:rFonts w:hint="eastAsia" w:ascii="宋体" w:hAnsi="宋体" w:cs="宋体"/>
                <w:kern w:val="0"/>
                <w:sz w:val="18"/>
                <w:szCs w:val="18"/>
              </w:rPr>
            </w:pPr>
          </w:p>
        </w:tc>
        <w:tc>
          <w:tcPr>
            <w:tcW w:w="674" w:type="pct"/>
            <w:vMerge w:val="continue"/>
            <w:vAlign w:val="center"/>
          </w:tcPr>
          <w:p w14:paraId="52906E0D">
            <w:pPr>
              <w:widowControl/>
              <w:rPr>
                <w:rFonts w:hint="eastAsia" w:ascii="宋体" w:hAnsi="宋体" w:cs="宋体"/>
                <w:kern w:val="0"/>
                <w:sz w:val="18"/>
                <w:szCs w:val="18"/>
              </w:rPr>
            </w:pPr>
          </w:p>
        </w:tc>
        <w:tc>
          <w:tcPr>
            <w:tcW w:w="3379" w:type="pct"/>
            <w:shd w:val="clear" w:color="auto" w:fill="auto"/>
            <w:noWrap/>
            <w:vAlign w:val="bottom"/>
          </w:tcPr>
          <w:p w14:paraId="09DABEF8">
            <w:pPr>
              <w:widowControl/>
              <w:jc w:val="left"/>
              <w:rPr>
                <w:rFonts w:hint="eastAsia" w:ascii="宋体" w:hAnsi="宋体" w:cs="宋体"/>
                <w:kern w:val="0"/>
                <w:sz w:val="18"/>
                <w:szCs w:val="18"/>
              </w:rPr>
            </w:pPr>
            <w:r>
              <w:rPr>
                <w:rFonts w:hint="eastAsia" w:ascii="宋体" w:hAnsi="宋体" w:cs="宋体"/>
                <w:kern w:val="0"/>
                <w:sz w:val="18"/>
                <w:szCs w:val="18"/>
              </w:rPr>
              <w:t>其他物料的运输</w:t>
            </w:r>
          </w:p>
        </w:tc>
      </w:tr>
      <w:tr w14:paraId="5E77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6077C52F">
            <w:pPr>
              <w:widowControl/>
              <w:jc w:val="center"/>
              <w:rPr>
                <w:rFonts w:hint="eastAsia" w:ascii="宋体" w:hAnsi="宋体" w:cs="宋体"/>
                <w:kern w:val="0"/>
                <w:sz w:val="18"/>
                <w:szCs w:val="18"/>
              </w:rPr>
            </w:pPr>
          </w:p>
        </w:tc>
        <w:tc>
          <w:tcPr>
            <w:tcW w:w="674" w:type="pct"/>
            <w:vMerge w:val="continue"/>
            <w:vAlign w:val="center"/>
          </w:tcPr>
          <w:p w14:paraId="6DD47EAD">
            <w:pPr>
              <w:widowControl/>
              <w:rPr>
                <w:rFonts w:hint="eastAsia" w:ascii="宋体" w:hAnsi="宋体" w:cs="宋体"/>
                <w:kern w:val="0"/>
                <w:sz w:val="18"/>
                <w:szCs w:val="18"/>
              </w:rPr>
            </w:pPr>
          </w:p>
        </w:tc>
        <w:tc>
          <w:tcPr>
            <w:tcW w:w="3379" w:type="pct"/>
            <w:shd w:val="clear" w:color="auto" w:fill="auto"/>
            <w:vAlign w:val="bottom"/>
          </w:tcPr>
          <w:p w14:paraId="0C0CB48D">
            <w:pPr>
              <w:widowControl/>
              <w:jc w:val="left"/>
              <w:rPr>
                <w:rFonts w:hint="eastAsia" w:ascii="宋体" w:hAnsi="宋体" w:cs="宋体"/>
                <w:kern w:val="0"/>
                <w:sz w:val="18"/>
                <w:szCs w:val="18"/>
              </w:rPr>
            </w:pPr>
            <w:r>
              <w:rPr>
                <w:rFonts w:hint="eastAsia" w:ascii="宋体" w:hAnsi="宋体" w:cs="宋体"/>
                <w:kern w:val="0"/>
                <w:sz w:val="18"/>
                <w:szCs w:val="18"/>
              </w:rPr>
              <w:t>现场第三方服务，如运输、制氧、废水处理等</w:t>
            </w:r>
          </w:p>
        </w:tc>
      </w:tr>
      <w:tr w14:paraId="070F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947" w:type="pct"/>
            <w:vMerge w:val="continue"/>
            <w:vAlign w:val="center"/>
          </w:tcPr>
          <w:p w14:paraId="2133E0C4">
            <w:pPr>
              <w:widowControl/>
              <w:jc w:val="center"/>
              <w:rPr>
                <w:rFonts w:hint="eastAsia" w:ascii="宋体" w:hAnsi="宋体" w:cs="宋体"/>
                <w:kern w:val="0"/>
                <w:sz w:val="18"/>
                <w:szCs w:val="18"/>
              </w:rPr>
            </w:pPr>
          </w:p>
        </w:tc>
        <w:tc>
          <w:tcPr>
            <w:tcW w:w="674" w:type="pct"/>
            <w:vMerge w:val="continue"/>
            <w:vAlign w:val="center"/>
          </w:tcPr>
          <w:p w14:paraId="5E4290CC">
            <w:pPr>
              <w:widowControl/>
              <w:rPr>
                <w:rFonts w:hint="eastAsia" w:ascii="宋体" w:hAnsi="宋体" w:cs="宋体"/>
                <w:kern w:val="0"/>
                <w:sz w:val="18"/>
                <w:szCs w:val="18"/>
              </w:rPr>
            </w:pPr>
          </w:p>
        </w:tc>
        <w:tc>
          <w:tcPr>
            <w:tcW w:w="3379" w:type="pct"/>
            <w:shd w:val="clear" w:color="auto" w:fill="auto"/>
            <w:noWrap/>
            <w:vAlign w:val="bottom"/>
          </w:tcPr>
          <w:p w14:paraId="3AB9DAE5">
            <w:pPr>
              <w:widowControl/>
              <w:jc w:val="left"/>
              <w:rPr>
                <w:rFonts w:hint="eastAsia" w:ascii="宋体" w:hAnsi="宋体" w:cs="宋体"/>
                <w:kern w:val="0"/>
                <w:sz w:val="18"/>
                <w:szCs w:val="18"/>
              </w:rPr>
            </w:pPr>
            <w:r>
              <w:rPr>
                <w:rFonts w:hint="eastAsia" w:ascii="宋体" w:hAnsi="宋体" w:cs="宋体"/>
                <w:kern w:val="0"/>
                <w:sz w:val="18"/>
                <w:szCs w:val="18"/>
              </w:rPr>
              <w:t>废弃物外委处置服务</w:t>
            </w:r>
          </w:p>
        </w:tc>
      </w:tr>
      <w:tr w14:paraId="607C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947" w:type="pct"/>
            <w:vMerge w:val="continue"/>
            <w:vAlign w:val="center"/>
          </w:tcPr>
          <w:p w14:paraId="72515A82">
            <w:pPr>
              <w:widowControl/>
              <w:jc w:val="center"/>
              <w:rPr>
                <w:rFonts w:hint="eastAsia" w:ascii="宋体" w:hAnsi="宋体" w:cs="宋体"/>
                <w:kern w:val="0"/>
                <w:sz w:val="18"/>
                <w:szCs w:val="18"/>
              </w:rPr>
            </w:pPr>
          </w:p>
        </w:tc>
        <w:tc>
          <w:tcPr>
            <w:tcW w:w="674" w:type="pct"/>
            <w:vAlign w:val="center"/>
          </w:tcPr>
          <w:p w14:paraId="360A2317">
            <w:pPr>
              <w:widowControl/>
              <w:rPr>
                <w:rFonts w:hint="eastAsia" w:ascii="宋体" w:hAnsi="宋体" w:cs="宋体"/>
                <w:kern w:val="0"/>
                <w:sz w:val="18"/>
                <w:szCs w:val="18"/>
              </w:rPr>
            </w:pPr>
            <w:r>
              <w:rPr>
                <w:rFonts w:hint="eastAsia" w:ascii="宋体" w:hAnsi="宋体" w:cs="宋体"/>
                <w:kern w:val="0"/>
                <w:sz w:val="18"/>
                <w:szCs w:val="18"/>
              </w:rPr>
              <w:t>特殊排放</w:t>
            </w:r>
          </w:p>
        </w:tc>
        <w:tc>
          <w:tcPr>
            <w:tcW w:w="3379" w:type="pct"/>
            <w:shd w:val="clear" w:color="auto" w:fill="auto"/>
            <w:noWrap/>
            <w:vAlign w:val="bottom"/>
          </w:tcPr>
          <w:p w14:paraId="3DF0F88E">
            <w:pPr>
              <w:widowControl/>
              <w:jc w:val="left"/>
              <w:rPr>
                <w:rFonts w:hint="eastAsia" w:ascii="宋体" w:hAnsi="宋体" w:cs="宋体"/>
                <w:kern w:val="0"/>
                <w:sz w:val="18"/>
                <w:szCs w:val="18"/>
              </w:rPr>
            </w:pPr>
            <w:r>
              <w:rPr>
                <w:rFonts w:hint="eastAsia" w:ascii="宋体" w:hAnsi="宋体" w:cs="宋体"/>
                <w:kern w:val="0"/>
                <w:sz w:val="18"/>
                <w:szCs w:val="18"/>
              </w:rPr>
              <w:t>共生产品碳信用（如有）</w:t>
            </w:r>
          </w:p>
        </w:tc>
      </w:tr>
    </w:tbl>
    <w:p w14:paraId="24321EFC">
      <w:pPr>
        <w:pStyle w:val="61"/>
        <w:ind w:firstLine="0" w:firstLineChars="0"/>
        <w:rPr>
          <w:rFonts w:hint="eastAsia" w:cs="宋体"/>
          <w:sz w:val="18"/>
          <w:szCs w:val="18"/>
        </w:rPr>
      </w:pPr>
      <w:r>
        <w:rPr>
          <w:rFonts w:hint="eastAsia" w:ascii="黑体" w:hAnsi="黑体" w:eastAsia="黑体" w:cs="宋体"/>
          <w:sz w:val="18"/>
          <w:szCs w:val="18"/>
        </w:rPr>
        <w:t>注</w:t>
      </w:r>
      <w:r>
        <w:rPr>
          <w:rFonts w:hint="eastAsia" w:cs="宋体"/>
          <w:sz w:val="18"/>
          <w:szCs w:val="18"/>
        </w:rPr>
        <w:t>：共生产品碳信用是指包含在系统边界内的副产品避免了另一具有相同功能路线的排放，宜予扣除。</w:t>
      </w:r>
    </w:p>
    <w:p w14:paraId="353EC6EB">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5</w:t>
      </w:r>
      <w:r>
        <w:rPr>
          <w:rFonts w:ascii="黑体" w:hAnsi="黑体" w:eastAsia="黑体"/>
          <w:b w:val="0"/>
          <w:sz w:val="21"/>
          <w:szCs w:val="21"/>
        </w:rPr>
        <w:t xml:space="preserve">.2.3.2 </w:t>
      </w:r>
      <w:r>
        <w:rPr>
          <w:rFonts w:hint="eastAsia" w:ascii="黑体" w:hAnsi="黑体" w:eastAsia="黑体"/>
          <w:b w:val="0"/>
          <w:sz w:val="21"/>
          <w:szCs w:val="21"/>
        </w:rPr>
        <w:t xml:space="preserve"> </w:t>
      </w:r>
      <w:r>
        <w:rPr>
          <w:rFonts w:hint="eastAsia" w:ascii="黑体" w:hAnsi="黑体" w:eastAsia="黑体"/>
          <w:b w:val="0"/>
          <w:sz w:val="21"/>
          <w:szCs w:val="21"/>
          <w:lang w:eastAsia="zh-CN"/>
        </w:rPr>
        <w:t>锡</w:t>
      </w:r>
      <w:r>
        <w:rPr>
          <w:rFonts w:hint="eastAsia" w:ascii="黑体" w:hAnsi="黑体" w:eastAsia="黑体"/>
          <w:b w:val="0"/>
          <w:sz w:val="21"/>
          <w:szCs w:val="21"/>
        </w:rPr>
        <w:t>矿石的开采</w:t>
      </w:r>
    </w:p>
    <w:p w14:paraId="4461F70B">
      <w:pPr>
        <w:pStyle w:val="61"/>
        <w:rPr>
          <w:rFonts w:hint="eastAsia"/>
        </w:rPr>
      </w:pPr>
      <w:r>
        <w:rPr>
          <w:rFonts w:hint="eastAsia"/>
          <w:lang w:eastAsia="zh-CN"/>
        </w:rPr>
        <w:t>锡</w:t>
      </w:r>
      <w:r>
        <w:rPr>
          <w:rFonts w:hint="eastAsia"/>
        </w:rPr>
        <w:t>矿矿石的开采从资源开采开始，到采出</w:t>
      </w:r>
      <w:r>
        <w:rPr>
          <w:rFonts w:hint="eastAsia"/>
          <w:lang w:eastAsia="zh-CN"/>
        </w:rPr>
        <w:t>锡</w:t>
      </w:r>
      <w:r>
        <w:rPr>
          <w:rFonts w:hint="eastAsia"/>
        </w:rPr>
        <w:t>矿矿石离开原矿贮存设施为止。</w:t>
      </w:r>
    </w:p>
    <w:p w14:paraId="7D4F3A62">
      <w:pPr>
        <w:pStyle w:val="61"/>
        <w:rPr>
          <w:rFonts w:hint="eastAsia"/>
        </w:rPr>
      </w:pPr>
      <w:r>
        <w:rPr>
          <w:rFonts w:hint="eastAsia"/>
        </w:rPr>
        <w:t>采矿方式</w:t>
      </w:r>
      <w:r>
        <w:rPr>
          <w:rFonts w:hint="eastAsia"/>
          <w:lang w:val="en-US" w:eastAsia="zh-CN"/>
        </w:rPr>
        <w:t>主要</w:t>
      </w:r>
      <w:r>
        <w:rPr>
          <w:rFonts w:hint="eastAsia"/>
        </w:rPr>
        <w:t>有露天开采和地下开采</w:t>
      </w:r>
      <w:r>
        <w:rPr>
          <w:rFonts w:hint="eastAsia"/>
          <w:lang w:val="en-US" w:eastAsia="zh-CN"/>
        </w:rPr>
        <w:t>等</w:t>
      </w:r>
      <w:bookmarkStart w:id="183" w:name="_GoBack"/>
      <w:bookmarkEnd w:id="183"/>
      <w:r>
        <w:rPr>
          <w:rFonts w:hint="eastAsia"/>
        </w:rPr>
        <w:t>。</w:t>
      </w:r>
    </w:p>
    <w:p w14:paraId="637FB630">
      <w:pPr>
        <w:pStyle w:val="61"/>
        <w:ind w:firstLineChars="0"/>
        <w:rPr>
          <w:rFonts w:hint="eastAsia"/>
        </w:rPr>
      </w:pPr>
      <w:r>
        <w:rPr>
          <w:rFonts w:hint="eastAsia"/>
        </w:rPr>
        <w:t>a）露天开采一般包括：穿孔、爆破、铲装、运输等子单元过程；</w:t>
      </w:r>
    </w:p>
    <w:p w14:paraId="357D418E">
      <w:pPr>
        <w:pStyle w:val="61"/>
        <w:ind w:firstLineChars="0"/>
        <w:rPr>
          <w:rFonts w:hint="eastAsia"/>
        </w:rPr>
      </w:pPr>
      <w:r>
        <w:rPr>
          <w:rFonts w:hint="eastAsia"/>
        </w:rPr>
        <w:t>b）地下开采一般包括：回采、掘进、提升、运输、充填（如有）、排水、通风、供暖（如有）、供电、供气、供水等子单元过程。</w:t>
      </w:r>
    </w:p>
    <w:p w14:paraId="4FBD8451">
      <w:pPr>
        <w:pStyle w:val="6"/>
        <w:spacing w:before="312" w:beforeLines="100" w:after="312" w:afterLines="100" w:line="240" w:lineRule="auto"/>
        <w:jc w:val="left"/>
        <w:rPr>
          <w:rFonts w:hint="default" w:ascii="黑体" w:hAnsi="黑体" w:eastAsia="黑体"/>
          <w:b w:val="0"/>
          <w:sz w:val="21"/>
          <w:szCs w:val="21"/>
          <w:lang w:val="en-US" w:eastAsia="zh-CN"/>
        </w:rPr>
      </w:pPr>
      <w:r>
        <w:rPr>
          <w:rFonts w:hint="eastAsia" w:ascii="黑体" w:hAnsi="黑体" w:eastAsia="黑体"/>
          <w:b w:val="0"/>
          <w:sz w:val="21"/>
          <w:szCs w:val="21"/>
        </w:rPr>
        <w:t>5</w:t>
      </w:r>
      <w:r>
        <w:rPr>
          <w:rFonts w:ascii="黑体" w:hAnsi="黑体" w:eastAsia="黑体"/>
          <w:b w:val="0"/>
          <w:sz w:val="21"/>
          <w:szCs w:val="21"/>
        </w:rPr>
        <w:t>.2.3.</w:t>
      </w:r>
      <w:r>
        <w:rPr>
          <w:rFonts w:hint="eastAsia" w:ascii="黑体" w:hAnsi="黑体" w:eastAsia="黑体"/>
          <w:b w:val="0"/>
          <w:sz w:val="21"/>
          <w:szCs w:val="21"/>
        </w:rPr>
        <w:t>3</w:t>
      </w:r>
      <w:r>
        <w:rPr>
          <w:rFonts w:ascii="黑体" w:hAnsi="黑体" w:eastAsia="黑体"/>
          <w:b w:val="0"/>
          <w:sz w:val="21"/>
          <w:szCs w:val="21"/>
        </w:rPr>
        <w:t xml:space="preserve">  </w:t>
      </w:r>
      <w:r>
        <w:rPr>
          <w:rFonts w:hint="eastAsia" w:ascii="黑体" w:hAnsi="黑体" w:eastAsia="黑体"/>
          <w:b w:val="0"/>
          <w:sz w:val="21"/>
          <w:szCs w:val="21"/>
          <w:lang w:val="en-US" w:eastAsia="zh-CN"/>
        </w:rPr>
        <w:t>锡锭的火法生产</w:t>
      </w:r>
    </w:p>
    <w:p w14:paraId="3489F5B0">
      <w:pPr>
        <w:pStyle w:val="61"/>
        <w:rPr>
          <w:rFonts w:hint="eastAsia"/>
        </w:rPr>
      </w:pPr>
      <w:r>
        <w:rPr>
          <w:rFonts w:hint="eastAsia"/>
        </w:rPr>
        <w:t>a）</w:t>
      </w:r>
      <w:r>
        <w:rPr>
          <w:rFonts w:hint="eastAsia"/>
          <w:lang w:eastAsia="zh-CN"/>
        </w:rPr>
        <w:t>锡</w:t>
      </w:r>
      <w:r>
        <w:rPr>
          <w:rFonts w:hint="eastAsia"/>
        </w:rPr>
        <w:t>精矿的生产</w:t>
      </w:r>
    </w:p>
    <w:p w14:paraId="2BA327BF">
      <w:pPr>
        <w:pStyle w:val="61"/>
        <w:rPr>
          <w:rFonts w:hint="eastAsia"/>
        </w:rPr>
      </w:pPr>
      <w:r>
        <w:rPr>
          <w:rFonts w:hint="eastAsia"/>
          <w:lang w:eastAsia="zh-CN"/>
        </w:rPr>
        <w:t>锡</w:t>
      </w:r>
      <w:r>
        <w:rPr>
          <w:rFonts w:hint="eastAsia"/>
        </w:rPr>
        <w:t>精矿的生产从原矿离开贮存设施开始，经破碎筛分、浮选后，到产出</w:t>
      </w:r>
      <w:r>
        <w:rPr>
          <w:rFonts w:hint="eastAsia"/>
          <w:lang w:eastAsia="zh-CN"/>
        </w:rPr>
        <w:t>锡</w:t>
      </w:r>
      <w:r>
        <w:rPr>
          <w:rFonts w:hint="eastAsia"/>
        </w:rPr>
        <w:t>精矿离开选矿厂大门为止，主要包含以下过程：</w:t>
      </w:r>
    </w:p>
    <w:p w14:paraId="2D3896D1">
      <w:pPr>
        <w:pStyle w:val="61"/>
        <w:ind w:firstLineChars="0"/>
        <w:rPr>
          <w:rFonts w:hint="eastAsia"/>
        </w:rPr>
      </w:pPr>
      <w:r>
        <w:rPr>
          <w:rFonts w:hint="eastAsia"/>
        </w:rPr>
        <w:t>——原矿从贮存设施到选矿厂的运输；</w:t>
      </w:r>
    </w:p>
    <w:p w14:paraId="6EFE8DE4">
      <w:pPr>
        <w:pStyle w:val="61"/>
        <w:ind w:firstLineChars="0"/>
        <w:rPr>
          <w:rFonts w:hint="eastAsia"/>
        </w:rPr>
      </w:pPr>
      <w:r>
        <w:rPr>
          <w:rFonts w:hint="eastAsia"/>
        </w:rPr>
        <w:t>——原矿破碎筛分；</w:t>
      </w:r>
    </w:p>
    <w:p w14:paraId="369645FC">
      <w:pPr>
        <w:pStyle w:val="61"/>
        <w:ind w:firstLineChars="0"/>
        <w:rPr>
          <w:rFonts w:hint="eastAsia"/>
        </w:rPr>
      </w:pPr>
      <w:r>
        <w:rPr>
          <w:rFonts w:hint="eastAsia"/>
        </w:rPr>
        <w:t>——矿石浮选；</w:t>
      </w:r>
    </w:p>
    <w:p w14:paraId="3E07AC97">
      <w:pPr>
        <w:pStyle w:val="61"/>
        <w:ind w:firstLineChars="0"/>
        <w:rPr>
          <w:rFonts w:hint="eastAsia"/>
        </w:rPr>
      </w:pPr>
      <w:r>
        <w:rPr>
          <w:rFonts w:hint="eastAsia"/>
        </w:rPr>
        <w:t>——精矿浓缩、过滤；</w:t>
      </w:r>
    </w:p>
    <w:p w14:paraId="4774E0BE">
      <w:pPr>
        <w:pStyle w:val="61"/>
        <w:ind w:firstLineChars="0"/>
        <w:rPr>
          <w:rFonts w:hint="eastAsia"/>
        </w:rPr>
      </w:pPr>
      <w:r>
        <w:rPr>
          <w:rFonts w:hint="eastAsia"/>
        </w:rPr>
        <w:t>——尾矿处理处置。</w:t>
      </w:r>
    </w:p>
    <w:p w14:paraId="1D0276AB">
      <w:pPr>
        <w:pStyle w:val="61"/>
        <w:rPr>
          <w:rFonts w:hint="eastAsia"/>
        </w:rPr>
      </w:pPr>
      <w:r>
        <w:rPr>
          <w:rFonts w:hint="eastAsia"/>
        </w:rPr>
        <w:t>b）</w:t>
      </w:r>
      <w:r>
        <w:rPr>
          <w:rFonts w:hint="eastAsia"/>
          <w:lang w:eastAsia="zh-CN"/>
        </w:rPr>
        <w:t>回收锡原料</w:t>
      </w:r>
      <w:r>
        <w:rPr>
          <w:rFonts w:hint="eastAsia"/>
        </w:rPr>
        <w:t>的获取（如有）</w:t>
      </w:r>
    </w:p>
    <w:p w14:paraId="2233F310">
      <w:pPr>
        <w:pStyle w:val="61"/>
        <w:rPr>
          <w:rFonts w:hint="eastAsia"/>
        </w:rPr>
      </w:pPr>
      <w:r>
        <w:rPr>
          <w:rFonts w:hint="eastAsia"/>
        </w:rPr>
        <w:t>消费前</w:t>
      </w:r>
      <w:r>
        <w:rPr>
          <w:rFonts w:hint="eastAsia"/>
          <w:lang w:eastAsia="zh-CN"/>
        </w:rPr>
        <w:t>回收锡原料</w:t>
      </w:r>
      <w:r>
        <w:rPr>
          <w:rFonts w:hint="eastAsia"/>
        </w:rPr>
        <w:t>为工业生产过程中的共生产品，遵循上游供应商的分配程序，并将上游企业到冶炼厂的运输纳入系统边界范围。</w:t>
      </w:r>
    </w:p>
    <w:p w14:paraId="62CF6F80">
      <w:pPr>
        <w:pStyle w:val="61"/>
        <w:rPr>
          <w:rFonts w:hint="eastAsia"/>
        </w:rPr>
      </w:pPr>
      <w:r>
        <w:rPr>
          <w:rFonts w:hint="eastAsia"/>
        </w:rPr>
        <w:t>消费后</w:t>
      </w:r>
      <w:r>
        <w:rPr>
          <w:rFonts w:hint="eastAsia"/>
          <w:lang w:eastAsia="zh-CN"/>
        </w:rPr>
        <w:t>回收锡原料</w:t>
      </w:r>
      <w:r>
        <w:rPr>
          <w:rFonts w:hint="eastAsia"/>
        </w:rPr>
        <w:t>从</w:t>
      </w:r>
      <w:r>
        <w:rPr>
          <w:rFonts w:hint="eastAsia"/>
          <w:lang w:eastAsia="zh-CN"/>
        </w:rPr>
        <w:t>浮法玻璃回收锡原料</w:t>
      </w:r>
      <w:r>
        <w:rPr>
          <w:rFonts w:hint="eastAsia"/>
        </w:rPr>
        <w:t>等获取开始，主要包含以下过程：</w:t>
      </w:r>
    </w:p>
    <w:p w14:paraId="0220B7A6">
      <w:pPr>
        <w:pStyle w:val="61"/>
        <w:ind w:firstLineChars="0"/>
        <w:rPr>
          <w:rFonts w:hint="eastAsia"/>
        </w:rPr>
      </w:pPr>
      <w:r>
        <w:rPr>
          <w:rFonts w:hint="eastAsia"/>
        </w:rPr>
        <w:t>——外购</w:t>
      </w:r>
      <w:r>
        <w:rPr>
          <w:rFonts w:hint="eastAsia"/>
          <w:lang w:eastAsia="zh-CN"/>
        </w:rPr>
        <w:t>回收锡原料</w:t>
      </w:r>
      <w:r>
        <w:rPr>
          <w:rFonts w:hint="eastAsia"/>
        </w:rPr>
        <w:t>到冶炼厂的运输（如有）；</w:t>
      </w:r>
    </w:p>
    <w:p w14:paraId="39AA460C">
      <w:pPr>
        <w:pStyle w:val="61"/>
        <w:ind w:firstLineChars="0"/>
        <w:rPr>
          <w:rFonts w:hint="eastAsia"/>
        </w:rPr>
      </w:pPr>
      <w:r>
        <w:rPr>
          <w:rFonts w:hint="eastAsia"/>
        </w:rPr>
        <w:t>——原料贮存；</w:t>
      </w:r>
    </w:p>
    <w:p w14:paraId="3C0E68E9">
      <w:pPr>
        <w:pStyle w:val="61"/>
        <w:ind w:firstLineChars="0"/>
        <w:rPr>
          <w:rFonts w:hint="eastAsia"/>
        </w:rPr>
      </w:pPr>
      <w:r>
        <w:rPr>
          <w:rFonts w:hint="eastAsia"/>
        </w:rPr>
        <w:t>——</w:t>
      </w:r>
      <w:r>
        <w:rPr>
          <w:rFonts w:hint="eastAsia"/>
          <w:lang w:val="en-US" w:eastAsia="zh-CN"/>
        </w:rPr>
        <w:t>包装材料的处置</w:t>
      </w:r>
      <w:r>
        <w:rPr>
          <w:rFonts w:hint="eastAsia"/>
        </w:rPr>
        <w:t>；</w:t>
      </w:r>
    </w:p>
    <w:p w14:paraId="4766F6EB">
      <w:pPr>
        <w:pStyle w:val="61"/>
        <w:rPr>
          <w:rFonts w:hint="eastAsia"/>
        </w:rPr>
      </w:pPr>
      <w:r>
        <w:rPr>
          <w:rFonts w:hint="eastAsia"/>
        </w:rPr>
        <w:t>c）粗</w:t>
      </w:r>
      <w:r>
        <w:rPr>
          <w:rFonts w:hint="eastAsia"/>
          <w:lang w:eastAsia="zh-CN"/>
        </w:rPr>
        <w:t>锡</w:t>
      </w:r>
      <w:r>
        <w:rPr>
          <w:rFonts w:hint="eastAsia"/>
        </w:rPr>
        <w:t>的生产</w:t>
      </w:r>
    </w:p>
    <w:p w14:paraId="541B6971">
      <w:pPr>
        <w:pStyle w:val="61"/>
        <w:rPr>
          <w:rFonts w:hint="eastAsia"/>
        </w:rPr>
      </w:pPr>
      <w:r>
        <w:rPr>
          <w:rFonts w:hint="eastAsia"/>
        </w:rPr>
        <w:t>粗</w:t>
      </w:r>
      <w:r>
        <w:rPr>
          <w:rFonts w:hint="eastAsia"/>
          <w:lang w:eastAsia="zh-CN"/>
        </w:rPr>
        <w:t>锡</w:t>
      </w:r>
      <w:r>
        <w:rPr>
          <w:rFonts w:hint="eastAsia"/>
        </w:rPr>
        <w:t>的生产从</w:t>
      </w:r>
      <w:r>
        <w:rPr>
          <w:rFonts w:hint="eastAsia"/>
          <w:lang w:eastAsia="zh-CN"/>
        </w:rPr>
        <w:t>锡</w:t>
      </w:r>
      <w:r>
        <w:rPr>
          <w:rFonts w:hint="eastAsia"/>
        </w:rPr>
        <w:t>精矿和</w:t>
      </w:r>
      <w:r>
        <w:rPr>
          <w:rFonts w:hint="eastAsia"/>
          <w:lang w:eastAsia="zh-CN"/>
        </w:rPr>
        <w:t>回收锡原料</w:t>
      </w:r>
      <w:r>
        <w:rPr>
          <w:rFonts w:hint="eastAsia"/>
        </w:rPr>
        <w:t>（若有）运输至冶炼厂，通过熔炼还原产出粗</w:t>
      </w:r>
      <w:r>
        <w:rPr>
          <w:rFonts w:hint="eastAsia"/>
          <w:lang w:eastAsia="zh-CN"/>
        </w:rPr>
        <w:t>锡</w:t>
      </w:r>
      <w:r>
        <w:rPr>
          <w:rFonts w:hint="eastAsia"/>
        </w:rPr>
        <w:t>离开熔炼区域为止，主要包含以下过程：</w:t>
      </w:r>
    </w:p>
    <w:p w14:paraId="3AA8E63F">
      <w:pPr>
        <w:pStyle w:val="61"/>
        <w:ind w:firstLineChars="0"/>
        <w:rPr>
          <w:rFonts w:hint="eastAsia"/>
        </w:rPr>
      </w:pPr>
      <w:r>
        <w:rPr>
          <w:rFonts w:hint="eastAsia"/>
        </w:rPr>
        <w:t>——精矿和</w:t>
      </w:r>
      <w:r>
        <w:rPr>
          <w:rFonts w:hint="eastAsia"/>
          <w:lang w:eastAsia="zh-CN"/>
        </w:rPr>
        <w:t>回收锡原料</w:t>
      </w:r>
      <w:r>
        <w:rPr>
          <w:rFonts w:hint="eastAsia"/>
        </w:rPr>
        <w:t>（若有）到冶炼厂原料仓库（熔炼工序）的运输；</w:t>
      </w:r>
    </w:p>
    <w:p w14:paraId="7C95E2B0">
      <w:pPr>
        <w:pStyle w:val="61"/>
        <w:ind w:firstLineChars="0"/>
        <w:rPr>
          <w:rFonts w:hint="eastAsia"/>
        </w:rPr>
      </w:pPr>
      <w:r>
        <w:rPr>
          <w:rFonts w:hint="eastAsia"/>
        </w:rPr>
        <w:t>——外购</w:t>
      </w:r>
      <w:r>
        <w:rPr>
          <w:rFonts w:hint="eastAsia"/>
          <w:lang w:eastAsia="zh-CN"/>
        </w:rPr>
        <w:t>回收锡原料</w:t>
      </w:r>
      <w:r>
        <w:rPr>
          <w:rFonts w:hint="eastAsia"/>
        </w:rPr>
        <w:t>到冶炼厂的运输（如有）；</w:t>
      </w:r>
    </w:p>
    <w:p w14:paraId="429AFA51">
      <w:pPr>
        <w:pStyle w:val="61"/>
        <w:ind w:firstLineChars="0"/>
        <w:rPr>
          <w:rFonts w:hint="eastAsia"/>
        </w:rPr>
      </w:pPr>
      <w:r>
        <w:rPr>
          <w:rFonts w:hint="eastAsia"/>
        </w:rPr>
        <w:t>——原料贮存和备料；</w:t>
      </w:r>
    </w:p>
    <w:p w14:paraId="1D26780B">
      <w:pPr>
        <w:pStyle w:val="61"/>
        <w:ind w:firstLineChars="0"/>
        <w:rPr>
          <w:rFonts w:hint="eastAsia"/>
        </w:rPr>
      </w:pPr>
      <w:r>
        <w:rPr>
          <w:rFonts w:hint="eastAsia"/>
        </w:rPr>
        <w:t>——熔炼-还原；</w:t>
      </w:r>
    </w:p>
    <w:p w14:paraId="64FB679A">
      <w:pPr>
        <w:pStyle w:val="61"/>
        <w:ind w:firstLineChars="0"/>
        <w:rPr>
          <w:rFonts w:hint="eastAsia"/>
        </w:rPr>
      </w:pPr>
      <w:r>
        <w:rPr>
          <w:rFonts w:hint="eastAsia"/>
        </w:rPr>
        <w:t>——烟化；</w:t>
      </w:r>
    </w:p>
    <w:p w14:paraId="67D80C72">
      <w:pPr>
        <w:pStyle w:val="61"/>
        <w:ind w:firstLineChars="0"/>
        <w:rPr>
          <w:rFonts w:hint="eastAsia"/>
        </w:rPr>
      </w:pPr>
      <w:r>
        <w:rPr>
          <w:rFonts w:hint="eastAsia"/>
        </w:rPr>
        <w:t>——余热回收（如有）；</w:t>
      </w:r>
    </w:p>
    <w:p w14:paraId="15EA76FC">
      <w:pPr>
        <w:pStyle w:val="61"/>
        <w:ind w:firstLineChars="0"/>
        <w:rPr>
          <w:rFonts w:hint="eastAsia"/>
        </w:rPr>
      </w:pPr>
      <w:r>
        <w:rPr>
          <w:rFonts w:hint="eastAsia"/>
        </w:rPr>
        <w:t>——熔炼收尘；</w:t>
      </w:r>
    </w:p>
    <w:p w14:paraId="64F36284">
      <w:pPr>
        <w:pStyle w:val="61"/>
        <w:ind w:firstLineChars="0"/>
        <w:rPr>
          <w:rFonts w:hint="eastAsia"/>
        </w:rPr>
      </w:pPr>
      <w:r>
        <w:rPr>
          <w:rFonts w:hint="eastAsia"/>
        </w:rPr>
        <w:t>——环集烟气处理。</w:t>
      </w:r>
    </w:p>
    <w:p w14:paraId="5F96FE52">
      <w:pPr>
        <w:pStyle w:val="61"/>
        <w:rPr>
          <w:rFonts w:hint="eastAsia"/>
        </w:rPr>
      </w:pPr>
      <w:r>
        <w:rPr>
          <w:rFonts w:hint="eastAsia"/>
        </w:rPr>
        <w:t>d）</w:t>
      </w:r>
      <w:r>
        <w:rPr>
          <w:rFonts w:hint="eastAsia"/>
          <w:lang w:eastAsia="zh-CN"/>
        </w:rPr>
        <w:t>锡</w:t>
      </w:r>
      <w:r>
        <w:rPr>
          <w:rFonts w:hint="eastAsia"/>
        </w:rPr>
        <w:t>锭的生产</w:t>
      </w:r>
    </w:p>
    <w:p w14:paraId="451E1369">
      <w:pPr>
        <w:pStyle w:val="61"/>
        <w:ind w:left="210" w:leftChars="100"/>
        <w:rPr>
          <w:rFonts w:hint="eastAsia"/>
        </w:rPr>
      </w:pPr>
      <w:r>
        <w:rPr>
          <w:rFonts w:hint="eastAsia"/>
        </w:rPr>
        <w:t>1）火法精炼</w:t>
      </w:r>
    </w:p>
    <w:p w14:paraId="3EA77458">
      <w:pPr>
        <w:pStyle w:val="61"/>
        <w:rPr>
          <w:rFonts w:hint="eastAsia"/>
        </w:rPr>
      </w:pPr>
      <w:r>
        <w:rPr>
          <w:rFonts w:hint="eastAsia"/>
          <w:lang w:eastAsia="zh-CN"/>
        </w:rPr>
        <w:t>锡</w:t>
      </w:r>
      <w:r>
        <w:rPr>
          <w:rFonts w:hint="eastAsia"/>
        </w:rPr>
        <w:t>锭的生产从粗</w:t>
      </w:r>
      <w:r>
        <w:rPr>
          <w:rFonts w:hint="eastAsia"/>
          <w:lang w:eastAsia="zh-CN"/>
        </w:rPr>
        <w:t>锡</w:t>
      </w:r>
      <w:r>
        <w:rPr>
          <w:rFonts w:hint="eastAsia"/>
        </w:rPr>
        <w:t>离开生产单位开始，经精炼、熔铸后产出</w:t>
      </w:r>
      <w:r>
        <w:rPr>
          <w:rFonts w:hint="eastAsia"/>
          <w:lang w:eastAsia="zh-CN"/>
        </w:rPr>
        <w:t>锡</w:t>
      </w:r>
      <w:r>
        <w:rPr>
          <w:rFonts w:hint="eastAsia"/>
        </w:rPr>
        <w:t>锭离开冶炼厂大门为止，主要包含以下过程：</w:t>
      </w:r>
    </w:p>
    <w:p w14:paraId="392724AB">
      <w:pPr>
        <w:pStyle w:val="61"/>
        <w:tabs>
          <w:tab w:val="center" w:pos="1134"/>
          <w:tab w:val="clear" w:pos="4201"/>
        </w:tabs>
        <w:ind w:left="630" w:leftChars="300" w:firstLine="0" w:firstLineChars="0"/>
        <w:rPr>
          <w:rFonts w:hint="eastAsia"/>
        </w:rPr>
      </w:pPr>
      <w:r>
        <w:rPr>
          <w:rFonts w:hint="eastAsia"/>
        </w:rPr>
        <w:t>——粗</w:t>
      </w:r>
      <w:r>
        <w:rPr>
          <w:rFonts w:hint="eastAsia"/>
          <w:lang w:eastAsia="zh-CN"/>
        </w:rPr>
        <w:t>锡</w:t>
      </w:r>
      <w:r>
        <w:rPr>
          <w:rFonts w:hint="eastAsia"/>
        </w:rPr>
        <w:t>到精炼炉的运输；</w:t>
      </w:r>
    </w:p>
    <w:p w14:paraId="2DB67FA6">
      <w:pPr>
        <w:pStyle w:val="61"/>
        <w:tabs>
          <w:tab w:val="center" w:pos="1134"/>
          <w:tab w:val="clear" w:pos="4201"/>
        </w:tabs>
        <w:ind w:left="630" w:leftChars="300" w:firstLine="0" w:firstLineChars="0"/>
        <w:rPr>
          <w:rFonts w:hint="eastAsia"/>
        </w:rPr>
      </w:pPr>
      <w:r>
        <w:rPr>
          <w:rFonts w:hint="eastAsia"/>
        </w:rPr>
        <w:t>——外购到冶炼厂的运输（如有）；</w:t>
      </w:r>
    </w:p>
    <w:p w14:paraId="72F99FE7">
      <w:pPr>
        <w:pStyle w:val="61"/>
        <w:tabs>
          <w:tab w:val="center" w:pos="1134"/>
          <w:tab w:val="clear" w:pos="4201"/>
        </w:tabs>
        <w:ind w:left="630" w:leftChars="300" w:firstLine="0" w:firstLineChars="0"/>
        <w:rPr>
          <w:rFonts w:hint="eastAsia"/>
        </w:rPr>
      </w:pPr>
      <w:r>
        <w:rPr>
          <w:rFonts w:hint="eastAsia"/>
        </w:rPr>
        <w:t>——精炼；</w:t>
      </w:r>
    </w:p>
    <w:p w14:paraId="3D3B7F22">
      <w:pPr>
        <w:pStyle w:val="61"/>
        <w:tabs>
          <w:tab w:val="center" w:pos="1134"/>
          <w:tab w:val="clear" w:pos="4201"/>
        </w:tabs>
        <w:ind w:left="630" w:leftChars="300" w:firstLine="0" w:firstLineChars="0"/>
        <w:rPr>
          <w:rFonts w:hint="eastAsia"/>
        </w:rPr>
      </w:pPr>
      <w:r>
        <w:rPr>
          <w:rFonts w:hint="eastAsia"/>
        </w:rPr>
        <w:t>——精炼烟气及环集烟气脱硫。</w:t>
      </w:r>
    </w:p>
    <w:p w14:paraId="2E88FE90">
      <w:pPr>
        <w:pStyle w:val="61"/>
        <w:ind w:left="210" w:leftChars="100"/>
        <w:rPr>
          <w:rFonts w:hint="eastAsia" w:eastAsia="宋体"/>
          <w:lang w:eastAsia="zh-CN"/>
        </w:rPr>
      </w:pPr>
      <w:r>
        <w:rPr>
          <w:rFonts w:hint="eastAsia"/>
        </w:rPr>
        <w:t>2）电解精炼</w:t>
      </w:r>
      <w:r>
        <w:rPr>
          <w:rFonts w:hint="eastAsia"/>
          <w:lang w:eastAsia="zh-CN"/>
        </w:rPr>
        <w:t>（如有）</w:t>
      </w:r>
    </w:p>
    <w:p w14:paraId="4199725E">
      <w:pPr>
        <w:pStyle w:val="61"/>
        <w:rPr>
          <w:rFonts w:hint="eastAsia"/>
        </w:rPr>
      </w:pPr>
      <w:r>
        <w:rPr>
          <w:rFonts w:hint="eastAsia"/>
          <w:lang w:eastAsia="zh-CN"/>
        </w:rPr>
        <w:t>锡</w:t>
      </w:r>
      <w:r>
        <w:rPr>
          <w:rFonts w:hint="eastAsia"/>
        </w:rPr>
        <w:t>锭的生产从粗</w:t>
      </w:r>
      <w:r>
        <w:rPr>
          <w:rFonts w:hint="eastAsia"/>
          <w:lang w:eastAsia="zh-CN"/>
        </w:rPr>
        <w:t>锡</w:t>
      </w:r>
      <w:r>
        <w:rPr>
          <w:rFonts w:hint="eastAsia"/>
        </w:rPr>
        <w:t>离开生产单位开始，经过初步火法精炼产出</w:t>
      </w:r>
      <w:r>
        <w:rPr>
          <w:rFonts w:hint="eastAsia"/>
          <w:lang w:eastAsia="zh-CN"/>
        </w:rPr>
        <w:t>锡</w:t>
      </w:r>
      <w:r>
        <w:rPr>
          <w:rFonts w:hint="eastAsia"/>
        </w:rPr>
        <w:t>阳极板，再送电解后产出阴极</w:t>
      </w:r>
      <w:r>
        <w:rPr>
          <w:rFonts w:hint="eastAsia"/>
          <w:lang w:eastAsia="zh-CN"/>
        </w:rPr>
        <w:t>锡</w:t>
      </w:r>
      <w:r>
        <w:rPr>
          <w:rFonts w:hint="eastAsia"/>
        </w:rPr>
        <w:t>、熔铸成</w:t>
      </w:r>
      <w:r>
        <w:rPr>
          <w:rFonts w:hint="eastAsia"/>
          <w:lang w:eastAsia="zh-CN"/>
        </w:rPr>
        <w:t>锡</w:t>
      </w:r>
      <w:r>
        <w:rPr>
          <w:rFonts w:hint="eastAsia"/>
        </w:rPr>
        <w:t>锭离开冶炼厂大门为止，主要包含以下过程：</w:t>
      </w:r>
    </w:p>
    <w:p w14:paraId="36C55053">
      <w:pPr>
        <w:pStyle w:val="61"/>
        <w:tabs>
          <w:tab w:val="center" w:pos="1134"/>
          <w:tab w:val="clear" w:pos="4201"/>
        </w:tabs>
        <w:ind w:left="630" w:leftChars="300" w:firstLine="0" w:firstLineChars="0"/>
        <w:rPr>
          <w:rFonts w:hint="eastAsia"/>
        </w:rPr>
      </w:pPr>
      <w:r>
        <w:rPr>
          <w:rFonts w:hint="eastAsia"/>
        </w:rPr>
        <w:t>——粗</w:t>
      </w:r>
      <w:r>
        <w:rPr>
          <w:rFonts w:hint="eastAsia"/>
          <w:lang w:eastAsia="zh-CN"/>
        </w:rPr>
        <w:t>锡</w:t>
      </w:r>
      <w:r>
        <w:rPr>
          <w:rFonts w:hint="eastAsia"/>
        </w:rPr>
        <w:t>到电解车间的运输；</w:t>
      </w:r>
    </w:p>
    <w:p w14:paraId="4AA74144">
      <w:pPr>
        <w:pStyle w:val="61"/>
        <w:tabs>
          <w:tab w:val="center" w:pos="1134"/>
          <w:tab w:val="clear" w:pos="4201"/>
        </w:tabs>
        <w:ind w:left="630" w:leftChars="300" w:firstLine="0" w:firstLineChars="0"/>
        <w:rPr>
          <w:rFonts w:hint="eastAsia"/>
        </w:rPr>
      </w:pPr>
      <w:r>
        <w:rPr>
          <w:rFonts w:hint="eastAsia"/>
        </w:rPr>
        <w:t>——初步火法精炼；</w:t>
      </w:r>
    </w:p>
    <w:p w14:paraId="0D7FA1A0">
      <w:pPr>
        <w:pStyle w:val="61"/>
        <w:tabs>
          <w:tab w:val="center" w:pos="1134"/>
          <w:tab w:val="clear" w:pos="4201"/>
        </w:tabs>
        <w:ind w:left="630" w:leftChars="300" w:firstLine="0" w:firstLineChars="0"/>
        <w:rPr>
          <w:rFonts w:hint="eastAsia"/>
        </w:rPr>
      </w:pPr>
      <w:r>
        <w:rPr>
          <w:rFonts w:hint="eastAsia"/>
        </w:rPr>
        <w:t>——</w:t>
      </w:r>
      <w:r>
        <w:rPr>
          <w:rFonts w:hint="eastAsia"/>
          <w:lang w:eastAsia="zh-CN"/>
        </w:rPr>
        <w:t>锡</w:t>
      </w:r>
      <w:r>
        <w:rPr>
          <w:rFonts w:hint="eastAsia"/>
        </w:rPr>
        <w:t>电解；</w:t>
      </w:r>
    </w:p>
    <w:p w14:paraId="4E563FD5">
      <w:pPr>
        <w:pStyle w:val="61"/>
        <w:tabs>
          <w:tab w:val="center" w:pos="1134"/>
          <w:tab w:val="clear" w:pos="4201"/>
        </w:tabs>
        <w:ind w:left="630" w:leftChars="300" w:firstLine="0" w:firstLineChars="0"/>
        <w:rPr>
          <w:rFonts w:hint="eastAsia"/>
        </w:rPr>
      </w:pPr>
      <w:r>
        <w:rPr>
          <w:rFonts w:hint="eastAsia"/>
        </w:rPr>
        <w:t>——</w:t>
      </w:r>
      <w:r>
        <w:rPr>
          <w:rFonts w:hint="eastAsia"/>
          <w:lang w:eastAsia="zh-CN"/>
        </w:rPr>
        <w:t>锡</w:t>
      </w:r>
      <w:r>
        <w:rPr>
          <w:rFonts w:hint="eastAsia"/>
        </w:rPr>
        <w:t>锭熔铸；</w:t>
      </w:r>
    </w:p>
    <w:p w14:paraId="16786E8E">
      <w:pPr>
        <w:pStyle w:val="61"/>
        <w:tabs>
          <w:tab w:val="center" w:pos="1134"/>
          <w:tab w:val="clear" w:pos="4201"/>
        </w:tabs>
        <w:ind w:left="630" w:leftChars="300" w:firstLine="0" w:firstLineChars="0"/>
        <w:rPr>
          <w:rFonts w:hint="eastAsia"/>
        </w:rPr>
      </w:pPr>
      <w:r>
        <w:rPr>
          <w:rFonts w:hint="eastAsia"/>
        </w:rPr>
        <w:t>——酸雾净化。</w:t>
      </w:r>
    </w:p>
    <w:bookmarkEnd w:id="118"/>
    <w:p w14:paraId="4B4FFECB">
      <w:pPr>
        <w:pStyle w:val="61"/>
        <w:spacing w:before="312" w:beforeLines="100" w:after="312" w:afterLines="100"/>
        <w:ind w:firstLine="0" w:firstLineChars="0"/>
        <w:outlineLvl w:val="2"/>
        <w:rPr>
          <w:rFonts w:hint="eastAsia" w:ascii="黑体" w:hAnsi="黑体" w:eastAsia="黑体" w:cs="黑体"/>
        </w:rPr>
      </w:pPr>
      <w:bookmarkStart w:id="125" w:name="_Toc131077489"/>
      <w:bookmarkStart w:id="126" w:name="_Toc482371801"/>
      <w:r>
        <w:rPr>
          <w:rFonts w:hint="eastAsia" w:ascii="黑体" w:hAnsi="黑体" w:eastAsia="黑体" w:cs="黑体"/>
        </w:rPr>
        <w:t>5.2.4</w:t>
      </w:r>
      <w:r>
        <w:rPr>
          <w:rFonts w:ascii="黑体" w:hAnsi="黑体" w:eastAsia="黑体" w:cs="黑体"/>
        </w:rPr>
        <w:t xml:space="preserve"> </w:t>
      </w:r>
      <w:r>
        <w:rPr>
          <w:rFonts w:hint="eastAsia" w:ascii="黑体" w:hAnsi="黑体" w:eastAsia="黑体" w:cs="黑体"/>
        </w:rPr>
        <w:t>取舍准则</w:t>
      </w:r>
      <w:bookmarkEnd w:id="125"/>
    </w:p>
    <w:p w14:paraId="07805DAE">
      <w:pPr>
        <w:pStyle w:val="61"/>
        <w:rPr>
          <w:rFonts w:hint="eastAsia"/>
        </w:rPr>
      </w:pPr>
      <w:r>
        <w:rPr>
          <w:rFonts w:hint="eastAsia"/>
        </w:rPr>
        <w:t xml:space="preserve">产品碳足迹研究包括所研究系统的所有单元过程和流。当个别物质流或能量流对某一单元过程的碳足迹无实质性贡献时，可将其作为数据排除项排除并进行报告。在评价目标和范围确定阶段，应确定允许省略次要过程的取舍准则。所选择的取舍准则对评价结果产生的影响也应在最终的报告中做出解释。 </w:t>
      </w:r>
    </w:p>
    <w:p w14:paraId="471FBA3B">
      <w:pPr>
        <w:pStyle w:val="61"/>
        <w:rPr>
          <w:rFonts w:hint="eastAsia"/>
        </w:rPr>
      </w:pPr>
      <w:r>
        <w:t>在产品碳足迹量化过程中，可舍弃产品碳足迹影响小于1%的环节，但舍弃环节总的影响不应超过产品碳足迹总量的5%。</w:t>
      </w:r>
    </w:p>
    <w:p w14:paraId="402D9B08">
      <w:pPr>
        <w:spacing w:before="312" w:beforeLines="100" w:after="312" w:afterLines="100"/>
        <w:outlineLvl w:val="0"/>
        <w:rPr>
          <w:rFonts w:hint="eastAsia" w:ascii="黑体" w:hAnsi="黑体" w:eastAsia="黑体" w:cs="黑体"/>
        </w:rPr>
      </w:pPr>
      <w:bookmarkStart w:id="127" w:name="_Toc161425578"/>
      <w:bookmarkStart w:id="128" w:name="_Toc174232047"/>
      <w:r>
        <w:rPr>
          <w:rFonts w:ascii="黑体" w:hAnsi="黑体" w:eastAsia="黑体" w:cs="黑体"/>
        </w:rPr>
        <w:t xml:space="preserve">6  </w:t>
      </w:r>
      <w:r>
        <w:rPr>
          <w:rFonts w:hint="eastAsia" w:ascii="黑体" w:hAnsi="黑体" w:eastAsia="黑体" w:cs="黑体"/>
        </w:rPr>
        <w:t>清单分析</w:t>
      </w:r>
      <w:bookmarkEnd w:id="127"/>
      <w:bookmarkEnd w:id="128"/>
    </w:p>
    <w:p w14:paraId="4BE94496">
      <w:pPr>
        <w:pStyle w:val="61"/>
        <w:spacing w:before="312" w:beforeLines="100" w:after="312" w:afterLines="100"/>
        <w:ind w:firstLine="0" w:firstLineChars="0"/>
        <w:outlineLvl w:val="1"/>
        <w:rPr>
          <w:rFonts w:hint="eastAsia" w:ascii="黑体" w:hAnsi="黑体" w:eastAsia="黑体" w:cs="黑体"/>
        </w:rPr>
      </w:pPr>
      <w:bookmarkStart w:id="129" w:name="_Toc174232048"/>
      <w:bookmarkStart w:id="130" w:name="_Toc161425579"/>
      <w:r>
        <w:rPr>
          <w:rFonts w:hint="eastAsia" w:ascii="黑体" w:hAnsi="黑体" w:eastAsia="黑体" w:cs="黑体"/>
        </w:rPr>
        <w:t>6.1  数据收集和确认</w:t>
      </w:r>
      <w:bookmarkEnd w:id="129"/>
    </w:p>
    <w:p w14:paraId="5A5C8E52">
      <w:pPr>
        <w:pStyle w:val="61"/>
        <w:spacing w:before="312" w:beforeLines="100" w:after="312" w:afterLines="100"/>
        <w:ind w:firstLine="0" w:firstLineChars="0"/>
        <w:outlineLvl w:val="2"/>
        <w:rPr>
          <w:rFonts w:hint="eastAsia" w:ascii="黑体" w:hAnsi="黑体" w:eastAsia="黑体" w:cs="黑体"/>
        </w:rPr>
      </w:pPr>
      <w:r>
        <w:rPr>
          <w:rFonts w:hint="eastAsia" w:ascii="黑体" w:hAnsi="黑体" w:eastAsia="黑体" w:cs="黑体"/>
        </w:rPr>
        <w:t>6.1.1  数据收集与分析流程</w:t>
      </w:r>
    </w:p>
    <w:p w14:paraId="04A8F2A9">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6.1.1.1  概述</w:t>
      </w:r>
    </w:p>
    <w:p w14:paraId="6071FF41">
      <w:pPr>
        <w:pStyle w:val="61"/>
        <w:rPr>
          <w:rFonts w:hAnsi="Times New Roman"/>
        </w:rPr>
      </w:pPr>
      <w:r>
        <w:rPr>
          <w:rFonts w:hint="eastAsia"/>
        </w:rPr>
        <w:t>本文件生命周期清单分析仅针对一个单一影响类别，即气候变化，不评价产品生命周期产生的其他方面环境潜在影响，也不评价产品生命周期可能产生的社会和经济影响。</w:t>
      </w:r>
    </w:p>
    <w:p w14:paraId="105A53DB">
      <w:pPr>
        <w:pStyle w:val="61"/>
        <w:rPr>
          <w:rFonts w:hint="eastAsia"/>
        </w:rPr>
      </w:pPr>
      <w:r>
        <w:rPr>
          <w:rFonts w:hint="eastAsia"/>
        </w:rPr>
        <w:t>研究目的和范围的确定提供了进行LCA中生命周期清单阶段的初始计划。图2列出了生命周期清单分析宜包括的步骤(注意：一些反复进行的步骤并没有显示在图2中)。</w:t>
      </w:r>
    </w:p>
    <w:p w14:paraId="319E4EE3">
      <w:pPr>
        <w:pStyle w:val="20"/>
        <w:jc w:val="center"/>
        <w:rPr>
          <w:rFonts w:hint="eastAsia" w:ascii="黑体" w:hAnsi="黑体" w:eastAsia="黑体"/>
          <w:sz w:val="21"/>
          <w:szCs w:val="21"/>
        </w:rPr>
      </w:pPr>
      <w:r>
        <mc:AlternateContent>
          <mc:Choice Requires="wpg">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5257800" cy="5547360"/>
                <wp:effectExtent l="0" t="0" r="19050" b="0"/>
                <wp:wrapTopAndBottom/>
                <wp:docPr id="1257615738" name="组合 1257615738"/>
                <wp:cNvGraphicFramePr/>
                <a:graphic xmlns:a="http://schemas.openxmlformats.org/drawingml/2006/main">
                  <a:graphicData uri="http://schemas.microsoft.com/office/word/2010/wordprocessingGroup">
                    <wpg:wgp>
                      <wpg:cNvGrpSpPr/>
                      <wpg:grpSpPr>
                        <a:xfrm>
                          <a:off x="0" y="0"/>
                          <a:ext cx="5257800" cy="5547360"/>
                          <a:chOff x="0" y="0"/>
                          <a:chExt cx="4625340" cy="5166360"/>
                        </a:xfrm>
                      </wpg:grpSpPr>
                      <wps:wsp>
                        <wps:cNvPr id="366982018" name="矩形 366982018"/>
                        <wps:cNvSpPr/>
                        <wps:spPr>
                          <a:xfrm>
                            <a:off x="1181100" y="1234440"/>
                            <a:ext cx="136398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DC0DEA">
                              <w:pPr>
                                <w:ind w:firstLine="810" w:firstLineChars="450"/>
                                <w:rPr>
                                  <w:rFonts w:hint="eastAsia" w:ascii="宋体" w:hAnsi="宋体"/>
                                  <w:sz w:val="18"/>
                                  <w:szCs w:val="18"/>
                                </w:rPr>
                              </w:pPr>
                              <w:r>
                                <w:rPr>
                                  <w:rFonts w:hint="eastAsia" w:ascii="宋体" w:hAnsi="宋体"/>
                                  <w:sz w:val="18"/>
                                  <w:szCs w:val="18"/>
                                </w:rPr>
                                <w:t>数据收集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9623412" name="矩形 899623412"/>
                        <wps:cNvSpPr/>
                        <wps:spPr>
                          <a:xfrm>
                            <a:off x="1950720" y="1531620"/>
                            <a:ext cx="101346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80E929D">
                              <w:pPr>
                                <w:ind w:firstLine="300"/>
                                <w:jc w:val="center"/>
                                <w:rPr>
                                  <w:rFonts w:hint="eastAsia" w:ascii="宋体" w:hAnsi="宋体"/>
                                  <w:sz w:val="18"/>
                                  <w:szCs w:val="18"/>
                                </w:rPr>
                              </w:pPr>
                              <w:r>
                                <w:rPr>
                                  <w:rFonts w:hint="eastAsia" w:ascii="宋体" w:hAnsi="宋体"/>
                                  <w:sz w:val="18"/>
                                  <w:szCs w:val="18"/>
                                </w:rPr>
                                <w:t>所收集的数据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2928584" name="矩形 552928584"/>
                        <wps:cNvSpPr/>
                        <wps:spPr>
                          <a:xfrm>
                            <a:off x="1219200" y="1836420"/>
                            <a:ext cx="136398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1B6B3F">
                              <w:pPr>
                                <w:ind w:firstLine="720" w:firstLineChars="400"/>
                                <w:rPr>
                                  <w:rFonts w:hint="eastAsia" w:ascii="宋体" w:hAnsi="宋体"/>
                                  <w:sz w:val="18"/>
                                  <w:szCs w:val="18"/>
                                </w:rPr>
                              </w:pPr>
                              <w:r>
                                <w:rPr>
                                  <w:rFonts w:hint="eastAsia" w:ascii="宋体" w:hAnsi="宋体"/>
                                  <w:sz w:val="18"/>
                                  <w:szCs w:val="18"/>
                                </w:rPr>
                                <w:t>数据审定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8020113" name="矩形 298020113"/>
                        <wps:cNvSpPr/>
                        <wps:spPr>
                          <a:xfrm>
                            <a:off x="1988820" y="2133600"/>
                            <a:ext cx="102870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0EE4468">
                              <w:pPr>
                                <w:ind w:firstLine="300"/>
                                <w:jc w:val="center"/>
                                <w:rPr>
                                  <w:rFonts w:hint="eastAsia" w:ascii="宋体" w:hAnsi="宋体"/>
                                  <w:sz w:val="18"/>
                                  <w:szCs w:val="18"/>
                                </w:rPr>
                              </w:pPr>
                              <w:r>
                                <w:rPr>
                                  <w:rFonts w:hint="eastAsia" w:ascii="宋体" w:hAnsi="宋体"/>
                                  <w:sz w:val="18"/>
                                  <w:szCs w:val="18"/>
                                </w:rPr>
                                <w:t>被审定的数据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16039652" name="矩形 1216039652"/>
                        <wps:cNvSpPr/>
                        <wps:spPr>
                          <a:xfrm>
                            <a:off x="1234440" y="2438400"/>
                            <a:ext cx="140970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C2E834">
                              <w:pPr>
                                <w:ind w:firstLine="300"/>
                                <w:rPr>
                                  <w:rFonts w:hint="eastAsia" w:ascii="宋体" w:hAnsi="宋体"/>
                                  <w:sz w:val="18"/>
                                  <w:szCs w:val="18"/>
                                </w:rPr>
                              </w:pPr>
                              <w:r>
                                <w:rPr>
                                  <w:rFonts w:hint="eastAsia" w:ascii="宋体" w:hAnsi="宋体"/>
                                  <w:sz w:val="18"/>
                                  <w:szCs w:val="18"/>
                                </w:rPr>
                                <w:t>将数据关联到单元过程</w:t>
                              </w:r>
                            </w:p>
                          </w:txbxContent>
                        </wps:txbx>
                        <wps:bodyPr rot="0" spcFirstLastPara="0" vertOverflow="overflow" horzOverflow="overflow" vert="horz" wrap="square" lIns="0" tIns="45720" rIns="0" bIns="45720" numCol="1" spcCol="0" rtlCol="0" fromWordArt="0" anchor="ctr" anchorCtr="0" forceAA="0" compatLnSpc="1">
                          <a:noAutofit/>
                        </wps:bodyPr>
                      </wps:wsp>
                      <wps:wsp>
                        <wps:cNvPr id="1098587880" name="矩形 1098587880"/>
                        <wps:cNvSpPr/>
                        <wps:spPr>
                          <a:xfrm>
                            <a:off x="2004060" y="2735580"/>
                            <a:ext cx="151638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352E2FF">
                              <w:pPr>
                                <w:ind w:firstLine="300"/>
                                <w:jc w:val="center"/>
                                <w:rPr>
                                  <w:rFonts w:hint="eastAsia" w:ascii="宋体" w:hAnsi="宋体"/>
                                  <w:sz w:val="18"/>
                                  <w:szCs w:val="18"/>
                                </w:rPr>
                              </w:pPr>
                              <w:r>
                                <w:rPr>
                                  <w:rFonts w:hint="eastAsia" w:ascii="宋体" w:hAnsi="宋体"/>
                                  <w:sz w:val="18"/>
                                  <w:szCs w:val="18"/>
                                </w:rPr>
                                <w:t>每个单元过程审定的数据</w:t>
                              </w:r>
                            </w:p>
                          </w:txbxContent>
                        </wps:txbx>
                        <wps:bodyPr rot="0" spcFirstLastPara="0" vertOverflow="overflow" horzOverflow="overflow" vert="horz" wrap="square" lIns="0" tIns="45720" rIns="0" bIns="45720" numCol="1" spcCol="0" rtlCol="0" fromWordArt="0" anchor="ctr" anchorCtr="0" forceAA="0" compatLnSpc="1">
                          <a:noAutofit/>
                        </wps:bodyPr>
                      </wps:wsp>
                      <wps:wsp>
                        <wps:cNvPr id="200675304" name="矩形 200675304"/>
                        <wps:cNvSpPr/>
                        <wps:spPr>
                          <a:xfrm>
                            <a:off x="1264920" y="3055620"/>
                            <a:ext cx="143256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DAEFE2">
                              <w:pPr>
                                <w:ind w:firstLine="300"/>
                                <w:rPr>
                                  <w:rFonts w:hint="eastAsia" w:ascii="宋体" w:hAnsi="宋体"/>
                                  <w:sz w:val="18"/>
                                  <w:szCs w:val="18"/>
                                </w:rPr>
                              </w:pPr>
                              <w:r>
                                <w:rPr>
                                  <w:rFonts w:hint="eastAsia" w:ascii="宋体" w:hAnsi="宋体"/>
                                  <w:sz w:val="18"/>
                                  <w:szCs w:val="18"/>
                                </w:rPr>
                                <w:t>将数据关联到声明单位</w:t>
                              </w:r>
                            </w:p>
                          </w:txbxContent>
                        </wps:txbx>
                        <wps:bodyPr rot="0" spcFirstLastPara="0" vertOverflow="overflow" horzOverflow="overflow" vert="horz" wrap="square" lIns="0" tIns="45720" rIns="0" bIns="45720" numCol="1" spcCol="0" rtlCol="0" fromWordArt="0" anchor="ctr" anchorCtr="0" forceAA="0" compatLnSpc="1">
                          <a:noAutofit/>
                        </wps:bodyPr>
                      </wps:wsp>
                      <wps:wsp>
                        <wps:cNvPr id="295774920" name="矩形 295774920"/>
                        <wps:cNvSpPr/>
                        <wps:spPr>
                          <a:xfrm>
                            <a:off x="2034540" y="3372678"/>
                            <a:ext cx="155448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3318120">
                              <w:pPr>
                                <w:ind w:firstLine="300"/>
                                <w:jc w:val="center"/>
                                <w:rPr>
                                  <w:rFonts w:hint="eastAsia" w:ascii="宋体" w:hAnsi="宋体"/>
                                  <w:sz w:val="18"/>
                                  <w:szCs w:val="18"/>
                                </w:rPr>
                              </w:pPr>
                              <w:r>
                                <w:rPr>
                                  <w:rFonts w:hint="eastAsia" w:ascii="宋体" w:hAnsi="宋体"/>
                                  <w:sz w:val="18"/>
                                  <w:szCs w:val="18"/>
                                </w:rPr>
                                <w:t>每个声明单位审定的数据</w:t>
                              </w:r>
                            </w:p>
                          </w:txbxContent>
                        </wps:txbx>
                        <wps:bodyPr rot="0" spcFirstLastPara="0" vertOverflow="overflow" horzOverflow="overflow" vert="horz" wrap="square" lIns="0" tIns="45720" rIns="0" bIns="45720" numCol="1" spcCol="0" rtlCol="0" fromWordArt="0" anchor="ctr" anchorCtr="0" forceAA="0" compatLnSpc="1">
                          <a:noAutofit/>
                        </wps:bodyPr>
                      </wps:wsp>
                      <wps:wsp>
                        <wps:cNvPr id="1215193983" name="矩形 1215193983"/>
                        <wps:cNvSpPr/>
                        <wps:spPr>
                          <a:xfrm>
                            <a:off x="1280160" y="3657600"/>
                            <a:ext cx="136398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33992B">
                              <w:pPr>
                                <w:ind w:firstLine="630" w:firstLineChars="350"/>
                                <w:rPr>
                                  <w:rFonts w:hint="eastAsia" w:ascii="宋体" w:hAnsi="宋体"/>
                                  <w:sz w:val="18"/>
                                  <w:szCs w:val="18"/>
                                </w:rPr>
                              </w:pPr>
                              <w:r>
                                <w:rPr>
                                  <w:rFonts w:hint="eastAsia" w:ascii="宋体" w:hAnsi="宋体"/>
                                  <w:sz w:val="18"/>
                                  <w:szCs w:val="18"/>
                                </w:rPr>
                                <w:t>数据合并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1740767" name="矩形 1071740767"/>
                        <wps:cNvSpPr/>
                        <wps:spPr>
                          <a:xfrm>
                            <a:off x="2049780" y="3954780"/>
                            <a:ext cx="91440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F87D9DE">
                              <w:pPr>
                                <w:ind w:firstLine="300"/>
                                <w:jc w:val="center"/>
                                <w:rPr>
                                  <w:rFonts w:hint="eastAsia" w:ascii="宋体" w:hAnsi="宋体"/>
                                  <w:sz w:val="18"/>
                                  <w:szCs w:val="18"/>
                                </w:rPr>
                              </w:pPr>
                              <w:r>
                                <w:rPr>
                                  <w:rFonts w:hint="eastAsia" w:ascii="宋体" w:hAnsi="宋体"/>
                                  <w:sz w:val="18"/>
                                  <w:szCs w:val="18"/>
                                </w:rPr>
                                <w:t>计算的清单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1074937" name="矩形 111074937"/>
                        <wps:cNvSpPr/>
                        <wps:spPr>
                          <a:xfrm>
                            <a:off x="1333500" y="4267200"/>
                            <a:ext cx="136398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BDEBEC">
                              <w:pPr>
                                <w:ind w:firstLine="450" w:firstLineChars="250"/>
                                <w:rPr>
                                  <w:rFonts w:hint="eastAsia" w:ascii="宋体" w:hAnsi="宋体"/>
                                  <w:sz w:val="18"/>
                                  <w:szCs w:val="18"/>
                                </w:rPr>
                              </w:pPr>
                              <w:r>
                                <w:rPr>
                                  <w:rFonts w:hint="eastAsia" w:ascii="宋体" w:hAnsi="宋体"/>
                                  <w:sz w:val="18"/>
                                  <w:szCs w:val="18"/>
                                </w:rPr>
                                <w:t>系统边界的调整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3213212" name="矩形 213213212"/>
                        <wps:cNvSpPr/>
                        <wps:spPr>
                          <a:xfrm>
                            <a:off x="1554480" y="4869180"/>
                            <a:ext cx="91440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6108124">
                              <w:pPr>
                                <w:ind w:firstLine="90" w:firstLineChars="50"/>
                                <w:rPr>
                                  <w:rFonts w:hint="eastAsia" w:ascii="宋体" w:hAnsi="宋体"/>
                                  <w:sz w:val="18"/>
                                  <w:szCs w:val="18"/>
                                </w:rPr>
                              </w:pPr>
                              <w:r>
                                <w:rPr>
                                  <w:rFonts w:hint="eastAsia" w:ascii="宋体" w:hAnsi="宋体"/>
                                  <w:sz w:val="18"/>
                                  <w:szCs w:val="18"/>
                                </w:rPr>
                                <w:t>完成的清单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74490204" name="矩形 1874490204"/>
                        <wps:cNvSpPr/>
                        <wps:spPr>
                          <a:xfrm>
                            <a:off x="7620" y="3924300"/>
                            <a:ext cx="1173480" cy="5181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2373C0F">
                              <w:pPr>
                                <w:ind w:firstLine="300"/>
                                <w:jc w:val="center"/>
                                <w:rPr>
                                  <w:rFonts w:hint="eastAsia" w:ascii="宋体" w:hAnsi="宋体"/>
                                  <w:sz w:val="18"/>
                                  <w:szCs w:val="18"/>
                                </w:rPr>
                              </w:pPr>
                              <w:r>
                                <w:rPr>
                                  <w:rFonts w:hint="eastAsia" w:ascii="宋体" w:hAnsi="宋体"/>
                                  <w:sz w:val="18"/>
                                  <w:szCs w:val="18"/>
                                </w:rPr>
                                <w:t>数据再收集或单元过程再调整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57885210" name="直接箭头连接符 1357885210"/>
                        <wps:cNvCnPr/>
                        <wps:spPr>
                          <a:xfrm flipH="1">
                            <a:off x="2659380" y="2590800"/>
                            <a:ext cx="876300"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8573207" name="矩形 288573207"/>
                        <wps:cNvSpPr/>
                        <wps:spPr>
                          <a:xfrm>
                            <a:off x="3528060" y="2354580"/>
                            <a:ext cx="1097280" cy="472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C080090">
                              <w:pPr>
                                <w:jc w:val="center"/>
                                <w:rPr>
                                  <w:rFonts w:hint="eastAsia" w:ascii="宋体" w:hAnsi="宋体"/>
                                  <w:sz w:val="18"/>
                                  <w:szCs w:val="18"/>
                                </w:rPr>
                              </w:pPr>
                              <w:r>
                                <w:rPr>
                                  <w:rFonts w:hint="eastAsia" w:ascii="宋体" w:hAnsi="宋体"/>
                                  <w:sz w:val="18"/>
                                  <w:szCs w:val="18"/>
                                </w:rPr>
                                <w:t>分配，包括再使用和再生利用</w:t>
                              </w:r>
                            </w:p>
                          </w:txbxContent>
                        </wps:txbx>
                        <wps:bodyPr rot="0" spcFirstLastPara="0" vertOverflow="overflow" horzOverflow="overflow" vert="horz" wrap="square" lIns="72000" tIns="45720" rIns="72000" bIns="45720" numCol="1" spcCol="0" rtlCol="0" fromWordArt="0" anchor="ctr" anchorCtr="0" forceAA="0" compatLnSpc="1">
                          <a:noAutofit/>
                        </wps:bodyPr>
                      </wps:wsp>
                      <wpg:grpSp>
                        <wpg:cNvPr id="430660120" name="组合 430660120"/>
                        <wpg:cNvGrpSpPr/>
                        <wpg:grpSpPr>
                          <a:xfrm>
                            <a:off x="0" y="0"/>
                            <a:ext cx="4130040" cy="4861560"/>
                            <a:chOff x="0" y="0"/>
                            <a:chExt cx="4130040" cy="4861560"/>
                          </a:xfrm>
                        </wpg:grpSpPr>
                        <wps:wsp>
                          <wps:cNvPr id="973460061" name="直接箭头连接符 973460061"/>
                          <wps:cNvCnPr/>
                          <wps:spPr>
                            <a:xfrm>
                              <a:off x="1882140" y="91440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2570581" name="直接箭头连接符 672570581"/>
                          <wps:cNvCnPr/>
                          <wps:spPr>
                            <a:xfrm>
                              <a:off x="1882140" y="152400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8703116" name="直接箭头连接符 528703116"/>
                          <wps:cNvCnPr/>
                          <wps:spPr>
                            <a:xfrm>
                              <a:off x="1905000" y="212598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5821808" name="直接箭头连接符 1955821808"/>
                          <wps:cNvCnPr/>
                          <wps:spPr>
                            <a:xfrm>
                              <a:off x="1912620" y="272796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27486515" name="直接箭头连接符 1627486515"/>
                          <wps:cNvCnPr/>
                          <wps:spPr>
                            <a:xfrm>
                              <a:off x="1927860" y="334518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3067354" name="直接箭头连接符 583067354"/>
                          <wps:cNvCnPr/>
                          <wps:spPr>
                            <a:xfrm>
                              <a:off x="1927860" y="394716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8403360" name="直接箭头连接符 838403360"/>
                          <wps:cNvCnPr/>
                          <wps:spPr>
                            <a:xfrm>
                              <a:off x="1927860" y="455676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166165147" name="组合 1166165147"/>
                          <wpg:cNvGrpSpPr/>
                          <wpg:grpSpPr>
                            <a:xfrm>
                              <a:off x="0" y="0"/>
                              <a:ext cx="4130040" cy="4457700"/>
                              <a:chOff x="0" y="0"/>
                              <a:chExt cx="4130040" cy="4457700"/>
                            </a:xfrm>
                          </wpg:grpSpPr>
                          <wps:wsp>
                            <wps:cNvPr id="206156746" name="直接箭头连接符 206156746"/>
                            <wps:cNvCnPr/>
                            <wps:spPr>
                              <a:xfrm>
                                <a:off x="1882140" y="32004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1053801" name="直接箭头连接符 221053801"/>
                            <wps:cNvCnPr/>
                            <wps:spPr>
                              <a:xfrm>
                                <a:off x="0" y="1083945"/>
                                <a:ext cx="3492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7845138" name="直接连接符 727845138"/>
                            <wps:cNvCnPr/>
                            <wps:spPr>
                              <a:xfrm>
                                <a:off x="0" y="1082040"/>
                                <a:ext cx="0" cy="3375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0426819" name="直接连接符 930426819"/>
                            <wps:cNvCnPr/>
                            <wps:spPr>
                              <a:xfrm>
                                <a:off x="0" y="445770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5974261" name="矩形 1735974261"/>
                            <wps:cNvSpPr/>
                            <wps:spPr>
                              <a:xfrm>
                                <a:off x="1181100" y="0"/>
                                <a:ext cx="1363980" cy="312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0A6A8D">
                                  <w:pPr>
                                    <w:ind w:firstLine="300"/>
                                    <w:rPr>
                                      <w:rFonts w:hint="eastAsia" w:ascii="宋体" w:hAnsi="宋体"/>
                                      <w:sz w:val="18"/>
                                      <w:szCs w:val="18"/>
                                    </w:rPr>
                                  </w:pPr>
                                  <w:r>
                                    <w:rPr>
                                      <w:rFonts w:hint="eastAsia" w:ascii="宋体" w:hAnsi="宋体"/>
                                      <w:sz w:val="18"/>
                                      <w:szCs w:val="18"/>
                                    </w:rPr>
                                    <w:t>目的和范围的确定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1860513" name="矩形 1001860513"/>
                            <wps:cNvSpPr/>
                            <wps:spPr>
                              <a:xfrm>
                                <a:off x="1181100" y="624840"/>
                                <a:ext cx="1363980" cy="289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A6A60D">
                                  <w:pPr>
                                    <w:ind w:firstLine="630" w:firstLineChars="350"/>
                                    <w:rPr>
                                      <w:rFonts w:hint="eastAsia" w:ascii="宋体" w:hAnsi="宋体"/>
                                      <w:sz w:val="18"/>
                                      <w:szCs w:val="18"/>
                                    </w:rPr>
                                  </w:pPr>
                                  <w:r>
                                    <w:rPr>
                                      <w:rFonts w:hint="eastAsia" w:ascii="宋体" w:hAnsi="宋体"/>
                                      <w:sz w:val="18"/>
                                      <w:szCs w:val="18"/>
                                    </w:rPr>
                                    <w:t>数据收集准备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75201056" name="矩形 1175201056"/>
                            <wps:cNvSpPr/>
                            <wps:spPr>
                              <a:xfrm>
                                <a:off x="1950720" y="922020"/>
                                <a:ext cx="91440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03CF9BF">
                                  <w:pPr>
                                    <w:ind w:firstLine="300"/>
                                    <w:jc w:val="center"/>
                                    <w:rPr>
                                      <w:rFonts w:hint="eastAsia" w:ascii="宋体" w:hAnsi="宋体"/>
                                      <w:sz w:val="18"/>
                                      <w:szCs w:val="18"/>
                                    </w:rPr>
                                  </w:pPr>
                                  <w:r>
                                    <w:rPr>
                                      <w:rFonts w:hint="eastAsia" w:ascii="宋体" w:hAnsi="宋体"/>
                                      <w:sz w:val="18"/>
                                      <w:szCs w:val="18"/>
                                    </w:rPr>
                                    <w:t>数据收集表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02030466" name="矩形 2102030466"/>
                            <wps:cNvSpPr/>
                            <wps:spPr>
                              <a:xfrm>
                                <a:off x="349200" y="938835"/>
                                <a:ext cx="1070025" cy="2819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E45D0A2">
                                  <w:pPr>
                                    <w:rPr>
                                      <w:rFonts w:hint="eastAsia" w:ascii="宋体" w:hAnsi="宋体"/>
                                      <w:sz w:val="18"/>
                                      <w:szCs w:val="18"/>
                                    </w:rPr>
                                  </w:pPr>
                                  <w:r>
                                    <w:rPr>
                                      <w:rFonts w:hint="eastAsia" w:ascii="宋体" w:hAnsi="宋体"/>
                                      <w:sz w:val="18"/>
                                      <w:szCs w:val="18"/>
                                    </w:rPr>
                                    <w:t>调整的数据收集表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9797590" name="直接连接符 1869797590"/>
                            <wps:cNvCnPr/>
                            <wps:spPr>
                              <a:xfrm flipV="1">
                                <a:off x="2545080" y="144780"/>
                                <a:ext cx="1584960" cy="762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08227343" name="直接箭头连接符 1708227343"/>
                            <wps:cNvCnPr/>
                            <wps:spPr>
                              <a:xfrm>
                                <a:off x="4130040" y="152400"/>
                                <a:ext cx="0" cy="220218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_x0000_s1026" o:spid="_x0000_s1026" o:spt="203" style="position:absolute;left:0pt;margin-top:0pt;height:436.8pt;width:414pt;mso-position-horizontal:right;mso-position-horizontal-relative:margin;mso-wrap-distance-bottom:0pt;mso-wrap-distance-top:0pt;z-index:251667456;mso-width-relative:page;mso-height-relative:page;" coordsize="4625340,5166360" o:gfxdata="UEsDBAoAAAAAAIdO4kAAAAAAAAAAAAAAAAAEAAAAZHJzL1BLAwQUAAAACACHTuJAsWJhIdUAAAAF&#10;AQAADwAAAGRycy9kb3ducmV2LnhtbE2PQUvDQBCF74L/YRnBm92kxRpiNkWKeiqCrSDeptlpEpqd&#10;Ddlt0v57Ry96GebxhjffK1Zn16mRhtB6NpDOElDElbct1wY+di93GagQkS12nsnAhQKsyuurAnPr&#10;J36ncRtrJSEccjTQxNjnWoeqIYdh5nti8Q5+cBhFDrW2A04S7jo9T5KldtiyfGiwp3VD1XF7cgZe&#10;J5yeFunzuDke1pev3f3b5yYlY25v0uQRVKRz/DuGH3xBh1KY9v7ENqjOgBSJv1O8bJ6J3MvysFiC&#10;Lgv9n778BlBLAwQUAAAACACHTuJAz1yZZEMJAACMWwAADgAAAGRycy9lMm9Eb2MueG1s7VxNj9xI&#10;Gb4j8R+svpN2lV0uu5XJKppsAlLERgqwZ4/b3W3JbRvbk55w5sAJcUcCCQESEuxpb6sVvyYsP4On&#10;ymWX290zHc+GGc9staKJXVX+euv9fp+qp59dbVPrXVxWSZ6dzcgTe2bFWZQvk2x9NvvlL17+xJ9Z&#10;VR1myzDNs/hs9j6uZp89+/GPnu6KRUzzTZ4u49LCTbJqsSvOZpu6LhbzeRVt4m1YPcmLOEPnKi+3&#10;YY3Tcj1fluEOd9+mc2rb3nyXl8uizKO4qtD6oumcqTuWH3PDfLVKovhFHl1u46xu7lrGaVjjk6pN&#10;UlSzZ/JtV6s4qr9Yraq4ttKzGb60ln/xEBxfiL/zZ0/DxboMi00SqVcIP+YVBt+0DZMMD+1u9SKs&#10;Q+uyTA5utU2iMq/yVf0kyrfz5kMkRfAVxB7Q5lWZXxbyW9aL3broiI6JGlD91reNfv7uTWklS3AC&#10;ZdwjjDuY/yzcYua/++a3H/7wO6vXAWrtivUCF70qi7fFm1I1rJszQYCrVbkV/+PTrCtJ5/cdneOr&#10;2orQyPAo38YUROhjzOWOp2Yi2mC6Dq6LNp+rK12PMsdtrySep66ctw+ei/frXmdXgEcrTbjq+xHu&#10;7SYsYjkflaCBIpzjeYGP2dN0+/M/Pnz7F0u3SyrJSzqaVYsK5DtCMEJ8QgRtQBpCHdfF10ombYlH&#10;HM8JfEUC6gesoV1HgXBRlFX9Ks63ljg4m5UQAsmb4bvXVY17YWg7RLxAlafJ8mWSpvKkXF+cp6X1&#10;LoTAvJQ/8XhcsjcszaydeD8uZzGEGlhB/DCh2wKsVGXrmRWma+iXqC7ls/eurvoPseXv2EPES74I&#10;q03zMvIODSm2SQ0VlCbbsxnYCD91dZrhTcWcN7QVR/XVxZUi/0W+fI8pK/NGCVRF9DLBE16HVf0m&#10;LCH1oCn0Yv0F/qzSHN+Xq6OZtcnL3xxrF+PBU+idWTtoEXz7ry/DMp5Z6c8ycFtAxPxZtTxxGac4&#10;Kfs9F/2e7HJ7noPuBBq4iOShGF+n7eGqzLdfQn0+F09FV5hFeHZDZXVyXjfaDQo4ip8/l8Ogaoqw&#10;fp29LSJxczHPWf78ss5XieQHQaiGOop+kBkh6XcgPH4QeOByQjul0wiPblezB3n7COEJmC1pLISH&#10;OcQDvXF9uOiExyaOC4GRmocGnECQGvZu9VYrGVMSniwX4ik/xMiE5OhHLROM0YD6zHcHMqHbR8kE&#10;JQH8rsag+I7nHsiEMSjGoDwag0LhG8EZI85AeHT7KOEJfB++nRQeShx4mwcGhfqNEwSTYwyKciOM&#10;kzUpJ4tQ4tlO4LGhl9XrGCUVKi4RMQp1Hd89kArXDrRUmBhl0jEKtNuR+AStP/TYhNgBvDDui2Bb&#10;ZUSa4KTXMUZs4IW5tgg+hNhwh7Em+OhFJ4x4Thfam+jkPiJ2Iw3r42kukbvlzLGHUYluHyMLhHou&#10;whIpC47N2GGk7jpUpLaaSN2YEGNCZK7rgaW3aMA4bxh9z4Lo9jFCQ23HZSKfCAPiOJx63B+kt5BM&#10;d40BudeUrzEg1xgQBBuMBKhdDEPzXscYaSDUtxHXNNLgoXh1EIWYxJZJbD2axBaxOeGuzT1+EI10&#10;HWPEh9pugCpsIz4BirDDaETWrtAvirQms2UyW1MsHxLUyuFfOQcy0bWPEQkkeB2mSiUuvCtRNsH1&#10;vQDdWBRjUR6NRUFBQ/4bZoV1+yjhaWMPmAvX9wJVWtfCY+yJgaNMHY5CfO66AQqIwyxXr2OMUHCR&#10;15LheoBCyYE5IdzpwnUG4BeiGdx94lAug0b5QSG0iAOwps8oASOrHNYfv/7P7//23Vf/+vDXr//7&#10;7z+J43/+3eqN0xJynimMaIvJa3Ca1ipNip+2WDQFFaUeC2T1Q8QbLLAFQhR30gbE554QIRmQSMG6&#10;UVaqugyT9aY+z7MMCMi8bIBv14Age0zdYBs9eIJ41CSgjeGiDpP082xp1e8LAHPrMgmzdRorZXEE&#10;9thUTgR9FIrvjuB8FJzCHWoP/XHdrnnjNJzPYUjxtAUzh7mHBTOUmTGkYQmXUwWWnbgClUjWo4Bb&#10;keRvuH4IuH0EuD8RTmGqjtSaVc+k680KVf7/xeDDRfA8mwifYQ+Cr9ul+Hx/BL5LoElbHD28daJQ&#10;5OHiJAL/mis7mbsHBH4ANwrZXw+46ZsslB6mldA1BkqYHWWWCABgRBVdVAiDy7VVUtoHhVFlsDpK&#10;aJi9AhMbk1SCdHdskpDGYdxm/gnm0MNuyxyEUQChBj6L4Y5pOyzwMLjtEOLdrDr0sFHcEdhIJ4IF&#10;hEeLZVRi2Y7RHdCdD8WdJQFAWhSZLL2263jso8eN4w/AYFp0Mac8aOJ/Y1seDH94lMN7YoTdrD6w&#10;EKkdN44/KPfbCjegHwcpVWNdJm5dfDj0QHrqbOJR9cG6YbfmjsDlKntotMdD0R6+QM6LNSU3Kw89&#10;7Lbc4QJfCXiM8T1E3PZJuONOsgHwSj0C4+LqbJpaka87JEt86nwAFiqL1Ru499h8gL6yi4LvIR9A&#10;kQoAx7snnHo9bJRg9fIByHSKLIokVLvE2NjkadtkikoGQ53hRD5ADxvDHE2sR2zfCVy2zxeOgAEr&#10;5pAs00mIyRO11SG9EQGIfsd5IsRfPlzs3vYn0lfTBS494FYcgZryNZrC4QxZX8Et17NEmmRi55Fw&#10;8RDrV/isCdWoAqRqqeeTYN/t0hOtB4yfaFdbQO2Id7gyAaU0E31Xe4sAXcECjrnWql6t39MdeoZP&#10;lyP7W/MMRHlvUx6HULXJwvXybDblaSrS97HEz2zK0+2+dnypH/afIsg7wRh2KrJd+Np13FZwPOoi&#10;6t13jfakx2xphZJBE30dt5tmSyvhRU93SytCOBOb+TEdfirp0R2jpKe3qVVAKcCJ+9JjcLUGVzt1&#10;XC1ibixetV1vKBO9jjEy0QbT8KeBGfSdQayNRSG2TVGUkWuX4Oo3Fmfi7lgPg/gI4F7GyzrlZWGR&#10;BA84kK6dlzXIOMAJa0do4bgGsSQhtb8aQmqBmQSOVgIQsBPlwRI/gk3mRNH5IyG1k05CLLFTaGMY&#10;RyxRui+cLOG2T7EHjKs97KOVwd64kxwgskMKs9bB+6AfG1jSvsugZlw4Eyd3wHxAoLUTLPBJaj+6&#10;nCEzlKoQpI6xSbNM4qkNpcUu0P1zOUpvov3s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ELAABbQ29udGVudF9UeXBlc10ueG1sUEsBAhQACgAA&#10;AAAAh07iQAAAAAAAAAAAAAAAAAYAAAAAAAAAAAAQAAAAkwoAAF9yZWxzL1BLAQIUABQAAAAIAIdO&#10;4kCKFGY80QAAAJQBAAALAAAAAAAAAAEAIAAAALcKAABfcmVscy8ucmVsc1BLAQIUAAoAAAAAAIdO&#10;4kAAAAAAAAAAAAAAAAAEAAAAAAAAAAAAEAAAAAAAAABkcnMvUEsBAhQAFAAAAAgAh07iQLFiYSHV&#10;AAAABQEAAA8AAAAAAAAAAQAgAAAAIgAAAGRycy9kb3ducmV2LnhtbFBLAQIUABQAAAAIAIdO4kDP&#10;XJlkQwkAAIxbAAAOAAAAAAAAAAEAIAAAACQBAABkcnMvZTJvRG9jLnhtbFBLBQYAAAAABgAGAFkB&#10;AADZDAAAAAA=&#10;">
                <o:lock v:ext="edit" aspectratio="f"/>
                <v:rect id="_x0000_s1026" o:spid="_x0000_s1026" o:spt="1" style="position:absolute;left:1181100;top:1234440;height:289560;width:1363980;v-text-anchor:middle;" fillcolor="#FFFFFF [3201]" filled="t" stroked="t" coordsize="21600,21600" o:gfxdata="UEsDBAoAAAAAAIdO4kAAAAAAAAAAAAAAAAAEAAAAZHJzL1BLAwQUAAAACACHTuJAZnX6lL8AAADi&#10;AAAADwAAAGRycy9kb3ducmV2LnhtbEVPPW/CMBDdkfgP1lViAzsgRRAwDBWVOnRJYGi3U3xNosbn&#10;KHZJwq/HAxLj0/s+nEbbihv1vnGsIVkpEMSlMw1XGq6Xj+UWhA/IBlvHpGEiD6fjfHbAzLiBc7oV&#10;oRIxhH2GGuoQukxKX9Zk0a9cRxy5X9dbDBH2lTQ9DjHctnKtVCotNhwbauzovabyr/i3GrAYf6Zp&#10;+h4GmbeqOd/zrvjKtV68JWoPItAYXuKn+9No2KTpbrtWSdwcL8U7II8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1+pS/&#10;AAAA4gAAAA8AAAAAAAAAAQAgAAAAIgAAAGRycy9kb3ducmV2LnhtbFBLAQIUABQAAAAIAIdO4kAz&#10;LwWeOwAAADkAAAAQAAAAAAAAAAEAIAAAAA4BAABkcnMvc2hhcGV4bWwueG1sUEsFBgAAAAAGAAYA&#10;WwEAALgDAAAAAA==&#10;">
                  <v:fill on="t" focussize="0,0"/>
                  <v:stroke weight="1pt" color="#000000 [3213]" miterlimit="8" joinstyle="miter"/>
                  <v:imagedata o:title=""/>
                  <o:lock v:ext="edit" aspectratio="f"/>
                  <v:textbox>
                    <w:txbxContent>
                      <w:p w14:paraId="2FDC0DEA">
                        <w:pPr>
                          <w:ind w:firstLine="810" w:firstLineChars="450"/>
                          <w:rPr>
                            <w:rFonts w:hint="eastAsia" w:ascii="宋体" w:hAnsi="宋体"/>
                            <w:sz w:val="18"/>
                            <w:szCs w:val="18"/>
                          </w:rPr>
                        </w:pPr>
                        <w:r>
                          <w:rPr>
                            <w:rFonts w:hint="eastAsia" w:ascii="宋体" w:hAnsi="宋体"/>
                            <w:sz w:val="18"/>
                            <w:szCs w:val="18"/>
                          </w:rPr>
                          <w:t>数据收集</w:t>
                        </w:r>
                      </w:p>
                    </w:txbxContent>
                  </v:textbox>
                </v:rect>
                <v:rect id="_x0000_s1026" o:spid="_x0000_s1026" o:spt="1" style="position:absolute;left:1950720;top:1531620;height:297180;width:1013460;v-text-anchor:middle;" fillcolor="#FFFFFF [3201]" filled="t" stroked="f" coordsize="21600,21600" o:gfxdata="UEsDBAoAAAAAAIdO4kAAAAAAAAAAAAAAAAAEAAAAZHJzL1BLAwQUAAAACACHTuJAMYbZt8UAAADi&#10;AAAADwAAAGRycy9kb3ducmV2LnhtbEWPQUvDQBSE74L/YXlCb3aTtNY2dttDodAcBG09eHxkn0lM&#10;9m3Y3Sbpv3cFweMwM98w2/1kOjGQ841lBek8AUFcWt1wpeDjcnxcg/ABWWNnmRTcyMN+d3+3xVzb&#10;kd9pOIdKRAj7HBXUIfS5lL6syaCf2544el/WGQxRukpqh2OEm05mSbKSBhuOCzX2dKipbM9Xo6At&#10;CnOdnsqheHt9/l648dZePg9KzR7S5AVEoCn8h//aJ61gvdmsssUyzeD3UrwDcvc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GG2bfFAAAA4gAAAA8AAAAAAAAAAQAgAAAAIgAAAGRycy9kb3ducmV2LnhtbFBLAQIUABQAAAAI&#10;AIdO4kAzLwWeOwAAADkAAAAQAAAAAAAAAAEAIAAAABQBAABkcnMvc2hhcGV4bWwueG1sUEsFBgAA&#10;AAAGAAYAWwEAAL4DAAAAAA==&#10;">
                  <v:fill on="t" focussize="0,0"/>
                  <v:stroke on="f" weight="1pt" miterlimit="8" joinstyle="miter"/>
                  <v:imagedata o:title=""/>
                  <o:lock v:ext="edit" aspectratio="f"/>
                  <v:textbox>
                    <w:txbxContent>
                      <w:p w14:paraId="280E929D">
                        <w:pPr>
                          <w:ind w:firstLine="300"/>
                          <w:jc w:val="center"/>
                          <w:rPr>
                            <w:rFonts w:hint="eastAsia" w:ascii="宋体" w:hAnsi="宋体"/>
                            <w:sz w:val="18"/>
                            <w:szCs w:val="18"/>
                          </w:rPr>
                        </w:pPr>
                        <w:r>
                          <w:rPr>
                            <w:rFonts w:hint="eastAsia" w:ascii="宋体" w:hAnsi="宋体"/>
                            <w:sz w:val="18"/>
                            <w:szCs w:val="18"/>
                          </w:rPr>
                          <w:t>所收集的数据</w:t>
                        </w:r>
                      </w:p>
                    </w:txbxContent>
                  </v:textbox>
                </v:rect>
                <v:rect id="_x0000_s1026" o:spid="_x0000_s1026" o:spt="1" style="position:absolute;left:1219200;top:1836420;height:289560;width:1363980;v-text-anchor:middle;" fillcolor="#FFFFFF [3201]" filled="t" stroked="t" coordsize="21600,21600" o:gfxdata="UEsDBAoAAAAAAIdO4kAAAAAAAAAAAAAAAAAEAAAAZHJzL1BLAwQUAAAACACHTuJAIlenLcMAAADi&#10;AAAADwAAAGRycy9kb3ducmV2LnhtbEWPMWvDMBSE90D/g3iFbokUUwfXiZKhpNChi50O7fawXmxT&#10;68lYSmz311eFQMbj7r7jdofJduJKg28da1ivFAjiypmWaw2fp7dlBsIHZIOdY9Iwk4fD/mGxw9y4&#10;kQu6lqEWEcI+Rw1NCH0upa8asuhXrieO3tkNFkOUQy3NgGOE204mSm2kxZbjQoM9vTZU/ZQXqwHL&#10;6Xue569xlEWn2uNv0ZcfhdZPj2u1BRFoCvfwrf1uNKRp8pJkafYM/5fiHZD7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V6ct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w:txbxContent>
                      <w:p w14:paraId="521B6B3F">
                        <w:pPr>
                          <w:ind w:firstLine="720" w:firstLineChars="400"/>
                          <w:rPr>
                            <w:rFonts w:hint="eastAsia" w:ascii="宋体" w:hAnsi="宋体"/>
                            <w:sz w:val="18"/>
                            <w:szCs w:val="18"/>
                          </w:rPr>
                        </w:pPr>
                        <w:r>
                          <w:rPr>
                            <w:rFonts w:hint="eastAsia" w:ascii="宋体" w:hAnsi="宋体"/>
                            <w:sz w:val="18"/>
                            <w:szCs w:val="18"/>
                          </w:rPr>
                          <w:t>数据审定</w:t>
                        </w:r>
                      </w:p>
                    </w:txbxContent>
                  </v:textbox>
                </v:rect>
                <v:rect id="_x0000_s1026" o:spid="_x0000_s1026" o:spt="1" style="position:absolute;left:1988820;top:2133600;height:297180;width:1028700;v-text-anchor:middle;" fillcolor="#FFFFFF [3201]" filled="t" stroked="f" coordsize="21600,21600" o:gfxdata="UEsDBAoAAAAAAIdO4kAAAAAAAAAAAAAAAAAEAAAAZHJzL1BLAwQUAAAACACHTuJAnW/RpsQAAADi&#10;AAAADwAAAGRycy9kb3ducmV2LnhtbEWPQUvDQBSE74L/YXmCN7ubFG0bu+2hIJiDoK0Hj4/saxKT&#10;fRt2t0n6711B8DjMzDfMdj/bXozkQ+tYQ7ZQIIgrZ1quNXyeXh7WIEJENtg7Jg1XCrDf3d5ssTBu&#10;4g8aj7EWCcKhQA1NjEMhZagashgWbiBO3tl5izFJX0vjcUpw28tcqSdpseW00OBAh4aq7nixGrqy&#10;tJf5sRrL97fV99JP1+70ddD6/i5TzyAizfE//Nd+NRryzVrlKsuW8Hsp3QG5+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W/RpsQAAADiAAAADwAAAAAAAAABACAAAAAiAAAAZHJzL2Rvd25yZXYueG1sUEsBAhQAFAAAAAgA&#10;h07iQDMvBZ47AAAAOQAAABAAAAAAAAAAAQAgAAAAEwEAAGRycy9zaGFwZXhtbC54bWxQSwUGAAAA&#10;AAYABgBbAQAAvQMAAAAA&#10;">
                  <v:fill on="t" focussize="0,0"/>
                  <v:stroke on="f" weight="1pt" miterlimit="8" joinstyle="miter"/>
                  <v:imagedata o:title=""/>
                  <o:lock v:ext="edit" aspectratio="f"/>
                  <v:textbox>
                    <w:txbxContent>
                      <w:p w14:paraId="00EE4468">
                        <w:pPr>
                          <w:ind w:firstLine="300"/>
                          <w:jc w:val="center"/>
                          <w:rPr>
                            <w:rFonts w:hint="eastAsia" w:ascii="宋体" w:hAnsi="宋体"/>
                            <w:sz w:val="18"/>
                            <w:szCs w:val="18"/>
                          </w:rPr>
                        </w:pPr>
                        <w:r>
                          <w:rPr>
                            <w:rFonts w:hint="eastAsia" w:ascii="宋体" w:hAnsi="宋体"/>
                            <w:sz w:val="18"/>
                            <w:szCs w:val="18"/>
                          </w:rPr>
                          <w:t>被审定的数据</w:t>
                        </w:r>
                      </w:p>
                    </w:txbxContent>
                  </v:textbox>
                </v:rect>
                <v:rect id="_x0000_s1026" o:spid="_x0000_s1026" o:spt="1" style="position:absolute;left:1234440;top:2438400;height:289560;width:1409700;v-text-anchor:middle;" fillcolor="#FFFFFF [3201]" filled="t" stroked="t" coordsize="21600,21600" o:gfxdata="UEsDBAoAAAAAAIdO4kAAAAAAAAAAAAAAAAAEAAAAZHJzL1BLAwQUAAAACACHTuJAevkE6cAAAADj&#10;AAAADwAAAGRycy9kb3ducmV2LnhtbEVPX0vDMBB/F/Ydwg325pJ2rLi6bA8DpQgTjH6As7m13ZpL&#10;beI2/fRGEHy83/9bb6+uF2caQ+dZQzZXIIhrbztuNLy9PtzegQgR2WLvmTR8UYDtZnKzxtL6C7/Q&#10;2cRGpBAOJWpoYxxKKUPdksMw9wNx4g5+dBjTOTbSjnhJ4a6XuVKFdNhxamhxoF1L9cl8Og1Eq8en&#10;/dGYj3dZIcXn6tu4SuvZNFP3ICJd47/4z13ZND/PCrVYFcscfn9KAMjN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QTp&#10;wAAAAOM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inset="0mm,1.27mm,0mm,1.27mm">
                    <w:txbxContent>
                      <w:p w14:paraId="4FC2E834">
                        <w:pPr>
                          <w:ind w:firstLine="300"/>
                          <w:rPr>
                            <w:rFonts w:hint="eastAsia" w:ascii="宋体" w:hAnsi="宋体"/>
                            <w:sz w:val="18"/>
                            <w:szCs w:val="18"/>
                          </w:rPr>
                        </w:pPr>
                        <w:r>
                          <w:rPr>
                            <w:rFonts w:hint="eastAsia" w:ascii="宋体" w:hAnsi="宋体"/>
                            <w:sz w:val="18"/>
                            <w:szCs w:val="18"/>
                          </w:rPr>
                          <w:t>将数据关联到单元过程</w:t>
                        </w:r>
                      </w:p>
                    </w:txbxContent>
                  </v:textbox>
                </v:rect>
                <v:rect id="_x0000_s1026" o:spid="_x0000_s1026" o:spt="1" style="position:absolute;left:2004060;top:2735580;height:297180;width:1516380;v-text-anchor:middle;" fillcolor="#FFFFFF [3201]" filled="t" stroked="f" coordsize="21600,21600" o:gfxdata="UEsDBAoAAAAAAIdO4kAAAAAAAAAAAAAAAAAEAAAAZHJzL1BLAwQUAAAACACHTuJA2fINFsYAAADj&#10;AAAADwAAAGRycy9kb3ducmV2LnhtbEWPS0/DMBCE70j8B2uRuFG7vGJC3Uo8VQl6IFSVuC3xkgTi&#10;dRSbtvx79oDEcXdnZ+abLfahV1saUxfZwXRiQBHX0XfcOFi/PpxYUCkje+wjk4MfSrCYHx7MsPRx&#10;xy+0rXKjxIRTiQ7anIdS61S3FDBN4kAst484Bswyjo32I+7EPPT61JhLHbBjSWhxoNuW6q/qOzhI&#10;5+vPVbG5Kx5Xz/dVf/P25Ddn784dH03NNahM+/wv/vteeqlvruyFLawVCmGSBej5L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Z8g0WxgAAAOMAAAAPAAAAAAAAAAEAIAAAACIAAABkcnMvZG93bnJldi54bWxQSwECFAAUAAAA&#10;CACHTuJAMy8FnjsAAAA5AAAAEAAAAAAAAAABACAAAAAVAQAAZHJzL3NoYXBleG1sLnhtbFBLBQYA&#10;AAAABgAGAFsBAAC/AwAAAAA=&#10;">
                  <v:fill on="t" focussize="0,0"/>
                  <v:stroke on="f" weight="1pt" miterlimit="8" joinstyle="miter"/>
                  <v:imagedata o:title=""/>
                  <o:lock v:ext="edit" aspectratio="f"/>
                  <v:textbox inset="0mm,1.27mm,0mm,1.27mm">
                    <w:txbxContent>
                      <w:p w14:paraId="0352E2FF">
                        <w:pPr>
                          <w:ind w:firstLine="300"/>
                          <w:jc w:val="center"/>
                          <w:rPr>
                            <w:rFonts w:hint="eastAsia" w:ascii="宋体" w:hAnsi="宋体"/>
                            <w:sz w:val="18"/>
                            <w:szCs w:val="18"/>
                          </w:rPr>
                        </w:pPr>
                        <w:r>
                          <w:rPr>
                            <w:rFonts w:hint="eastAsia" w:ascii="宋体" w:hAnsi="宋体"/>
                            <w:sz w:val="18"/>
                            <w:szCs w:val="18"/>
                          </w:rPr>
                          <w:t>每个单元过程审定的数据</w:t>
                        </w:r>
                      </w:p>
                    </w:txbxContent>
                  </v:textbox>
                </v:rect>
                <v:rect id="_x0000_s1026" o:spid="_x0000_s1026" o:spt="1" style="position:absolute;left:1264920;top:3055620;height:289560;width:1432560;v-text-anchor:middle;" fillcolor="#FFFFFF [3201]" filled="t" stroked="t" coordsize="21600,21600" o:gfxdata="UEsDBAoAAAAAAIdO4kAAAAAAAAAAAAAAAAAEAAAAZHJzL1BLAwQUAAAACACHTuJA5RxnDsIAAADi&#10;AAAADwAAAGRycy9kb3ducmV2LnhtbEWPUUvDMBSF3wf+h3AF39Zk6nTWpX0YKEWYYPQH3DXXttrc&#10;dE3cpr/eDAZ7PJxzvsNZlgfXix2NofOsYZYpEMS1tx03Gj7en6YLECEiW+w9k4ZfClAWF5Ml5tbv&#10;+Y12JjYiQTjkqKGNccilDHVLDkPmB+LkffrRYUxybKQdcZ/grpfXSt1Jhx2nhRYHWrVUf5sfp4Ho&#10;4fll/WXMdiMrpPha/RlXaX11OVOPICId4jl8aldWw5F4P79Rt3C8lO6ALP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Uc&#10;Zw7CAAAA4gAAAA8AAAAAAAAAAQAgAAAAIgAAAGRycy9kb3ducmV2LnhtbFBLAQIUABQAAAAIAIdO&#10;4kAzLwWeOwAAADkAAAAQAAAAAAAAAAEAIAAAABEBAABkcnMvc2hhcGV4bWwueG1sUEsFBgAAAAAG&#10;AAYAWwEAALsDAAAAAA==&#10;">
                  <v:fill on="t" focussize="0,0"/>
                  <v:stroke weight="1pt" color="#000000 [3213]" miterlimit="8" joinstyle="miter"/>
                  <v:imagedata o:title=""/>
                  <o:lock v:ext="edit" aspectratio="f"/>
                  <v:textbox inset="0mm,1.27mm,0mm,1.27mm">
                    <w:txbxContent>
                      <w:p w14:paraId="1DDAEFE2">
                        <w:pPr>
                          <w:ind w:firstLine="300"/>
                          <w:rPr>
                            <w:rFonts w:hint="eastAsia" w:ascii="宋体" w:hAnsi="宋体"/>
                            <w:sz w:val="18"/>
                            <w:szCs w:val="18"/>
                          </w:rPr>
                        </w:pPr>
                        <w:r>
                          <w:rPr>
                            <w:rFonts w:hint="eastAsia" w:ascii="宋体" w:hAnsi="宋体"/>
                            <w:sz w:val="18"/>
                            <w:szCs w:val="18"/>
                          </w:rPr>
                          <w:t>将数据关联到声明单位</w:t>
                        </w:r>
                      </w:p>
                    </w:txbxContent>
                  </v:textbox>
                </v:rect>
                <v:rect id="_x0000_s1026" o:spid="_x0000_s1026" o:spt="1" style="position:absolute;left:2034540;top:3372678;height:297180;width:1554480;v-text-anchor:middle;" fillcolor="#FFFFFF [3201]" filled="t" stroked="f" coordsize="21600,21600" o:gfxdata="UEsDBAoAAAAAAIdO4kAAAAAAAAAAAAAAAAAEAAAAZHJzL1BLAwQUAAAACACHTuJAnr1dzMUAAADi&#10;AAAADwAAAGRycy9kb3ducmV2LnhtbEWPzWrCQBSF9wXfYbhCd3Viqo2mjoK2FaG6MIrg7pq5TdJm&#10;7oTMVO3bdxaCy8P545vMrqYWZ2pdZVlBvxeBIM6trrhQsN99PI1AOI+ssbZMCv7IwWzaeZhgqu2F&#10;t3TOfCHCCLsUFZTeN6mULi/JoOvZhjh4X7Y16INsC6lbvIRxU8s4il6kwYrDQ4kNLUrKf7Jfo8AN&#10;9t+b5PCWLDfr96yeHz/14fmk1GO3H72C8HT19/CtvdIK4vEwSQbjOEAEpIADcvo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69XczFAAAA4gAAAA8AAAAAAAAAAQAgAAAAIgAAAGRycy9kb3ducmV2LnhtbFBLAQIUABQAAAAI&#10;AIdO4kAzLwWeOwAAADkAAAAQAAAAAAAAAAEAIAAAABQBAABkcnMvc2hhcGV4bWwueG1sUEsFBgAA&#10;AAAGAAYAWwEAAL4DAAAAAA==&#10;">
                  <v:fill on="t" focussize="0,0"/>
                  <v:stroke on="f" weight="1pt" miterlimit="8" joinstyle="miter"/>
                  <v:imagedata o:title=""/>
                  <o:lock v:ext="edit" aspectratio="f"/>
                  <v:textbox inset="0mm,1.27mm,0mm,1.27mm">
                    <w:txbxContent>
                      <w:p w14:paraId="73318120">
                        <w:pPr>
                          <w:ind w:firstLine="300"/>
                          <w:jc w:val="center"/>
                          <w:rPr>
                            <w:rFonts w:hint="eastAsia" w:ascii="宋体" w:hAnsi="宋体"/>
                            <w:sz w:val="18"/>
                            <w:szCs w:val="18"/>
                          </w:rPr>
                        </w:pPr>
                        <w:r>
                          <w:rPr>
                            <w:rFonts w:hint="eastAsia" w:ascii="宋体" w:hAnsi="宋体"/>
                            <w:sz w:val="18"/>
                            <w:szCs w:val="18"/>
                          </w:rPr>
                          <w:t>每个声明单位审定的数据</w:t>
                        </w:r>
                      </w:p>
                    </w:txbxContent>
                  </v:textbox>
                </v:rect>
                <v:rect id="_x0000_s1026" o:spid="_x0000_s1026" o:spt="1" style="position:absolute;left:1280160;top:3657600;height:289560;width:1363980;v-text-anchor:middle;" fillcolor="#FFFFFF [3201]" filled="t" stroked="t" coordsize="21600,21600" o:gfxdata="UEsDBAoAAAAAAIdO4kAAAAAAAAAAAAAAAAAEAAAAZHJzL1BLAwQUAAAACACHTuJAEbdHtMEAAADj&#10;AAAADwAAAGRycy9kb3ducmV2LnhtbEVPvW7CMBDeK/EO1iF1K3ZArSBgGFCRGFiSMsB2io8kIj5H&#10;sUuSPj2uVKnjff+32Q22EQ/qfO1YQzJTIIgLZ2ouNZy/Dm9LED4gG2wck4aRPOy2k5cNpsb1nNEj&#10;D6WIIexT1FCF0KZS+qIii37mWuLI3VxnMcSzK6XpsI/htpFzpT6kxZpjQ4Ut7Ssq7vm31YD5cB3H&#10;8dL3MmtU/fmTtfkp0/p1mqg1iEBD+Bf/uY8mzp8n78lqsVou4PenCIDcP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bdH&#10;tM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4D33992B">
                        <w:pPr>
                          <w:ind w:firstLine="630" w:firstLineChars="350"/>
                          <w:rPr>
                            <w:rFonts w:hint="eastAsia" w:ascii="宋体" w:hAnsi="宋体"/>
                            <w:sz w:val="18"/>
                            <w:szCs w:val="18"/>
                          </w:rPr>
                        </w:pPr>
                        <w:r>
                          <w:rPr>
                            <w:rFonts w:hint="eastAsia" w:ascii="宋体" w:hAnsi="宋体"/>
                            <w:sz w:val="18"/>
                            <w:szCs w:val="18"/>
                          </w:rPr>
                          <w:t>数据合并</w:t>
                        </w:r>
                      </w:p>
                    </w:txbxContent>
                  </v:textbox>
                </v:rect>
                <v:rect id="_x0000_s1026" o:spid="_x0000_s1026" o:spt="1" style="position:absolute;left:2049780;top:3954780;height:297180;width:914400;v-text-anchor:middle;" fillcolor="#FFFFFF [3201]" filled="t" stroked="f" coordsize="21600,21600" o:gfxdata="UEsDBAoAAAAAAIdO4kAAAAAAAAAAAAAAAAAEAAAAZHJzL1BLAwQUAAAACACHTuJA1INdK8EAAADj&#10;AAAADwAAAGRycy9kb3ducmV2LnhtbEVPS0vEMBC+C/6HMII3N6mPjdTN7mFBsAdBdz14HJqxrW0m&#10;Jcm23X9vBMHjfO/Z7BY3iIlC7DwbKFYKBHHtbceNgY/j880jiJiQLQ6eycCZIuy2lxcbLK2f+Z2m&#10;Q2pEDuFYooE2pbGUMtYtOYwrPxJn7ssHhymfoZE24JzD3SBvlVpLhx3nhhZH2rdU94eTM9BXlTst&#10;D/VUvb3q77swn/vj596Y66tCPYFItKR/8Z/7xeb5Shf6Xum1ht+fMgBy+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INd&#10;K8EAAADjAAAADwAAAAAAAAABACAAAAAiAAAAZHJzL2Rvd25yZXYueG1sUEsBAhQAFAAAAAgAh07i&#10;QDMvBZ47AAAAOQAAABAAAAAAAAAAAQAgAAAAEAEAAGRycy9zaGFwZXhtbC54bWxQSwUGAAAAAAYA&#10;BgBbAQAAugMAAAAA&#10;">
                  <v:fill on="t" focussize="0,0"/>
                  <v:stroke on="f" weight="1pt" miterlimit="8" joinstyle="miter"/>
                  <v:imagedata o:title=""/>
                  <o:lock v:ext="edit" aspectratio="f"/>
                  <v:textbox>
                    <w:txbxContent>
                      <w:p w14:paraId="4F87D9DE">
                        <w:pPr>
                          <w:ind w:firstLine="300"/>
                          <w:jc w:val="center"/>
                          <w:rPr>
                            <w:rFonts w:hint="eastAsia" w:ascii="宋体" w:hAnsi="宋体"/>
                            <w:sz w:val="18"/>
                            <w:szCs w:val="18"/>
                          </w:rPr>
                        </w:pPr>
                        <w:r>
                          <w:rPr>
                            <w:rFonts w:hint="eastAsia" w:ascii="宋体" w:hAnsi="宋体"/>
                            <w:sz w:val="18"/>
                            <w:szCs w:val="18"/>
                          </w:rPr>
                          <w:t>计算的清单</w:t>
                        </w:r>
                      </w:p>
                    </w:txbxContent>
                  </v:textbox>
                </v:rect>
                <v:rect id="_x0000_s1026" o:spid="_x0000_s1026" o:spt="1" style="position:absolute;left:1333500;top:4267200;height:289560;width:1363980;v-text-anchor:middle;" fillcolor="#FFFFFF [3201]" filled="t" stroked="t" coordsize="21600,21600" o:gfxdata="UEsDBAoAAAAAAIdO4kAAAAAAAAAAAAAAAAAEAAAAZHJzL1BLAwQUAAAACACHTuJAqmAchMAAAADi&#10;AAAADwAAAGRycy9kb3ducmV2LnhtbEVPPW/CMBDdK/EfrENiK3baipQUw1C1EkOXBAa6neIjiRqf&#10;o9glCb8eV6rE+PS+N7vRtuJCvW8ca0iWCgRx6UzDlYbj4fPxFYQPyAZbx6RhIg+77exhg5lxA+d0&#10;KUIlYgj7DDXUIXSZlL6syaJfuo44cmfXWwwR9pU0PQ4x3LbySamVtNhwbKixo/eayp/i12rAYvye&#10;puk0DDJvVfNxzbviK9d6MU/UG4hAY7iL/917E+cniUpf1s8p/F2KGOT2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YByE&#10;wAAAAOI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29BDEBEC">
                        <w:pPr>
                          <w:ind w:firstLine="450" w:firstLineChars="250"/>
                          <w:rPr>
                            <w:rFonts w:hint="eastAsia" w:ascii="宋体" w:hAnsi="宋体"/>
                            <w:sz w:val="18"/>
                            <w:szCs w:val="18"/>
                          </w:rPr>
                        </w:pPr>
                        <w:r>
                          <w:rPr>
                            <w:rFonts w:hint="eastAsia" w:ascii="宋体" w:hAnsi="宋体"/>
                            <w:sz w:val="18"/>
                            <w:szCs w:val="18"/>
                          </w:rPr>
                          <w:t>系统边界的调整</w:t>
                        </w:r>
                      </w:p>
                    </w:txbxContent>
                  </v:textbox>
                </v:rect>
                <v:rect id="_x0000_s1026" o:spid="_x0000_s1026" o:spt="1" style="position:absolute;left:1554480;top:4869180;height:297180;width:914400;v-text-anchor:middle;" fillcolor="#FFFFFF [3201]" filled="t" stroked="f" coordsize="21600,21600" o:gfxdata="UEsDBAoAAAAAAIdO4kAAAAAAAAAAAAAAAAAEAAAAZHJzL1BLAwQUAAAACACHTuJAjibqWcEAAADi&#10;AAAADwAAAGRycy9kb3ducmV2LnhtbEVPTWvCQBS8F/ofllfwVjeJtJXo6kEomEOhag8eH9lnkib7&#10;NuyuSfz33RahMJdhvpj1djKdGMj5xrKCdJ6AIC6tbrhS8HV6f16C8AFZY2eZFNzIw3bz+LDGXNuR&#10;DzQcQyViCfscFdQh9LmUvqzJoJ/bnjhqF+sMhkhdJbXDMZabTmZJ8ioNNhwXauxpV1PZHq9GQVsU&#10;5jq9lEPx+fH2vXDjrT2dd0rNntJkBSLQFP7N9/ReK8jSxR8y+L0U74Dc/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ibq&#10;WcEAAADiAAAADwAAAAAAAAABACAAAAAiAAAAZHJzL2Rvd25yZXYueG1sUEsBAhQAFAAAAAgAh07i&#10;QDMvBZ47AAAAOQAAABAAAAAAAAAAAQAgAAAAEAEAAGRycy9zaGFwZXhtbC54bWxQSwUGAAAAAAYA&#10;BgBbAQAAugMAAAAA&#10;">
                  <v:fill on="t" focussize="0,0"/>
                  <v:stroke on="f" weight="1pt" miterlimit="8" joinstyle="miter"/>
                  <v:imagedata o:title=""/>
                  <o:lock v:ext="edit" aspectratio="f"/>
                  <v:textbox>
                    <w:txbxContent>
                      <w:p w14:paraId="76108124">
                        <w:pPr>
                          <w:ind w:firstLine="90" w:firstLineChars="50"/>
                          <w:rPr>
                            <w:rFonts w:hint="eastAsia" w:ascii="宋体" w:hAnsi="宋体"/>
                            <w:sz w:val="18"/>
                            <w:szCs w:val="18"/>
                          </w:rPr>
                        </w:pPr>
                        <w:r>
                          <w:rPr>
                            <w:rFonts w:hint="eastAsia" w:ascii="宋体" w:hAnsi="宋体"/>
                            <w:sz w:val="18"/>
                            <w:szCs w:val="18"/>
                          </w:rPr>
                          <w:t>完成的清单</w:t>
                        </w:r>
                      </w:p>
                    </w:txbxContent>
                  </v:textbox>
                </v:rect>
                <v:rect id="_x0000_s1026" o:spid="_x0000_s1026" o:spt="1" style="position:absolute;left:7620;top:3924300;height:518160;width:1173480;v-text-anchor:middle;" fillcolor="#FFFFFF [3201]" filled="t" stroked="f" coordsize="21600,21600" o:gfxdata="UEsDBAoAAAAAAIdO4kAAAAAAAAAAAAAAAAAEAAAAZHJzL1BLAwQUAAAACACHTuJAHE50W8IAAADj&#10;AAAADwAAAGRycy9kb3ducmV2LnhtbEVPvU7DMBDekXgH65DYqN0SaEnrdqiERAYk2jIwnuJrEhKf&#10;I9tN0rfHSEiM9/3fZjfZTgzkQ+NYw3ymQBCXzjRcafg8vT6sQISIbLBzTBquFGC3vb3ZYG7cyAca&#10;jrESKYRDjhrqGPtcylDWZDHMXE+cuLPzFmM6fSWNxzGF204ulHqWFhtODTX2tK+pbI8Xq6EtCnuZ&#10;nsqh+Hhffj/68dqevvZa39/N1RpEpCn+i//cbybNXy2z7EUtVAa/PyUA5PY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xO&#10;dFvCAAAA4wAAAA8AAAAAAAAAAQAgAAAAIgAAAGRycy9kb3ducmV2LnhtbFBLAQIUABQAAAAIAIdO&#10;4kAzLwWeOwAAADkAAAAQAAAAAAAAAAEAIAAAABEBAABkcnMvc2hhcGV4bWwueG1sUEsFBgAAAAAG&#10;AAYAWwEAALsDAAAAAA==&#10;">
                  <v:fill on="t" focussize="0,0"/>
                  <v:stroke on="f" weight="1pt" miterlimit="8" joinstyle="miter"/>
                  <v:imagedata o:title=""/>
                  <o:lock v:ext="edit" aspectratio="f"/>
                  <v:textbox>
                    <w:txbxContent>
                      <w:p w14:paraId="72373C0F">
                        <w:pPr>
                          <w:ind w:firstLine="300"/>
                          <w:jc w:val="center"/>
                          <w:rPr>
                            <w:rFonts w:hint="eastAsia" w:ascii="宋体" w:hAnsi="宋体"/>
                            <w:sz w:val="18"/>
                            <w:szCs w:val="18"/>
                          </w:rPr>
                        </w:pPr>
                        <w:r>
                          <w:rPr>
                            <w:rFonts w:hint="eastAsia" w:ascii="宋体" w:hAnsi="宋体"/>
                            <w:sz w:val="18"/>
                            <w:szCs w:val="18"/>
                          </w:rPr>
                          <w:t>数据再收集或单元过程再调整</w:t>
                        </w:r>
                      </w:p>
                    </w:txbxContent>
                  </v:textbox>
                </v:rect>
                <v:shape id="_x0000_s1026" o:spid="_x0000_s1026" o:spt="32" type="#_x0000_t32" style="position:absolute;left:2659380;top:2590800;flip:x;height:7620;width:876300;" filled="f" stroked="t" coordsize="21600,21600" o:gfxdata="UEsDBAoAAAAAAIdO4kAAAAAAAAAAAAAAAAAEAAAAZHJzL1BLAwQUAAAACACHTuJAo1ZJ9MQAAADj&#10;AAAADwAAAGRycy9kb3ducmV2LnhtbEWPQU/DMAyF70j8h8hIXCaWtGhQyrIdBohJkxAMfoCVmLai&#10;caomrOXf4wMSR9vP771vvZ1Dr040pi6yhWJpQBG76DtuLHy8P11VoFJG9thHJgs/lGC7OT9bY+3j&#10;xG90OuZGiQmnGi20OQ+11sm1FDAt40Ast884Bswyjo32I05iHnpdGnOjA3YsCS0OtGvJfR2/g4VZ&#10;P97tzcI9P/BhKr3rX15308Lay4vC3IPKNOd/8d/33kv969VtVa3KQiiESRagN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1ZJ9MQAAADj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rect id="_x0000_s1026" o:spid="_x0000_s1026" o:spt="1" style="position:absolute;left:3528060;top:2354580;height:472440;width:1097280;v-text-anchor:middle;" fillcolor="#FFFFFF [3201]" filled="t" stroked="t" coordsize="21600,21600" o:gfxdata="UEsDBAoAAAAAAIdO4kAAAAAAAAAAAAAAAAAEAAAAZHJzL1BLAwQUAAAACACHTuJAt3JeTcMAAADi&#10;AAAADwAAAGRycy9kb3ducmV2LnhtbEWPS2vDMBCE74H+B7GB3pJV3IeNGyWHQkvoLXEI9LZYW9vE&#10;WhlLefXXV4VCj8PMfMMs11fXqzOPofNiYDHXoFhqbztpDOyrt1kBKkQSS70XNnDjAOvV3WRJpfUX&#10;2fJ5FxuVIBJKMtDGOJSIoW7ZUZj7gSV5X350FJMcG7QjXRLc9Zhp/YyOOkkLLQ382nJ93J2cgQpx&#10;+xlsnu8fmw98P5yq/lB8G3M/XegXUJGv8T/8195YA1lRPOUPmc7h91K6A7j6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3&#10;cl5NwwAAAOIAAAAPAAAAAAAAAAEAIAAAACIAAABkcnMvZG93bnJldi54bWxQSwECFAAUAAAACACH&#10;TuJAMy8FnjsAAAA5AAAAEAAAAAAAAAABACAAAAASAQAAZHJzL3NoYXBleG1sLnhtbFBLBQYAAAAA&#10;BgAGAFsBAAC8AwAAAAA=&#10;">
                  <v:fill on="t" focussize="0,0"/>
                  <v:stroke weight="1pt" color="#000000 [3213]" miterlimit="8" joinstyle="miter"/>
                  <v:imagedata o:title=""/>
                  <o:lock v:ext="edit" aspectratio="f"/>
                  <v:textbox inset="2mm,1.27mm,2mm,1.27mm">
                    <w:txbxContent>
                      <w:p w14:paraId="4C080090">
                        <w:pPr>
                          <w:jc w:val="center"/>
                          <w:rPr>
                            <w:rFonts w:hint="eastAsia" w:ascii="宋体" w:hAnsi="宋体"/>
                            <w:sz w:val="18"/>
                            <w:szCs w:val="18"/>
                          </w:rPr>
                        </w:pPr>
                        <w:r>
                          <w:rPr>
                            <w:rFonts w:hint="eastAsia" w:ascii="宋体" w:hAnsi="宋体"/>
                            <w:sz w:val="18"/>
                            <w:szCs w:val="18"/>
                          </w:rPr>
                          <w:t>分配，包括再使用和再生利用</w:t>
                        </w:r>
                      </w:p>
                    </w:txbxContent>
                  </v:textbox>
                </v:rect>
                <v:group id="_x0000_s1026" o:spid="_x0000_s1026" o:spt="203" style="position:absolute;left:0;top:0;height:4861560;width:4130040;" coordsize="4130040,4861560" o:gfxdata="UEsDBAoAAAAAAIdO4kAAAAAAAAAAAAAAAAAEAAAAZHJzL1BLAwQUAAAACACHTuJAR0BumMMAAADi&#10;AAAADwAAAGRycy9kb3ducmV2LnhtbEWPXWvCMBSG7wf7D+EMdjeTqCujM8oQN3YhA+tg7O7QHNti&#10;c1Ka2Oq/NxeCly/vF89idXatGKgPjWcDeqJAEJfeNlwZ+N1/vryBCBHZYuuZDFwowGr5+LDA3PqR&#10;dzQUsRJphEOOBuoYu1zKUNbkMEx8R5y8g+8dxiT7StoexzTuWjlVKpMOG04PNXa0rqk8Fidn4GvE&#10;8WOmN8P2eFhf/vevP39bTcY8P2n1DiLSOd7Dt/a3NTCfqSxTepogElLCAbm8AlBLAwQUAAAACACH&#10;TuJAMy8FnjsAAAA5AAAAFQAAAGRycy9ncm91cHNoYXBleG1sLnhtbLOxr8jNUShLLSrOzM+zVTLU&#10;M1BSSM1Lzk/JzEu3VQoNcdO1UFIoLknMS0nMyc9LtVWqTC1Wsrfj5QIAUEsDBAoAAAAAAIdO4kAA&#10;AAAAAAAAAAAAAAAGAAAAX3JlbHMvUEsDBBQAAAAIAIdO4kAJLbcE0wAAAJkBAAALAAAAX3JlbHMv&#10;LnJlbHOlkEFLAzEQhe+C/yHM3c22BxFptjeh11rBa0hms8FNJszE1f57U0RwpTcPc5h5zPceb7f/&#10;TLNakCVSNrDpelCYHfmYg4GX09PdAyipNns7U0YDZxTYD7c3uyPOtrYnmWIR1ShZDEy1lketxU2Y&#10;rHRUMDdlJE62tpWDLta92YB62/f3mn8zYFgx1cEb4IPfgjqdS3P+w07RMQmNtXOUNI1jdNeoOjC9&#10;l+fJFnxNc2NZDlgNeJZvSS5SC9m1AX09w+afGTx95CMua/fLkXH58dWrQocvUEsDBBQAAAAIAIdO&#10;4kBUfegn/gAAAOwBAAATAAAAW0NvbnRlbnRfVHlwZXNdLnhtbJWRy07DMBBF90j8g+UtShxYIISa&#10;dEGAHSAoHzCyJ4lFYlseN7R/z7iPDaJIXdoz954je7HcTKOYMZL1rpbXZSUFOu2NdX0tP1dPxZ0U&#10;lMAZGL3DWm6R5LK5vFistgFJcNpRLYeUwr1SpAecgEof0PGk83GCxMfYqwD6C3pUN1V1q7R3CV0q&#10;Uu6QzaLFDtZjEo8bvt6bRBxJiof9YmbVEkIYrYbEpmp25helOBBKTu52aLCBrlhDqj8JeXIacMi9&#10;8tNEa1C8QUwvMLGGMpGU8d8u4lz+X5ItJyp811mNZRup5dg7zkerU+199OtAAwTk/nMZzzn8kcNH&#10;jNr9VfMDUEsBAhQAFAAAAAgAh07iQFR96Cf+AAAA7AEAABMAAAAAAAAAAQAgAAAAoAIAAFtDb250&#10;ZW50X1R5cGVzXS54bWxQSwECFAAKAAAAAACHTuJAAAAAAAAAAAAAAAAABgAAAAAAAAAAABAAAACA&#10;AQAAX3JlbHMvUEsBAhQAFAAAAAgAh07iQAkttwTTAAAAmQEAAAsAAAAAAAAAAQAgAAAApAEAAF9y&#10;ZWxzLy5yZWxzUEsBAhQACgAAAAAAh07iQAAAAAAAAAAAAAAAAAQAAAAAAAAAAAAQAAAAAAAAAGRy&#10;cy9QSwECFAAUAAAACACHTuJAR0BumMMAAADiAAAADwAAAAAAAAABACAAAAAiAAAAZHJzL2Rvd25y&#10;ZXYueG1sUEsBAhQAFAAAAAgAh07iQDMvBZ47AAAAOQAAABUAAAAAAAAAAQAgAAAAEgEAAGRycy9n&#10;cm91cHNoYXBleG1sLnhtbFBLBQYAAAAABgAGAGABAADPAwAAAAA=&#10;">
                  <o:lock v:ext="edit" aspectratio="f"/>
                  <v:shape id="_x0000_s1026" o:spid="_x0000_s1026" o:spt="32" type="#_x0000_t32" style="position:absolute;left:1882140;top:914400;height:304800;width:0;" filled="f" stroked="t" coordsize="21600,21600" o:gfxdata="UEsDBAoAAAAAAIdO4kAAAAAAAAAAAAAAAAAEAAAAZHJzL1BLAwQUAAAACACHTuJAYxPVPsIAAADi&#10;AAAADwAAAGRycy9kb3ducmV2LnhtbEWPzYvCMBTE7wv+D+EJ3ta0dvGjGj0IBQ+ysH6dH82zrTYv&#10;JYnV/e83Cwt7HGbmN8xq8zKt6Mn5xrKCdJyAIC6tbrhScDoW73MQPiBrbC2Tgm/ysFkP3laYa/vk&#10;L+oPoRIRwj5HBXUIXS6lL2sy6Me2I47e1TqDIUpXSe3wGeGmlZMkmUqDDceFGjva1lTeDw+jYP+5&#10;mJ/uad8XRXm5ZY4LzORZqdEwTZYgAr3Cf/ivvdMKFrPsYxqpKfxeindArn8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MT&#10;1T7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1882140;top:1524000;height:304800;width:0;" filled="f" stroked="t" coordsize="21600,21600" o:gfxdata="UEsDBAoAAAAAAIdO4kAAAAAAAAAAAAAAAAAEAAAAZHJzL1BLAwQUAAAACACHTuJArO2T+sIAAADi&#10;AAAADwAAAGRycy9kb3ducmV2LnhtbEWPQWsCMRSE70L/Q3gFb5qsom63Rg+FBQ9FqNqeH5vX3a2b&#10;lyVJV/vvTUHwOMzMN8x6e7WdGMiH1rGGbKpAEFfOtFxrOB3LSQ4iRGSDnWPS8EcBtpun0RoL4y78&#10;QcMh1iJBOBSooYmxL6QMVUMWw9T1xMn7dt5iTNLX0ni8JLjt5EyppbTYclposKe3hqrz4ddqeN+/&#10;5KdzNgxlWX39zD2XOJefWo+fM/UKItI1PsL39s5oWK5mi5Va5Bn8X0p3QG5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zt&#10;k/r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1905000;top:2125980;height:304800;width:0;" filled="f" stroked="t" coordsize="21600,21600" o:gfxdata="UEsDBAoAAAAAAIdO4kAAAAAAAAAAAAAAAAAEAAAAZHJzL1BLAwQUAAAACACHTuJA5IYsq8IAAADi&#10;AAAADwAAAGRycy9kb3ducmV2LnhtbEWPQUsDMRSE70L/Q3gFbzZJF+u6Nu2hsOBBBNvq+bF57m67&#10;eVmSuK3/3giCx2FmvmHW26sbxEQh9p4N6IUCQdx423Nr4Hio70oQMSFbHDyTgW+KsN3MbtZYWX/h&#10;N5r2qRUZwrFCA11KYyVlbDpyGBd+JM7epw8OU5ahlTbgJcPdIJdKraTDnvNChyPtOmrO+y9n4OX1&#10;sTye9TTVdfNxKgLXWMh3Y27nWj2BSHRN/+G/9rM1cL8sH1Sh9Qp+L+U7ID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SG&#10;LKv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shape id="_x0000_s1026" o:spid="_x0000_s1026" o:spt="32" type="#_x0000_t32" style="position:absolute;left:1912620;top:2727960;height:304800;width:0;" filled="f" stroked="t" coordsize="21600,21600" o:gfxdata="UEsDBAoAAAAAAIdO4kAAAAAAAAAAAAAAAAAEAAAAZHJzL1BLAwQUAAAACACHTuJAR35Ed8MAAADj&#10;AAAADwAAAGRycy9kb3ducmV2LnhtbEWPQU/DMAyF70j7D5GRdmNJNw11ZdkOkypxmJAYg7PVmLas&#10;caokdOPf4wMSR/s9v/d5u7/5QU0UUx/YQrEwoIib4HpuLZzf6ocSVMrIDofAZOGHEux3s7stVi5c&#10;+ZWmU26VhHCq0EKX81hpnZqOPKZFGIlF+wzRY5YxttpFvEq4H/TSmEftsWdp6HCkQ0fN5fTtLRxf&#10;NuX5UkxTXTcfX6vINa70u7Xz+8I8gcp0y//mv+tnJ/ib9bpcFqURaPlJFqB3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H&#10;fkR3wwAAAOM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1927860;top:3345180;height:304800;width:0;" filled="f" stroked="t" coordsize="21600,21600" o:gfxdata="UEsDBAoAAAAAAIdO4kAAAAAAAAAAAAAAAAAEAAAAZHJzL1BLAwQUAAAACACHTuJA+ZtYSsEAAADj&#10;AAAADwAAAGRycy9kb3ducmV2LnhtbEVPzWrCQBC+C32HZQq96SZaY4yuHgqBHkpBaz0P2TGJZmfD&#10;7jbat+8WBI/z/c96ezOdGMj51rKCdJKAIK6sbrlWcPgqxzkIH5A1dpZJwS952G6eRmsstL3yjoZ9&#10;qEUMYV+ggiaEvpDSVw0Z9BPbE0fuZJ3BEE9XS+3wGsNNJ6dJkkmDLceGBnt6a6i67H+Mgo/PZX64&#10;pMNQltXxPHNc4kx+K/XynCYrEIFu4SG+u991nJ9NF695Nk/n8P9TBEB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tY&#10;SsEAAADjAAAADwAAAAAAAAABACAAAAAiAAAAZHJzL2Rvd25yZXYueG1sUEsBAhQAFAAAAAgAh07i&#10;QDMvBZ47AAAAOQAAABAAAAAAAAAAAQAgAAAAEAEAAGRycy9zaGFwZXhtbC54bWxQSwUGAAAAAAYA&#10;BgBbAQAAugMAAAAA&#10;">
                    <v:fill on="f" focussize="0,0"/>
                    <v:stroke weight="0.5pt" color="#000000 [3213]" miterlimit="8" joinstyle="miter" endarrow="block"/>
                    <v:imagedata o:title=""/>
                    <o:lock v:ext="edit" aspectratio="f"/>
                  </v:shape>
                  <v:shape id="_x0000_s1026" o:spid="_x0000_s1026" o:spt="32" type="#_x0000_t32" style="position:absolute;left:1927860;top:3947160;height:304800;width:0;" filled="f" stroked="t" coordsize="21600,21600" o:gfxdata="UEsDBAoAAAAAAIdO4kAAAAAAAAAAAAAAAAAEAAAAZHJzL1BLAwQUAAAACACHTuJAlq59H8MAAADi&#10;AAAADwAAAGRycy9kb3ducmV2LnhtbEWPQWvCQBSE74X+h+UVequ7adTG6OqhEOihFKrW8yP7TFKz&#10;b8PuNtp/7xYKHoeZ+YZZbS62FyP50DnWkE0UCOLamY4bDftd9VSACBHZYO+YNPxSgM36/m6FpXFn&#10;/qRxGxuRIBxK1NDGOJRShroli2HiBuLkHZ23GJP0jTQezwlue/ms1Fxa7DgttDjQa0v1aftjNbx/&#10;LIr9KRvHqqoP37nnCnP5pfXjQ6aWICJd4i38334zGmZFruYv+WwKf5fSHZDrK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W&#10;rn0fwwAAAOI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1927860;top:4556760;height:304800;width:0;" filled="f" stroked="t" coordsize="21600,21600" o:gfxdata="UEsDBAoAAAAAAIdO4kAAAAAAAAAAAAAAAAAEAAAAZHJzL1BLAwQUAAAACACHTuJAgDwl6sEAAADi&#10;AAAADwAAAGRycy9kb3ducmV2LnhtbEWPT2vCMBjG74N9h/AOdptJF5FajR4GBQ9jMOd2fmle22rz&#10;piSxum+/HIQdH55//NbbmxvERCH2ng0UMwWCuPG259bA4at+KUHEhGxx8EwGfinCdvP4sMbK+it/&#10;0rRPrcgjHCs00KU0VlLGpiOHceZH4uwdfXCYsgyttAGvedwN8lWphXTYc37ocKS3jprz/uIMvH8s&#10;y8O5mKa6bn5OOnCNWn4b8/xUqBWIRLf0H763d9ZAqcu50nqRITJSxgG5+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Dwl&#10;6sEAAADiAAAADwAAAAAAAAABACAAAAAiAAAAZHJzL2Rvd25yZXYueG1sUEsBAhQAFAAAAAgAh07i&#10;QDMvBZ47AAAAOQAAABAAAAAAAAAAAQAgAAAAEAEAAGRycy9zaGFwZXhtbC54bWxQSwUGAAAAAAYA&#10;BgBbAQAAugMAAAAA&#10;">
                    <v:fill on="f" focussize="0,0"/>
                    <v:stroke weight="0.5pt" color="#000000 [3213]" miterlimit="8" joinstyle="miter" endarrow="block"/>
                    <v:imagedata o:title=""/>
                    <o:lock v:ext="edit" aspectratio="f"/>
                  </v:shape>
                  <v:group id="_x0000_s1026" o:spid="_x0000_s1026" o:spt="203" style="position:absolute;left:0;top:0;height:4457700;width:4130040;" coordsize="4130040,4457700" o:gfxdata="UEsDBAoAAAAAAIdO4kAAAAAAAAAAAAAAAAAEAAAAZHJzL1BLAwQUAAAACACHTuJAdA4VgcEAAADj&#10;AAAADwAAAGRycy9kb3ducmV2LnhtbEVPX2vCMBB/F/Ydwg180zRuVumMIrKNPchgKsjejuZsi82l&#10;NLHVb78MBB/v9/8Wq6utRUetrxxrUOMEBHHuTMWFhsP+YzQH4QOywdoxabiRh9XyabDAzLief6jb&#10;hULEEPYZaihDaDIpfV6SRT92DXHkTq61GOLZFtK02MdwW8tJkqTSYsWxocSGNiXl593FavjssV+/&#10;qPduez5tbr/76fdxq0jr4bNK3kAEuoaH+O7+MnG+SlOVTtXrDP5/igDI5R9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HQOFYHBAAAA4wAAAA8AAAAAAAAAAQAgAAAAIgAAAGRycy9kb3ducmV2&#10;LnhtbFBLAQIUABQAAAAIAIdO4kAzLwWeOwAAADkAAAAVAAAAAAAAAAEAIAAAABABAABkcnMvZ3Jv&#10;dXBzaGFwZXhtbC54bWxQSwUGAAAAAAYABgBgAQAAzQMAAAAA&#10;">
                    <o:lock v:ext="edit" aspectratio="f"/>
                    <v:shape id="_x0000_s1026" o:spid="_x0000_s1026" o:spt="32" type="#_x0000_t32" style="position:absolute;left:1882140;top:320040;height:304800;width:0;" filled="f" stroked="t" coordsize="21600,21600" o:gfxdata="UEsDBAoAAAAAAIdO4kAAAAAAAAAAAAAAAAAEAAAAZHJzL1BLAwQUAAAACACHTuJAPxj2LMMAAADi&#10;AAAADwAAAGRycy9kb3ducmV2LnhtbEWPQWsCMRSE70L/Q3iF3jRZtauuRg+FhR6kUKueH5vn7tbN&#10;y5Kkq/33TaHQ4zAz3zCb3d12YiAfWscasokCQVw503Kt4fhRjpcgQkQ22DkmDd8UYLd9GG2wMO7G&#10;7zQcYi0ShEOBGpoY+0LKUDVkMUxcT5y8i/MWY5K+lsbjLcFtJ6dK5dJiy2mhwZ5eGqquhy+rYf+2&#10;Wh6v2TCUZXX+nHkucSZPWj89ZmoNItI9/of/2q9Gw1Tl2XO+mOfweyndAbn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GPYswwAAAOI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0;top:1083945;height:0;width:349200;" filled="f" stroked="t" coordsize="21600,21600" o:gfxdata="UEsDBAoAAAAAAIdO4kAAAAAAAAAAAAAAAAAEAAAAZHJzL1BLAwQUAAAACACHTuJAjVb478IAAADi&#10;AAAADwAAAGRycy9kb3ducmV2LnhtbEWPQUsDMRSE70L/Q3iCN5tkF2W7Nu2hsOBBBGvb82Pz3F27&#10;eVmSuK3/3giCx2FmvmHW26sbxUwhDp4N6KUCQdx6O3Bn4PDe3FcgYkK2OHomA98UYbtZ3Kyxtv7C&#10;bzTvUycyhGONBvqUplrK2PbkMC79RJy9Dx8cpixDJ23AS4a7URZKPUqHA+eFHifa9dSe91/OwMvr&#10;qjqc9Tw3TXv6LAM3WMqjMXe3Wj2BSHRN/+G/9rM1UBRaPZSV0vB7Kd8Bufk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1W&#10;+O/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line id="_x0000_s1026" o:spid="_x0000_s1026" o:spt="20" style="position:absolute;left:0;top:1082040;height:3375660;width:0;" filled="f" stroked="t" coordsize="21600,21600" o:gfxdata="UEsDBAoAAAAAAIdO4kAAAAAAAAAAAAAAAAAEAAAAZHJzL1BLAwQUAAAACACHTuJAE7gr9MQAAADi&#10;AAAADwAAAGRycy9kb3ducmV2LnhtbEWPTU/DMAyG70j7D5EncWNpx0erbtkOk5BAQoIVDhytxmu6&#10;NU5JQlv+PTkgcbRev4/9bPez7cVIPnSOFeSrDARx43THrYKP98ebEkSIyBp7x6TghwLsd4urLVba&#10;TXyksY6tSBAOFSowMQ6VlKExZDGs3ECcspPzFmMafSu1xynBbS/XWfYgLXacLhgc6GCoudTfNlG4&#10;+DrNvf98e30xZT2d6XksSKnrZZ5tQESa4//yX/tJKyjWRXl3n9+mn5NS0gG5+w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7gr9MQAAADiAAAADwAAAAAAAAABACAAAAAiAAAAZHJzL2Rvd25yZXYueG1sUEsBAhQAFAAAAAgA&#10;h07iQDMvBZ47AAAAOQAAABAAAAAAAAAAAQAgAAAAEwEAAGRycy9zaGFwZXhtbC54bWxQSwUGAAAA&#10;AAYABgBbAQAAvQMAAAAA&#10;">
                      <v:fill on="f" focussize="0,0"/>
                      <v:stroke weight="0.5pt" color="#000000 [3213]" miterlimit="8" joinstyle="miter"/>
                      <v:imagedata o:title=""/>
                      <o:lock v:ext="edit" aspectratio="f"/>
                    </v:line>
                    <v:line id="_x0000_s1026" o:spid="_x0000_s1026" o:spt="20" style="position:absolute;left:0;top:4457700;height:0;width:1333500;" filled="f" stroked="t" coordsize="21600,21600" o:gfxdata="UEsDBAoAAAAAAIdO4kAAAAAAAAAAAAAAAAAEAAAAZHJzL1BLAwQUAAAACACHTuJA4BREWcMAAADi&#10;AAAADwAAAGRycy9kb3ducmV2LnhtbEWPQUvEMBSE74L/ITzBm5t0ld1ud7N7EAQFQa0e9vho3jbV&#10;5qUmsa3/3giCx2FmvmF2h9n1YqQQO88aioUCQdx403Gr4e317qoEEROywd4zafimCIf9+dkOK+Mn&#10;fqGxTq3IEI4VarApDZWUsbHkMC78QJy9kw8OU5ahlSbglOGul0ulVtJhx3nB4kC3lpqP+stlCq8/&#10;T3Mfjs9Pj7asp3d6GNek9eVFobYgEs3pP/zXvjcaNtfqZrkqiw38Xsp3QO5/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g&#10;FERZwwAAAOIAAAAPAAAAAAAAAAEAIAAAACIAAABkcnMvZG93bnJldi54bWxQSwECFAAUAAAACACH&#10;TuJAMy8FnjsAAAA5AAAAEAAAAAAAAAABACAAAAASAQAAZHJzL3NoYXBleG1sLnhtbFBLBQYAAAAA&#10;BgAGAFsBAAC8AwAAAAA=&#10;">
                      <v:fill on="f" focussize="0,0"/>
                      <v:stroke weight="0.5pt" color="#000000 [3213]" miterlimit="8" joinstyle="miter"/>
                      <v:imagedata o:title=""/>
                      <o:lock v:ext="edit" aspectratio="f"/>
                    </v:line>
                    <v:rect id="_x0000_s1026" o:spid="_x0000_s1026" o:spt="1" style="position:absolute;left:1181100;top:0;height:312420;width:1363980;v-text-anchor:middle;" fillcolor="#FFFFFF [3201]" filled="t" stroked="t" coordsize="21600,21600" o:gfxdata="UEsDBAoAAAAAAIdO4kAAAAAAAAAAAAAAAAAEAAAAZHJzL1BLAwQUAAAACACHTuJAEn4P78EAAADj&#10;AAAADwAAAGRycy9kb3ducmV2LnhtbEVPvW7CMBDeK/EO1iF1K3aAQptiGBCVGFiSdmi3U3xNosbn&#10;KDYk4ekxUqWO9/3fZjfYRlyo87VjDclMgSAunKm51PD58f70AsIHZIONY9IwkofddvKwwdS4njO6&#10;5KEUMYR9ihqqENpUSl9UZNHPXEscuR/XWQzx7EppOuxjuG3kXKmVtFhzbKiwpX1FxW9+thowH77H&#10;cfzqe5k1qj5cszY/ZVo/ThP1BiLQEP7Ff+6jifPXi+fX9XK+SuD+UwRAbm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n4P&#10;78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6A0A6A8D">
                            <w:pPr>
                              <w:ind w:firstLine="300"/>
                              <w:rPr>
                                <w:rFonts w:hint="eastAsia" w:ascii="宋体" w:hAnsi="宋体"/>
                                <w:sz w:val="18"/>
                                <w:szCs w:val="18"/>
                              </w:rPr>
                            </w:pPr>
                            <w:r>
                              <w:rPr>
                                <w:rFonts w:hint="eastAsia" w:ascii="宋体" w:hAnsi="宋体"/>
                                <w:sz w:val="18"/>
                                <w:szCs w:val="18"/>
                              </w:rPr>
                              <w:t>目的和范围的确定</w:t>
                            </w:r>
                          </w:p>
                        </w:txbxContent>
                      </v:textbox>
                    </v:rect>
                    <v:rect id="_x0000_s1026" o:spid="_x0000_s1026" o:spt="1" style="position:absolute;left:1181100;top:624840;height:289560;width:1363980;v-text-anchor:middle;" fillcolor="#FFFFFF [3201]" filled="t" stroked="t" coordsize="21600,21600" o:gfxdata="UEsDBAoAAAAAAIdO4kAAAAAAAAAAAAAAAAAEAAAAZHJzL1BLAwQUAAAACACHTuJAmISC8cAAAADj&#10;AAAADwAAAGRycy9kb3ducmV2LnhtbEVPvW7CMBDeK/EO1iGxNXZAIJRiGCqQGFiSdmi3U3xNosbn&#10;KDYk4ekxUqWO9/3f7jDaVtyo941jDWmiQBCXzjRcafj8OL1uQfiAbLB1TBom8nDYz152mBk3cE63&#10;IlQihrDPUEMdQpdJ6cuaLPrEdcSR+3G9xRDPvpKmxyGG21YuldpIiw3Hhho7eq+p/C2uVgMW4/c0&#10;TV/DIPNWNcd73hWXXOvFPFVvIAKN4V/85z6bOF+pdLtR63QFz58iAHL/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hILx&#10;wAAAAOMAAAAPAAAAAAAAAAEAIAAAACIAAABkcnMvZG93bnJldi54bWxQSwECFAAUAAAACACHTuJA&#10;My8FnjsAAAA5AAAAEAAAAAAAAAABACAAAAAPAQAAZHJzL3NoYXBleG1sLnhtbFBLBQYAAAAABgAG&#10;AFsBAAC5AwAAAAA=&#10;">
                      <v:fill on="t" focussize="0,0"/>
                      <v:stroke weight="1pt" color="#000000 [3213]" miterlimit="8" joinstyle="miter"/>
                      <v:imagedata o:title=""/>
                      <o:lock v:ext="edit" aspectratio="f"/>
                      <v:textbox>
                        <w:txbxContent>
                          <w:p w14:paraId="2CA6A60D">
                            <w:pPr>
                              <w:ind w:firstLine="630" w:firstLineChars="350"/>
                              <w:rPr>
                                <w:rFonts w:hint="eastAsia" w:ascii="宋体" w:hAnsi="宋体"/>
                                <w:sz w:val="18"/>
                                <w:szCs w:val="18"/>
                              </w:rPr>
                            </w:pPr>
                            <w:r>
                              <w:rPr>
                                <w:rFonts w:hint="eastAsia" w:ascii="宋体" w:hAnsi="宋体"/>
                                <w:sz w:val="18"/>
                                <w:szCs w:val="18"/>
                              </w:rPr>
                              <w:t>数据收集准备</w:t>
                            </w:r>
                          </w:p>
                        </w:txbxContent>
                      </v:textbox>
                    </v:rect>
                    <v:rect id="_x0000_s1026" o:spid="_x0000_s1026" o:spt="1" style="position:absolute;left:1950720;top:922020;height:297180;width:914400;v-text-anchor:middle;" fillcolor="#FFFFFF [3201]" filled="t" stroked="f" coordsize="21600,21600" o:gfxdata="UEsDBAoAAAAAAIdO4kAAAAAAAAAAAAAAAAAEAAAAZHJzL1BLAwQUAAAACACHTuJAFp5Un8EAAADj&#10;AAAADwAAAGRycy9kb3ducmV2LnhtbEVPT0vDMBS/C36H8AbeXNJJN6nLdhgI9iDotoPHR/NsuzYv&#10;Jcna7tsbQfD4fv/fdj/bXozkQ+tYQ7ZUIIgrZ1quNZxPr4/PIEJENtg7Jg03CrDf3d9tsTBu4k8a&#10;j7EWKYRDgRqaGIdCylA1ZDEs3UCcuG/nLcZ0+loaj1MKt71cKbWWFltODQ0OdGio6o5Xq6ErS3ud&#10;82osP943lyc/3brT10Hrh0WmXkBEmuO/+M/9ZtL8bJOvVKbyNfz+lACQu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p5U&#10;n8EAAADjAAAADwAAAAAAAAABACAAAAAiAAAAZHJzL2Rvd25yZXYueG1sUEsBAhQAFAAAAAgAh07i&#10;QDMvBZ47AAAAOQAAABAAAAAAAAAAAQAgAAAAEAEAAGRycy9zaGFwZXhtbC54bWxQSwUGAAAAAAYA&#10;BgBbAQAAugMAAAAA&#10;">
                      <v:fill on="t" focussize="0,0"/>
                      <v:stroke on="f" weight="1pt" miterlimit="8" joinstyle="miter"/>
                      <v:imagedata o:title=""/>
                      <o:lock v:ext="edit" aspectratio="f"/>
                      <v:textbox>
                        <w:txbxContent>
                          <w:p w14:paraId="103CF9BF">
                            <w:pPr>
                              <w:ind w:firstLine="300"/>
                              <w:jc w:val="center"/>
                              <w:rPr>
                                <w:rFonts w:hint="eastAsia" w:ascii="宋体" w:hAnsi="宋体"/>
                                <w:sz w:val="18"/>
                                <w:szCs w:val="18"/>
                              </w:rPr>
                            </w:pPr>
                            <w:r>
                              <w:rPr>
                                <w:rFonts w:hint="eastAsia" w:ascii="宋体" w:hAnsi="宋体"/>
                                <w:sz w:val="18"/>
                                <w:szCs w:val="18"/>
                              </w:rPr>
                              <w:t>数据收集表</w:t>
                            </w:r>
                          </w:p>
                        </w:txbxContent>
                      </v:textbox>
                    </v:rect>
                    <v:rect id="_x0000_s1026" o:spid="_x0000_s1026" o:spt="1" style="position:absolute;left:349200;top:938835;height:281940;width:1070025;v-text-anchor:middle;" fillcolor="#FFFFFF [3201]" filled="t" stroked="f" coordsize="21600,21600" o:gfxdata="UEsDBAoAAAAAAIdO4kAAAAAAAAAAAAAAAAAEAAAAZHJzL1BLAwQUAAAACACHTuJA0oEzr8QAAADj&#10;AAAADwAAAGRycy9kb3ducmV2LnhtbEWPQUvEMBSE74L/ITzBm5u0q1XqZvewINiDoLt78Phonm1t&#10;81KSbNv990YQPA4z8w2z2S12EBP50DnWkK0UCOLamY4bDafjy90TiBCRDQ6OScOFAuy211cbLI2b&#10;+YOmQ2xEgnAoUUMb41hKGeqWLIaVG4mT9+W8xZikb6TxOCe4HWSuVCEtdpwWWhxp31LdH85WQ19V&#10;9rw81FP1/vb4vfbzpT9+7rW+vcnUM4hIS/wP/7VfjYY8U7laq/uigN9P6Q/I7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0oEzr8QAAADjAAAADwAAAAAAAAABACAAAAAiAAAAZHJzL2Rvd25yZXYueG1sUEsBAhQAFAAAAAgA&#10;h07iQDMvBZ47AAAAOQAAABAAAAAAAAAAAQAgAAAAEwEAAGRycy9zaGFwZXhtbC54bWxQSwUGAAAA&#10;AAYABgBbAQAAvQMAAAAA&#10;">
                      <v:fill on="t" focussize="0,0"/>
                      <v:stroke on="f" weight="1pt" miterlimit="8" joinstyle="miter"/>
                      <v:imagedata o:title=""/>
                      <o:lock v:ext="edit" aspectratio="f"/>
                      <v:textbox>
                        <w:txbxContent>
                          <w:p w14:paraId="0E45D0A2">
                            <w:pPr>
                              <w:rPr>
                                <w:rFonts w:hint="eastAsia" w:ascii="宋体" w:hAnsi="宋体"/>
                                <w:sz w:val="18"/>
                                <w:szCs w:val="18"/>
                              </w:rPr>
                            </w:pPr>
                            <w:r>
                              <w:rPr>
                                <w:rFonts w:hint="eastAsia" w:ascii="宋体" w:hAnsi="宋体"/>
                                <w:sz w:val="18"/>
                                <w:szCs w:val="18"/>
                              </w:rPr>
                              <w:t>调整的数据收集表</w:t>
                            </w:r>
                          </w:p>
                        </w:txbxContent>
                      </v:textbox>
                    </v:rect>
                    <v:line id="_x0000_s1026" o:spid="_x0000_s1026" o:spt="20" style="position:absolute;left:2545080;top:144780;flip:y;height:7620;width:1584960;" filled="f" stroked="t" coordsize="21600,21600" o:gfxdata="UEsDBAoAAAAAAIdO4kAAAAAAAAAAAAAAAAAEAAAAZHJzL1BLAwQUAAAACACHTuJAOrzamsQAAADj&#10;AAAADwAAAGRycy9kb3ducmV2LnhtbEWPQUvDQBCF74L/YRnBm91NwaZJuy2iWIqerII9DtlpEszO&#10;huyaxH/vHASPM/Pmvfdt97Pv1EhDbANbyBYGFHEVXMu1hY/357s1qJiQHXaBycIPRdjvrq+2WLow&#10;8RuNp1QrMeFYooUmpb7UOlYNeYyL0BPL7RIGj0nGodZuwEnMfaeXxqy0x5YlocGeHhuqvk7f3sL0&#10;svSH+Xw20X++Pj2MKTvmh87a25vMbEAlmtO/+O/76KT+elXkRX5fCIUwyQL07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rzamsQAAADjAAAADwAAAAAAAAABACAAAAAiAAAAZHJzL2Rvd25yZXYueG1sUEsBAhQAFAAAAAgA&#10;h07iQDMvBZ47AAAAOQAAABAAAAAAAAAAAQAgAAAAEwEAAGRycy9zaGFwZXhtbC54bWxQSwUGAAAA&#10;AAYABgBbAQAAvQMAAAAA&#10;">
                      <v:fill on="f" focussize="0,0"/>
                      <v:stroke weight="0.5pt" color="#000000 [3213]" miterlimit="8" joinstyle="miter" dashstyle="dash"/>
                      <v:imagedata o:title=""/>
                      <o:lock v:ext="edit" aspectratio="f"/>
                    </v:line>
                    <v:shape id="_x0000_s1026" o:spid="_x0000_s1026" o:spt="32" type="#_x0000_t32" style="position:absolute;left:4130040;top:152400;height:2202180;width:0;" filled="f" stroked="t" coordsize="21600,21600" o:gfxdata="UEsDBAoAAAAAAIdO4kAAAAAAAAAAAAAAAAAEAAAAZHJzL1BLAwQUAAAACACHTuJACxULDsEAAADj&#10;AAAADwAAAGRycy9kb3ducmV2LnhtbEVPX0vDMBB/F/wO4QTfXNJuuK1bNlCo7E1aRXy8NWdT2lxK&#10;E7f57Y0g7PF+/2+7v7hBnGgKnWcN2UyBIG686bjV8P5WPqxAhIhscPBMGn4owH53e7PFwvgzV3Sq&#10;YytSCIcCNdgYx0LK0FhyGGZ+JE7cl58cxnROrTQTnlO4G2Su1KN02HFqsDjSs6Wmr7+dhvopWx/C&#10;sV9/vpj+tbRVWX0sSq3v7zK1ARHpEq/if/fBpPlLtcrz5Xwxh7+fEgBy9w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xUL&#10;DsEAAADjAAAADwAAAAAAAAABACAAAAAiAAAAZHJzL2Rvd25yZXYueG1sUEsBAhQAFAAAAAgAh07i&#10;QDMvBZ47AAAAOQAAABAAAAAAAAAAAQAgAAAAEAEAAGRycy9zaGFwZXhtbC54bWxQSwUGAAAAAAYA&#10;BgBbAQAAugMAAAAA&#10;">
                      <v:fill on="f" focussize="0,0"/>
                      <v:stroke weight="0.5pt" color="#000000 [3213]" miterlimit="8" joinstyle="miter" dashstyle="dash" endarrow="block"/>
                      <v:imagedata o:title=""/>
                      <o:lock v:ext="edit" aspectratio="f"/>
                    </v:shape>
                  </v:group>
                </v:group>
                <w10:wrap type="topAndBottom"/>
              </v:group>
            </w:pict>
          </mc:Fallback>
        </mc:AlternateContent>
      </w:r>
      <w:r>
        <w:rPr>
          <w:rFonts w:hint="eastAsia" w:ascii="黑体" w:hAnsi="黑体" w:eastAsia="黑体"/>
          <w:sz w:val="21"/>
          <w:szCs w:val="21"/>
        </w:rPr>
        <w:t>图2  生命周期清单的简化流程</w:t>
      </w:r>
    </w:p>
    <w:p w14:paraId="2145349B">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6.1.1.2  数据收集</w:t>
      </w:r>
    </w:p>
    <w:p w14:paraId="76FFE57D">
      <w:pPr>
        <w:pStyle w:val="61"/>
        <w:rPr>
          <w:rFonts w:hAnsi="Times New Roman"/>
        </w:rPr>
      </w:pPr>
      <w:r>
        <w:rPr>
          <w:rFonts w:hint="eastAsia"/>
        </w:rPr>
        <w:t>数据的选择取决于研究的目的和范围。这些数据可以从系统边界内与单元过程相关的 生产场所中收集，或者可以通过其他渠道获取或计算得出。</w:t>
      </w:r>
    </w:p>
    <w:p w14:paraId="5213DBAE">
      <w:pPr>
        <w:pStyle w:val="61"/>
        <w:rPr>
          <w:rFonts w:hint="eastAsia"/>
        </w:rPr>
      </w:pPr>
      <w:r>
        <w:rPr>
          <w:rFonts w:hint="eastAsia"/>
        </w:rPr>
        <w:t>应收集系统边界内所有单元过程的定性资料和定量数据。通过测量、计算或估算而收集到的数据，均可用于量化单元过程的输入和输出。</w:t>
      </w:r>
    </w:p>
    <w:p w14:paraId="5EDF7202">
      <w:pPr>
        <w:pStyle w:val="61"/>
        <w:rPr>
          <w:rFonts w:hint="eastAsia"/>
        </w:rPr>
      </w:pPr>
      <w:r>
        <w:rPr>
          <w:rFonts w:hint="eastAsia"/>
        </w:rPr>
        <w:t>a）输入</w:t>
      </w:r>
    </w:p>
    <w:p w14:paraId="3D25A1BA">
      <w:pPr>
        <w:pStyle w:val="61"/>
        <w:ind w:left="210" w:leftChars="100"/>
        <w:rPr>
          <w:rFonts w:hint="eastAsia"/>
        </w:rPr>
      </w:pPr>
      <w:r>
        <w:rPr>
          <w:rFonts w:hint="eastAsia"/>
        </w:rPr>
        <w:t>——消耗的矿产品、半成品等原料；</w:t>
      </w:r>
    </w:p>
    <w:p w14:paraId="67BA1EBB">
      <w:pPr>
        <w:pStyle w:val="61"/>
        <w:ind w:left="210" w:leftChars="100"/>
        <w:rPr>
          <w:rFonts w:hint="eastAsia"/>
        </w:rPr>
      </w:pPr>
      <w:r>
        <w:rPr>
          <w:rFonts w:hint="eastAsia"/>
        </w:rPr>
        <w:t>——消耗的辅材和药剂；</w:t>
      </w:r>
    </w:p>
    <w:p w14:paraId="6A39D4AE">
      <w:pPr>
        <w:pStyle w:val="61"/>
        <w:ind w:left="210" w:leftChars="100"/>
        <w:rPr>
          <w:rFonts w:hint="eastAsia"/>
        </w:rPr>
      </w:pPr>
      <w:r>
        <w:rPr>
          <w:rFonts w:hint="eastAsia"/>
        </w:rPr>
        <w:t>——消耗的能源，如：燃料、电力、热力等；</w:t>
      </w:r>
    </w:p>
    <w:p w14:paraId="47A114DE">
      <w:pPr>
        <w:pStyle w:val="61"/>
        <w:ind w:left="210" w:leftChars="100"/>
        <w:rPr>
          <w:rFonts w:hint="eastAsia"/>
        </w:rPr>
      </w:pPr>
      <w:r>
        <w:rPr>
          <w:rFonts w:hint="eastAsia"/>
        </w:rPr>
        <w:t>——耗能工质；</w:t>
      </w:r>
    </w:p>
    <w:p w14:paraId="09AA5395">
      <w:pPr>
        <w:pStyle w:val="61"/>
        <w:ind w:left="210" w:leftChars="100"/>
        <w:rPr>
          <w:rFonts w:hint="eastAsia"/>
        </w:rPr>
      </w:pPr>
      <w:r>
        <w:rPr>
          <w:rFonts w:hint="eastAsia"/>
        </w:rPr>
        <w:t>——第三方服务。</w:t>
      </w:r>
    </w:p>
    <w:p w14:paraId="665520D1">
      <w:pPr>
        <w:pStyle w:val="61"/>
        <w:rPr>
          <w:rFonts w:hint="eastAsia"/>
        </w:rPr>
      </w:pPr>
      <w:r>
        <w:rPr>
          <w:rFonts w:hint="eastAsia"/>
        </w:rPr>
        <w:t>b）输出</w:t>
      </w:r>
    </w:p>
    <w:p w14:paraId="6AD8D9C6">
      <w:pPr>
        <w:pStyle w:val="61"/>
        <w:ind w:left="210" w:leftChars="100"/>
        <w:rPr>
          <w:rFonts w:hint="eastAsia"/>
        </w:rPr>
      </w:pPr>
      <w:r>
        <w:rPr>
          <w:rFonts w:hint="eastAsia"/>
        </w:rPr>
        <w:t>——主产品和共生产品；</w:t>
      </w:r>
    </w:p>
    <w:p w14:paraId="1C2777B2">
      <w:pPr>
        <w:pStyle w:val="61"/>
        <w:ind w:left="210" w:leftChars="100"/>
        <w:rPr>
          <w:rFonts w:hint="eastAsia"/>
        </w:rPr>
      </w:pPr>
      <w:r>
        <w:rPr>
          <w:rFonts w:hint="eastAsia"/>
        </w:rPr>
        <w:t>——废弃物；</w:t>
      </w:r>
    </w:p>
    <w:p w14:paraId="31279765">
      <w:pPr>
        <w:pStyle w:val="61"/>
        <w:ind w:left="210" w:leftChars="100"/>
        <w:rPr>
          <w:rFonts w:hint="eastAsia"/>
        </w:rPr>
      </w:pPr>
      <w:r>
        <w:rPr>
          <w:rFonts w:hint="eastAsia"/>
        </w:rPr>
        <w:t>——温室气体直接排放。</w:t>
      </w:r>
    </w:p>
    <w:p w14:paraId="56E7CC37">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6.1.1.3  数据确认</w:t>
      </w:r>
    </w:p>
    <w:p w14:paraId="1592419C">
      <w:pPr>
        <w:pStyle w:val="61"/>
        <w:rPr>
          <w:rFonts w:hAnsi="Times New Roman"/>
        </w:rPr>
      </w:pPr>
      <w:r>
        <w:rPr>
          <w:rFonts w:hint="eastAsia"/>
        </w:rPr>
        <w:t>在数据收集过程中应对数据的有效性进行检查。这应包括检查完整性、质量平衡、能量平衡、水平衡、碳平衡、冶金平衡和其他类似的平衡检查。</w:t>
      </w:r>
    </w:p>
    <w:p w14:paraId="26EBB92B">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6.1.1.4  数据与单元过程和声明单位的关联</w:t>
      </w:r>
    </w:p>
    <w:p w14:paraId="3C2B62A4">
      <w:pPr>
        <w:pStyle w:val="61"/>
        <w:rPr>
          <w:rFonts w:hAnsi="Times New Roman"/>
        </w:rPr>
      </w:pPr>
      <w:r>
        <w:rPr>
          <w:rFonts w:hint="eastAsia"/>
        </w:rPr>
        <w:t>以流程图和各单元过程间的流为基础，所有单元过程的流都与基准流建立联系。计算应将系统的输入和输出数据与声明单位建立联系。</w:t>
      </w:r>
    </w:p>
    <w:p w14:paraId="6773F402">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6.1.1.5  系统边界调整</w:t>
      </w:r>
    </w:p>
    <w:p w14:paraId="6664E709">
      <w:pPr>
        <w:pStyle w:val="61"/>
        <w:rPr>
          <w:rFonts w:hAnsi="Times New Roman"/>
        </w:rPr>
      </w:pPr>
      <w:r>
        <w:rPr>
          <w:rFonts w:hint="eastAsia"/>
        </w:rPr>
        <w:t xml:space="preserve">基于产品碳足迹量化工作需要不断迭代的特性，应根据由敏感性分析所判定的重要性来决定数据的取舍，从而对系统边界中所述的初始分析加以验证。初始系统边界应根据目的和范围确定阶段所规定的取舍准则进行调整。应在产品碳足迹研究报告中记录调整过程和敏感性分析结果。基于敏感性分析的系统边界调整可导致： </w:t>
      </w:r>
    </w:p>
    <w:p w14:paraId="4C38D42C">
      <w:pPr>
        <w:pStyle w:val="61"/>
        <w:rPr>
          <w:rFonts w:hint="eastAsia"/>
        </w:rPr>
      </w:pPr>
      <w:r>
        <w:rPr>
          <w:rFonts w:hint="eastAsia"/>
        </w:rPr>
        <w:t xml:space="preserve">a)排除被判定为不具有显著性影响的生命周期阶段或单元过程； </w:t>
      </w:r>
    </w:p>
    <w:p w14:paraId="3B30857C">
      <w:pPr>
        <w:pStyle w:val="61"/>
        <w:rPr>
          <w:rFonts w:hint="eastAsia"/>
        </w:rPr>
      </w:pPr>
      <w:r>
        <w:rPr>
          <w:rFonts w:hint="eastAsia"/>
        </w:rPr>
        <w:t xml:space="preserve">b)排除对产品碳足迹结果不具有显著影响的输入和输出； </w:t>
      </w:r>
    </w:p>
    <w:p w14:paraId="4F7DB64B">
      <w:pPr>
        <w:pStyle w:val="61"/>
        <w:rPr>
          <w:rFonts w:hint="eastAsia"/>
        </w:rPr>
      </w:pPr>
      <w:r>
        <w:rPr>
          <w:rFonts w:hint="eastAsia"/>
        </w:rPr>
        <w:t xml:space="preserve">c)纳入具有显著性影响的新的单元过程、输入输出。 </w:t>
      </w:r>
    </w:p>
    <w:p w14:paraId="36FE9E75">
      <w:pPr>
        <w:pStyle w:val="61"/>
        <w:rPr>
          <w:rFonts w:hint="eastAsia"/>
        </w:rPr>
      </w:pPr>
      <w:r>
        <w:rPr>
          <w:rFonts w:hint="eastAsia"/>
        </w:rPr>
        <w:t>系统边界调整有助于把数据处理限制在被判定为对产品碳足迹研究目的具有显著性影响的输入和输出数据范围内。</w:t>
      </w:r>
    </w:p>
    <w:p w14:paraId="41401D0C">
      <w:pPr>
        <w:pStyle w:val="61"/>
        <w:ind w:firstLine="360"/>
        <w:rPr>
          <w:rFonts w:hint="eastAsia"/>
          <w:sz w:val="18"/>
          <w:szCs w:val="18"/>
        </w:rPr>
      </w:pPr>
      <w:r>
        <w:rPr>
          <w:rFonts w:hint="eastAsia" w:ascii="黑体" w:hAnsi="黑体" w:eastAsia="黑体"/>
          <w:sz w:val="18"/>
          <w:szCs w:val="18"/>
        </w:rPr>
        <w:t>注：</w:t>
      </w:r>
      <w:r>
        <w:rPr>
          <w:rFonts w:hint="eastAsia"/>
          <w:sz w:val="18"/>
          <w:szCs w:val="18"/>
        </w:rPr>
        <w:t>本条款改编</w:t>
      </w:r>
      <w:r>
        <w:rPr>
          <w:rFonts w:hint="eastAsia" w:ascii="Times New Roman" w:hAnsi="Times New Roman"/>
          <w:sz w:val="18"/>
          <w:szCs w:val="18"/>
        </w:rPr>
        <w:t>自 GB/T 24044-2008, 4.3.3.4。</w:t>
      </w:r>
    </w:p>
    <w:p w14:paraId="1E94C89B">
      <w:pPr>
        <w:pStyle w:val="61"/>
        <w:ind w:firstLine="360"/>
        <w:outlineLvl w:val="2"/>
        <w:rPr>
          <w:rFonts w:hint="eastAsia"/>
          <w:sz w:val="18"/>
          <w:szCs w:val="18"/>
        </w:rPr>
      </w:pPr>
      <w:r>
        <w:rPr>
          <w:sz w:val="18"/>
          <w:szCs w:val="18"/>
        </w:rPr>
        <w:cr/>
      </w:r>
      <w:bookmarkStart w:id="131" w:name="_Toc161425580"/>
      <w:r>
        <w:rPr>
          <w:rFonts w:hint="eastAsia" w:ascii="黑体" w:hAnsi="黑体" w:eastAsia="黑体" w:cs="黑体"/>
        </w:rPr>
        <w:t>6.1.2  数据和数据质量</w:t>
      </w:r>
      <w:bookmarkEnd w:id="131"/>
    </w:p>
    <w:p w14:paraId="4CE0ABE3">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6.1.2.1  数据类型</w:t>
      </w:r>
    </w:p>
    <w:p w14:paraId="622F0B8A">
      <w:pPr>
        <w:pStyle w:val="61"/>
        <w:rPr>
          <w:rFonts w:hAnsi="Times New Roman"/>
        </w:rPr>
      </w:pPr>
      <w:r>
        <w:rPr>
          <w:rFonts w:hint="eastAsia"/>
        </w:rPr>
        <w:t>数据清单范围应涵盖系统边界内每一个单元过程，这些数据可以是温室气体直接排放数据、活动数据、也可以是排放因子。</w:t>
      </w:r>
    </w:p>
    <w:p w14:paraId="3CBB55A3">
      <w:pPr>
        <w:pStyle w:val="61"/>
        <w:rPr>
          <w:rFonts w:hint="eastAsia"/>
        </w:rPr>
      </w:pPr>
      <w:r>
        <w:rPr>
          <w:rFonts w:hint="eastAsia"/>
        </w:rPr>
        <w:t>从数据质量角度，数据可分为初级数据和次级数据。</w:t>
      </w:r>
    </w:p>
    <w:p w14:paraId="79D1262D">
      <w:pPr>
        <w:pStyle w:val="61"/>
        <w:rPr>
          <w:rFonts w:hint="eastAsia"/>
        </w:rPr>
      </w:pPr>
      <w:r>
        <w:rPr>
          <w:rFonts w:hint="eastAsia"/>
        </w:rPr>
        <w:t>从数据是否来源于报告主体的物质能量流，又可以分为现场特征数据和背景数据，现场特征数据应为初级数据；背景数据可以是初级数据，也可以是次级数据。</w:t>
      </w:r>
    </w:p>
    <w:p w14:paraId="67B295FD">
      <w:pPr>
        <w:pStyle w:val="61"/>
        <w:rPr>
          <w:rFonts w:hint="eastAsia"/>
        </w:rPr>
      </w:pPr>
      <w:r>
        <w:rPr>
          <w:rFonts w:hint="eastAsia"/>
        </w:rPr>
        <w:t>在开展产品碳足迹研究的组织拥有财务或运营控制权的情况下，应收集现场特征数据。在收集现场数据不可行的情况下，宜使用经第三方评审的非现场数据的初级数据。仅在收集初级数据不可行时，次级数据才能用于输入和输出，或用于重要性较低的过程。同时应证明次级数据的适用性，并注明参考文件。</w:t>
      </w:r>
    </w:p>
    <w:p w14:paraId="4930FEAD">
      <w:pPr>
        <w:pStyle w:val="61"/>
        <w:rPr>
          <w:rFonts w:hint="eastAsia"/>
          <w:color w:val="auto"/>
        </w:rPr>
      </w:pPr>
      <w:r>
        <w:rPr>
          <w:rFonts w:hint="eastAsia"/>
          <w:color w:val="auto"/>
          <w:lang w:eastAsia="zh-CN"/>
        </w:rPr>
        <w:t>锡</w:t>
      </w:r>
      <w:r>
        <w:rPr>
          <w:rFonts w:hint="eastAsia"/>
          <w:color w:val="auto"/>
        </w:rPr>
        <w:t>锭生产企业涉及的主要数据类型见表3。</w:t>
      </w:r>
    </w:p>
    <w:p w14:paraId="77A6FEAC">
      <w:pPr>
        <w:pStyle w:val="61"/>
        <w:ind w:firstLine="0" w:firstLineChars="0"/>
        <w:jc w:val="center"/>
        <w:rPr>
          <w:rFonts w:hint="eastAsia" w:ascii="黑体" w:hAnsi="黑体" w:eastAsia="黑体"/>
          <w:color w:val="auto"/>
        </w:rPr>
      </w:pPr>
      <w:r>
        <w:rPr>
          <w:rFonts w:hint="eastAsia" w:ascii="黑体" w:hAnsi="黑体" w:eastAsia="黑体"/>
          <w:color w:val="auto"/>
        </w:rPr>
        <w:t>表3  数据类型</w:t>
      </w:r>
    </w:p>
    <w:tbl>
      <w:tblPr>
        <w:tblStyle w:val="22"/>
        <w:tblW w:w="8355"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5"/>
        <w:gridCol w:w="450"/>
        <w:gridCol w:w="1769"/>
        <w:gridCol w:w="3599"/>
        <w:gridCol w:w="2092"/>
      </w:tblGrid>
      <w:tr w14:paraId="67EA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445" w:type="dxa"/>
            <w:tcBorders>
              <w:top w:val="single" w:color="auto" w:sz="4" w:space="0"/>
              <w:left w:val="single" w:color="auto" w:sz="4" w:space="0"/>
              <w:bottom w:val="single" w:color="auto" w:sz="4" w:space="0"/>
              <w:right w:val="single" w:color="auto" w:sz="4" w:space="0"/>
            </w:tcBorders>
            <w:noWrap/>
            <w:vAlign w:val="bottom"/>
          </w:tcPr>
          <w:p w14:paraId="5C8505CB">
            <w:pPr>
              <w:widowControl/>
              <w:jc w:val="left"/>
              <w:rPr>
                <w:rFonts w:hint="eastAsia" w:ascii="宋体" w:hAnsi="宋体" w:cs="宋体"/>
                <w:color w:val="000000"/>
                <w:kern w:val="0"/>
                <w:sz w:val="18"/>
                <w:szCs w:val="18"/>
              </w:rPr>
            </w:pPr>
            <w:bookmarkStart w:id="132" w:name="_Hlk167452043"/>
          </w:p>
        </w:tc>
        <w:tc>
          <w:tcPr>
            <w:tcW w:w="450" w:type="dxa"/>
            <w:tcBorders>
              <w:top w:val="single" w:color="auto" w:sz="4" w:space="0"/>
              <w:left w:val="single" w:color="auto" w:sz="4" w:space="0"/>
              <w:bottom w:val="single" w:color="auto" w:sz="4" w:space="0"/>
              <w:right w:val="single" w:color="auto" w:sz="4" w:space="0"/>
            </w:tcBorders>
            <w:noWrap/>
            <w:vAlign w:val="bottom"/>
          </w:tcPr>
          <w:p w14:paraId="763C1994">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bottom"/>
          </w:tcPr>
          <w:p w14:paraId="7AAE44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类别</w:t>
            </w:r>
          </w:p>
        </w:tc>
        <w:tc>
          <w:tcPr>
            <w:tcW w:w="3601" w:type="dxa"/>
            <w:tcBorders>
              <w:top w:val="single" w:color="auto" w:sz="4" w:space="0"/>
              <w:left w:val="single" w:color="auto" w:sz="4" w:space="0"/>
              <w:bottom w:val="single" w:color="auto" w:sz="4" w:space="0"/>
              <w:right w:val="single" w:color="auto" w:sz="4" w:space="0"/>
            </w:tcBorders>
            <w:noWrap/>
            <w:vAlign w:val="bottom"/>
          </w:tcPr>
          <w:p w14:paraId="0A9992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物料及数据清单</w:t>
            </w:r>
          </w:p>
        </w:tc>
        <w:tc>
          <w:tcPr>
            <w:tcW w:w="2093" w:type="dxa"/>
            <w:tcBorders>
              <w:top w:val="single" w:color="auto" w:sz="4" w:space="0"/>
              <w:left w:val="single" w:color="auto" w:sz="4" w:space="0"/>
              <w:bottom w:val="single" w:color="auto" w:sz="4" w:space="0"/>
              <w:right w:val="single" w:color="auto" w:sz="4" w:space="0"/>
            </w:tcBorders>
            <w:noWrap/>
            <w:vAlign w:val="bottom"/>
          </w:tcPr>
          <w:p w14:paraId="409324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备注</w:t>
            </w:r>
          </w:p>
        </w:tc>
      </w:tr>
      <w:tr w14:paraId="2398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restart"/>
            <w:tcBorders>
              <w:top w:val="single" w:color="auto" w:sz="4" w:space="0"/>
              <w:left w:val="single" w:color="auto" w:sz="4" w:space="0"/>
              <w:bottom w:val="single" w:color="auto" w:sz="4" w:space="0"/>
              <w:right w:val="single" w:color="auto" w:sz="4" w:space="0"/>
            </w:tcBorders>
            <w:vAlign w:val="center"/>
          </w:tcPr>
          <w:p w14:paraId="286084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现场特征数据</w:t>
            </w:r>
          </w:p>
        </w:tc>
        <w:tc>
          <w:tcPr>
            <w:tcW w:w="450" w:type="dxa"/>
            <w:vMerge w:val="restart"/>
            <w:tcBorders>
              <w:top w:val="single" w:color="auto" w:sz="4" w:space="0"/>
              <w:left w:val="single" w:color="auto" w:sz="4" w:space="0"/>
              <w:bottom w:val="single" w:color="auto" w:sz="4" w:space="0"/>
              <w:right w:val="single" w:color="auto" w:sz="4" w:space="0"/>
            </w:tcBorders>
            <w:noWrap/>
            <w:vAlign w:val="center"/>
          </w:tcPr>
          <w:p w14:paraId="19C522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输入</w:t>
            </w:r>
          </w:p>
        </w:tc>
        <w:tc>
          <w:tcPr>
            <w:tcW w:w="1770" w:type="dxa"/>
            <w:tcBorders>
              <w:top w:val="single" w:color="auto" w:sz="4" w:space="0"/>
              <w:left w:val="single" w:color="auto" w:sz="4" w:space="0"/>
              <w:bottom w:val="single" w:color="auto" w:sz="4" w:space="0"/>
              <w:right w:val="single" w:color="auto" w:sz="4" w:space="0"/>
            </w:tcBorders>
            <w:noWrap/>
            <w:vAlign w:val="center"/>
          </w:tcPr>
          <w:p w14:paraId="3AB6B3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原料</w:t>
            </w:r>
          </w:p>
        </w:tc>
        <w:tc>
          <w:tcPr>
            <w:tcW w:w="3601" w:type="dxa"/>
            <w:tcBorders>
              <w:top w:val="single" w:color="auto" w:sz="4" w:space="0"/>
              <w:left w:val="single" w:color="auto" w:sz="4" w:space="0"/>
              <w:bottom w:val="single" w:color="auto" w:sz="4" w:space="0"/>
              <w:right w:val="single" w:color="auto" w:sz="4" w:space="0"/>
            </w:tcBorders>
            <w:noWrap/>
            <w:vAlign w:val="center"/>
          </w:tcPr>
          <w:p w14:paraId="0E1D33E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如：含</w:t>
            </w: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矿石、</w:t>
            </w: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精矿、</w:t>
            </w:r>
            <w:r>
              <w:rPr>
                <w:rFonts w:hint="eastAsia" w:ascii="宋体" w:hAnsi="宋体" w:cs="宋体"/>
                <w:color w:val="000000"/>
                <w:kern w:val="0"/>
                <w:sz w:val="18"/>
                <w:szCs w:val="18"/>
                <w:lang w:eastAsia="zh-CN"/>
              </w:rPr>
              <w:t>回收锡原料</w:t>
            </w:r>
            <w:r>
              <w:rPr>
                <w:rFonts w:hint="eastAsia" w:ascii="宋体" w:hAnsi="宋体" w:cs="宋体"/>
                <w:color w:val="000000"/>
                <w:kern w:val="0"/>
                <w:sz w:val="18"/>
                <w:szCs w:val="18"/>
              </w:rPr>
              <w:t>等。</w:t>
            </w:r>
          </w:p>
        </w:tc>
        <w:tc>
          <w:tcPr>
            <w:tcW w:w="2093" w:type="dxa"/>
            <w:vMerge w:val="restart"/>
            <w:tcBorders>
              <w:top w:val="single" w:color="auto" w:sz="4" w:space="0"/>
              <w:left w:val="single" w:color="auto" w:sz="4" w:space="0"/>
              <w:bottom w:val="single" w:color="auto" w:sz="4" w:space="0"/>
              <w:right w:val="single" w:color="auto" w:sz="4" w:space="0"/>
            </w:tcBorders>
            <w:noWrap/>
            <w:vAlign w:val="center"/>
          </w:tcPr>
          <w:p w14:paraId="115C78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初级数据</w:t>
            </w:r>
          </w:p>
        </w:tc>
      </w:tr>
      <w:tr w14:paraId="40D2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256D0C79">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63843B3F">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62E1D00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燃料</w:t>
            </w:r>
          </w:p>
        </w:tc>
        <w:tc>
          <w:tcPr>
            <w:tcW w:w="3601" w:type="dxa"/>
            <w:tcBorders>
              <w:top w:val="single" w:color="auto" w:sz="4" w:space="0"/>
              <w:left w:val="single" w:color="auto" w:sz="4" w:space="0"/>
              <w:bottom w:val="single" w:color="auto" w:sz="4" w:space="0"/>
              <w:right w:val="single" w:color="auto" w:sz="4" w:space="0"/>
            </w:tcBorders>
            <w:noWrap/>
            <w:vAlign w:val="center"/>
          </w:tcPr>
          <w:p w14:paraId="0BF77F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煤、焦炭、天然气等。</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30EAF555">
            <w:pPr>
              <w:widowControl/>
              <w:jc w:val="left"/>
              <w:rPr>
                <w:rFonts w:hint="eastAsia" w:ascii="宋体" w:hAnsi="宋体" w:cs="宋体"/>
                <w:color w:val="000000"/>
                <w:kern w:val="0"/>
                <w:sz w:val="18"/>
                <w:szCs w:val="18"/>
              </w:rPr>
            </w:pPr>
          </w:p>
        </w:tc>
      </w:tr>
      <w:tr w14:paraId="6AF6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67D17982">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6A2F6051">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368EF9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电力/热力</w:t>
            </w:r>
          </w:p>
        </w:tc>
        <w:tc>
          <w:tcPr>
            <w:tcW w:w="3601" w:type="dxa"/>
            <w:tcBorders>
              <w:top w:val="single" w:color="auto" w:sz="4" w:space="0"/>
              <w:left w:val="single" w:color="auto" w:sz="4" w:space="0"/>
              <w:bottom w:val="single" w:color="auto" w:sz="4" w:space="0"/>
              <w:right w:val="single" w:color="auto" w:sz="4" w:space="0"/>
            </w:tcBorders>
            <w:noWrap/>
            <w:vAlign w:val="center"/>
          </w:tcPr>
          <w:p w14:paraId="26041AC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自产量和外购量。</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06830228">
            <w:pPr>
              <w:widowControl/>
              <w:jc w:val="left"/>
              <w:rPr>
                <w:rFonts w:hint="eastAsia" w:ascii="宋体" w:hAnsi="宋体" w:cs="宋体"/>
                <w:color w:val="000000"/>
                <w:kern w:val="0"/>
                <w:sz w:val="18"/>
                <w:szCs w:val="18"/>
              </w:rPr>
            </w:pPr>
          </w:p>
        </w:tc>
      </w:tr>
      <w:tr w14:paraId="6FA4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0CB9A1F6">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488701DB">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7E5EFDD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其他耗能工质</w:t>
            </w:r>
          </w:p>
        </w:tc>
        <w:tc>
          <w:tcPr>
            <w:tcW w:w="3601" w:type="dxa"/>
            <w:tcBorders>
              <w:top w:val="single" w:color="auto" w:sz="4" w:space="0"/>
              <w:left w:val="single" w:color="auto" w:sz="4" w:space="0"/>
              <w:bottom w:val="single" w:color="auto" w:sz="4" w:space="0"/>
              <w:right w:val="single" w:color="auto" w:sz="4" w:space="0"/>
            </w:tcBorders>
            <w:noWrap/>
            <w:vAlign w:val="center"/>
          </w:tcPr>
          <w:p w14:paraId="1D3CB4F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水、氧气、氮气、压缩空气等。</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3CF72074">
            <w:pPr>
              <w:widowControl/>
              <w:jc w:val="left"/>
              <w:rPr>
                <w:rFonts w:hint="eastAsia" w:ascii="宋体" w:hAnsi="宋体" w:cs="宋体"/>
                <w:color w:val="000000"/>
                <w:kern w:val="0"/>
                <w:sz w:val="18"/>
                <w:szCs w:val="18"/>
              </w:rPr>
            </w:pPr>
          </w:p>
        </w:tc>
      </w:tr>
      <w:tr w14:paraId="4004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1FBAFED6">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63CF19E7">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1B219B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辅材、药剂</w:t>
            </w:r>
          </w:p>
        </w:tc>
        <w:tc>
          <w:tcPr>
            <w:tcW w:w="3601" w:type="dxa"/>
            <w:tcBorders>
              <w:top w:val="single" w:color="auto" w:sz="4" w:space="0"/>
              <w:left w:val="single" w:color="auto" w:sz="4" w:space="0"/>
              <w:bottom w:val="single" w:color="auto" w:sz="4" w:space="0"/>
              <w:right w:val="single" w:color="auto" w:sz="4" w:space="0"/>
            </w:tcBorders>
            <w:noWrap/>
            <w:vAlign w:val="center"/>
          </w:tcPr>
          <w:p w14:paraId="735DC66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如：采矿消耗的炸药、水泥等；选矿消耗的钢球、衬板、药剂等；冶炼消耗的石英石、石灰石、耐火材料等。</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6F919B6F">
            <w:pPr>
              <w:widowControl/>
              <w:jc w:val="left"/>
              <w:rPr>
                <w:rFonts w:hint="eastAsia" w:ascii="宋体" w:hAnsi="宋体" w:cs="宋体"/>
                <w:color w:val="000000"/>
                <w:kern w:val="0"/>
                <w:sz w:val="18"/>
                <w:szCs w:val="18"/>
              </w:rPr>
            </w:pPr>
          </w:p>
        </w:tc>
      </w:tr>
      <w:tr w14:paraId="512B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16A1B197">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54269EDC">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68A92F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第三方服务结算量</w:t>
            </w:r>
          </w:p>
        </w:tc>
        <w:tc>
          <w:tcPr>
            <w:tcW w:w="3601" w:type="dxa"/>
            <w:tcBorders>
              <w:top w:val="single" w:color="auto" w:sz="4" w:space="0"/>
              <w:left w:val="single" w:color="auto" w:sz="4" w:space="0"/>
              <w:bottom w:val="single" w:color="auto" w:sz="4" w:space="0"/>
              <w:right w:val="single" w:color="auto" w:sz="4" w:space="0"/>
            </w:tcBorders>
            <w:noWrap/>
            <w:vAlign w:val="center"/>
          </w:tcPr>
          <w:p w14:paraId="3D9C53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如现场运输服务，废水、废渣外委处置等。</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31317392">
            <w:pPr>
              <w:widowControl/>
              <w:jc w:val="left"/>
              <w:rPr>
                <w:rFonts w:hint="eastAsia" w:ascii="宋体" w:hAnsi="宋体" w:cs="宋体"/>
                <w:color w:val="000000"/>
                <w:kern w:val="0"/>
                <w:sz w:val="18"/>
                <w:szCs w:val="18"/>
              </w:rPr>
            </w:pPr>
          </w:p>
        </w:tc>
      </w:tr>
      <w:tr w14:paraId="79BF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0B311CC9">
            <w:pPr>
              <w:widowControl/>
              <w:jc w:val="left"/>
              <w:rPr>
                <w:rFonts w:hint="eastAsia" w:ascii="宋体" w:hAnsi="宋体" w:cs="宋体"/>
                <w:color w:val="000000"/>
                <w:kern w:val="0"/>
                <w:sz w:val="18"/>
                <w:szCs w:val="18"/>
              </w:rPr>
            </w:pPr>
          </w:p>
        </w:tc>
        <w:tc>
          <w:tcPr>
            <w:tcW w:w="450" w:type="dxa"/>
            <w:vMerge w:val="restart"/>
            <w:tcBorders>
              <w:top w:val="single" w:color="auto" w:sz="4" w:space="0"/>
              <w:left w:val="single" w:color="auto" w:sz="4" w:space="0"/>
              <w:bottom w:val="single" w:color="auto" w:sz="4" w:space="0"/>
              <w:right w:val="single" w:color="auto" w:sz="4" w:space="0"/>
            </w:tcBorders>
            <w:noWrap/>
            <w:vAlign w:val="center"/>
          </w:tcPr>
          <w:p w14:paraId="762A14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输出</w:t>
            </w:r>
          </w:p>
        </w:tc>
        <w:tc>
          <w:tcPr>
            <w:tcW w:w="1770" w:type="dxa"/>
            <w:tcBorders>
              <w:top w:val="single" w:color="auto" w:sz="4" w:space="0"/>
              <w:left w:val="single" w:color="auto" w:sz="4" w:space="0"/>
              <w:bottom w:val="single" w:color="auto" w:sz="4" w:space="0"/>
              <w:right w:val="single" w:color="auto" w:sz="4" w:space="0"/>
            </w:tcBorders>
            <w:noWrap/>
            <w:vAlign w:val="center"/>
          </w:tcPr>
          <w:p w14:paraId="475F59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主产品量</w:t>
            </w:r>
          </w:p>
        </w:tc>
        <w:tc>
          <w:tcPr>
            <w:tcW w:w="3601" w:type="dxa"/>
            <w:tcBorders>
              <w:top w:val="single" w:color="auto" w:sz="4" w:space="0"/>
              <w:left w:val="single" w:color="auto" w:sz="4" w:space="0"/>
              <w:bottom w:val="single" w:color="auto" w:sz="4" w:space="0"/>
              <w:right w:val="single" w:color="auto" w:sz="4" w:space="0"/>
            </w:tcBorders>
            <w:noWrap/>
            <w:vAlign w:val="center"/>
          </w:tcPr>
          <w:p w14:paraId="300953A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粗</w:t>
            </w: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锭的产量。</w:t>
            </w:r>
          </w:p>
        </w:tc>
        <w:tc>
          <w:tcPr>
            <w:tcW w:w="2093" w:type="dxa"/>
            <w:vMerge w:val="restart"/>
            <w:tcBorders>
              <w:top w:val="single" w:color="auto" w:sz="4" w:space="0"/>
              <w:left w:val="single" w:color="auto" w:sz="4" w:space="0"/>
              <w:bottom w:val="single" w:color="auto" w:sz="4" w:space="0"/>
              <w:right w:val="single" w:color="auto" w:sz="4" w:space="0"/>
            </w:tcBorders>
            <w:noWrap/>
            <w:vAlign w:val="center"/>
          </w:tcPr>
          <w:p w14:paraId="70DA175C">
            <w:pPr>
              <w:jc w:val="center"/>
              <w:rPr>
                <w:rFonts w:hint="eastAsia" w:ascii="宋体" w:hAnsi="宋体" w:cs="宋体"/>
                <w:color w:val="000000"/>
                <w:kern w:val="0"/>
                <w:sz w:val="18"/>
                <w:szCs w:val="18"/>
              </w:rPr>
            </w:pPr>
            <w:r>
              <w:rPr>
                <w:rFonts w:hint="eastAsia" w:ascii="宋体" w:hAnsi="宋体" w:cs="宋体"/>
                <w:color w:val="000000"/>
                <w:kern w:val="0"/>
                <w:sz w:val="18"/>
                <w:szCs w:val="18"/>
              </w:rPr>
              <w:t>初级数据</w:t>
            </w:r>
          </w:p>
        </w:tc>
      </w:tr>
      <w:tr w14:paraId="5A00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32CAB872">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2612B738">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370BB5F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共生产品量</w:t>
            </w:r>
          </w:p>
        </w:tc>
        <w:tc>
          <w:tcPr>
            <w:tcW w:w="3601" w:type="dxa"/>
            <w:tcBorders>
              <w:top w:val="single" w:color="auto" w:sz="4" w:space="0"/>
              <w:left w:val="single" w:color="auto" w:sz="4" w:space="0"/>
              <w:bottom w:val="single" w:color="auto" w:sz="4" w:space="0"/>
              <w:right w:val="single" w:color="auto" w:sz="4" w:space="0"/>
            </w:tcBorders>
            <w:noWrap/>
            <w:vAlign w:val="center"/>
          </w:tcPr>
          <w:p w14:paraId="5750774E">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锡阳极泥</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锡锑合金</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锡铅合金</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铜渣</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冰铜（如有）</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硫酸钠（如有）等。</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44FDDC7A">
            <w:pPr>
              <w:widowControl/>
              <w:jc w:val="left"/>
              <w:rPr>
                <w:rFonts w:hint="eastAsia" w:ascii="宋体" w:hAnsi="宋体" w:cs="宋体"/>
                <w:color w:val="000000"/>
                <w:kern w:val="0"/>
                <w:sz w:val="18"/>
                <w:szCs w:val="18"/>
              </w:rPr>
            </w:pPr>
          </w:p>
        </w:tc>
      </w:tr>
      <w:tr w14:paraId="0881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50C43A34">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12F9AC8B">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0F5D073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废弃物</w:t>
            </w:r>
          </w:p>
        </w:tc>
        <w:tc>
          <w:tcPr>
            <w:tcW w:w="3601" w:type="dxa"/>
            <w:tcBorders>
              <w:top w:val="single" w:color="auto" w:sz="4" w:space="0"/>
              <w:left w:val="single" w:color="auto" w:sz="4" w:space="0"/>
              <w:bottom w:val="single" w:color="auto" w:sz="4" w:space="0"/>
              <w:right w:val="single" w:color="auto" w:sz="4" w:space="0"/>
            </w:tcBorders>
            <w:noWrap/>
            <w:vAlign w:val="center"/>
          </w:tcPr>
          <w:p w14:paraId="7EE9D39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现场产生的废渣；</w:t>
            </w:r>
          </w:p>
          <w:p w14:paraId="6B6649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排入环境的水量及排水水质。</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4E25502F">
            <w:pPr>
              <w:widowControl/>
              <w:jc w:val="left"/>
              <w:rPr>
                <w:rFonts w:hint="eastAsia" w:ascii="宋体" w:hAnsi="宋体" w:cs="宋体"/>
                <w:color w:val="000000"/>
                <w:kern w:val="0"/>
                <w:sz w:val="18"/>
                <w:szCs w:val="18"/>
              </w:rPr>
            </w:pPr>
          </w:p>
        </w:tc>
      </w:tr>
      <w:tr w14:paraId="6368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7AD19B5E">
            <w:pPr>
              <w:widowControl/>
              <w:jc w:val="left"/>
              <w:rPr>
                <w:rFonts w:hint="eastAsia" w:ascii="宋体" w:hAnsi="宋体" w:cs="宋体"/>
                <w:color w:val="000000"/>
                <w:kern w:val="0"/>
                <w:sz w:val="18"/>
                <w:szCs w:val="18"/>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14:paraId="56426C18">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4D39B3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温室气体直接排放</w:t>
            </w:r>
          </w:p>
        </w:tc>
        <w:tc>
          <w:tcPr>
            <w:tcW w:w="3601" w:type="dxa"/>
            <w:tcBorders>
              <w:top w:val="single" w:color="auto" w:sz="4" w:space="0"/>
              <w:left w:val="single" w:color="auto" w:sz="4" w:space="0"/>
              <w:bottom w:val="single" w:color="auto" w:sz="4" w:space="0"/>
              <w:right w:val="single" w:color="auto" w:sz="4" w:space="0"/>
            </w:tcBorders>
            <w:noWrap/>
            <w:vAlign w:val="center"/>
          </w:tcPr>
          <w:p w14:paraId="39B3AC9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通过直接监测、化学计量、质量平衡或类似方法获得某一过程释放的排放量（或从大气吸收的清除量）。</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3CF02280">
            <w:pPr>
              <w:widowControl/>
              <w:jc w:val="left"/>
              <w:rPr>
                <w:rFonts w:hint="eastAsia" w:ascii="宋体" w:hAnsi="宋体" w:cs="宋体"/>
                <w:color w:val="000000"/>
                <w:kern w:val="0"/>
                <w:sz w:val="18"/>
                <w:szCs w:val="18"/>
              </w:rPr>
            </w:pPr>
          </w:p>
        </w:tc>
      </w:tr>
      <w:tr w14:paraId="1A81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89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3023E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背景数据</w:t>
            </w:r>
          </w:p>
        </w:tc>
        <w:tc>
          <w:tcPr>
            <w:tcW w:w="1770" w:type="dxa"/>
            <w:tcBorders>
              <w:top w:val="single" w:color="auto" w:sz="4" w:space="0"/>
              <w:left w:val="single" w:color="auto" w:sz="4" w:space="0"/>
              <w:bottom w:val="single" w:color="auto" w:sz="4" w:space="0"/>
              <w:right w:val="single" w:color="auto" w:sz="4" w:space="0"/>
            </w:tcBorders>
            <w:noWrap/>
            <w:vAlign w:val="center"/>
          </w:tcPr>
          <w:p w14:paraId="781BDED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外购辅材、药剂、燃料和服务</w:t>
            </w:r>
          </w:p>
        </w:tc>
        <w:tc>
          <w:tcPr>
            <w:tcW w:w="3601" w:type="dxa"/>
            <w:tcBorders>
              <w:top w:val="single" w:color="auto" w:sz="4" w:space="0"/>
              <w:left w:val="single" w:color="auto" w:sz="4" w:space="0"/>
              <w:bottom w:val="single" w:color="auto" w:sz="4" w:space="0"/>
              <w:right w:val="single" w:color="auto" w:sz="4" w:space="0"/>
            </w:tcBorders>
            <w:noWrap/>
            <w:vAlign w:val="bottom"/>
          </w:tcPr>
          <w:p w14:paraId="6040CF05">
            <w:pPr>
              <w:widowControl/>
              <w:jc w:val="left"/>
              <w:rPr>
                <w:rFonts w:hint="eastAsia" w:ascii="宋体" w:hAnsi="宋体"/>
                <w:color w:val="000000"/>
                <w:sz w:val="18"/>
                <w:szCs w:val="18"/>
              </w:rPr>
            </w:pPr>
            <w:r>
              <w:rPr>
                <w:rFonts w:hint="eastAsia" w:ascii="宋体" w:hAnsi="宋体"/>
                <w:color w:val="000000"/>
                <w:sz w:val="18"/>
                <w:szCs w:val="18"/>
              </w:rPr>
              <w:t>1）供应商/服务商排放数据；                                            2）材料/服务生产活动相关数据；</w:t>
            </w:r>
          </w:p>
          <w:p w14:paraId="3152E8D4">
            <w:pPr>
              <w:pStyle w:val="20"/>
              <w:spacing w:before="0" w:beforeAutospacing="0" w:after="0" w:afterAutospacing="0"/>
              <w:rPr>
                <w:rFonts w:ascii="Times New Roman" w:hAnsi="Times New Roman" w:cs="Times New Roman"/>
                <w:sz w:val="20"/>
                <w:szCs w:val="20"/>
              </w:rPr>
            </w:pPr>
            <w:r>
              <w:rPr>
                <w:rFonts w:hint="eastAsia" w:cs="Times New Roman"/>
                <w:color w:val="000000"/>
                <w:sz w:val="18"/>
                <w:szCs w:val="18"/>
              </w:rPr>
              <w:t>3）数据库的参数。</w:t>
            </w:r>
          </w:p>
        </w:tc>
        <w:tc>
          <w:tcPr>
            <w:tcW w:w="2093" w:type="dxa"/>
            <w:vMerge w:val="restart"/>
            <w:tcBorders>
              <w:top w:val="single" w:color="auto" w:sz="4" w:space="0"/>
              <w:left w:val="single" w:color="auto" w:sz="4" w:space="0"/>
              <w:bottom w:val="single" w:color="auto" w:sz="4" w:space="0"/>
              <w:right w:val="single" w:color="auto" w:sz="4" w:space="0"/>
            </w:tcBorders>
            <w:noWrap/>
            <w:vAlign w:val="center"/>
          </w:tcPr>
          <w:p w14:paraId="54BAEA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初级数据或次级数据</w:t>
            </w:r>
          </w:p>
          <w:p w14:paraId="21B2CBAC">
            <w:pPr>
              <w:pStyle w:val="20"/>
              <w:jc w:val="center"/>
              <w:rPr>
                <w:rFonts w:ascii="Times New Roman" w:hAnsi="Times New Roman" w:cs="Times New Roman"/>
                <w:sz w:val="20"/>
                <w:szCs w:val="20"/>
              </w:rPr>
            </w:pPr>
          </w:p>
          <w:p w14:paraId="633C471F">
            <w:pPr>
              <w:pStyle w:val="20"/>
              <w:jc w:val="center"/>
              <w:rPr>
                <w:rFonts w:ascii="Times New Roman" w:hAnsi="Times New Roman" w:cs="Times New Roman"/>
                <w:sz w:val="20"/>
                <w:szCs w:val="20"/>
              </w:rPr>
            </w:pPr>
            <w:r>
              <w:rPr>
                <w:rFonts w:hint="eastAsia" w:ascii="Times New Roman" w:hAnsi="Times New Roman" w:cs="Times New Roman"/>
                <w:sz w:val="18"/>
                <w:szCs w:val="18"/>
              </w:rPr>
              <w:t>根据数据获取情况收集</w:t>
            </w:r>
          </w:p>
        </w:tc>
      </w:tr>
      <w:tr w14:paraId="6253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rPr>
        <w:tc>
          <w:tcPr>
            <w:tcW w:w="1345" w:type="dxa"/>
            <w:gridSpan w:val="2"/>
            <w:vMerge w:val="continue"/>
            <w:tcBorders>
              <w:top w:val="single" w:color="auto" w:sz="4" w:space="0"/>
              <w:left w:val="single" w:color="auto" w:sz="4" w:space="0"/>
              <w:bottom w:val="single" w:color="auto" w:sz="4" w:space="0"/>
              <w:right w:val="single" w:color="auto" w:sz="4" w:space="0"/>
            </w:tcBorders>
            <w:vAlign w:val="center"/>
          </w:tcPr>
          <w:p w14:paraId="6DB1115B">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3CF3BEB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电力/热力</w:t>
            </w:r>
          </w:p>
        </w:tc>
        <w:tc>
          <w:tcPr>
            <w:tcW w:w="3601" w:type="dxa"/>
            <w:tcBorders>
              <w:top w:val="single" w:color="auto" w:sz="4" w:space="0"/>
              <w:left w:val="single" w:color="auto" w:sz="4" w:space="0"/>
              <w:bottom w:val="single" w:color="auto" w:sz="4" w:space="0"/>
              <w:right w:val="single" w:color="auto" w:sz="4" w:space="0"/>
            </w:tcBorders>
            <w:vAlign w:val="bottom"/>
          </w:tcPr>
          <w:p w14:paraId="6DE8CA59">
            <w:pPr>
              <w:widowControl/>
              <w:jc w:val="left"/>
              <w:rPr>
                <w:rFonts w:hint="eastAsia" w:ascii="宋体" w:hAnsi="宋体"/>
                <w:color w:val="000000"/>
                <w:sz w:val="18"/>
                <w:szCs w:val="18"/>
              </w:rPr>
            </w:pPr>
            <w:r>
              <w:rPr>
                <w:rFonts w:hint="eastAsia" w:ascii="宋体" w:hAnsi="宋体"/>
                <w:color w:val="000000"/>
                <w:sz w:val="18"/>
                <w:szCs w:val="18"/>
              </w:rPr>
              <w:t>1）供应商排放数据；</w:t>
            </w:r>
          </w:p>
          <w:p w14:paraId="6E0A5206">
            <w:pPr>
              <w:widowControl/>
              <w:jc w:val="left"/>
              <w:rPr>
                <w:rFonts w:hint="eastAsia" w:ascii="宋体" w:hAnsi="宋体"/>
                <w:sz w:val="18"/>
                <w:szCs w:val="18"/>
              </w:rPr>
            </w:pPr>
            <w:r>
              <w:rPr>
                <w:rFonts w:hint="eastAsia" w:ascii="宋体" w:hAnsi="宋体"/>
                <w:sz w:val="18"/>
                <w:szCs w:val="18"/>
              </w:rPr>
              <w:t>2）数据库的参数；</w:t>
            </w:r>
          </w:p>
          <w:p w14:paraId="16A79DF0">
            <w:pPr>
              <w:widowControl/>
              <w:jc w:val="left"/>
              <w:rPr>
                <w:rFonts w:hint="eastAsia" w:ascii="宋体" w:hAnsi="宋体"/>
                <w:color w:val="000000"/>
                <w:sz w:val="18"/>
                <w:szCs w:val="18"/>
              </w:rPr>
            </w:pPr>
            <w:r>
              <w:rPr>
                <w:rFonts w:hint="eastAsia" w:ascii="宋体" w:hAnsi="宋体"/>
                <w:color w:val="000000"/>
                <w:sz w:val="18"/>
                <w:szCs w:val="18"/>
              </w:rPr>
              <w:t>3）电力/热力的能源结构、输配电损失、燃料消耗量、燃料生产排放等参数。</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3762BF5A">
            <w:pPr>
              <w:widowControl/>
              <w:jc w:val="left"/>
              <w:rPr>
                <w:kern w:val="0"/>
                <w:sz w:val="20"/>
                <w:szCs w:val="20"/>
              </w:rPr>
            </w:pPr>
          </w:p>
        </w:tc>
      </w:tr>
      <w:tr w14:paraId="2707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345" w:type="dxa"/>
            <w:gridSpan w:val="2"/>
            <w:vMerge w:val="continue"/>
            <w:tcBorders>
              <w:top w:val="single" w:color="auto" w:sz="4" w:space="0"/>
              <w:left w:val="single" w:color="auto" w:sz="4" w:space="0"/>
              <w:bottom w:val="single" w:color="auto" w:sz="4" w:space="0"/>
              <w:right w:val="single" w:color="auto" w:sz="4" w:space="0"/>
            </w:tcBorders>
            <w:vAlign w:val="center"/>
          </w:tcPr>
          <w:p w14:paraId="41B6A64B">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17166D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运输分销</w:t>
            </w:r>
          </w:p>
        </w:tc>
        <w:tc>
          <w:tcPr>
            <w:tcW w:w="3601" w:type="dxa"/>
            <w:tcBorders>
              <w:top w:val="single" w:color="auto" w:sz="4" w:space="0"/>
              <w:left w:val="single" w:color="auto" w:sz="4" w:space="0"/>
              <w:bottom w:val="single" w:color="auto" w:sz="4" w:space="0"/>
              <w:right w:val="single" w:color="auto" w:sz="4" w:space="0"/>
            </w:tcBorders>
            <w:noWrap/>
            <w:vAlign w:val="bottom"/>
          </w:tcPr>
          <w:p w14:paraId="5275A00D">
            <w:pPr>
              <w:widowControl/>
              <w:jc w:val="left"/>
              <w:rPr>
                <w:rFonts w:hint="eastAsia" w:ascii="宋体" w:hAnsi="宋体"/>
                <w:color w:val="000000"/>
                <w:sz w:val="18"/>
                <w:szCs w:val="18"/>
              </w:rPr>
            </w:pPr>
            <w:r>
              <w:rPr>
                <w:rFonts w:hint="eastAsia" w:ascii="宋体" w:hAnsi="宋体"/>
                <w:color w:val="000000"/>
                <w:sz w:val="18"/>
                <w:szCs w:val="18"/>
              </w:rPr>
              <w:t>1）服务商的排放数据；</w:t>
            </w:r>
          </w:p>
          <w:p w14:paraId="0589E6CC">
            <w:pPr>
              <w:widowControl/>
              <w:jc w:val="left"/>
              <w:rPr>
                <w:rFonts w:hint="eastAsia" w:ascii="宋体" w:hAnsi="宋体" w:cs="宋体"/>
                <w:color w:val="000000"/>
                <w:kern w:val="0"/>
                <w:sz w:val="18"/>
                <w:szCs w:val="18"/>
              </w:rPr>
            </w:pPr>
            <w:r>
              <w:rPr>
                <w:rFonts w:hint="eastAsia" w:ascii="宋体" w:hAnsi="宋体"/>
                <w:color w:val="000000"/>
                <w:sz w:val="18"/>
                <w:szCs w:val="18"/>
              </w:rPr>
              <w:t>2）运输量、运输方式、运距、储存等参数。</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1667CBF2">
            <w:pPr>
              <w:widowControl/>
              <w:jc w:val="left"/>
              <w:rPr>
                <w:kern w:val="0"/>
                <w:sz w:val="20"/>
                <w:szCs w:val="20"/>
              </w:rPr>
            </w:pPr>
          </w:p>
        </w:tc>
      </w:tr>
      <w:tr w14:paraId="7F19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345" w:type="dxa"/>
            <w:gridSpan w:val="2"/>
            <w:vMerge w:val="continue"/>
            <w:tcBorders>
              <w:top w:val="single" w:color="auto" w:sz="4" w:space="0"/>
              <w:left w:val="single" w:color="auto" w:sz="4" w:space="0"/>
              <w:bottom w:val="single" w:color="auto" w:sz="4" w:space="0"/>
              <w:right w:val="single" w:color="auto" w:sz="4" w:space="0"/>
            </w:tcBorders>
            <w:vAlign w:val="center"/>
          </w:tcPr>
          <w:p w14:paraId="6F6B3ACC">
            <w:pPr>
              <w:widowControl/>
              <w:jc w:val="left"/>
              <w:rPr>
                <w:rFonts w:hint="eastAsia" w:ascii="宋体" w:hAnsi="宋体" w:cs="宋体"/>
                <w:color w:val="000000"/>
                <w:kern w:val="0"/>
                <w:sz w:val="18"/>
                <w:szCs w:val="18"/>
              </w:rPr>
            </w:pPr>
          </w:p>
        </w:tc>
        <w:tc>
          <w:tcPr>
            <w:tcW w:w="1770" w:type="dxa"/>
            <w:tcBorders>
              <w:top w:val="single" w:color="auto" w:sz="4" w:space="0"/>
              <w:left w:val="single" w:color="auto" w:sz="4" w:space="0"/>
              <w:bottom w:val="single" w:color="auto" w:sz="4" w:space="0"/>
              <w:right w:val="single" w:color="auto" w:sz="4" w:space="0"/>
            </w:tcBorders>
            <w:noWrap/>
            <w:vAlign w:val="center"/>
          </w:tcPr>
          <w:p w14:paraId="7FBB98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共生产品采用系统扩展方式时</w:t>
            </w:r>
          </w:p>
        </w:tc>
        <w:tc>
          <w:tcPr>
            <w:tcW w:w="3601" w:type="dxa"/>
            <w:tcBorders>
              <w:top w:val="single" w:color="auto" w:sz="4" w:space="0"/>
              <w:left w:val="single" w:color="auto" w:sz="4" w:space="0"/>
              <w:bottom w:val="single" w:color="auto" w:sz="4" w:space="0"/>
              <w:right w:val="single" w:color="auto" w:sz="4" w:space="0"/>
            </w:tcBorders>
            <w:noWrap/>
            <w:vAlign w:val="center"/>
          </w:tcPr>
          <w:p w14:paraId="5AE396AB">
            <w:pPr>
              <w:widowControl/>
              <w:rPr>
                <w:rFonts w:hint="eastAsia" w:ascii="宋体" w:hAnsi="宋体" w:cs="宋体"/>
                <w:color w:val="000000"/>
                <w:kern w:val="0"/>
                <w:sz w:val="18"/>
                <w:szCs w:val="18"/>
              </w:rPr>
            </w:pPr>
            <w:r>
              <w:rPr>
                <w:rFonts w:hint="eastAsia" w:ascii="宋体" w:hAnsi="宋体" w:cs="宋体"/>
                <w:color w:val="000000"/>
                <w:kern w:val="0"/>
                <w:sz w:val="18"/>
                <w:szCs w:val="18"/>
              </w:rPr>
              <w:t>替代路线的相关参数。</w:t>
            </w:r>
          </w:p>
        </w:tc>
        <w:tc>
          <w:tcPr>
            <w:tcW w:w="2093" w:type="dxa"/>
            <w:vMerge w:val="continue"/>
            <w:tcBorders>
              <w:top w:val="single" w:color="auto" w:sz="4" w:space="0"/>
              <w:left w:val="single" w:color="auto" w:sz="4" w:space="0"/>
              <w:bottom w:val="single" w:color="auto" w:sz="4" w:space="0"/>
              <w:right w:val="single" w:color="auto" w:sz="4" w:space="0"/>
            </w:tcBorders>
            <w:vAlign w:val="center"/>
          </w:tcPr>
          <w:p w14:paraId="6818163B">
            <w:pPr>
              <w:widowControl/>
              <w:jc w:val="left"/>
              <w:rPr>
                <w:kern w:val="0"/>
                <w:sz w:val="20"/>
                <w:szCs w:val="20"/>
              </w:rPr>
            </w:pPr>
          </w:p>
        </w:tc>
      </w:tr>
      <w:bookmarkEnd w:id="132"/>
    </w:tbl>
    <w:p w14:paraId="185FF6DA">
      <w:pPr>
        <w:pStyle w:val="61"/>
        <w:ind w:left="424" w:leftChars="202" w:firstLine="1" w:firstLineChars="1"/>
        <w:rPr>
          <w:rFonts w:hint="eastAsia" w:ascii="黑体" w:hAnsi="黑体" w:eastAsia="黑体"/>
          <w:sz w:val="18"/>
          <w:szCs w:val="18"/>
        </w:rPr>
      </w:pPr>
      <w:r>
        <w:rPr>
          <w:rFonts w:hint="eastAsia" w:ascii="黑体" w:hAnsi="黑体" w:eastAsia="黑体"/>
          <w:sz w:val="18"/>
          <w:szCs w:val="18"/>
        </w:rPr>
        <w:t>注1：</w:t>
      </w:r>
      <w:r>
        <w:rPr>
          <w:rFonts w:hint="eastAsia"/>
          <w:sz w:val="18"/>
          <w:szCs w:val="18"/>
        </w:rPr>
        <w:t>公开或商业数据库包括生命周期数据库、行业协会、机构、文献等；</w:t>
      </w:r>
      <w:r>
        <w:rPr>
          <w:rFonts w:hint="eastAsia" w:ascii="黑体" w:hAnsi="黑体" w:eastAsia="黑体"/>
          <w:sz w:val="18"/>
          <w:szCs w:val="18"/>
        </w:rPr>
        <w:t xml:space="preserve"> </w:t>
      </w:r>
    </w:p>
    <w:p w14:paraId="348DD566">
      <w:pPr>
        <w:pStyle w:val="61"/>
        <w:ind w:left="424" w:leftChars="202" w:firstLine="1" w:firstLineChars="1"/>
        <w:rPr>
          <w:rFonts w:hint="eastAsia"/>
          <w:sz w:val="18"/>
          <w:szCs w:val="18"/>
        </w:rPr>
      </w:pPr>
      <w:r>
        <w:rPr>
          <w:rFonts w:hint="eastAsia" w:ascii="黑体" w:hAnsi="黑体" w:eastAsia="黑体"/>
          <w:sz w:val="18"/>
          <w:szCs w:val="18"/>
        </w:rPr>
        <w:t>注2：</w:t>
      </w:r>
      <w:r>
        <w:rPr>
          <w:rFonts w:hint="eastAsia"/>
          <w:sz w:val="18"/>
          <w:szCs w:val="18"/>
        </w:rPr>
        <w:t>排放因子可包含产品寿命周期的一个单一过程，或包含多重过程，在使用中须保持排放因子与</w:t>
      </w:r>
    </w:p>
    <w:p w14:paraId="04812BD8">
      <w:pPr>
        <w:pStyle w:val="61"/>
        <w:tabs>
          <w:tab w:val="right" w:leader="dot" w:pos="8312"/>
        </w:tabs>
        <w:ind w:left="424" w:leftChars="202" w:firstLine="426" w:firstLineChars="237"/>
        <w:rPr>
          <w:rFonts w:hint="eastAsia"/>
          <w:sz w:val="18"/>
          <w:szCs w:val="18"/>
        </w:rPr>
      </w:pPr>
      <w:r>
        <w:rPr>
          <w:rFonts w:hint="eastAsia"/>
          <w:sz w:val="18"/>
          <w:szCs w:val="18"/>
        </w:rPr>
        <w:t>过程范围的一致性。</w:t>
      </w:r>
    </w:p>
    <w:p w14:paraId="6A7BADDF">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6.1.2.2  数据质量要求</w:t>
      </w:r>
    </w:p>
    <w:p w14:paraId="77965F36">
      <w:pPr>
        <w:pStyle w:val="61"/>
        <w:rPr>
          <w:rFonts w:hint="eastAsia"/>
        </w:rPr>
      </w:pPr>
      <w:r>
        <w:rPr>
          <w:rFonts w:hint="eastAsia"/>
        </w:rPr>
        <w:t>宜通过使用现有最高质量数据，尽可能地减少偏差和不确定性。数据质量的特征应包括定量和定性两个方面，相关特性描述宜涉及以下方面：</w:t>
      </w:r>
    </w:p>
    <w:p w14:paraId="604677A6">
      <w:pPr>
        <w:pStyle w:val="61"/>
        <w:rPr>
          <w:rFonts w:hint="eastAsia"/>
        </w:rPr>
      </w:pPr>
      <w:r>
        <w:rPr>
          <w:rFonts w:hint="eastAsia"/>
        </w:rPr>
        <w:t>a) 时间覆盖范围：数据的年份和所收集数据的最小时间长度；</w:t>
      </w:r>
    </w:p>
    <w:p w14:paraId="0A69166A">
      <w:pPr>
        <w:pStyle w:val="61"/>
        <w:rPr>
          <w:rFonts w:hint="eastAsia"/>
        </w:rPr>
      </w:pPr>
      <w:r>
        <w:rPr>
          <w:rFonts w:hint="eastAsia"/>
        </w:rPr>
        <w:t>b) 地理覆盖范围：为实现产品碳足迹研究目的，所收集的单元过程数据的地理位置；</w:t>
      </w:r>
    </w:p>
    <w:p w14:paraId="7C8DA4B0">
      <w:pPr>
        <w:pStyle w:val="61"/>
        <w:rPr>
          <w:rFonts w:hint="eastAsia"/>
        </w:rPr>
      </w:pPr>
      <w:r>
        <w:rPr>
          <w:rFonts w:hint="eastAsia"/>
        </w:rPr>
        <w:t>c) 技术覆盖范围：具体的技术或技术组合；</w:t>
      </w:r>
    </w:p>
    <w:p w14:paraId="60F3FF61">
      <w:pPr>
        <w:pStyle w:val="61"/>
        <w:rPr>
          <w:rFonts w:hint="eastAsia"/>
        </w:rPr>
      </w:pPr>
      <w:r>
        <w:rPr>
          <w:rFonts w:hint="eastAsia"/>
        </w:rPr>
        <w:t>d) 精度：对每个数据值的可变性的度量（例如方差）；</w:t>
      </w:r>
    </w:p>
    <w:p w14:paraId="0B99076E">
      <w:pPr>
        <w:pStyle w:val="61"/>
        <w:rPr>
          <w:rFonts w:hint="eastAsia"/>
        </w:rPr>
      </w:pPr>
      <w:r>
        <w:rPr>
          <w:rFonts w:hint="eastAsia"/>
        </w:rPr>
        <w:t>e) 完整性：测量或测算的流所占的比例；</w:t>
      </w:r>
    </w:p>
    <w:p w14:paraId="1856889D">
      <w:pPr>
        <w:pStyle w:val="61"/>
        <w:rPr>
          <w:rFonts w:hint="eastAsia"/>
        </w:rPr>
      </w:pPr>
      <w:r>
        <w:rPr>
          <w:rFonts w:hint="eastAsia"/>
        </w:rPr>
        <w:t>f) 代表性：反映实际关注人群对数据集（即时间覆盖范围、地理覆盖范围和技术覆盖范围等）关注程度的真实情况进行的定性评价；</w:t>
      </w:r>
    </w:p>
    <w:p w14:paraId="541C5F9B">
      <w:pPr>
        <w:pStyle w:val="61"/>
        <w:ind w:left="780" w:leftChars="200" w:hanging="360" w:hangingChars="200"/>
        <w:rPr>
          <w:rFonts w:hint="eastAsia"/>
          <w:sz w:val="18"/>
          <w:szCs w:val="18"/>
        </w:rPr>
      </w:pPr>
      <w:r>
        <w:rPr>
          <w:rFonts w:hint="eastAsia" w:ascii="黑体" w:hAnsi="黑体" w:eastAsia="黑体"/>
          <w:sz w:val="18"/>
          <w:szCs w:val="18"/>
        </w:rPr>
        <w:t>注</w:t>
      </w:r>
      <w:r>
        <w:rPr>
          <w:rFonts w:hint="eastAsia"/>
          <w:sz w:val="18"/>
          <w:szCs w:val="18"/>
        </w:rPr>
        <w:t>：技术上，</w:t>
      </w:r>
      <w:r>
        <w:rPr>
          <w:sz w:val="18"/>
          <w:szCs w:val="18"/>
        </w:rPr>
        <w:t>数据反映实际生产技术情况，即体现实际工艺流程、技术和设备类型、原料与能耗类型、生产规模等因素的影响；</w:t>
      </w:r>
      <w:r>
        <w:rPr>
          <w:rFonts w:hint="eastAsia"/>
          <w:sz w:val="18"/>
          <w:szCs w:val="18"/>
        </w:rPr>
        <w:t>时间上，</w:t>
      </w:r>
      <w:r>
        <w:rPr>
          <w:sz w:val="18"/>
          <w:szCs w:val="18"/>
        </w:rPr>
        <w:t>数据</w:t>
      </w:r>
      <w:r>
        <w:rPr>
          <w:rFonts w:hint="eastAsia"/>
          <w:sz w:val="18"/>
          <w:szCs w:val="18"/>
        </w:rPr>
        <w:t>反映</w:t>
      </w:r>
      <w:r>
        <w:rPr>
          <w:sz w:val="18"/>
          <w:szCs w:val="18"/>
        </w:rPr>
        <w:t>被评价产品</w:t>
      </w:r>
      <w:r>
        <w:rPr>
          <w:rFonts w:hint="eastAsia"/>
          <w:sz w:val="18"/>
          <w:szCs w:val="18"/>
        </w:rPr>
        <w:t>系统</w:t>
      </w:r>
      <w:r>
        <w:rPr>
          <w:sz w:val="18"/>
          <w:szCs w:val="18"/>
        </w:rPr>
        <w:t>单元过程的实际时间</w:t>
      </w:r>
      <w:r>
        <w:rPr>
          <w:rFonts w:hint="eastAsia"/>
          <w:sz w:val="18"/>
          <w:szCs w:val="18"/>
        </w:rPr>
        <w:t xml:space="preserve">；空间上，数据反映具体产品系统边界内单元过程的实际地理位置信息（如：国家或地点）。 </w:t>
      </w:r>
    </w:p>
    <w:p w14:paraId="4AC39DA4">
      <w:pPr>
        <w:pStyle w:val="61"/>
        <w:rPr>
          <w:rFonts w:hint="eastAsia"/>
        </w:rPr>
      </w:pPr>
      <w:r>
        <w:rPr>
          <w:rFonts w:hint="eastAsia"/>
        </w:rPr>
        <w:t>g) 一致性：对研究方法学是否能在敏感性分析的不同组成部分中统一应用而进行的定性评价；</w:t>
      </w:r>
    </w:p>
    <w:p w14:paraId="4D8375AB">
      <w:pPr>
        <w:pStyle w:val="61"/>
        <w:rPr>
          <w:rFonts w:hint="eastAsia"/>
        </w:rPr>
      </w:pPr>
      <w:r>
        <w:rPr>
          <w:rFonts w:hint="eastAsia"/>
        </w:rPr>
        <w:t>h) 可重现性：对其他独立从业人员采用同一方法学和数值信息重现相同研究结果的定性评价；</w:t>
      </w:r>
    </w:p>
    <w:p w14:paraId="4745F9D6">
      <w:pPr>
        <w:pStyle w:val="61"/>
        <w:rPr>
          <w:rFonts w:hint="eastAsia"/>
        </w:rPr>
      </w:pPr>
      <w:r>
        <w:rPr>
          <w:rFonts w:hint="eastAsia"/>
        </w:rPr>
        <w:t>i) 数据来源；</w:t>
      </w:r>
    </w:p>
    <w:p w14:paraId="628E62FA">
      <w:pPr>
        <w:pStyle w:val="61"/>
        <w:rPr>
          <w:rFonts w:hint="eastAsia"/>
        </w:rPr>
      </w:pPr>
      <w:r>
        <w:rPr>
          <w:rFonts w:hint="eastAsia"/>
        </w:rPr>
        <w:t>j) 信息的不确定性。</w:t>
      </w:r>
    </w:p>
    <w:p w14:paraId="76327B9D">
      <w:pPr>
        <w:pStyle w:val="6"/>
        <w:spacing w:before="312" w:beforeLines="100" w:after="312" w:afterLines="100" w:line="240" w:lineRule="auto"/>
        <w:jc w:val="left"/>
        <w:rPr>
          <w:rFonts w:hint="eastAsia" w:ascii="黑体" w:hAnsi="黑体" w:eastAsia="黑体"/>
          <w:b w:val="0"/>
          <w:sz w:val="21"/>
          <w:szCs w:val="21"/>
        </w:rPr>
      </w:pPr>
      <w:bookmarkStart w:id="133" w:name="_Toc161425584"/>
      <w:bookmarkStart w:id="134" w:name="_Toc161425581"/>
      <w:r>
        <w:rPr>
          <w:rFonts w:hint="eastAsia" w:ascii="黑体" w:hAnsi="黑体" w:eastAsia="黑体"/>
          <w:b w:val="0"/>
          <w:sz w:val="21"/>
          <w:szCs w:val="21"/>
        </w:rPr>
        <w:t>6.1.2.3  数据质量评价</w:t>
      </w:r>
      <w:bookmarkEnd w:id="133"/>
    </w:p>
    <w:p w14:paraId="1B225DA7">
      <w:pPr>
        <w:pStyle w:val="61"/>
        <w:rPr>
          <w:rFonts w:hint="eastAsia"/>
        </w:rPr>
      </w:pPr>
      <w:r>
        <w:t>开展产品碳足迹研究的组织宜建立数据管理系统，保留相关文件和记录，进行数据质量评价，并持续提高数据质量。</w:t>
      </w:r>
    </w:p>
    <w:p w14:paraId="3B0491D7">
      <w:pPr>
        <w:pStyle w:val="61"/>
        <w:rPr>
          <w:rFonts w:hint="eastAsia"/>
          <w:b/>
        </w:rPr>
      </w:pPr>
      <w:r>
        <w:rPr>
          <w:rFonts w:hint="eastAsia"/>
        </w:rPr>
        <w:t>数据质量宜参照附录B进行定性评价，对质量较差的数据应进行敏感性分析。</w:t>
      </w:r>
      <w:r>
        <w:rPr>
          <w:rFonts w:hint="eastAsia"/>
          <w:b/>
        </w:rPr>
        <w:t xml:space="preserve"> </w:t>
      </w:r>
    </w:p>
    <w:p w14:paraId="04391C5B">
      <w:pPr>
        <w:pStyle w:val="61"/>
        <w:spacing w:before="312" w:beforeLines="100" w:after="312" w:afterLines="100"/>
        <w:ind w:firstLine="0" w:firstLineChars="0"/>
        <w:outlineLvl w:val="2"/>
        <w:rPr>
          <w:rFonts w:hint="eastAsia" w:ascii="黑体" w:hAnsi="黑体" w:eastAsia="黑体" w:cs="黑体"/>
        </w:rPr>
      </w:pPr>
      <w:r>
        <w:rPr>
          <w:rFonts w:hint="eastAsia" w:ascii="黑体" w:hAnsi="黑体" w:eastAsia="黑体" w:cs="黑体"/>
        </w:rPr>
        <w:t>6.1.3  初级数据收集</w:t>
      </w:r>
      <w:bookmarkEnd w:id="134"/>
    </w:p>
    <w:p w14:paraId="1E017C51">
      <w:pPr>
        <w:pStyle w:val="6"/>
        <w:spacing w:before="312" w:beforeLines="100" w:after="312" w:afterLines="100" w:line="240" w:lineRule="auto"/>
        <w:jc w:val="left"/>
        <w:rPr>
          <w:rFonts w:hint="eastAsia" w:ascii="黑体" w:hAnsi="黑体" w:eastAsia="黑体"/>
          <w:b w:val="0"/>
          <w:sz w:val="21"/>
          <w:szCs w:val="21"/>
        </w:rPr>
      </w:pPr>
      <w:bookmarkStart w:id="135" w:name="OLE_LINK3"/>
      <w:bookmarkStart w:id="136" w:name="OLE_LINK4"/>
      <w:r>
        <w:rPr>
          <w:rFonts w:hint="eastAsia" w:ascii="黑体" w:hAnsi="黑体" w:eastAsia="黑体"/>
          <w:b w:val="0"/>
          <w:sz w:val="21"/>
          <w:szCs w:val="21"/>
        </w:rPr>
        <w:t>6.1.3.1  时间段</w:t>
      </w:r>
    </w:p>
    <w:bookmarkEnd w:id="135"/>
    <w:bookmarkEnd w:id="136"/>
    <w:p w14:paraId="3A0AFE2D">
      <w:pPr>
        <w:pStyle w:val="61"/>
        <w:rPr>
          <w:rFonts w:hAnsi="Times New Roman"/>
        </w:rPr>
      </w:pPr>
      <w:r>
        <w:rPr>
          <w:rFonts w:hint="eastAsia"/>
        </w:rPr>
        <w:t>初级数据的收集应每年进行一次(最近的日历年或最近的财政年度)，以避免生产过程中的特定情况。其优点是年度数据体现了典型的运营习惯（如维护周期或季节周期）下的产品产量，也涵盖了生产波动的负荷变化因素。计算碳足迹的产品生产期少于12个月或者不是全年的，应当收集该产品生产期间的数据，或者从最近可获得的12个月开始，直至停止生产为止的数据。</w:t>
      </w:r>
    </w:p>
    <w:p w14:paraId="52C5DA84">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6.1.3.2  采矿</w:t>
      </w:r>
    </w:p>
    <w:p w14:paraId="0B5CCF73">
      <w:pPr>
        <w:pStyle w:val="61"/>
        <w:spacing w:before="156" w:beforeLines="50" w:after="156" w:afterLines="50"/>
        <w:rPr>
          <w:rFonts w:hAnsi="Times New Roman"/>
        </w:rPr>
      </w:pPr>
      <w:r>
        <w:rPr>
          <w:rFonts w:hint="eastAsia"/>
        </w:rPr>
        <w:t>采矿作业分为地下开采和露天开采。数据收集应包括采矿作业的所有相关操作，如提升、通风、照明等的电力消耗，以及铲装设备、卡车等的燃料消耗，和爆破矿岩的炸药消耗等，详见附录C表C.1。</w:t>
      </w:r>
    </w:p>
    <w:p w14:paraId="028F2BEC">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6.1.3.3  选矿</w:t>
      </w:r>
    </w:p>
    <w:p w14:paraId="4994B89A">
      <w:pPr>
        <w:pStyle w:val="61"/>
        <w:spacing w:before="156" w:beforeLines="50" w:after="156" w:afterLines="50"/>
        <w:rPr>
          <w:rFonts w:hAnsi="Times New Roman"/>
        </w:rPr>
      </w:pPr>
      <w:r>
        <w:rPr>
          <w:rFonts w:hint="eastAsia"/>
        </w:rPr>
        <w:t>选矿作业根据矿石性质特征通常包括多个工艺环节。数据收集应从原矿到精矿的所有操作，包括磨矿的钢球、衬板等消耗，起泡剂、浮选药剂、絮凝剂、中和剂等选矿药剂消耗，选矿设备、照明等电力消耗等，详见附录C表C.2。</w:t>
      </w:r>
    </w:p>
    <w:p w14:paraId="697ACACE">
      <w:pPr>
        <w:pStyle w:val="6"/>
        <w:spacing w:before="312" w:beforeLines="100" w:after="312" w:afterLines="100" w:line="240" w:lineRule="auto"/>
        <w:jc w:val="left"/>
        <w:rPr>
          <w:rFonts w:hint="eastAsia" w:ascii="黑体" w:hAnsi="黑体" w:eastAsia="黑体"/>
          <w:b w:val="0"/>
          <w:color w:val="C00000"/>
          <w:sz w:val="21"/>
          <w:szCs w:val="21"/>
        </w:rPr>
      </w:pPr>
      <w:r>
        <w:rPr>
          <w:rFonts w:hint="eastAsia" w:ascii="黑体" w:hAnsi="黑体" w:eastAsia="黑体"/>
          <w:b w:val="0"/>
          <w:sz w:val="21"/>
          <w:szCs w:val="21"/>
        </w:rPr>
        <w:t xml:space="preserve">6.1.3.4 </w:t>
      </w:r>
      <w:r>
        <w:rPr>
          <w:rFonts w:hint="eastAsia" w:ascii="黑体" w:hAnsi="黑体" w:eastAsia="黑体"/>
          <w:b w:val="0"/>
          <w:color w:val="auto"/>
          <w:sz w:val="21"/>
          <w:szCs w:val="21"/>
        </w:rPr>
        <w:t xml:space="preserve"> 冶炼</w:t>
      </w:r>
    </w:p>
    <w:p w14:paraId="133D98B7">
      <w:pPr>
        <w:pStyle w:val="61"/>
        <w:ind w:firstLine="0" w:firstLineChars="0"/>
        <w:rPr>
          <w:rFonts w:hint="eastAsia"/>
        </w:rPr>
      </w:pPr>
      <w:r>
        <w:rPr>
          <w:rFonts w:hint="eastAsia" w:ascii="黑体" w:hAnsi="黑体" w:eastAsia="黑体"/>
          <w:szCs w:val="21"/>
        </w:rPr>
        <w:t>6.1.3.4.1</w:t>
      </w:r>
      <w:r>
        <w:rPr>
          <w:rFonts w:hint="eastAsia"/>
        </w:rPr>
        <w:t>冶炼工艺在主流工艺下会衍生出很多不同的工艺组合。根据冶炼企业实际生产流程情况，数据收集应包括从</w:t>
      </w:r>
      <w:r>
        <w:rPr>
          <w:rFonts w:hint="eastAsia"/>
          <w:lang w:eastAsia="zh-CN"/>
        </w:rPr>
        <w:t>锡</w:t>
      </w:r>
      <w:r>
        <w:rPr>
          <w:rFonts w:hint="eastAsia"/>
        </w:rPr>
        <w:t>精矿/</w:t>
      </w:r>
      <w:r>
        <w:rPr>
          <w:rFonts w:hint="eastAsia"/>
          <w:lang w:eastAsia="zh-CN"/>
        </w:rPr>
        <w:t>回收锡原料</w:t>
      </w:r>
      <w:r>
        <w:rPr>
          <w:rFonts w:hint="eastAsia"/>
        </w:rPr>
        <w:t>等原料到产出</w:t>
      </w:r>
      <w:r>
        <w:rPr>
          <w:rFonts w:hint="eastAsia"/>
          <w:lang w:eastAsia="zh-CN"/>
        </w:rPr>
        <w:t>锡</w:t>
      </w:r>
      <w:r>
        <w:rPr>
          <w:rFonts w:hint="eastAsia"/>
        </w:rPr>
        <w:t>锭（或其他前序产品）的所有相关操作。</w:t>
      </w:r>
    </w:p>
    <w:p w14:paraId="26C33008">
      <w:pPr>
        <w:pStyle w:val="61"/>
        <w:ind w:firstLine="0" w:firstLineChars="0"/>
        <w:rPr>
          <w:rFonts w:hint="eastAsia"/>
        </w:rPr>
      </w:pPr>
      <w:r>
        <w:rPr>
          <w:rFonts w:hint="eastAsia" w:ascii="黑体" w:hAnsi="黑体" w:eastAsia="黑体"/>
          <w:szCs w:val="21"/>
        </w:rPr>
        <w:t>6.1.3.4.2</w:t>
      </w:r>
      <w:r>
        <w:rPr>
          <w:rFonts w:hint="eastAsia"/>
        </w:rPr>
        <w:t>火法冶炼工艺一般包括粗炼过程的石英石、石灰石、耐火材料等消耗，冶金炉窑的还原剂、燃料消耗，风机、空压机、电解槽等设施的电力消耗等，详见附录C表C.3。</w:t>
      </w:r>
    </w:p>
    <w:p w14:paraId="29AEBD3E">
      <w:pPr>
        <w:pStyle w:val="61"/>
        <w:ind w:firstLine="0" w:firstLineChars="0"/>
        <w:rPr>
          <w:rFonts w:hAnsi="Times New Roman"/>
        </w:rPr>
      </w:pPr>
      <w:r>
        <w:rPr>
          <w:rFonts w:hint="eastAsia" w:ascii="黑体" w:hAnsi="黑体" w:eastAsia="黑体"/>
          <w:szCs w:val="21"/>
        </w:rPr>
        <w:t>6.1.3.4.3</w:t>
      </w:r>
      <w:r>
        <w:rPr>
          <w:rFonts w:hint="eastAsia" w:hAnsi="Times New Roman"/>
        </w:rPr>
        <w:t>冶炼企业如外购</w:t>
      </w:r>
      <w:r>
        <w:rPr>
          <w:rFonts w:hint="eastAsia" w:hAnsi="Times New Roman"/>
          <w:lang w:eastAsia="zh-CN"/>
        </w:rPr>
        <w:t>回收锡原料</w:t>
      </w:r>
      <w:r>
        <w:rPr>
          <w:rFonts w:hint="eastAsia" w:hAnsi="Times New Roman"/>
        </w:rPr>
        <w:t>，应在报告中分以下类别说明，并注明再循环材料的百分比。</w:t>
      </w:r>
    </w:p>
    <w:p w14:paraId="2285929C">
      <w:pPr>
        <w:pStyle w:val="61"/>
        <w:ind w:firstLineChars="0"/>
        <w:rPr>
          <w:rFonts w:hint="eastAsia"/>
        </w:rPr>
      </w:pPr>
      <w:r>
        <w:t>1</w:t>
      </w:r>
      <w:r>
        <w:rPr>
          <w:rFonts w:hint="eastAsia"/>
        </w:rPr>
        <w:t>）消费前废</w:t>
      </w:r>
      <w:r>
        <w:rPr>
          <w:rFonts w:hint="eastAsia"/>
          <w:lang w:eastAsia="zh-CN"/>
        </w:rPr>
        <w:t>锡</w:t>
      </w:r>
      <w:r>
        <w:rPr>
          <w:rFonts w:hint="eastAsia"/>
        </w:rPr>
        <w:t>，包括废料名称、使用量、含</w:t>
      </w:r>
      <w:r>
        <w:rPr>
          <w:rFonts w:hint="eastAsia"/>
          <w:lang w:eastAsia="zh-CN"/>
        </w:rPr>
        <w:t>锡</w:t>
      </w:r>
      <w:r>
        <w:rPr>
          <w:rFonts w:hint="eastAsia"/>
        </w:rPr>
        <w:t>量及主要成分等信息，以及供应商提供的温室气体排放数据。</w:t>
      </w:r>
    </w:p>
    <w:p w14:paraId="79563932">
      <w:pPr>
        <w:pStyle w:val="61"/>
        <w:ind w:firstLineChars="0"/>
        <w:rPr>
          <w:rFonts w:hint="eastAsia"/>
          <w:sz w:val="18"/>
          <w:szCs w:val="18"/>
        </w:rPr>
      </w:pPr>
      <w:r>
        <w:rPr>
          <w:rFonts w:hint="eastAsia" w:ascii="黑体" w:hAnsi="黑体" w:eastAsia="黑体"/>
          <w:sz w:val="18"/>
          <w:szCs w:val="18"/>
        </w:rPr>
        <w:t>注：</w:t>
      </w:r>
      <w:r>
        <w:rPr>
          <w:rFonts w:hint="eastAsia"/>
          <w:sz w:val="18"/>
          <w:szCs w:val="18"/>
        </w:rPr>
        <w:t>消费前废</w:t>
      </w:r>
      <w:r>
        <w:rPr>
          <w:rFonts w:hint="eastAsia"/>
          <w:sz w:val="18"/>
          <w:szCs w:val="18"/>
          <w:lang w:eastAsia="zh-CN"/>
        </w:rPr>
        <w:t>锡</w:t>
      </w:r>
      <w:r>
        <w:rPr>
          <w:rFonts w:hint="eastAsia"/>
          <w:sz w:val="18"/>
          <w:szCs w:val="18"/>
        </w:rPr>
        <w:t>大部分被直接利用或本企业内处理回用。企业报告的使用量是指从企业外部购入的废</w:t>
      </w:r>
    </w:p>
    <w:p w14:paraId="7BDD1AC9">
      <w:pPr>
        <w:pStyle w:val="61"/>
        <w:ind w:firstLine="720" w:firstLineChars="400"/>
        <w:rPr>
          <w:rFonts w:hint="eastAsia"/>
          <w:sz w:val="18"/>
          <w:szCs w:val="18"/>
        </w:rPr>
      </w:pPr>
      <w:r>
        <w:rPr>
          <w:rFonts w:hint="eastAsia"/>
          <w:sz w:val="18"/>
          <w:szCs w:val="18"/>
        </w:rPr>
        <w:t>料量，不包括企业内部循环使用量。</w:t>
      </w:r>
    </w:p>
    <w:p w14:paraId="6C599950">
      <w:pPr>
        <w:pStyle w:val="61"/>
        <w:ind w:firstLineChars="0"/>
        <w:rPr>
          <w:rFonts w:hint="eastAsia"/>
        </w:rPr>
      </w:pPr>
      <w:r>
        <w:t>2</w:t>
      </w:r>
      <w:r>
        <w:rPr>
          <w:rFonts w:hint="eastAsia"/>
        </w:rPr>
        <w:t>）消费后废</w:t>
      </w:r>
      <w:r>
        <w:rPr>
          <w:rFonts w:hint="eastAsia"/>
          <w:lang w:eastAsia="zh-CN"/>
        </w:rPr>
        <w:t>锡</w:t>
      </w:r>
      <w:r>
        <w:rPr>
          <w:rFonts w:hint="eastAsia"/>
        </w:rPr>
        <w:t>，包括废料名称、使用量、含</w:t>
      </w:r>
      <w:r>
        <w:rPr>
          <w:rFonts w:hint="eastAsia"/>
          <w:lang w:eastAsia="zh-CN"/>
        </w:rPr>
        <w:t>锡</w:t>
      </w:r>
      <w:r>
        <w:rPr>
          <w:rFonts w:hint="eastAsia"/>
        </w:rPr>
        <w:t>量及主要成分等信息。</w:t>
      </w:r>
    </w:p>
    <w:p w14:paraId="59625078">
      <w:pPr>
        <w:pStyle w:val="61"/>
        <w:ind w:firstLineChars="0"/>
        <w:rPr>
          <w:rFonts w:hint="eastAsia"/>
        </w:rPr>
      </w:pPr>
      <w:r>
        <w:rPr>
          <w:rFonts w:hint="eastAsia"/>
        </w:rPr>
        <w:t>再循环材料的百分比按公式（1）计算：</w:t>
      </w:r>
    </w:p>
    <w:p w14:paraId="2BB5F326">
      <w:pPr>
        <w:ind w:firstLine="420"/>
        <w:jc w:val="right"/>
        <w:rPr>
          <w:rFonts w:ascii="宋体"/>
        </w:rPr>
      </w:pPr>
      <m:oMath>
        <m:r>
          <m:rPr/>
          <w:rPr>
            <w:rFonts w:hint="eastAsia" w:ascii="Cambria Math" w:hAnsi="Cambria Math"/>
          </w:rPr>
          <m:t>P=</m:t>
        </m:r>
        <m:f>
          <m:fPr>
            <m:ctrlPr>
              <w:rPr>
                <w:rFonts w:ascii="Cambria Math" w:hAnsi="Cambria Math" w:eastAsia="等线"/>
                <w:i/>
                <w:iCs/>
                <w:szCs w:val="22"/>
              </w:rPr>
            </m:ctrlPr>
          </m:fPr>
          <m:num>
            <m:r>
              <m:rPr/>
              <w:rPr>
                <w:rFonts w:hint="eastAsia" w:ascii="Cambria Math" w:hAnsi="Cambria Math"/>
              </w:rPr>
              <m:t>A</m:t>
            </m:r>
            <m:r>
              <m:rPr/>
              <w:rPr>
                <w:rFonts w:ascii="Cambria Math" w:hAnsi="Cambria Math"/>
              </w:rPr>
              <m:t>+</m:t>
            </m:r>
            <m:r>
              <m:rPr/>
              <w:rPr>
                <w:rFonts w:hint="eastAsia" w:ascii="Cambria Math" w:hAnsi="Cambria Math"/>
              </w:rPr>
              <m:t>B</m:t>
            </m:r>
            <m:ctrlPr>
              <w:rPr>
                <w:rFonts w:ascii="Cambria Math" w:hAnsi="Cambria Math" w:eastAsia="等线"/>
                <w:i/>
                <w:iCs/>
                <w:szCs w:val="22"/>
              </w:rPr>
            </m:ctrlPr>
          </m:num>
          <m:den>
            <m:r>
              <m:rPr/>
              <w:rPr>
                <w:rFonts w:hint="eastAsia" w:ascii="Cambria Math" w:hAnsi="Cambria Math"/>
              </w:rPr>
              <m:t>T</m:t>
            </m:r>
            <m:ctrlPr>
              <w:rPr>
                <w:rFonts w:ascii="Cambria Math" w:hAnsi="Cambria Math" w:eastAsia="等线"/>
                <w:i/>
                <w:iCs/>
                <w:szCs w:val="22"/>
              </w:rPr>
            </m:ctrlPr>
          </m:den>
        </m:f>
        <m:r>
          <m:rPr/>
          <w:rPr>
            <w:rFonts w:ascii="Cambria Math" w:hAnsi="Cambria Math"/>
          </w:rPr>
          <m:t>×100</m:t>
        </m:r>
        <m:r>
          <m:rPr/>
          <w:rPr>
            <w:rFonts w:hint="eastAsia" w:ascii="Cambria Math" w:hAnsi="Cambria Math"/>
          </w:rPr>
          <m:t>%</m:t>
        </m:r>
        <m:r>
          <m:rPr>
            <m:sty m:val="p"/>
          </m:rPr>
          <w:rPr>
            <w:rFonts w:ascii="Cambria Math" w:hAnsi="Cambria Math"/>
          </w:rPr>
          <m:t xml:space="preserve">  </m:t>
        </m:r>
      </m:oMath>
      <w:r>
        <w:rPr>
          <w:rFonts w:hint="eastAsia" w:ascii="宋体"/>
        </w:rPr>
        <w:t xml:space="preserve">                            （1）</w:t>
      </w:r>
    </w:p>
    <w:p w14:paraId="7E3DB8CA">
      <w:pPr>
        <w:pStyle w:val="2"/>
      </w:pPr>
      <w:r>
        <w:rPr>
          <w:rFonts w:hint="eastAsia"/>
        </w:rPr>
        <w:t>式中：</w:t>
      </w:r>
    </w:p>
    <w:p w14:paraId="20E7223C">
      <w:pPr>
        <w:pStyle w:val="2"/>
      </w:pPr>
      <w:r>
        <w:rPr>
          <w:i/>
          <w:iCs/>
        </w:rPr>
        <w:t>P</w:t>
      </w:r>
      <w:r>
        <w:rPr>
          <w:rFonts w:hint="eastAsia"/>
        </w:rPr>
        <w:t>——再循环材料比例，以百分比（%）表示；</w:t>
      </w:r>
    </w:p>
    <w:p w14:paraId="5E190D38">
      <w:pPr>
        <w:pStyle w:val="2"/>
      </w:pPr>
      <w:r>
        <w:rPr>
          <w:i/>
          <w:iCs/>
        </w:rPr>
        <w:t>A</w:t>
      </w:r>
      <w:r>
        <w:rPr>
          <w:rFonts w:hint="eastAsia"/>
        </w:rPr>
        <w:t>——统计期内所投入的消费前废</w:t>
      </w:r>
      <w:r>
        <w:rPr>
          <w:rFonts w:hint="eastAsia"/>
          <w:lang w:eastAsia="zh-CN"/>
        </w:rPr>
        <w:t>锡</w:t>
      </w:r>
      <w:r>
        <w:rPr>
          <w:rFonts w:hint="eastAsia"/>
        </w:rPr>
        <w:t>所含</w:t>
      </w:r>
      <w:r>
        <w:rPr>
          <w:rFonts w:hint="eastAsia"/>
          <w:lang w:eastAsia="zh-CN"/>
        </w:rPr>
        <w:t>锡</w:t>
      </w:r>
      <w:r>
        <w:rPr>
          <w:rFonts w:hint="eastAsia"/>
        </w:rPr>
        <w:t>金属量，单位为吨（t）；</w:t>
      </w:r>
    </w:p>
    <w:p w14:paraId="021D0ABE">
      <w:pPr>
        <w:pStyle w:val="2"/>
      </w:pPr>
      <w:r>
        <w:rPr>
          <w:i/>
          <w:iCs/>
        </w:rPr>
        <w:t>B</w:t>
      </w:r>
      <w:r>
        <w:rPr>
          <w:rFonts w:hint="eastAsia"/>
        </w:rPr>
        <w:t>——统计期内所投入的消费后废</w:t>
      </w:r>
      <w:r>
        <w:rPr>
          <w:rFonts w:hint="eastAsia"/>
          <w:lang w:eastAsia="zh-CN"/>
        </w:rPr>
        <w:t>锡</w:t>
      </w:r>
      <w:r>
        <w:rPr>
          <w:rFonts w:hint="eastAsia"/>
        </w:rPr>
        <w:t>所含</w:t>
      </w:r>
      <w:r>
        <w:rPr>
          <w:rFonts w:hint="eastAsia"/>
          <w:lang w:eastAsia="zh-CN"/>
        </w:rPr>
        <w:t>锡</w:t>
      </w:r>
      <w:r>
        <w:rPr>
          <w:rFonts w:hint="eastAsia"/>
        </w:rPr>
        <w:t>金属量，单位为吨（t）；</w:t>
      </w:r>
    </w:p>
    <w:p w14:paraId="2F31D5FE">
      <w:pPr>
        <w:pStyle w:val="2"/>
      </w:pPr>
      <w:r>
        <w:rPr>
          <w:i/>
          <w:iCs/>
        </w:rPr>
        <w:t>T</w:t>
      </w:r>
      <w:r>
        <w:rPr>
          <w:rFonts w:hint="eastAsia"/>
        </w:rPr>
        <w:t>——统计期内所投入的所有原料含</w:t>
      </w:r>
      <w:r>
        <w:rPr>
          <w:rFonts w:hint="eastAsia"/>
          <w:lang w:eastAsia="zh-CN"/>
        </w:rPr>
        <w:t>锡</w:t>
      </w:r>
      <w:r>
        <w:rPr>
          <w:rFonts w:hint="eastAsia"/>
        </w:rPr>
        <w:t>金属量，单位为吨（t）。</w:t>
      </w:r>
    </w:p>
    <w:p w14:paraId="29166BAA">
      <w:pPr>
        <w:ind w:firstLine="360"/>
        <w:rPr>
          <w:sz w:val="18"/>
          <w:szCs w:val="18"/>
        </w:rPr>
      </w:pPr>
      <w:r>
        <w:rPr>
          <w:sz w:val="18"/>
          <w:szCs w:val="18"/>
        </w:rPr>
        <w:t xml:space="preserve"> </w:t>
      </w:r>
      <w:r>
        <w:rPr>
          <w:rFonts w:hint="eastAsia" w:ascii="黑体" w:hAnsi="黑体" w:eastAsia="黑体"/>
          <w:sz w:val="18"/>
          <w:szCs w:val="18"/>
        </w:rPr>
        <w:t>注</w:t>
      </w:r>
      <w:r>
        <w:rPr>
          <w:rFonts w:hint="eastAsia"/>
          <w:sz w:val="18"/>
          <w:szCs w:val="18"/>
        </w:rPr>
        <w:t>：统计周期应与产品评价周期一致。</w:t>
      </w:r>
    </w:p>
    <w:p w14:paraId="5C2D1A8B">
      <w:pPr>
        <w:pStyle w:val="6"/>
        <w:spacing w:before="312" w:beforeLines="100" w:after="312" w:afterLines="100" w:line="240" w:lineRule="auto"/>
        <w:jc w:val="left"/>
        <w:rPr>
          <w:rFonts w:hint="eastAsia" w:ascii="黑体" w:hAnsi="黑体" w:eastAsia="黑体"/>
          <w:b w:val="0"/>
          <w:color w:val="auto"/>
          <w:sz w:val="21"/>
          <w:szCs w:val="21"/>
        </w:rPr>
      </w:pPr>
      <w:r>
        <w:rPr>
          <w:rFonts w:hint="eastAsia" w:ascii="黑体" w:hAnsi="黑体" w:eastAsia="黑体"/>
          <w:b w:val="0"/>
          <w:color w:val="auto"/>
          <w:sz w:val="21"/>
          <w:szCs w:val="21"/>
        </w:rPr>
        <w:t>6.1.3.5  消费后废料回收</w:t>
      </w:r>
    </w:p>
    <w:p w14:paraId="496032C4">
      <w:pPr>
        <w:pStyle w:val="61"/>
        <w:ind w:firstLine="0" w:firstLineChars="0"/>
        <w:rPr>
          <w:rFonts w:hint="eastAsia"/>
        </w:rPr>
      </w:pPr>
      <w:r>
        <w:rPr>
          <w:rFonts w:hint="eastAsia" w:ascii="黑体" w:hAnsi="黑体" w:eastAsia="黑体"/>
          <w:szCs w:val="21"/>
        </w:rPr>
        <w:t>6.1.3.5.1</w:t>
      </w:r>
      <w:r>
        <w:rPr>
          <w:rFonts w:hint="eastAsia"/>
        </w:rPr>
        <w:t>消费后</w:t>
      </w:r>
      <w:r>
        <w:rPr>
          <w:rFonts w:hint="eastAsia"/>
          <w:lang w:eastAsia="zh-CN"/>
        </w:rPr>
        <w:t>回收锡原料</w:t>
      </w:r>
      <w:r>
        <w:rPr>
          <w:rFonts w:hint="eastAsia"/>
        </w:rPr>
        <w:t>回收阶段包含了废料收集、回收处理（如，拆解、破碎等）和不可回收物的处置（如，填埋、焚烧）等过程。</w:t>
      </w:r>
    </w:p>
    <w:p w14:paraId="30012F80">
      <w:pPr>
        <w:pStyle w:val="61"/>
        <w:ind w:firstLine="0" w:firstLineChars="0"/>
        <w:rPr>
          <w:rFonts w:hint="eastAsia"/>
        </w:rPr>
      </w:pPr>
      <w:r>
        <w:rPr>
          <w:rFonts w:hint="eastAsia" w:ascii="黑体" w:hAnsi="黑体" w:eastAsia="黑体"/>
          <w:szCs w:val="21"/>
        </w:rPr>
        <w:t>6.1.3.5.2</w:t>
      </w:r>
      <w:r>
        <w:rPr>
          <w:rFonts w:hint="eastAsia"/>
        </w:rPr>
        <w:t>消费后废料的系统边界为</w:t>
      </w:r>
      <w:r>
        <w:rPr>
          <w:rFonts w:hint="eastAsia"/>
          <w:lang w:val="en-US" w:eastAsia="zh-CN"/>
        </w:rPr>
        <w:t>从含锡零部件开始到获得可利用回收锡原料</w:t>
      </w:r>
      <w:r>
        <w:rPr>
          <w:rFonts w:hint="eastAsia"/>
        </w:rPr>
        <w:t>等相关操作过程。如果</w:t>
      </w:r>
      <w:r>
        <w:rPr>
          <w:rFonts w:hint="eastAsia"/>
          <w:lang w:eastAsia="zh-CN"/>
        </w:rPr>
        <w:t>回收锡原料</w:t>
      </w:r>
      <w:r>
        <w:rPr>
          <w:rFonts w:hint="eastAsia"/>
        </w:rPr>
        <w:t>生产由报告企业运营或控制，则应采用企业特征数据，其数据收集可参照附录C.4；如果废杂</w:t>
      </w:r>
      <w:r>
        <w:rPr>
          <w:rFonts w:hint="eastAsia"/>
          <w:lang w:eastAsia="zh-CN"/>
        </w:rPr>
        <w:t>回收锡原料</w:t>
      </w:r>
      <w:r>
        <w:rPr>
          <w:rFonts w:hint="eastAsia"/>
        </w:rPr>
        <w:t>由外部采购，则从拆解和储运的供应商获得排放数据。</w:t>
      </w:r>
    </w:p>
    <w:p w14:paraId="6FA5DE0E">
      <w:pPr>
        <w:pStyle w:val="61"/>
        <w:spacing w:before="312" w:beforeLines="100" w:after="312" w:afterLines="100"/>
        <w:ind w:firstLine="0" w:firstLineChars="0"/>
        <w:outlineLvl w:val="2"/>
        <w:rPr>
          <w:rFonts w:hint="eastAsia" w:ascii="黑体" w:hAnsi="黑体" w:eastAsia="黑体" w:cs="黑体"/>
        </w:rPr>
      </w:pPr>
      <w:r>
        <w:rPr>
          <w:rFonts w:hint="eastAsia" w:ascii="黑体" w:hAnsi="黑体" w:eastAsia="黑体" w:cs="黑体"/>
        </w:rPr>
        <w:t>6.1.4  次级数据收集</w:t>
      </w:r>
    </w:p>
    <w:p w14:paraId="4944B7B8">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6.1.4.1  概述</w:t>
      </w:r>
    </w:p>
    <w:p w14:paraId="6C48F8C4">
      <w:pPr>
        <w:pStyle w:val="61"/>
        <w:rPr>
          <w:rFonts w:hAnsi="Times New Roman"/>
        </w:rPr>
      </w:pPr>
      <w:r>
        <w:rPr>
          <w:rFonts w:hint="eastAsia"/>
        </w:rPr>
        <w:t>产品碳足迹的计算需要收集各种次级数据，如：</w:t>
      </w:r>
    </w:p>
    <w:p w14:paraId="467C58C2">
      <w:pPr>
        <w:pStyle w:val="61"/>
        <w:rPr>
          <w:rFonts w:hint="eastAsia"/>
        </w:rPr>
      </w:pPr>
      <w:r>
        <w:rPr>
          <w:rFonts w:hint="eastAsia"/>
        </w:rPr>
        <w:t>a）外购各种原辅材料、燃料、能源的温室气体排放，这些消耗品不是报告主体生产的；</w:t>
      </w:r>
    </w:p>
    <w:p w14:paraId="2B65F780">
      <w:pPr>
        <w:pStyle w:val="61"/>
        <w:rPr>
          <w:rFonts w:hint="eastAsia"/>
        </w:rPr>
      </w:pPr>
      <w:r>
        <w:rPr>
          <w:rFonts w:hint="eastAsia"/>
        </w:rPr>
        <w:t>b）温室气体排放因子，如：初级数据收集到的燃料转化为温室气体的排放系数；</w:t>
      </w:r>
    </w:p>
    <w:p w14:paraId="01D4A7FF">
      <w:pPr>
        <w:pStyle w:val="61"/>
        <w:rPr>
          <w:rFonts w:hint="eastAsia"/>
        </w:rPr>
      </w:pPr>
      <w:r>
        <w:rPr>
          <w:rFonts w:hint="eastAsia"/>
        </w:rPr>
        <w:t>c）各种材料、燃料的不同运输方式产生的温室气体排放；</w:t>
      </w:r>
    </w:p>
    <w:p w14:paraId="563D817B">
      <w:pPr>
        <w:pStyle w:val="61"/>
        <w:rPr>
          <w:rFonts w:hint="eastAsia"/>
        </w:rPr>
      </w:pPr>
      <w:r>
        <w:rPr>
          <w:rFonts w:hint="eastAsia"/>
        </w:rPr>
        <w:t>d）废物处理服务等第三方服务的温室气体排放。</w:t>
      </w:r>
    </w:p>
    <w:p w14:paraId="109D2D19">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6.1.4.2  辅材、药剂、燃料及服务供应的温室气体排放</w:t>
      </w:r>
    </w:p>
    <w:p w14:paraId="1EFB2FC9">
      <w:pPr>
        <w:pStyle w:val="61"/>
        <w:rPr>
          <w:rFonts w:hint="eastAsia"/>
        </w:rPr>
      </w:pPr>
      <w:r>
        <w:rPr>
          <w:rFonts w:hint="eastAsia"/>
          <w:lang w:eastAsia="zh-CN"/>
        </w:rPr>
        <w:t>锡</w:t>
      </w:r>
      <w:r>
        <w:rPr>
          <w:rFonts w:hint="eastAsia"/>
        </w:rPr>
        <w:t>锭生产过程中消耗的辅助材料、燃料等上游排放相关数据，可能无法从供应商获得初级数据，也可来源于</w:t>
      </w:r>
      <w:r>
        <w:t>经权威机构验证且具有可信度的数据，</w:t>
      </w:r>
      <w:r>
        <w:rPr>
          <w:rFonts w:hint="eastAsia"/>
        </w:rPr>
        <w:t>包括</w:t>
      </w:r>
      <w:r>
        <w:t>数据库、公开文献、国家排放因子、计算估算数据或其他具有代表性的数据，</w:t>
      </w:r>
      <w:r>
        <w:rPr>
          <w:rFonts w:hint="eastAsia"/>
        </w:rPr>
        <w:t>可参照附录C表C.5至C.7进行收集，</w:t>
      </w:r>
      <w:r>
        <w:t>推荐使用本土化数据库</w:t>
      </w:r>
      <w:r>
        <w:rPr>
          <w:rFonts w:hint="eastAsia"/>
        </w:rPr>
        <w:t>。</w:t>
      </w:r>
    </w:p>
    <w:p w14:paraId="2564EE6A">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6.1.4.3  直接排放相关因子</w:t>
      </w:r>
    </w:p>
    <w:p w14:paraId="2C1B26EC">
      <w:pPr>
        <w:pStyle w:val="61"/>
        <w:rPr>
          <w:rFonts w:hAnsi="Times New Roman"/>
        </w:rPr>
      </w:pPr>
      <w:r>
        <w:rPr>
          <w:rFonts w:hint="eastAsia"/>
        </w:rPr>
        <w:t>燃料燃烧排放、过程排放需要用到相应的排放因子。当燃料或含碳物质的相关特征参数（如含碳量等）能获得时，应采用特征参数计算排放因子；如无法获得特征参数时，宜采用缺省值。</w:t>
      </w:r>
    </w:p>
    <w:p w14:paraId="497678C6">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6.1.4.4  运输相关的温室气体排放</w:t>
      </w:r>
    </w:p>
    <w:p w14:paraId="61041A05">
      <w:pPr>
        <w:pStyle w:val="61"/>
        <w:rPr>
          <w:rFonts w:hAnsi="Times New Roman"/>
        </w:rPr>
      </w:pPr>
      <w:r>
        <w:rPr>
          <w:rFonts w:hint="eastAsia"/>
        </w:rPr>
        <w:t>运输相关的温室气体排放可采用如下三种方法来计算，且方法优先次序为：</w:t>
      </w:r>
    </w:p>
    <w:p w14:paraId="756726B4">
      <w:pPr>
        <w:pStyle w:val="61"/>
        <w:rPr>
          <w:rFonts w:ascii="Times New Roman" w:hAnsi="Times New Roman"/>
        </w:rPr>
      </w:pPr>
      <w:r>
        <w:rPr>
          <w:rFonts w:hint="eastAsia"/>
        </w:rPr>
        <w:t>a）</w:t>
      </w:r>
      <w:r>
        <w:rPr>
          <w:rFonts w:hint="eastAsia" w:ascii="Times New Roman" w:hAnsi="Times New Roman"/>
        </w:rPr>
        <w:t>方法1：收集运输环节的燃料消耗量，如柴油、汽油的消耗量，可参照附录C表C.8收集；通过燃料消耗量乘以燃料生产的上游排放因子以及燃料燃烧排放因子计算得到运输环节的温室气体排放。</w:t>
      </w:r>
    </w:p>
    <w:p w14:paraId="1144AF05">
      <w:pPr>
        <w:pStyle w:val="61"/>
        <w:rPr>
          <w:rFonts w:ascii="Times New Roman" w:hAnsi="Times New Roman"/>
        </w:rPr>
      </w:pPr>
      <w:r>
        <w:rPr>
          <w:rFonts w:hint="eastAsia" w:ascii="Times New Roman" w:hAnsi="Times New Roman"/>
        </w:rPr>
        <w:t>b）方法2：收集运输方式（工具）、运输距离和运输工具的排放因子，可参照附录C表C.9收集，基于已知的运输工具和运输距离，通过运输距离乘以相应运输工具的运输排放因子计算得运输的温室气体排放。运输排放因子可以从公开数据、行业统计或商业数据库获得。</w:t>
      </w:r>
    </w:p>
    <w:p w14:paraId="12FB0E63">
      <w:pPr>
        <w:pStyle w:val="61"/>
        <w:rPr>
          <w:rFonts w:hint="eastAsia"/>
        </w:rPr>
      </w:pPr>
      <w:r>
        <w:rPr>
          <w:rFonts w:hint="eastAsia" w:ascii="Times New Roman" w:hAnsi="Times New Roman"/>
        </w:rPr>
        <w:t>c）方法3：只能获得起点和终点，其他运输条件未知的情况下，通过简单物流链和网络地图等获得运输距离</w:t>
      </w:r>
      <w:r>
        <w:rPr>
          <w:rFonts w:hint="eastAsia"/>
        </w:rPr>
        <w:t>，再根据运量和运输方式估算温室</w:t>
      </w:r>
      <w:r>
        <w:rPr>
          <w:rFonts w:hint="eastAsia" w:ascii="Times New Roman" w:hAnsi="Times New Roman"/>
        </w:rPr>
        <w:t>气体排放，可参照附录C表C.10收</w:t>
      </w:r>
      <w:r>
        <w:rPr>
          <w:rFonts w:hint="eastAsia"/>
        </w:rPr>
        <w:t>集。</w:t>
      </w:r>
    </w:p>
    <w:p w14:paraId="28B0F5BA">
      <w:pPr>
        <w:pStyle w:val="6"/>
        <w:spacing w:before="312" w:beforeLines="100" w:after="312" w:afterLines="100" w:line="240" w:lineRule="auto"/>
        <w:jc w:val="left"/>
        <w:rPr>
          <w:rFonts w:hint="eastAsia" w:ascii="黑体" w:hAnsi="黑体" w:eastAsia="黑体"/>
          <w:b w:val="0"/>
          <w:sz w:val="21"/>
          <w:szCs w:val="21"/>
        </w:rPr>
      </w:pPr>
      <w:r>
        <w:rPr>
          <w:rFonts w:hint="eastAsia" w:ascii="黑体" w:hAnsi="黑体" w:eastAsia="黑体"/>
          <w:b w:val="0"/>
          <w:sz w:val="21"/>
          <w:szCs w:val="21"/>
        </w:rPr>
        <w:t xml:space="preserve">6.1.5  电力温室气体排放量和清除量 </w:t>
      </w:r>
    </w:p>
    <w:p w14:paraId="27CFB56E">
      <w:pPr>
        <w:pStyle w:val="7"/>
        <w:spacing w:before="312" w:beforeLines="100" w:after="312" w:afterLines="100" w:line="240" w:lineRule="auto"/>
        <w:rPr>
          <w:rFonts w:hint="eastAsia" w:ascii="黑体" w:hAnsi="黑体" w:eastAsia="黑体"/>
          <w:b w:val="0"/>
          <w:sz w:val="21"/>
          <w:szCs w:val="21"/>
        </w:rPr>
      </w:pPr>
      <w:r>
        <w:rPr>
          <w:rFonts w:hint="eastAsia" w:ascii="黑体" w:hAnsi="黑体" w:eastAsia="黑体"/>
          <w:b w:val="0"/>
          <w:sz w:val="21"/>
          <w:szCs w:val="21"/>
        </w:rPr>
        <w:t xml:space="preserve">6.1.5.1  概述 </w:t>
      </w:r>
    </w:p>
    <w:p w14:paraId="666FF86A">
      <w:pPr>
        <w:pStyle w:val="61"/>
        <w:rPr>
          <w:rFonts w:hAnsi="Times New Roman"/>
        </w:rPr>
      </w:pPr>
      <w:r>
        <w:rPr>
          <w:rFonts w:hint="eastAsia"/>
        </w:rPr>
        <w:t>电力是</w:t>
      </w:r>
      <w:r>
        <w:rPr>
          <w:rFonts w:hint="eastAsia"/>
          <w:lang w:eastAsia="zh-CN"/>
        </w:rPr>
        <w:t>锡</w:t>
      </w:r>
      <w:r>
        <w:rPr>
          <w:rFonts w:hint="eastAsia"/>
        </w:rPr>
        <w:t xml:space="preserve">锭生产过程中的主要能源消耗，电力的生命周期排放取决于现场或电力供应商所采用的发电技术。与用电相关的温室气体排放量应包括： </w:t>
      </w:r>
    </w:p>
    <w:p w14:paraId="6BD4E5B7">
      <w:pPr>
        <w:pStyle w:val="61"/>
        <w:rPr>
          <w:rFonts w:hint="eastAsia"/>
        </w:rPr>
      </w:pPr>
      <w:r>
        <w:t>——</w:t>
      </w:r>
      <w:r>
        <w:rPr>
          <w:rFonts w:hint="eastAsia"/>
        </w:rPr>
        <w:t>材料、燃料等供应</w:t>
      </w:r>
      <w:r>
        <w:t>的温室气体排放量，例如</w:t>
      </w:r>
      <w:r>
        <w:rPr>
          <w:rFonts w:hint="eastAsia"/>
        </w:rPr>
        <w:t>煤炭</w:t>
      </w:r>
      <w:r>
        <w:t>开采和运输至发电站</w:t>
      </w:r>
      <w:r>
        <w:rPr>
          <w:rFonts w:hint="eastAsia"/>
        </w:rPr>
        <w:t>的上游排放</w:t>
      </w:r>
      <w:r>
        <w:t xml:space="preserve">； </w:t>
      </w:r>
    </w:p>
    <w:p w14:paraId="617D9849">
      <w:pPr>
        <w:pStyle w:val="61"/>
        <w:rPr>
          <w:rFonts w:hint="eastAsia"/>
        </w:rPr>
      </w:pPr>
      <w:r>
        <w:t>——发电过程中的温室气体排放量，包括电力输配过程中的</w:t>
      </w:r>
      <w:r>
        <w:rPr>
          <w:rFonts w:hint="eastAsia"/>
        </w:rPr>
        <w:t>线损</w:t>
      </w:r>
      <w:r>
        <w:t xml:space="preserve">； </w:t>
      </w:r>
    </w:p>
    <w:p w14:paraId="55C53B51">
      <w:pPr>
        <w:pStyle w:val="61"/>
        <w:rPr>
          <w:rFonts w:hint="eastAsia"/>
        </w:rPr>
      </w:pPr>
      <w:r>
        <w:t>——</w:t>
      </w:r>
      <w:r>
        <w:rPr>
          <w:rFonts w:hint="eastAsia"/>
        </w:rPr>
        <w:t>废弃物处理的温室气体</w:t>
      </w:r>
      <w:r>
        <w:t>排放量（例如核电站</w:t>
      </w:r>
      <w:r>
        <w:rPr>
          <w:rFonts w:hint="eastAsia"/>
        </w:rPr>
        <w:t>废料处理</w:t>
      </w:r>
      <w:r>
        <w:t>或燃煤电厂粉煤灰</w:t>
      </w:r>
      <w:r>
        <w:rPr>
          <w:rFonts w:hint="eastAsia"/>
        </w:rPr>
        <w:t>的处理等</w:t>
      </w:r>
      <w:r>
        <w:t>）。</w:t>
      </w:r>
      <w:r>
        <w:rPr>
          <w:rFonts w:hint="eastAsia"/>
        </w:rPr>
        <w:t xml:space="preserve"> </w:t>
      </w:r>
    </w:p>
    <w:p w14:paraId="0A8177E2">
      <w:pPr>
        <w:pStyle w:val="61"/>
        <w:ind w:firstLine="360"/>
        <w:rPr>
          <w:rFonts w:hint="eastAsia"/>
          <w:sz w:val="18"/>
          <w:szCs w:val="18"/>
        </w:rPr>
      </w:pPr>
      <w:r>
        <w:rPr>
          <w:rFonts w:hint="eastAsia" w:ascii="黑体" w:hAnsi="黑体" w:eastAsia="黑体"/>
          <w:sz w:val="18"/>
          <w:szCs w:val="18"/>
        </w:rPr>
        <w:t>注：</w:t>
      </w:r>
      <w:r>
        <w:rPr>
          <w:rFonts w:hint="eastAsia" w:ascii="Times New Roman" w:hAnsi="Times New Roman"/>
          <w:sz w:val="18"/>
          <w:szCs w:val="18"/>
        </w:rPr>
        <w:t>6.1.5同</w:t>
      </w:r>
      <w:r>
        <w:rPr>
          <w:rFonts w:hint="eastAsia"/>
          <w:sz w:val="18"/>
          <w:szCs w:val="18"/>
        </w:rPr>
        <w:t xml:space="preserve">样适用于购买和销售的热能、冷源能源以及压缩空气等能源。 </w:t>
      </w:r>
    </w:p>
    <w:p w14:paraId="23E0CA55">
      <w:pPr>
        <w:pStyle w:val="7"/>
        <w:spacing w:before="312" w:beforeLines="100" w:after="312" w:afterLines="100" w:line="240" w:lineRule="auto"/>
        <w:rPr>
          <w:rFonts w:hint="eastAsia" w:ascii="黑体" w:hAnsi="黑体" w:eastAsia="黑体"/>
          <w:b w:val="0"/>
          <w:sz w:val="21"/>
          <w:szCs w:val="21"/>
        </w:rPr>
      </w:pPr>
      <w:r>
        <w:rPr>
          <w:rFonts w:hint="eastAsia" w:ascii="黑体" w:hAnsi="黑体" w:eastAsia="黑体"/>
          <w:b w:val="0"/>
          <w:sz w:val="21"/>
          <w:szCs w:val="21"/>
        </w:rPr>
        <w:t xml:space="preserve">6.1.5.2  内部发电 </w:t>
      </w:r>
    </w:p>
    <w:p w14:paraId="01BEDF52">
      <w:pPr>
        <w:pStyle w:val="61"/>
        <w:rPr>
          <w:rFonts w:hAnsi="Times New Roman"/>
        </w:rPr>
      </w:pPr>
      <w:r>
        <w:t>当产品消耗的电为内部发电（例如现场发电），且未向第三方出售，则应将该电力的生命周期数据计入该产品的产品碳足迹量化。</w:t>
      </w:r>
      <w:r>
        <w:rPr>
          <w:rFonts w:hint="eastAsia"/>
        </w:rPr>
        <w:t xml:space="preserve"> </w:t>
      </w:r>
    </w:p>
    <w:p w14:paraId="128A085C">
      <w:pPr>
        <w:pStyle w:val="7"/>
        <w:spacing w:before="312" w:beforeLines="100" w:after="312" w:afterLines="100" w:line="240" w:lineRule="auto"/>
        <w:rPr>
          <w:rFonts w:hint="eastAsia" w:ascii="黑体" w:hAnsi="黑体" w:eastAsia="黑体"/>
          <w:b w:val="0"/>
          <w:sz w:val="21"/>
          <w:szCs w:val="21"/>
        </w:rPr>
      </w:pPr>
      <w:r>
        <w:rPr>
          <w:rFonts w:hint="eastAsia" w:ascii="黑体" w:hAnsi="黑体" w:eastAsia="黑体"/>
          <w:b w:val="0"/>
          <w:sz w:val="21"/>
          <w:szCs w:val="21"/>
        </w:rPr>
        <w:t xml:space="preserve">6.1.5.3  直接连接供应商的电力 </w:t>
      </w:r>
    </w:p>
    <w:p w14:paraId="546F7469">
      <w:pPr>
        <w:pStyle w:val="61"/>
        <w:rPr>
          <w:rFonts w:hAnsi="Times New Roman"/>
        </w:rPr>
      </w:pPr>
      <w:r>
        <w:t>如果该组织与发电站之间具有专用输电线路，且所消耗的电未向第三方出售，则可使用该电力供应商提供的电力温室气体排放因子。</w:t>
      </w:r>
      <w:r>
        <w:rPr>
          <w:rFonts w:hint="eastAsia"/>
        </w:rPr>
        <w:t xml:space="preserve"> </w:t>
      </w:r>
    </w:p>
    <w:p w14:paraId="52D1B975">
      <w:pPr>
        <w:pStyle w:val="7"/>
        <w:spacing w:before="312" w:beforeLines="100" w:after="312" w:afterLines="100" w:line="240" w:lineRule="auto"/>
        <w:rPr>
          <w:rFonts w:hint="eastAsia" w:ascii="黑体" w:hAnsi="黑体" w:eastAsia="黑体"/>
          <w:b w:val="0"/>
          <w:sz w:val="21"/>
          <w:szCs w:val="21"/>
        </w:rPr>
      </w:pPr>
      <w:r>
        <w:rPr>
          <w:rFonts w:hint="eastAsia" w:ascii="黑体" w:hAnsi="黑体" w:eastAsia="黑体"/>
          <w:b w:val="0"/>
          <w:sz w:val="21"/>
          <w:szCs w:val="21"/>
        </w:rPr>
        <w:t xml:space="preserve">6.1.5.4  电网电力 </w:t>
      </w:r>
    </w:p>
    <w:p w14:paraId="2A85676C">
      <w:pPr>
        <w:pStyle w:val="61"/>
        <w:ind w:firstLine="0" w:firstLineChars="0"/>
        <w:rPr>
          <w:rFonts w:hint="eastAsia"/>
        </w:rPr>
      </w:pPr>
      <w:r>
        <w:rPr>
          <w:rFonts w:hint="eastAsia" w:ascii="黑体" w:hAnsi="黑体" w:eastAsia="黑体"/>
        </w:rPr>
        <w:t xml:space="preserve">6.1.5.4.1  </w:t>
      </w:r>
      <w:r>
        <w:rPr>
          <w:rFonts w:hint="eastAsia"/>
        </w:rPr>
        <w:t>当供应商能够通过合同的形式</w:t>
      </w:r>
      <w:r>
        <w:t>保证电力</w:t>
      </w:r>
      <w:r>
        <w:rPr>
          <w:rFonts w:hint="eastAsia"/>
        </w:rPr>
        <w:t>供应，</w:t>
      </w:r>
      <w:r>
        <w:t>应使用供应商特定电力生产的生命周期数据，电力产品应：</w:t>
      </w:r>
    </w:p>
    <w:p w14:paraId="5ADD6469">
      <w:pPr>
        <w:pStyle w:val="61"/>
        <w:rPr>
          <w:rFonts w:hint="eastAsia"/>
        </w:rPr>
      </w:pPr>
      <w:r>
        <w:t xml:space="preserve">——传递电力生产单位相关信息以及发电机组特征信息； </w:t>
      </w:r>
    </w:p>
    <w:p w14:paraId="7A62099A">
      <w:pPr>
        <w:pStyle w:val="61"/>
        <w:rPr>
          <w:rFonts w:hint="eastAsia"/>
        </w:rPr>
      </w:pPr>
      <w:r>
        <w:t xml:space="preserve">——保证提供唯一的使用权； </w:t>
      </w:r>
    </w:p>
    <w:p w14:paraId="1E1743A5">
      <w:pPr>
        <w:pStyle w:val="61"/>
        <w:rPr>
          <w:rFonts w:hint="eastAsia"/>
        </w:rPr>
      </w:pPr>
      <w:r>
        <w:t xml:space="preserve">——由报告实体或报告实体代表追踪、赎回、报废或注销； </w:t>
      </w:r>
    </w:p>
    <w:p w14:paraId="3BC5B0C6">
      <w:pPr>
        <w:pStyle w:val="61"/>
        <w:rPr>
          <w:rFonts w:hint="eastAsia"/>
        </w:rPr>
      </w:pPr>
      <w:r>
        <w:t>——尽可能接近合同的适用期限，并包括相应的时间</w:t>
      </w:r>
      <w:r>
        <w:rPr>
          <w:rFonts w:hint="eastAsia"/>
        </w:rPr>
        <w:t>长</w:t>
      </w:r>
      <w:r>
        <w:t>度</w:t>
      </w:r>
      <w:r>
        <w:rPr>
          <w:rFonts w:hint="eastAsia"/>
        </w:rPr>
        <w:t xml:space="preserve">。 </w:t>
      </w:r>
    </w:p>
    <w:p w14:paraId="2A1B78C4">
      <w:pPr>
        <w:pStyle w:val="61"/>
        <w:ind w:firstLine="0" w:firstLineChars="0"/>
        <w:rPr>
          <w:rFonts w:hint="eastAsia"/>
        </w:rPr>
      </w:pPr>
      <w:r>
        <w:rPr>
          <w:rFonts w:hint="eastAsia" w:ascii="黑体" w:hAnsi="黑体" w:eastAsia="黑体"/>
        </w:rPr>
        <w:t xml:space="preserve">6.1.5.4.2  </w:t>
      </w:r>
      <w:r>
        <w:rPr>
          <w:rFonts w:hint="eastAsia"/>
        </w:rPr>
        <w:t>当无法获得供应商的具体电力信息时，应使用与电力来源相关的电网温室气体排放量。相关电网温室气体排放量应反映相关地区的电力消耗情况，不包括任何之前已声明归属的电力。如果没有电力追踪系统，所选电网温室气体排放量应反映该地区的电力消费情况。</w:t>
      </w:r>
    </w:p>
    <w:p w14:paraId="0E35051B">
      <w:pPr>
        <w:pStyle w:val="61"/>
        <w:ind w:left="850" w:leftChars="172" w:hanging="489" w:hangingChars="272"/>
        <w:rPr>
          <w:rFonts w:hint="eastAsia"/>
          <w:sz w:val="18"/>
          <w:szCs w:val="18"/>
        </w:rPr>
      </w:pPr>
      <w:r>
        <w:rPr>
          <w:rFonts w:hint="eastAsia" w:ascii="黑体" w:hAnsi="黑体" w:eastAsia="黑体"/>
          <w:sz w:val="18"/>
          <w:szCs w:val="18"/>
        </w:rPr>
        <w:t>注1：</w:t>
      </w:r>
      <w:r>
        <w:rPr>
          <w:rFonts w:hint="eastAsia"/>
          <w:sz w:val="18"/>
          <w:szCs w:val="18"/>
        </w:rPr>
        <w:t>合同是指双方之间签订，用于出售和购买能源的任意形式的合约。例如中国绿证（GEC）、能源属性证书、可再生能源证书（REC）或其他绿色电力证书等。</w:t>
      </w:r>
    </w:p>
    <w:p w14:paraId="2311A4D1">
      <w:pPr>
        <w:pStyle w:val="61"/>
        <w:ind w:firstLine="360"/>
        <w:rPr>
          <w:rFonts w:hint="eastAsia" w:ascii="黑体" w:hAnsi="黑体" w:eastAsia="黑体"/>
          <w:sz w:val="18"/>
          <w:szCs w:val="18"/>
        </w:rPr>
      </w:pPr>
      <w:r>
        <w:rPr>
          <w:rFonts w:hint="eastAsia" w:ascii="黑体" w:hAnsi="黑体" w:eastAsia="黑体"/>
          <w:sz w:val="18"/>
          <w:szCs w:val="18"/>
        </w:rPr>
        <w:t>注2：</w:t>
      </w:r>
      <w:r>
        <w:rPr>
          <w:rFonts w:hint="eastAsia"/>
          <w:sz w:val="18"/>
          <w:szCs w:val="18"/>
        </w:rPr>
        <w:t>发电机特征信息包括设备的登记名称、所有者和产生的能源性质、发电量和提供的可再生能源等。</w:t>
      </w:r>
    </w:p>
    <w:p w14:paraId="70F9113B">
      <w:pPr>
        <w:pStyle w:val="61"/>
        <w:ind w:left="851" w:leftChars="181" w:hanging="471" w:hangingChars="262"/>
        <w:rPr>
          <w:rFonts w:hint="eastAsia"/>
          <w:sz w:val="18"/>
          <w:szCs w:val="18"/>
        </w:rPr>
      </w:pPr>
      <w:r>
        <w:rPr>
          <w:rFonts w:hint="eastAsia" w:ascii="黑体" w:hAnsi="黑体" w:eastAsia="黑体"/>
          <w:sz w:val="18"/>
          <w:szCs w:val="18"/>
        </w:rPr>
        <w:t>注3：</w:t>
      </w:r>
      <w:r>
        <w:rPr>
          <w:rFonts w:hint="eastAsia"/>
          <w:sz w:val="18"/>
          <w:szCs w:val="18"/>
        </w:rPr>
        <w:t>如果难以获得电力供应系统内某一过程的具体生命周期数据，可使用公认数据库（例如来自生态环境部、联合国环境规划署（UNEP）或联合国气候变化框架公约（UNFCCC）等中的数据）。</w:t>
      </w:r>
    </w:p>
    <w:p w14:paraId="4D97E0CB">
      <w:pPr>
        <w:pStyle w:val="61"/>
        <w:ind w:firstLine="0" w:firstLineChars="0"/>
        <w:rPr>
          <w:rFonts w:hint="eastAsia"/>
        </w:rPr>
      </w:pPr>
      <w:r>
        <w:rPr>
          <w:rFonts w:hint="eastAsia" w:ascii="黑体" w:hAnsi="黑体" w:eastAsia="黑体"/>
        </w:rPr>
        <w:t xml:space="preserve">6.1.5.4.3  </w:t>
      </w:r>
      <w:r>
        <w:rPr>
          <w:rFonts w:hint="eastAsia"/>
        </w:rPr>
        <w:t>某些电力产品的属性（例如绿色证书），在出售时不直接与电力本身关联。在某些区域，来自可再生能源的部分电力作为可再生电力出售，但没有被排除在电网组合排放因子之外，在这种情况下，应使用电力跟踪系统开展相关消费电网组合敏感性分析，以此来展示结果的差异，并在产品碳足迹研究报告中进行报告。</w:t>
      </w:r>
    </w:p>
    <w:p w14:paraId="1E6C72C0">
      <w:pPr>
        <w:pStyle w:val="61"/>
        <w:spacing w:before="312" w:beforeLines="100" w:after="312" w:afterLines="100"/>
        <w:ind w:firstLine="0" w:firstLineChars="0"/>
        <w:outlineLvl w:val="1"/>
        <w:rPr>
          <w:rFonts w:hint="eastAsia" w:ascii="黑体" w:hAnsi="黑体" w:eastAsia="黑体" w:cs="黑体"/>
        </w:rPr>
      </w:pPr>
      <w:bookmarkStart w:id="137" w:name="_Toc174232049"/>
      <w:r>
        <w:rPr>
          <w:rFonts w:hint="eastAsia" w:ascii="黑体" w:hAnsi="黑体" w:eastAsia="黑体" w:cs="黑体"/>
        </w:rPr>
        <w:t>6.2  数据分配</w:t>
      </w:r>
      <w:bookmarkEnd w:id="137"/>
    </w:p>
    <w:p w14:paraId="77C4DE7E">
      <w:pPr>
        <w:pStyle w:val="61"/>
        <w:spacing w:before="312" w:beforeLines="100" w:after="312" w:afterLines="100"/>
        <w:ind w:firstLine="0" w:firstLineChars="0"/>
        <w:outlineLvl w:val="2"/>
        <w:rPr>
          <w:rFonts w:hint="eastAsia" w:ascii="黑体" w:hAnsi="黑体" w:eastAsia="黑体" w:cs="黑体"/>
        </w:rPr>
      </w:pPr>
      <w:r>
        <w:rPr>
          <w:rFonts w:hint="eastAsia" w:ascii="黑体" w:hAnsi="黑体" w:eastAsia="黑体" w:cs="黑体"/>
        </w:rPr>
        <w:t>6.2.1  概述</w:t>
      </w:r>
    </w:p>
    <w:p w14:paraId="338D72BD">
      <w:pPr>
        <w:pStyle w:val="61"/>
        <w:rPr>
          <w:rFonts w:hint="eastAsia"/>
        </w:rPr>
      </w:pPr>
      <w:r>
        <w:rPr>
          <w:rFonts w:hint="eastAsia"/>
        </w:rPr>
        <w:t>产品系统的输入和输出</w:t>
      </w:r>
      <w:r>
        <w:t>应根据明确规定的程序</w:t>
      </w:r>
      <w:r>
        <w:rPr>
          <w:rFonts w:hint="eastAsia"/>
        </w:rPr>
        <w:t>在主产品和副产品之间进行分配。</w:t>
      </w:r>
    </w:p>
    <w:p w14:paraId="54778E2E">
      <w:pPr>
        <w:pStyle w:val="61"/>
        <w:rPr>
          <w:rFonts w:hint="eastAsia"/>
        </w:rPr>
      </w:pPr>
      <w:r>
        <w:rPr>
          <w:rFonts w:hint="eastAsia"/>
        </w:rPr>
        <w:t>一个单元过程</w:t>
      </w:r>
      <w:r>
        <w:t>分配</w:t>
      </w:r>
      <w:r>
        <w:rPr>
          <w:rFonts w:hint="eastAsia"/>
        </w:rPr>
        <w:t>后</w:t>
      </w:r>
      <w:r>
        <w:t>的输入和输出总和应与其分配前的输入和输出相等。</w:t>
      </w:r>
    </w:p>
    <w:p w14:paraId="250DC996">
      <w:pPr>
        <w:pStyle w:val="61"/>
        <w:rPr>
          <w:rFonts w:hint="eastAsia"/>
        </w:rPr>
      </w:pPr>
      <w:r>
        <w:t>当同时有几种备选分配程序时，应通过敏感性分析阐明偏离所选方法产生的影响</w:t>
      </w:r>
      <w:r>
        <w:rPr>
          <w:rFonts w:hint="eastAsia"/>
        </w:rPr>
        <w:t>。</w:t>
      </w:r>
    </w:p>
    <w:p w14:paraId="4CFBA4CE">
      <w:pPr>
        <w:pStyle w:val="61"/>
        <w:spacing w:before="312" w:beforeLines="100" w:after="312" w:afterLines="100"/>
        <w:ind w:firstLine="0" w:firstLineChars="0"/>
        <w:outlineLvl w:val="2"/>
        <w:rPr>
          <w:rFonts w:hint="eastAsia" w:ascii="黑体" w:hAnsi="黑体" w:eastAsia="黑体" w:cs="黑体"/>
        </w:rPr>
      </w:pPr>
      <w:r>
        <w:rPr>
          <w:rFonts w:ascii="黑体" w:hAnsi="黑体" w:eastAsia="黑体" w:cs="黑体"/>
        </w:rPr>
        <w:t xml:space="preserve">6.2.2  </w:t>
      </w:r>
      <w:r>
        <w:rPr>
          <w:rFonts w:hint="eastAsia" w:ascii="黑体" w:hAnsi="黑体" w:eastAsia="黑体" w:cs="黑体"/>
        </w:rPr>
        <w:t>分配程序</w:t>
      </w:r>
    </w:p>
    <w:p w14:paraId="6CEE639A">
      <w:pPr>
        <w:pStyle w:val="61"/>
        <w:rPr>
          <w:rFonts w:hint="eastAsia"/>
        </w:rPr>
      </w:pPr>
      <w:r>
        <w:t xml:space="preserve">产品碳足迹研究应包括确认与其他产品系统共享的单元过程，并按照以下步骤进行处理。  </w:t>
      </w:r>
    </w:p>
    <w:p w14:paraId="106FF2F3">
      <w:pPr>
        <w:pStyle w:val="61"/>
        <w:rPr>
          <w:rFonts w:hint="eastAsia"/>
        </w:rPr>
      </w:pPr>
      <w:r>
        <w:t>a</w:t>
      </w:r>
      <w:r>
        <w:rPr>
          <w:rFonts w:hint="eastAsia"/>
        </w:rPr>
        <w:t xml:space="preserve">） </w:t>
      </w:r>
      <w:r>
        <w:t>第1步：宜通过以下方法避免分配（从形式上看，步骤1不属于分配程序的一部分）</w:t>
      </w:r>
      <w:r>
        <w:rPr>
          <w:rFonts w:hint="eastAsia"/>
        </w:rPr>
        <w:t>；</w:t>
      </w:r>
    </w:p>
    <w:p w14:paraId="31C80C40">
      <w:pPr>
        <w:pStyle w:val="61"/>
        <w:ind w:left="1060" w:leftChars="405" w:hanging="210" w:hangingChars="100"/>
        <w:rPr>
          <w:rFonts w:hint="eastAsia"/>
        </w:rPr>
      </w:pPr>
      <w:r>
        <w:rPr>
          <w:rFonts w:hint="eastAsia"/>
        </w:rPr>
        <w:t>1）</w:t>
      </w:r>
      <w:r>
        <w:t>将拟分配的单元过程</w:t>
      </w:r>
      <w:r>
        <w:rPr>
          <w:rFonts w:hint="eastAsia"/>
        </w:rPr>
        <w:t>划分为两个或多个子单元过程，</w:t>
      </w:r>
      <w:r>
        <w:t>并收集与这些子过程相关的输入输出数据；</w:t>
      </w:r>
      <w:r>
        <w:rPr>
          <w:rFonts w:hint="eastAsia"/>
        </w:rPr>
        <w:t xml:space="preserve"> </w:t>
      </w:r>
    </w:p>
    <w:p w14:paraId="628AC106">
      <w:pPr>
        <w:pStyle w:val="61"/>
        <w:ind w:left="1060" w:leftChars="405" w:hanging="210" w:hangingChars="100"/>
        <w:rPr>
          <w:rFonts w:hint="eastAsia"/>
        </w:rPr>
      </w:pPr>
      <w:r>
        <w:rPr>
          <w:rFonts w:hint="eastAsia"/>
        </w:rPr>
        <w:t>2）如果单元过程无法划分，如存在有代表性的替代路线生产副产品，则可以采用系统扩展方法。系统扩展的原理是基于副产品节省或避免了另一个具有等效功能的产品系统。</w:t>
      </w:r>
    </w:p>
    <w:p w14:paraId="001BF1DA">
      <w:pPr>
        <w:pStyle w:val="61"/>
        <w:rPr>
          <w:rFonts w:hint="eastAsia"/>
        </w:rPr>
      </w:pPr>
      <w:r>
        <w:t>b</w:t>
      </w:r>
      <w:r>
        <w:rPr>
          <w:rFonts w:hint="eastAsia"/>
        </w:rPr>
        <w:t xml:space="preserve">） </w:t>
      </w:r>
      <w:r>
        <w:t>第2步：若无法避免分配，宜以能反映它们之间潜在物理关系的方式</w:t>
      </w:r>
      <w:r>
        <w:rPr>
          <w:rFonts w:hint="eastAsia"/>
        </w:rPr>
        <w:t>（如物料平衡或能量平衡）</w:t>
      </w:r>
      <w:r>
        <w:t xml:space="preserve">，将系统的输入和输出数据划分到不同产品或功能中； </w:t>
      </w:r>
    </w:p>
    <w:p w14:paraId="4B19F689">
      <w:pPr>
        <w:pStyle w:val="61"/>
        <w:rPr>
          <w:rFonts w:hint="eastAsia"/>
        </w:rPr>
      </w:pPr>
      <w:r>
        <w:rPr>
          <w:rFonts w:hint="eastAsia"/>
        </w:rPr>
        <w:t xml:space="preserve">c） </w:t>
      </w:r>
      <w:r>
        <w:t>第3步：当物理关系无法建立或无法用来作为分配基础时，则宜以能反映它们之间其他关系的方式将输入输出在产品或功能之间进行分配。例如可以根据产品的经济价值按比例将输入输出数据分配到共生产品。</w:t>
      </w:r>
    </w:p>
    <w:p w14:paraId="7A823621">
      <w:pPr>
        <w:pStyle w:val="61"/>
        <w:ind w:left="840" w:leftChars="200" w:hanging="420" w:hangingChars="200"/>
        <w:rPr>
          <w:rFonts w:hint="eastAsia"/>
          <w:sz w:val="18"/>
          <w:szCs w:val="18"/>
        </w:rPr>
      </w:pPr>
      <w:r>
        <w:rPr>
          <w:rFonts w:ascii="黑体" w:hAnsi="黑体" w:eastAsia="黑体"/>
        </w:rPr>
        <w:t xml:space="preserve"> </w:t>
      </w:r>
      <w:r>
        <w:rPr>
          <w:rFonts w:hint="eastAsia" w:ascii="黑体" w:hAnsi="黑体" w:eastAsia="黑体"/>
          <w:sz w:val="18"/>
          <w:szCs w:val="18"/>
        </w:rPr>
        <w:t>注：</w:t>
      </w:r>
      <w:r>
        <w:rPr>
          <w:rFonts w:hint="eastAsia"/>
          <w:sz w:val="18"/>
          <w:szCs w:val="18"/>
        </w:rPr>
        <w:t>注意区分废弃物和副产品，没有经济价值的产物不能作为产品输出，不参与分配，而是作为废弃物计入产品系统的废弃物处理排放；仅在有明确证据显示有下游客户且产生了经济价值的情况下，才能作为副产品参与分配。</w:t>
      </w:r>
    </w:p>
    <w:p w14:paraId="16DE7CDE">
      <w:pPr>
        <w:pStyle w:val="61"/>
        <w:rPr>
          <w:rFonts w:hint="eastAsia"/>
        </w:rPr>
      </w:pPr>
      <w:r>
        <w:rPr>
          <w:rFonts w:hint="eastAsia"/>
        </w:rPr>
        <w:t>任何情况下，只有当共生产品的长期平均价格比例大于4时，才能采用产品经济价值比例进行分配。如果同一过程有两个及以上的产品，则应以产品中的最高价格与最低价格的比例为判定基准。经济价值评估中使用的价格应是全球的长期</w:t>
      </w:r>
      <w:r>
        <w:t>平均值</w:t>
      </w:r>
      <w:r>
        <w:rPr>
          <w:rFonts w:hint="eastAsia"/>
        </w:rPr>
        <w:t>（通常为1</w:t>
      </w:r>
      <w:r>
        <w:t>0</w:t>
      </w:r>
      <w:r>
        <w:rPr>
          <w:rFonts w:hint="eastAsia"/>
        </w:rPr>
        <w:t>年平均值），并需要说明数据来源。</w:t>
      </w:r>
    </w:p>
    <w:p w14:paraId="7F3E8C21">
      <w:pPr>
        <w:pStyle w:val="61"/>
        <w:rPr>
          <w:rFonts w:hint="eastAsia"/>
        </w:rPr>
      </w:pPr>
      <w:r>
        <w:rPr>
          <w:rFonts w:hint="eastAsia"/>
        </w:rPr>
        <w:t>当共生产品的长期平均价格比例小于等于4时，宜按质量比例关系进行分配（如金属量或实物质量）。</w:t>
      </w:r>
    </w:p>
    <w:p w14:paraId="4D5779AE">
      <w:pPr>
        <w:pStyle w:val="6"/>
        <w:spacing w:before="312" w:beforeLines="100" w:after="312" w:afterLines="100" w:line="240" w:lineRule="auto"/>
        <w:jc w:val="left"/>
        <w:rPr>
          <w:rFonts w:hint="eastAsia" w:ascii="黑体" w:hAnsi="黑体" w:eastAsia="黑体"/>
          <w:b w:val="0"/>
          <w:sz w:val="21"/>
          <w:szCs w:val="21"/>
        </w:rPr>
      </w:pPr>
      <w:r>
        <w:rPr>
          <w:rFonts w:ascii="黑体" w:hAnsi="黑体" w:eastAsia="黑体"/>
          <w:b w:val="0"/>
          <w:sz w:val="21"/>
          <w:szCs w:val="21"/>
        </w:rPr>
        <w:t xml:space="preserve">6.2.3  </w:t>
      </w:r>
      <w:r>
        <w:rPr>
          <w:rFonts w:hint="eastAsia" w:ascii="黑体" w:hAnsi="黑体" w:eastAsia="黑体"/>
          <w:b w:val="0"/>
          <w:sz w:val="21"/>
          <w:szCs w:val="21"/>
        </w:rPr>
        <w:t>推荐的分配方法</w:t>
      </w:r>
    </w:p>
    <w:p w14:paraId="75926F2F">
      <w:pPr>
        <w:ind w:firstLine="420"/>
        <w:rPr>
          <w:b/>
        </w:rPr>
      </w:pPr>
      <w:r>
        <w:rPr>
          <w:rFonts w:hint="eastAsia"/>
        </w:rPr>
        <w:t>本文件依据上述分配程序，针对具体单元过程，提出了推荐性分配方法，见附录D。</w:t>
      </w:r>
    </w:p>
    <w:p w14:paraId="43591F3D">
      <w:pPr>
        <w:pStyle w:val="61"/>
        <w:spacing w:before="312" w:beforeLines="100" w:after="312" w:afterLines="100"/>
        <w:ind w:firstLine="0" w:firstLineChars="0"/>
        <w:outlineLvl w:val="1"/>
        <w:rPr>
          <w:rFonts w:hint="eastAsia" w:ascii="黑体" w:hAnsi="黑体" w:eastAsia="黑体" w:cs="黑体"/>
        </w:rPr>
      </w:pPr>
      <w:bookmarkStart w:id="138" w:name="_Toc174232050"/>
      <w:r>
        <w:rPr>
          <w:rFonts w:hint="eastAsia" w:ascii="黑体" w:hAnsi="黑体" w:eastAsia="黑体" w:cs="黑体"/>
        </w:rPr>
        <w:t>6.3  取舍准则</w:t>
      </w:r>
      <w:bookmarkEnd w:id="138"/>
    </w:p>
    <w:bookmarkEnd w:id="130"/>
    <w:p w14:paraId="3EA766C8">
      <w:pPr>
        <w:pStyle w:val="61"/>
        <w:rPr>
          <w:rFonts w:hint="eastAsia"/>
        </w:rPr>
      </w:pPr>
      <w:bookmarkStart w:id="139" w:name="_Toc161425583"/>
      <w:r>
        <w:rPr>
          <w:rFonts w:hint="eastAsia"/>
        </w:rPr>
        <w:t>取舍准则在系统边界中已有规定，并应在此范围内考虑特定单元过程及其子单元过程的所有数据集。</w:t>
      </w:r>
    </w:p>
    <w:p w14:paraId="371ED57B">
      <w:pPr>
        <w:pStyle w:val="61"/>
        <w:rPr>
          <w:rFonts w:hint="eastAsia"/>
        </w:rPr>
      </w:pPr>
      <w:r>
        <w:rPr>
          <w:rFonts w:hint="eastAsia"/>
        </w:rPr>
        <w:t>建议收集全部的单元过程相关资料，包括设备/设施的定期维护也应纳入生命周期评估(例如，火法冶炼炉窑定期检修的耐火材料，机电设备用的润滑剂、润滑脂等)。</w:t>
      </w:r>
    </w:p>
    <w:p w14:paraId="34F0ACD2">
      <w:pPr>
        <w:pStyle w:val="61"/>
        <w:rPr>
          <w:rFonts w:hint="eastAsia"/>
        </w:rPr>
      </w:pPr>
      <w:r>
        <w:rPr>
          <w:rFonts w:hint="eastAsia"/>
        </w:rPr>
        <w:t>产品系统边界内需要许多材料和药剂的输入，但不一定可获得所有适用于每种物质的排放因子。为了避免某些物质因为缺少排放因子而被排除在外，可对材料药剂进行分组，选取同一组别中最大的贡献者(质量)作为其他物质的代表。</w:t>
      </w:r>
    </w:p>
    <w:p w14:paraId="1E35124B">
      <w:pPr>
        <w:pStyle w:val="61"/>
        <w:spacing w:before="312" w:beforeLines="100" w:after="312" w:afterLines="100"/>
        <w:ind w:firstLine="0" w:firstLineChars="0"/>
        <w:outlineLvl w:val="1"/>
        <w:rPr>
          <w:rFonts w:hint="eastAsia" w:ascii="黑体" w:hAnsi="黑体" w:eastAsia="黑体" w:cs="黑体"/>
        </w:rPr>
      </w:pPr>
      <w:bookmarkStart w:id="140" w:name="_Toc172899166"/>
      <w:bookmarkStart w:id="141" w:name="_Toc174232051"/>
      <w:bookmarkStart w:id="142" w:name="_Toc171946698"/>
      <w:r>
        <w:rPr>
          <w:rFonts w:ascii="黑体" w:hAnsi="黑体" w:eastAsia="黑体" w:cs="黑体"/>
        </w:rPr>
        <w:t xml:space="preserve">6.4  </w:t>
      </w:r>
      <w:r>
        <w:rPr>
          <w:rFonts w:hint="eastAsia" w:ascii="黑体" w:hAnsi="黑体" w:eastAsia="黑体" w:cs="黑体"/>
        </w:rPr>
        <w:t>清单计算</w:t>
      </w:r>
      <w:bookmarkEnd w:id="140"/>
      <w:bookmarkEnd w:id="141"/>
      <w:bookmarkEnd w:id="142"/>
    </w:p>
    <w:p w14:paraId="1CF92CB6">
      <w:pPr>
        <w:pStyle w:val="61"/>
        <w:rPr>
          <w:rFonts w:hint="eastAsia"/>
        </w:rPr>
      </w:pPr>
      <w:r>
        <w:t>生命周期清单是以输入和输出之间的物质平衡为基础的</w:t>
      </w:r>
      <w:r>
        <w:rPr>
          <w:rFonts w:hint="eastAsia"/>
        </w:rPr>
        <w:t>，其结果通常表现为一系列的数据表，展示每声明单位产品在每个阶段/单元过程中的资源使用（如能源、水、原材料），以及释放到环境中的排放物（如温室气体、废水、固体废物）。</w:t>
      </w:r>
    </w:p>
    <w:bookmarkEnd w:id="126"/>
    <w:bookmarkEnd w:id="139"/>
    <w:p w14:paraId="2A577111">
      <w:pPr>
        <w:spacing w:before="312" w:beforeLines="100" w:after="312" w:afterLines="100"/>
        <w:outlineLvl w:val="0"/>
        <w:rPr>
          <w:rFonts w:hint="eastAsia" w:ascii="黑体" w:hAnsi="黑体" w:eastAsia="黑体" w:cs="黑体"/>
        </w:rPr>
      </w:pPr>
      <w:bookmarkStart w:id="143" w:name="_Toc174232052"/>
      <w:bookmarkStart w:id="144" w:name="_Toc131077501"/>
      <w:bookmarkStart w:id="145" w:name="_Toc101106198"/>
      <w:bookmarkStart w:id="146" w:name="_Toc81755154"/>
      <w:r>
        <w:rPr>
          <w:rFonts w:hint="eastAsia" w:ascii="黑体" w:hAnsi="黑体" w:eastAsia="黑体" w:cs="黑体"/>
        </w:rPr>
        <w:t>7 影响评价</w:t>
      </w:r>
      <w:bookmarkEnd w:id="143"/>
    </w:p>
    <w:bookmarkEnd w:id="144"/>
    <w:p w14:paraId="0D5D1EA7">
      <w:pPr>
        <w:pStyle w:val="61"/>
        <w:spacing w:before="312" w:beforeLines="100" w:after="312" w:afterLines="100"/>
        <w:ind w:firstLine="0" w:firstLineChars="0"/>
        <w:outlineLvl w:val="1"/>
        <w:rPr>
          <w:rFonts w:hint="eastAsia" w:ascii="黑体" w:hAnsi="黑体" w:eastAsia="黑体" w:cs="黑体"/>
        </w:rPr>
      </w:pPr>
      <w:bookmarkStart w:id="147" w:name="_Toc171946700"/>
      <w:bookmarkStart w:id="148" w:name="_Toc172899168"/>
      <w:bookmarkStart w:id="149" w:name="_Toc174232053"/>
      <w:r>
        <w:rPr>
          <w:rFonts w:ascii="黑体" w:hAnsi="黑体" w:eastAsia="黑体" w:cs="黑体"/>
        </w:rPr>
        <w:t xml:space="preserve">7.1  </w:t>
      </w:r>
      <w:r>
        <w:rPr>
          <w:rFonts w:hint="eastAsia" w:ascii="黑体" w:hAnsi="黑体" w:eastAsia="黑体" w:cs="黑体"/>
        </w:rPr>
        <w:t>全球变暖潜势值（GWP）的选取</w:t>
      </w:r>
      <w:bookmarkEnd w:id="147"/>
      <w:bookmarkEnd w:id="148"/>
      <w:bookmarkEnd w:id="149"/>
    </w:p>
    <w:p w14:paraId="486DB439">
      <w:pPr>
        <w:pStyle w:val="61"/>
        <w:rPr>
          <w:rFonts w:hint="eastAsia"/>
        </w:rPr>
      </w:pPr>
      <w:r>
        <w:t>应通过排放或清除的温室气体的质量乘以政府间气候变化专门委员会（IPCC）给出的 100年全球变暖潜势（GWP），来计算产品系统每种温室气体排放和清除的潜在气候变化影响，单位为kgCO</w:t>
      </w:r>
      <w:r>
        <w:rPr>
          <w:vertAlign w:val="subscript"/>
        </w:rPr>
        <w:t>2</w:t>
      </w:r>
      <w:r>
        <w:t xml:space="preserve">e/（kg 排放量）。产品碳足迹为所有温室气体潜在气候变化影响的总和。 </w:t>
      </w:r>
    </w:p>
    <w:p w14:paraId="33A7DA74">
      <w:pPr>
        <w:pStyle w:val="61"/>
        <w:rPr>
          <w:rFonts w:hint="eastAsia"/>
        </w:rPr>
      </w:pPr>
      <w:r>
        <w:t xml:space="preserve">若IPCC修订了全球变暖潜势值（GWP），应使用最新数值，否则应在报告中说明。 </w:t>
      </w:r>
    </w:p>
    <w:p w14:paraId="4974759F">
      <w:pPr>
        <w:pStyle w:val="61"/>
        <w:rPr>
          <w:rFonts w:hint="eastAsia"/>
        </w:rPr>
      </w:pPr>
      <w:r>
        <w:t>除GWP100外，还可以使用IPCC提供的其他时间范围的全球变暖潜势（GWP）和全球温度变化潜势（GTP），但应单独报告。</w:t>
      </w:r>
    </w:p>
    <w:p w14:paraId="13D13AAB">
      <w:pPr>
        <w:pStyle w:val="61"/>
        <w:ind w:left="780" w:leftChars="200" w:hanging="360" w:hangingChars="200"/>
        <w:rPr>
          <w:rFonts w:hint="eastAsia"/>
          <w:sz w:val="18"/>
          <w:szCs w:val="18"/>
        </w:rPr>
      </w:pPr>
      <w:r>
        <w:rPr>
          <w:rFonts w:hint="eastAsia" w:ascii="黑体" w:hAnsi="黑体" w:eastAsia="黑体"/>
          <w:sz w:val="18"/>
          <w:szCs w:val="18"/>
        </w:rPr>
        <w:t>注：</w:t>
      </w:r>
      <w:r>
        <w:rPr>
          <w:rFonts w:hint="eastAsia"/>
          <w:sz w:val="18"/>
          <w:szCs w:val="18"/>
        </w:rPr>
        <w:t>GWP100代表短期的气候变化影响，可反映变暖速度。100年GTP代表长期的气候变化影响，可反映长期温升。与其他时间范围相比，选择100年的时间范围并无任何科学依据。该时间范围是国际公约的一个价值判断，它权衡了不同时间范围内可能发生的影响。</w:t>
      </w:r>
    </w:p>
    <w:p w14:paraId="5CC466CB">
      <w:pPr>
        <w:pStyle w:val="61"/>
        <w:spacing w:before="312" w:beforeLines="100" w:after="312" w:afterLines="100"/>
        <w:ind w:firstLine="0" w:firstLineChars="0"/>
        <w:outlineLvl w:val="1"/>
        <w:rPr>
          <w:rFonts w:hint="eastAsia" w:ascii="黑体" w:hAnsi="黑体" w:eastAsia="黑体" w:cs="黑体"/>
        </w:rPr>
      </w:pPr>
      <w:bookmarkStart w:id="150" w:name="_Toc172899169"/>
      <w:bookmarkStart w:id="151" w:name="_Toc171946701"/>
      <w:bookmarkStart w:id="152" w:name="_Toc174232054"/>
      <w:r>
        <w:rPr>
          <w:rFonts w:ascii="黑体" w:hAnsi="黑体" w:eastAsia="黑体" w:cs="黑体"/>
        </w:rPr>
        <w:t xml:space="preserve">7.2  </w:t>
      </w:r>
      <w:r>
        <w:rPr>
          <w:rFonts w:hint="eastAsia" w:ascii="黑体" w:hAnsi="黑体" w:eastAsia="黑体" w:cs="黑体"/>
        </w:rPr>
        <w:t>产品碳足迹的计算</w:t>
      </w:r>
      <w:bookmarkEnd w:id="150"/>
      <w:bookmarkEnd w:id="151"/>
      <w:bookmarkEnd w:id="152"/>
    </w:p>
    <w:p w14:paraId="1E37B5DF">
      <w:pPr>
        <w:pStyle w:val="61"/>
        <w:spacing w:before="156" w:beforeLines="50" w:after="156" w:afterLines="50" w:line="520" w:lineRule="exact"/>
        <w:rPr>
          <w:rFonts w:hint="eastAsia"/>
        </w:rPr>
      </w:pPr>
      <w:r>
        <w:rPr>
          <w:rFonts w:hint="eastAsia"/>
        </w:rPr>
        <w:t>产品碳足迹计算方法参见公式（2）。</w:t>
      </w:r>
    </w:p>
    <w:p w14:paraId="39286AC8">
      <w:pPr>
        <w:pStyle w:val="61"/>
        <w:spacing w:before="156" w:beforeLines="50" w:after="156" w:afterLines="50" w:line="520" w:lineRule="exact"/>
        <w:jc w:val="right"/>
        <w:rPr>
          <w:rFonts w:hint="eastAsia"/>
        </w:rPr>
      </w:pPr>
      <m:oMath>
        <m:sSub>
          <m:sSubPr>
            <m:ctrlPr>
              <w:rPr>
                <w:rFonts w:ascii="Cambria Math" w:hAnsi="Cambria Math"/>
                <w:i/>
                <w:vertAlign w:val="subscript"/>
              </w:rPr>
            </m:ctrlPr>
          </m:sSubPr>
          <m:e>
            <m:r>
              <m:rPr/>
              <w:rPr>
                <w:rFonts w:hint="eastAsia" w:ascii="Cambria Math" w:hAnsi="Cambria Math"/>
                <w:vertAlign w:val="subscript"/>
              </w:rPr>
              <m:t>CFP</m:t>
            </m:r>
            <m:ctrlPr>
              <w:rPr>
                <w:rFonts w:ascii="Cambria Math" w:hAnsi="Cambria Math"/>
                <w:i/>
                <w:vertAlign w:val="subscript"/>
              </w:rPr>
            </m:ctrlPr>
          </m:e>
          <m:sub>
            <m:r>
              <m:rPr/>
              <w:rPr>
                <w:rFonts w:hint="eastAsia" w:ascii="Cambria Math" w:hAnsi="Cambria Math"/>
                <w:vertAlign w:val="subscript"/>
              </w:rPr>
              <m:t>GHG</m:t>
            </m:r>
            <m:ctrlPr>
              <w:rPr>
                <w:rFonts w:ascii="Cambria Math" w:hAnsi="Cambria Math"/>
                <w:i/>
                <w:vertAlign w:val="subscript"/>
              </w:rPr>
            </m:ctrlPr>
          </m:sub>
        </m:sSub>
        <m:r>
          <m:rPr/>
          <w:rPr>
            <w:rFonts w:ascii="Cambria Math"/>
          </w:rPr>
          <m:t>=</m:t>
        </m:r>
        <m:nary>
          <m:naryPr>
            <m:chr m:val="∑"/>
            <m:limLoc m:val="undOvr"/>
            <m:supHide m:val="1"/>
            <m:ctrlPr>
              <w:rPr>
                <w:rFonts w:ascii="Cambria Math" w:hAnsi="Cambria Math"/>
                <w:i/>
              </w:rPr>
            </m:ctrlPr>
          </m:naryPr>
          <m:sub>
            <m:r>
              <m:rPr/>
              <w:rPr>
                <w:rFonts w:hint="eastAsia" w:ascii="Cambria Math"/>
              </w:rPr>
              <m:t>j</m:t>
            </m:r>
            <m:ctrlPr>
              <w:rPr>
                <w:rFonts w:ascii="Cambria Math" w:hAnsi="Cambria Math"/>
                <w:i/>
              </w:rPr>
            </m:ctrlPr>
          </m:sub>
          <m:sup>
            <m:ctrlPr>
              <w:rPr>
                <w:rFonts w:ascii="Cambria Math" w:hAnsi="Cambria Math"/>
                <w:i/>
              </w:rPr>
            </m:ctrlPr>
          </m:sup>
          <m:e>
            <m:d>
              <m:dPr>
                <m:begChr m:val="["/>
                <m:endChr m:val="]"/>
                <m:ctrlPr>
                  <w:rPr>
                    <w:rFonts w:ascii="Cambria Math" w:hAnsi="Cambria Math"/>
                    <w:i/>
                  </w:rPr>
                </m:ctrlPr>
              </m:dPr>
              <m:e>
                <m:nary>
                  <m:naryPr>
                    <m:chr m:val="∑"/>
                    <m:limLoc m:val="undOvr"/>
                    <m:supHide m:val="1"/>
                    <m:ctrlPr>
                      <w:rPr>
                        <w:rFonts w:ascii="Cambria Math" w:hAnsi="Cambria Math"/>
                        <w:i/>
                      </w:rPr>
                    </m:ctrlPr>
                  </m:naryPr>
                  <m:sub>
                    <m:r>
                      <m:rPr/>
                      <w:rPr>
                        <w:rFonts w:hint="eastAsia" w:ascii="Cambria Math"/>
                      </w:rPr>
                      <m:t>i</m:t>
                    </m:r>
                    <m:ctrlPr>
                      <w:rPr>
                        <w:rFonts w:ascii="Cambria Math" w:hAnsi="Cambria Math"/>
                        <w:i/>
                      </w:rPr>
                    </m:ctrlPr>
                  </m:sub>
                  <m:sup>
                    <m:ctrlPr>
                      <w:rPr>
                        <w:rFonts w:ascii="Cambria Math" w:hAnsi="Cambria Math"/>
                        <w:i/>
                      </w:rPr>
                    </m:ctrlPr>
                  </m:sup>
                  <m:e>
                    <m:r>
                      <m:rPr/>
                      <w:rPr>
                        <w:rFonts w:ascii="Cambria Math"/>
                      </w:rPr>
                      <m:t>(A</m:t>
                    </m:r>
                    <m:sSub>
                      <m:sSubPr>
                        <m:ctrlPr>
                          <w:rPr>
                            <w:rFonts w:ascii="Cambria Math" w:hAnsi="Cambria Math"/>
                            <w:i/>
                          </w:rPr>
                        </m:ctrlPr>
                      </m:sSubPr>
                      <m:e>
                        <m:r>
                          <m:rPr/>
                          <w:rPr>
                            <w:rFonts w:ascii="Cambria Math"/>
                          </w:rPr>
                          <m:t>D</m:t>
                        </m:r>
                        <m:ctrlPr>
                          <w:rPr>
                            <w:rFonts w:ascii="Cambria Math" w:hAnsi="Cambria Math"/>
                            <w:i/>
                          </w:rPr>
                        </m:ctrlPr>
                      </m:e>
                      <m:sub>
                        <m:r>
                          <m:rPr/>
                          <w:rPr>
                            <w:rFonts w:asci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rPr>
                          <m:t>OF</m:t>
                        </m:r>
                        <m:ctrlPr>
                          <w:rPr>
                            <w:rFonts w:ascii="Cambria Math" w:hAnsi="Cambria Math"/>
                            <w:i/>
                          </w:rPr>
                        </m:ctrlPr>
                      </m:e>
                      <m:sub>
                        <m:r>
                          <m:rPr/>
                          <w:rPr>
                            <w:rFonts w:hint="eastAsia" w:ascii="Cambria Math"/>
                          </w:rPr>
                          <m:t>i</m:t>
                        </m:r>
                        <m:r>
                          <m:rPr/>
                          <w:rPr>
                            <w:rFonts w:ascii="Cambria Math"/>
                          </w:rPr>
                          <m:t>,j</m:t>
                        </m:r>
                        <m:ctrlPr>
                          <w:rPr>
                            <w:rFonts w:ascii="Cambria Math" w:hAnsi="Cambria Math"/>
                            <w:i/>
                          </w:rPr>
                        </m:ctrlPr>
                      </m:sub>
                    </m:sSub>
                    <m:r>
                      <m:rPr/>
                      <w:rPr>
                        <w:rFonts w:hint="eastAsia" w:ascii="Cambria Math" w:hAnsi="Cambria Math"/>
                      </w:rPr>
                      <m:t>）</m:t>
                    </m:r>
                    <m:r>
                      <m:rPr/>
                      <w:rPr>
                        <w:rFonts w:ascii="Cambria Math" w:hAnsi="Cambria Math"/>
                      </w:rPr>
                      <m:t>×</m:t>
                    </m:r>
                    <m:sSub>
                      <m:sSubPr>
                        <m:ctrlPr>
                          <w:rPr>
                            <w:rFonts w:ascii="Cambria Math" w:hAnsi="Cambria Math"/>
                            <w:i/>
                          </w:rPr>
                        </m:ctrlPr>
                      </m:sSubPr>
                      <m:e>
                        <m:r>
                          <m:rPr/>
                          <w:rPr>
                            <w:rFonts w:ascii="Cambria Math" w:hAnsi="Cambria Math"/>
                          </w:rPr>
                          <m:t>GWP</m:t>
                        </m:r>
                        <m:ctrlPr>
                          <w:rPr>
                            <w:rFonts w:ascii="Cambria Math" w:hAnsi="Cambria Math"/>
                            <w:i/>
                          </w:rPr>
                        </m:ctrlPr>
                      </m:e>
                      <m:sub>
                        <m:r>
                          <m:rPr/>
                          <w:rPr>
                            <w:rFonts w:ascii="Cambria Math"/>
                          </w:rPr>
                          <m:t>j</m:t>
                        </m:r>
                        <m:ctrlPr>
                          <w:rPr>
                            <w:rFonts w:ascii="Cambria Math" w:hAnsi="Cambria Math"/>
                            <w:i/>
                          </w:rPr>
                        </m:ctrlPr>
                      </m:sub>
                    </m:sSub>
                    <m:ctrlPr>
                      <w:rPr>
                        <w:rFonts w:ascii="Cambria Math" w:hAnsi="Cambria Math"/>
                        <w:i/>
                      </w:rPr>
                    </m:ctrlPr>
                  </m:e>
                </m:nary>
                <m:ctrlPr>
                  <w:rPr>
                    <w:rFonts w:ascii="Cambria Math" w:hAnsi="Cambria Math"/>
                    <w:i/>
                  </w:rPr>
                </m:ctrlPr>
              </m:e>
            </m:d>
            <m:ctrlPr>
              <w:rPr>
                <w:rFonts w:ascii="Cambria Math" w:hAnsi="Cambria Math"/>
                <w:i/>
              </w:rPr>
            </m:ctrlPr>
          </m:e>
        </m:nary>
      </m:oMath>
      <w:r>
        <w:t xml:space="preserve">     </w:t>
      </w:r>
      <w:r>
        <w:rPr>
          <w:rFonts w:hint="eastAsia"/>
        </w:rPr>
        <w:t xml:space="preserve">            </w:t>
      </w:r>
      <w:r>
        <w:t xml:space="preserve">   </w:t>
      </w:r>
      <w:r>
        <w:rPr>
          <w:rFonts w:hint="eastAsia"/>
        </w:rPr>
        <w:t>（</w:t>
      </w:r>
      <w:r>
        <w:t>2</w:t>
      </w:r>
      <w:r>
        <w:rPr>
          <w:rFonts w:hint="eastAsia"/>
        </w:rPr>
        <w:t>）</w:t>
      </w:r>
    </w:p>
    <w:p w14:paraId="5E954489">
      <w:pPr>
        <w:pStyle w:val="61"/>
        <w:spacing w:line="520" w:lineRule="exact"/>
        <w:jc w:val="left"/>
        <w:rPr>
          <w:rFonts w:hint="eastAsia"/>
        </w:rPr>
      </w:pPr>
      <w:r>
        <w:rPr>
          <w:rFonts w:hint="eastAsia"/>
        </w:rPr>
        <w:t>式中：</w:t>
      </w:r>
    </w:p>
    <w:p w14:paraId="1F73195B">
      <w:pPr>
        <w:pStyle w:val="61"/>
        <w:spacing w:line="520" w:lineRule="exact"/>
        <w:jc w:val="left"/>
        <w:rPr>
          <w:rFonts w:hint="eastAsia"/>
        </w:rPr>
      </w:pPr>
      <m:oMath>
        <m:sSub>
          <m:sSubPr>
            <m:ctrlPr>
              <w:rPr>
                <w:rFonts w:ascii="Cambria Math" w:hAnsi="Cambria Math"/>
                <w:i/>
                <w:vertAlign w:val="subscript"/>
              </w:rPr>
            </m:ctrlPr>
          </m:sSubPr>
          <m:e>
            <m:r>
              <m:rPr/>
              <w:rPr>
                <w:rFonts w:hint="eastAsia" w:ascii="Cambria Math" w:hAnsi="Cambria Math"/>
                <w:vertAlign w:val="subscript"/>
              </w:rPr>
              <m:t>CFP</m:t>
            </m:r>
            <m:ctrlPr>
              <w:rPr>
                <w:rFonts w:ascii="Cambria Math" w:hAnsi="Cambria Math"/>
                <w:i/>
                <w:vertAlign w:val="subscript"/>
              </w:rPr>
            </m:ctrlPr>
          </m:e>
          <m:sub>
            <m:r>
              <m:rPr/>
              <w:rPr>
                <w:rFonts w:hint="eastAsia" w:ascii="Cambria Math" w:hAnsi="Cambria Math"/>
                <w:vertAlign w:val="subscript"/>
              </w:rPr>
              <m:t>GHG</m:t>
            </m:r>
            <m:ctrlPr>
              <w:rPr>
                <w:rFonts w:ascii="Cambria Math" w:hAnsi="Cambria Math"/>
                <w:i/>
                <w:vertAlign w:val="subscript"/>
              </w:rPr>
            </m:ctrlPr>
          </m:sub>
        </m:sSub>
      </m:oMath>
      <w:r>
        <w:rPr>
          <w:rFonts w:hint="eastAsia"/>
        </w:rPr>
        <w:t>——</w:t>
      </w:r>
      <w:r>
        <w:rPr>
          <w:rFonts w:hint="eastAsia"/>
          <w:lang w:eastAsia="zh-CN"/>
        </w:rPr>
        <w:t>锡</w:t>
      </w:r>
      <w:r>
        <w:rPr>
          <w:rFonts w:hint="eastAsia"/>
        </w:rPr>
        <w:t>锭产品碳足迹，</w:t>
      </w:r>
      <w:r>
        <w:t>单位为千克二氧化碳当量每声明单位</w:t>
      </w:r>
      <w:r>
        <w:rPr>
          <w:rFonts w:ascii="Times New Roman" w:hAnsi="Times New Roman"/>
        </w:rPr>
        <w:t>（kgCO</w:t>
      </w:r>
      <w:r>
        <w:rPr>
          <w:rFonts w:ascii="Times New Roman" w:hAnsi="Times New Roman"/>
          <w:vertAlign w:val="subscript"/>
        </w:rPr>
        <w:t>2</w:t>
      </w:r>
      <w:r>
        <w:rPr>
          <w:rFonts w:ascii="Times New Roman" w:hAnsi="Times New Roman"/>
        </w:rPr>
        <w:t>e/</w:t>
      </w:r>
      <w:r>
        <w:t>声明单位）</w:t>
      </w:r>
      <w:r>
        <w:rPr>
          <w:rFonts w:hint="eastAsia"/>
        </w:rPr>
        <w:t>；</w:t>
      </w:r>
    </w:p>
    <w:p w14:paraId="1DA08CE1">
      <w:pPr>
        <w:pStyle w:val="61"/>
        <w:spacing w:line="520" w:lineRule="exact"/>
        <w:jc w:val="left"/>
        <w:rPr>
          <w:rFonts w:hint="eastAsia"/>
        </w:rPr>
      </w:pPr>
      <m:oMath>
        <m:r>
          <m:rPr/>
          <w:rPr>
            <w:rFonts w:ascii="Cambria Math"/>
          </w:rPr>
          <m:t>A</m:t>
        </m:r>
        <m:sSub>
          <m:sSubPr>
            <m:ctrlPr>
              <w:rPr>
                <w:rFonts w:ascii="Cambria Math" w:hAnsi="Cambria Math"/>
                <w:i/>
              </w:rPr>
            </m:ctrlPr>
          </m:sSubPr>
          <m:e>
            <m:r>
              <m:rPr/>
              <w:rPr>
                <w:rFonts w:ascii="Cambria Math"/>
              </w:rPr>
              <m:t>D</m:t>
            </m:r>
            <m:ctrlPr>
              <w:rPr>
                <w:rFonts w:ascii="Cambria Math" w:hAnsi="Cambria Math"/>
                <w:i/>
              </w:rPr>
            </m:ctrlPr>
          </m:e>
          <m:sub>
            <m:r>
              <m:rPr/>
              <w:rPr>
                <w:rFonts w:ascii="Cambria Math"/>
              </w:rPr>
              <m:t>i</m:t>
            </m:r>
            <m:ctrlPr>
              <w:rPr>
                <w:rFonts w:ascii="Cambria Math" w:hAnsi="Cambria Math"/>
                <w:i/>
              </w:rPr>
            </m:ctrlPr>
          </m:sub>
        </m:sSub>
      </m:oMath>
      <w:r>
        <w:rPr>
          <w:rFonts w:hint="eastAsia"/>
        </w:rPr>
        <w:t>——系统边界内，各声明单位中第i项活动的</w:t>
      </w:r>
      <w:r>
        <w:t>GHG 排放和清除相关数据 （包括初级数据和次级数据），单位根据具体排放源确定；</w:t>
      </w:r>
      <w:r>
        <w:rPr>
          <w:rFonts w:hint="eastAsia"/>
        </w:rPr>
        <w:t xml:space="preserve"> </w:t>
      </w:r>
    </w:p>
    <w:p w14:paraId="33495EE4">
      <w:pPr>
        <w:pStyle w:val="61"/>
        <w:tabs>
          <w:tab w:val="clear" w:pos="4201"/>
          <w:tab w:val="clear" w:pos="9298"/>
        </w:tabs>
        <w:spacing w:line="520" w:lineRule="exact"/>
        <w:jc w:val="left"/>
        <w:rPr>
          <w:rFonts w:hint="eastAsia" w:ascii="Times New Roman"/>
        </w:rPr>
      </w:pPr>
      <m:oMath>
        <m:sSub>
          <m:sSubPr>
            <m:ctrlPr>
              <w:rPr>
                <w:rFonts w:ascii="Cambria Math" w:hAnsi="Cambria Math"/>
                <w:i/>
              </w:rPr>
            </m:ctrlPr>
          </m:sSubPr>
          <m:e>
            <m:r>
              <m:rPr/>
              <w:rPr>
                <w:rFonts w:hint="eastAsia" w:ascii="Cambria Math"/>
              </w:rPr>
              <m:t>OF</m:t>
            </m:r>
            <m:ctrlPr>
              <w:rPr>
                <w:rFonts w:ascii="Cambria Math" w:hAnsi="Cambria Math"/>
                <w:i/>
              </w:rPr>
            </m:ctrlPr>
          </m:e>
          <m:sub>
            <m:r>
              <m:rPr/>
              <w:rPr>
                <w:rFonts w:hint="eastAsia" w:ascii="Cambria Math"/>
              </w:rPr>
              <m:t>i</m:t>
            </m:r>
            <m:r>
              <m:rPr/>
              <w:rPr>
                <w:rFonts w:ascii="Cambria Math"/>
              </w:rPr>
              <m:t>,</m:t>
            </m:r>
            <m:r>
              <m:rPr/>
              <w:rPr>
                <w:rFonts w:hint="eastAsia" w:ascii="Cambria Math"/>
              </w:rPr>
              <m:t>j</m:t>
            </m:r>
            <m:ctrlPr>
              <w:rPr>
                <w:rFonts w:ascii="Cambria Math" w:hAnsi="Cambria Math"/>
                <w:i/>
              </w:rPr>
            </m:ctrlPr>
          </m:sub>
        </m:sSub>
      </m:oMath>
      <w:r>
        <w:rPr>
          <w:rFonts w:hint="eastAsia" w:ascii="Times New Roman"/>
        </w:rPr>
        <w:t>——</w:t>
      </w:r>
      <w:r>
        <w:t>第i种活动对应的温室气体j的碳足迹因子，单位与GHG活动数据相匹配；</w:t>
      </w:r>
    </w:p>
    <w:p w14:paraId="20CA31CA">
      <w:pPr>
        <w:pStyle w:val="61"/>
        <w:spacing w:line="520" w:lineRule="exact"/>
        <w:jc w:val="left"/>
        <w:rPr>
          <w:rFonts w:hint="eastAsia"/>
        </w:rPr>
      </w:pPr>
      <m:oMath>
        <m:sSub>
          <m:sSubPr>
            <m:ctrlPr>
              <w:rPr>
                <w:rFonts w:ascii="Cambria Math" w:hAnsi="Cambria Math"/>
                <w:i/>
              </w:rPr>
            </m:ctrlPr>
          </m:sSubPr>
          <m:e>
            <m:r>
              <m:rPr/>
              <w:rPr>
                <w:rFonts w:hint="eastAsia" w:ascii="Cambria Math"/>
              </w:rPr>
              <m:t>GWP</m:t>
            </m:r>
            <m:ctrlPr>
              <w:rPr>
                <w:rFonts w:ascii="Cambria Math" w:hAnsi="Cambria Math"/>
                <w:i/>
              </w:rPr>
            </m:ctrlPr>
          </m:e>
          <m:sub>
            <m:r>
              <m:rPr/>
              <w:rPr>
                <w:rFonts w:hint="eastAsia" w:ascii="Cambria Math"/>
              </w:rPr>
              <m:t>j</m:t>
            </m:r>
            <m:ctrlPr>
              <w:rPr>
                <w:rFonts w:ascii="Cambria Math" w:hAnsi="Cambria Math"/>
                <w:i/>
              </w:rPr>
            </m:ctrlPr>
          </m:sub>
        </m:sSub>
      </m:oMath>
      <w:r>
        <w:rPr>
          <w:rFonts w:hint="eastAsia"/>
        </w:rPr>
        <w:t>——</w:t>
      </w:r>
      <w:r>
        <w:t>温室气体j对应的全球变暖潜势值</w:t>
      </w:r>
      <w:r>
        <w:rPr>
          <w:rFonts w:ascii="Times New Roman" w:hAnsi="Times New Roman"/>
        </w:rPr>
        <w:t>（GWP）</w:t>
      </w:r>
      <w:r>
        <w:t>，按照</w:t>
      </w:r>
      <w:r>
        <w:rPr>
          <w:rFonts w:hint="eastAsia"/>
        </w:rPr>
        <w:t>附录F</w:t>
      </w:r>
      <w:r>
        <w:t>中的规定进行取值。</w:t>
      </w:r>
    </w:p>
    <w:p w14:paraId="77AFC70A">
      <w:pPr>
        <w:pStyle w:val="61"/>
        <w:spacing w:before="312" w:beforeLines="100" w:after="312" w:afterLines="100"/>
        <w:ind w:firstLine="0" w:firstLineChars="0"/>
        <w:outlineLvl w:val="1"/>
        <w:rPr>
          <w:rFonts w:hint="eastAsia" w:ascii="黑体" w:hAnsi="黑体" w:eastAsia="黑体" w:cs="黑体"/>
        </w:rPr>
      </w:pPr>
      <w:bookmarkStart w:id="153" w:name="_Toc172899170"/>
      <w:bookmarkStart w:id="154" w:name="_Toc171946702"/>
      <w:bookmarkStart w:id="155" w:name="_Toc174232055"/>
      <w:r>
        <w:rPr>
          <w:rFonts w:ascii="黑体" w:hAnsi="黑体" w:eastAsia="黑体" w:cs="黑体"/>
        </w:rPr>
        <w:t xml:space="preserve">7.3  </w:t>
      </w:r>
      <w:r>
        <w:rPr>
          <w:rFonts w:hint="eastAsia" w:ascii="黑体" w:hAnsi="黑体" w:eastAsia="黑体" w:cs="黑体"/>
        </w:rPr>
        <w:t>排放数据分析</w:t>
      </w:r>
      <w:bookmarkEnd w:id="153"/>
      <w:bookmarkEnd w:id="154"/>
      <w:bookmarkEnd w:id="155"/>
    </w:p>
    <w:p w14:paraId="2D73D4BA">
      <w:pPr>
        <w:pStyle w:val="61"/>
        <w:rPr>
          <w:rFonts w:hint="eastAsia"/>
        </w:rPr>
      </w:pPr>
      <w:r>
        <w:rPr>
          <w:rFonts w:hint="eastAsia"/>
        </w:rPr>
        <w:t>计算各生命周期阶段的温室气体排放占比，有助于企业专注于重要阶段的数据收集和减排策略。</w:t>
      </w:r>
    </w:p>
    <w:p w14:paraId="4FB4B46B">
      <w:pPr>
        <w:pStyle w:val="61"/>
        <w:rPr>
          <w:rFonts w:ascii="Times New Roman" w:hAnsi="Times New Roman"/>
        </w:rPr>
      </w:pPr>
      <w:r>
        <w:rPr>
          <w:rFonts w:hint="eastAsia"/>
        </w:rPr>
        <w:t>各生命周期阶段的温室气体排放占比=各生命周期阶段的温室气体排放量CO</w:t>
      </w:r>
      <w:r>
        <w:rPr>
          <w:vertAlign w:val="subscript"/>
        </w:rPr>
        <w:t>2</w:t>
      </w:r>
      <w:r>
        <w:rPr>
          <w:rFonts w:hint="eastAsia"/>
        </w:rPr>
        <w:t>e</w:t>
      </w:r>
      <w:r>
        <w:t>/</w:t>
      </w:r>
      <w:r>
        <w:rPr>
          <w:rFonts w:hint="eastAsia"/>
        </w:rPr>
        <w:t>生命周期温室气体排放量汇总结果</w:t>
      </w:r>
      <w:r>
        <w:rPr>
          <w:rFonts w:hint="eastAsia" w:ascii="Times New Roman" w:hAnsi="Times New Roman"/>
        </w:rPr>
        <w:t>CO</w:t>
      </w:r>
      <w:r>
        <w:rPr>
          <w:rFonts w:hint="eastAsia" w:ascii="Times New Roman" w:hAnsi="Times New Roman"/>
          <w:vertAlign w:val="subscript"/>
        </w:rPr>
        <w:t>2</w:t>
      </w:r>
      <w:r>
        <w:rPr>
          <w:rFonts w:hint="eastAsia" w:ascii="Times New Roman" w:hAnsi="Times New Roman"/>
        </w:rPr>
        <w:t>e ×100%。</w:t>
      </w:r>
    </w:p>
    <w:p w14:paraId="627A4655">
      <w:pPr>
        <w:pStyle w:val="61"/>
        <w:spacing w:before="312" w:beforeLines="100" w:after="312" w:afterLines="100"/>
        <w:ind w:firstLine="0" w:firstLineChars="0"/>
        <w:outlineLvl w:val="1"/>
        <w:rPr>
          <w:rFonts w:hint="eastAsia" w:ascii="黑体" w:hAnsi="黑体" w:eastAsia="黑体" w:cs="黑体"/>
        </w:rPr>
      </w:pPr>
      <w:bookmarkStart w:id="156" w:name="_Toc174232056"/>
      <w:bookmarkStart w:id="157" w:name="_Toc172899171"/>
      <w:bookmarkStart w:id="158" w:name="_Toc171946703"/>
      <w:r>
        <w:rPr>
          <w:rFonts w:ascii="黑体" w:hAnsi="黑体" w:eastAsia="黑体" w:cs="黑体"/>
        </w:rPr>
        <w:t xml:space="preserve">7.4  </w:t>
      </w:r>
      <w:r>
        <w:rPr>
          <w:rFonts w:hint="eastAsia" w:ascii="黑体" w:hAnsi="黑体" w:eastAsia="黑体" w:cs="黑体"/>
        </w:rPr>
        <w:t>数据更新</w:t>
      </w:r>
      <w:bookmarkEnd w:id="156"/>
      <w:bookmarkEnd w:id="157"/>
      <w:bookmarkEnd w:id="158"/>
    </w:p>
    <w:p w14:paraId="59370E70">
      <w:pPr>
        <w:pStyle w:val="61"/>
        <w:rPr>
          <w:rFonts w:hint="eastAsia"/>
        </w:rPr>
      </w:pPr>
      <w:r>
        <w:rPr>
          <w:rFonts w:hint="eastAsia"/>
          <w:lang w:eastAsia="zh-CN"/>
        </w:rPr>
        <w:t>锡</w:t>
      </w:r>
      <w:r>
        <w:rPr>
          <w:rFonts w:hint="eastAsia"/>
        </w:rPr>
        <w:t>锭的产品碳足迹数据应定期更新，或每当影响其排放强度的参数发生重大变化时更新一次。</w:t>
      </w:r>
    </w:p>
    <w:p w14:paraId="3031C4F7">
      <w:pPr>
        <w:pStyle w:val="61"/>
        <w:spacing w:before="312" w:beforeLines="100" w:after="312" w:afterLines="100"/>
        <w:ind w:firstLine="0" w:firstLineChars="0"/>
        <w:outlineLvl w:val="1"/>
        <w:rPr>
          <w:rFonts w:hint="eastAsia" w:ascii="黑体" w:hAnsi="黑体" w:eastAsia="黑体" w:cs="黑体"/>
        </w:rPr>
      </w:pPr>
      <w:bookmarkStart w:id="159" w:name="_Toc172899172"/>
      <w:bookmarkStart w:id="160" w:name="_Toc171946704"/>
      <w:bookmarkStart w:id="161" w:name="_Toc174232057"/>
      <w:r>
        <w:rPr>
          <w:rFonts w:ascii="黑体" w:hAnsi="黑体" w:eastAsia="黑体" w:cs="黑体"/>
        </w:rPr>
        <w:t xml:space="preserve">7.5  </w:t>
      </w:r>
      <w:r>
        <w:rPr>
          <w:rFonts w:hint="eastAsia" w:ascii="黑体" w:hAnsi="黑体" w:eastAsia="黑体" w:cs="黑体"/>
        </w:rPr>
        <w:t>绩效追踪</w:t>
      </w:r>
      <w:bookmarkEnd w:id="159"/>
      <w:bookmarkEnd w:id="160"/>
      <w:bookmarkEnd w:id="161"/>
    </w:p>
    <w:p w14:paraId="005E0F40">
      <w:pPr>
        <w:pStyle w:val="61"/>
        <w:rPr>
          <w:rFonts w:hint="eastAsia"/>
        </w:rPr>
      </w:pPr>
      <w:r>
        <w:t xml:space="preserve">计划将产品碳足迹用于绩效追踪时，应满足以下针对产品碳足迹量化的附加要求： </w:t>
      </w:r>
    </w:p>
    <w:p w14:paraId="337BC3B9">
      <w:pPr>
        <w:pStyle w:val="61"/>
        <w:rPr>
          <w:rFonts w:hint="eastAsia"/>
        </w:rPr>
      </w:pPr>
      <w:r>
        <w:t xml:space="preserve">a) 应针对不同时间点或空间范围进行研究； </w:t>
      </w:r>
    </w:p>
    <w:p w14:paraId="2E104FE6">
      <w:pPr>
        <w:pStyle w:val="61"/>
        <w:rPr>
          <w:rFonts w:hint="eastAsia"/>
        </w:rPr>
      </w:pPr>
      <w:r>
        <w:t>b) 应针对相同声明单位计算产品碳足迹随时间或空间发生的变化；</w:t>
      </w:r>
    </w:p>
    <w:p w14:paraId="42D5FB8D">
      <w:pPr>
        <w:pStyle w:val="61"/>
        <w:rPr>
          <w:rFonts w:hint="eastAsia"/>
        </w:rPr>
      </w:pPr>
      <w:r>
        <w:t>c) 应使用相同的方法（例如选择和管理数据的系统、系统边界、分配、全球增温潜势等，以及相同的 PCR）计算产品碳足迹随时间或空间的变化。产品碳足迹绩效追踪的时间间隔不应短于6.1.3.1所述的数据时间界限，且应在目的和范围中予以描述。产品碳足迹用于空间绩效追踪时，不同时间段的空间系统划分要保持一致。</w:t>
      </w:r>
    </w:p>
    <w:p w14:paraId="3DE3AD98">
      <w:pPr>
        <w:spacing w:before="312" w:beforeLines="100" w:after="312" w:afterLines="100"/>
        <w:outlineLvl w:val="0"/>
        <w:rPr>
          <w:rFonts w:hint="eastAsia" w:ascii="黑体" w:hAnsi="黑体" w:eastAsia="黑体" w:cs="黑体"/>
          <w:bCs/>
        </w:rPr>
      </w:pPr>
      <w:bookmarkStart w:id="162" w:name="_Toc174232058"/>
      <w:r>
        <w:rPr>
          <w:rFonts w:hint="eastAsia" w:ascii="黑体" w:hAnsi="黑体" w:eastAsia="黑体" w:cs="黑体"/>
          <w:bCs/>
        </w:rPr>
        <w:t>8</w:t>
      </w:r>
      <w:r>
        <w:rPr>
          <w:rFonts w:ascii="黑体" w:hAnsi="黑体" w:eastAsia="黑体" w:cs="黑体"/>
          <w:bCs/>
        </w:rPr>
        <w:t xml:space="preserve"> </w:t>
      </w:r>
      <w:r>
        <w:rPr>
          <w:rFonts w:hint="eastAsia" w:ascii="黑体" w:hAnsi="黑体" w:eastAsia="黑体" w:cs="黑体"/>
          <w:bCs/>
        </w:rPr>
        <w:t>结果解释</w:t>
      </w:r>
      <w:bookmarkEnd w:id="162"/>
    </w:p>
    <w:p w14:paraId="6DAD6A34">
      <w:pPr>
        <w:ind w:firstLine="420" w:firstLineChars="200"/>
      </w:pPr>
      <w:r>
        <w:rPr>
          <w:rFonts w:hint="eastAsia"/>
        </w:rPr>
        <w:t>产品碳足迹研究的生命周期结果解释阶段应包括以下步骤：</w:t>
      </w:r>
    </w:p>
    <w:p w14:paraId="403639F8">
      <w:pPr>
        <w:ind w:firstLine="420" w:firstLineChars="200"/>
      </w:pPr>
      <w:r>
        <w:rPr>
          <w:rFonts w:hint="eastAsia"/>
        </w:rPr>
        <w:t>a) 根据生命周期清单分析和生命周期影响评价的产品碳足迹和产品部分碳足迹的量化结果，识别显著环节（可包括生命周期阶段、单元过程或流）；</w:t>
      </w:r>
    </w:p>
    <w:p w14:paraId="7B5AB39C">
      <w:pPr>
        <w:ind w:firstLine="420" w:firstLineChars="200"/>
      </w:pPr>
      <w:r>
        <w:rPr>
          <w:rFonts w:hint="eastAsia"/>
        </w:rPr>
        <w:t>b) 完整性、一致性和敏感性分析的评估；</w:t>
      </w:r>
    </w:p>
    <w:p w14:paraId="61A963AD">
      <w:pPr>
        <w:ind w:firstLine="420" w:firstLineChars="200"/>
      </w:pPr>
      <w:r>
        <w:rPr>
          <w:rFonts w:hint="eastAsia"/>
        </w:rPr>
        <w:t>c) 结论、局限性和建议的编制。</w:t>
      </w:r>
    </w:p>
    <w:p w14:paraId="3A61D55D">
      <w:pPr>
        <w:ind w:firstLine="420" w:firstLineChars="200"/>
      </w:pPr>
      <w:r>
        <w:rPr>
          <w:rFonts w:hint="eastAsia"/>
        </w:rPr>
        <w:t>应根据产品碳足迹研究的目的和范围进行结果解释，解释应包括以下内容：</w:t>
      </w:r>
    </w:p>
    <w:p w14:paraId="564331BE">
      <w:pPr>
        <w:ind w:firstLine="420" w:firstLineChars="200"/>
      </w:pPr>
      <w:r>
        <w:rPr>
          <w:rFonts w:hint="eastAsia"/>
        </w:rPr>
        <w:t>——说明产品碳足迹和各生命周期阶段的碳足迹；</w:t>
      </w:r>
    </w:p>
    <w:p w14:paraId="475CE9C5">
      <w:pPr>
        <w:ind w:firstLine="420" w:firstLineChars="200"/>
      </w:pPr>
      <w:r>
        <w:rPr>
          <w:rFonts w:hint="eastAsia"/>
        </w:rPr>
        <w:t>——分析不确定性，包括取舍准则的应用或范围；</w:t>
      </w:r>
    </w:p>
    <w:p w14:paraId="51816467">
      <w:pPr>
        <w:ind w:firstLine="420" w:firstLineChars="200"/>
      </w:pPr>
      <w:r>
        <w:rPr>
          <w:rFonts w:hint="eastAsia"/>
        </w:rPr>
        <w:t>——详细记录选定的分配程序；</w:t>
      </w:r>
    </w:p>
    <w:p w14:paraId="6BF5984F">
      <w:pPr>
        <w:ind w:firstLine="420" w:firstLineChars="200"/>
      </w:pPr>
      <w:r>
        <w:rPr>
          <w:rFonts w:hint="eastAsia"/>
        </w:rPr>
        <w:t>——说明产品碳足迹研究的局限性。</w:t>
      </w:r>
    </w:p>
    <w:p w14:paraId="47E1072F">
      <w:pPr>
        <w:ind w:firstLine="420" w:firstLineChars="200"/>
      </w:pPr>
      <w:r>
        <w:rPr>
          <w:rFonts w:hint="eastAsia"/>
        </w:rPr>
        <w:t>结果解释宜包括以下内容：</w:t>
      </w:r>
    </w:p>
    <w:p w14:paraId="308E3082">
      <w:pPr>
        <w:ind w:firstLine="420" w:firstLineChars="200"/>
      </w:pPr>
      <w:r>
        <w:rPr>
          <w:rFonts w:hint="eastAsia"/>
        </w:rPr>
        <w:t>——分析重要输入、输出和方法学选择（包括分配程序）的敏感性，以了解结果的敏感性和不确定性；</w:t>
      </w:r>
    </w:p>
    <w:p w14:paraId="5685797F">
      <w:pPr>
        <w:ind w:firstLine="420" w:firstLineChars="200"/>
      </w:pPr>
      <w:r>
        <w:rPr>
          <w:rFonts w:hint="eastAsia"/>
        </w:rPr>
        <w:t>——评估建议对结果的影响；</w:t>
      </w:r>
    </w:p>
    <w:p w14:paraId="5992DCE5">
      <w:pPr>
        <w:ind w:firstLine="420" w:firstLineChars="200"/>
      </w:pPr>
      <w:r>
        <w:rPr>
          <w:rFonts w:hint="eastAsia"/>
        </w:rPr>
        <w:t>——描述地理格网的划分方法及地理格网的尺度要求原则（如适用）。</w:t>
      </w:r>
    </w:p>
    <w:p w14:paraId="20ADBAFF">
      <w:pPr>
        <w:ind w:firstLine="360" w:firstLineChars="200"/>
        <w:rPr>
          <w:sz w:val="18"/>
          <w:szCs w:val="18"/>
        </w:rPr>
      </w:pPr>
      <w:r>
        <w:rPr>
          <w:rFonts w:hint="eastAsia" w:ascii="黑体" w:hAnsi="黑体" w:eastAsia="黑体"/>
          <w:sz w:val="18"/>
          <w:szCs w:val="18"/>
        </w:rPr>
        <w:t>注</w:t>
      </w:r>
      <w:r>
        <w:rPr>
          <w:rFonts w:hint="eastAsia"/>
          <w:sz w:val="18"/>
          <w:szCs w:val="18"/>
        </w:rPr>
        <w:t>：更多信息见 GB/T 24044-2008 4.5 。</w:t>
      </w:r>
    </w:p>
    <w:p w14:paraId="14747C89">
      <w:pPr>
        <w:spacing w:before="312" w:beforeLines="100" w:after="312" w:afterLines="100"/>
        <w:outlineLvl w:val="0"/>
        <w:rPr>
          <w:rFonts w:hint="eastAsia" w:ascii="黑体" w:hAnsi="黑体" w:eastAsia="黑体" w:cs="黑体"/>
          <w:bCs/>
        </w:rPr>
      </w:pPr>
      <w:bookmarkStart w:id="163" w:name="_Toc174232059"/>
      <w:r>
        <w:rPr>
          <w:rFonts w:hint="eastAsia" w:ascii="黑体" w:hAnsi="黑体" w:eastAsia="黑体" w:cs="黑体"/>
          <w:bCs/>
        </w:rPr>
        <w:t>9 产品碳足迹报告</w:t>
      </w:r>
      <w:bookmarkEnd w:id="145"/>
      <w:bookmarkEnd w:id="146"/>
      <w:bookmarkEnd w:id="163"/>
    </w:p>
    <w:p w14:paraId="3F92BCF0">
      <w:pPr>
        <w:ind w:firstLine="424" w:firstLineChars="202"/>
      </w:pPr>
      <w:r>
        <w:rPr>
          <w:rFonts w:hint="eastAsia"/>
        </w:rPr>
        <w:t>产品碳足迹报告的目的是记录产品碳足迹的量化结果，并说明该报告符合本文件的规定。</w:t>
      </w:r>
      <w:r>
        <w:rPr>
          <w:rFonts w:hAnsi="宋体"/>
        </w:rPr>
        <w:t>报告应包括但不仅限于以下内容</w:t>
      </w:r>
      <w:r>
        <w:rPr>
          <w:rFonts w:hint="eastAsia"/>
        </w:rPr>
        <w:t>（参考格式见附录E）：</w:t>
      </w:r>
    </w:p>
    <w:p w14:paraId="7B672411">
      <w:pPr>
        <w:ind w:firstLine="424" w:firstLineChars="202"/>
      </w:pPr>
      <w:r>
        <w:rPr>
          <w:rFonts w:hint="eastAsia"/>
        </w:rPr>
        <w:t>a) 基本情况：</w:t>
      </w:r>
    </w:p>
    <w:p w14:paraId="41BF2783">
      <w:pPr>
        <w:pStyle w:val="61"/>
        <w:ind w:firstLine="707" w:firstLineChars="337"/>
        <w:rPr>
          <w:rFonts w:hint="eastAsia"/>
        </w:rPr>
      </w:pPr>
      <w:r>
        <w:t xml:space="preserve">1） 产品碳足迹评价委托方与评价方； </w:t>
      </w:r>
    </w:p>
    <w:p w14:paraId="5D5BA8C0">
      <w:pPr>
        <w:pStyle w:val="61"/>
        <w:ind w:firstLine="707" w:firstLineChars="337"/>
        <w:rPr>
          <w:rFonts w:hint="eastAsia"/>
        </w:rPr>
      </w:pPr>
      <w:r>
        <w:t>2） 产品</w:t>
      </w:r>
      <w:r>
        <w:rPr>
          <w:rFonts w:hint="eastAsia"/>
        </w:rPr>
        <w:t>描述：产品信息描述应包括产品名称、品级/牌号、批次、含</w:t>
      </w:r>
      <w:r>
        <w:rPr>
          <w:rFonts w:hint="eastAsia"/>
          <w:lang w:eastAsia="zh-CN"/>
        </w:rPr>
        <w:t>锡</w:t>
      </w:r>
      <w:r>
        <w:rPr>
          <w:rFonts w:hint="eastAsia"/>
        </w:rPr>
        <w:t>品位、再生</w:t>
      </w:r>
      <w:r>
        <w:rPr>
          <w:rFonts w:hint="eastAsia"/>
          <w:lang w:eastAsia="zh-CN"/>
        </w:rPr>
        <w:t>锡</w:t>
      </w:r>
      <w:r>
        <w:rPr>
          <w:rFonts w:hint="eastAsia"/>
        </w:rPr>
        <w:t>占比、生产商信息以及联系方式等。</w:t>
      </w:r>
    </w:p>
    <w:p w14:paraId="2065B7A0">
      <w:pPr>
        <w:pStyle w:val="61"/>
        <w:ind w:firstLine="707" w:firstLineChars="337"/>
        <w:rPr>
          <w:rFonts w:hint="eastAsia"/>
        </w:rPr>
      </w:pPr>
      <w:r>
        <w:t xml:space="preserve">3） </w:t>
      </w:r>
      <w:r>
        <w:rPr>
          <w:rFonts w:hint="eastAsia"/>
        </w:rPr>
        <w:t>声明</w:t>
      </w:r>
      <w:r>
        <w:t>单位</w:t>
      </w:r>
      <w:r>
        <w:rPr>
          <w:rFonts w:hint="eastAsia"/>
        </w:rPr>
        <w:t>；</w:t>
      </w:r>
    </w:p>
    <w:p w14:paraId="794241D9">
      <w:pPr>
        <w:pStyle w:val="61"/>
        <w:ind w:firstLine="707" w:firstLineChars="337"/>
        <w:rPr>
          <w:rFonts w:hint="eastAsia"/>
        </w:rPr>
      </w:pPr>
      <w:r>
        <w:t xml:space="preserve">4） 报告日期； </w:t>
      </w:r>
    </w:p>
    <w:p w14:paraId="179FE71A">
      <w:pPr>
        <w:ind w:left="706" w:leftChars="336" w:firstLine="2"/>
      </w:pPr>
      <w:r>
        <w:rPr>
          <w:rFonts w:hint="eastAsia"/>
        </w:rPr>
        <w:t>5） 依据的标准。</w:t>
      </w:r>
    </w:p>
    <w:p w14:paraId="6C7189B0">
      <w:pPr>
        <w:ind w:firstLine="424" w:firstLineChars="202"/>
      </w:pPr>
      <w:r>
        <w:rPr>
          <w:rFonts w:hint="eastAsia"/>
        </w:rPr>
        <w:t>b) 量化目的：</w:t>
      </w:r>
    </w:p>
    <w:p w14:paraId="5ABC1C72">
      <w:pPr>
        <w:ind w:left="706" w:leftChars="336" w:firstLine="2"/>
      </w:pPr>
      <w:r>
        <w:rPr>
          <w:rFonts w:hint="eastAsia"/>
        </w:rPr>
        <w:t>1） 开展研究的目的；</w:t>
      </w:r>
    </w:p>
    <w:p w14:paraId="7D9C36D3">
      <w:pPr>
        <w:ind w:left="706" w:leftChars="336" w:firstLine="2"/>
      </w:pPr>
      <w:r>
        <w:rPr>
          <w:rFonts w:hint="eastAsia"/>
        </w:rPr>
        <w:t>2） 预期用途；</w:t>
      </w:r>
    </w:p>
    <w:p w14:paraId="6CF02EB1">
      <w:pPr>
        <w:ind w:firstLine="424" w:firstLineChars="202"/>
      </w:pPr>
      <w:r>
        <w:rPr>
          <w:rFonts w:hint="eastAsia"/>
        </w:rPr>
        <w:t>c)  量化范围：</w:t>
      </w:r>
    </w:p>
    <w:p w14:paraId="553C27D2">
      <w:pPr>
        <w:ind w:left="706" w:leftChars="336" w:firstLine="2"/>
      </w:pPr>
      <w:r>
        <w:rPr>
          <w:rFonts w:hint="eastAsia"/>
        </w:rPr>
        <w:t>1） 产品说明，包括功能和技术参数；</w:t>
      </w:r>
    </w:p>
    <w:p w14:paraId="7FD0964D">
      <w:pPr>
        <w:ind w:left="706" w:leftChars="336" w:firstLine="2"/>
      </w:pPr>
      <w:r>
        <w:rPr>
          <w:rFonts w:hint="eastAsia"/>
        </w:rPr>
        <w:t>2）声明单位以及基准流；</w:t>
      </w:r>
    </w:p>
    <w:p w14:paraId="00230136">
      <w:pPr>
        <w:ind w:left="706" w:leftChars="336" w:firstLine="2"/>
      </w:pPr>
      <w:r>
        <w:rPr>
          <w:rFonts w:hint="eastAsia"/>
        </w:rPr>
        <w:t>3） 系统边界，包括：</w:t>
      </w:r>
    </w:p>
    <w:p w14:paraId="59F22432">
      <w:pPr>
        <w:ind w:left="706" w:leftChars="336" w:firstLine="2"/>
      </w:pPr>
      <w:r>
        <w:rPr>
          <w:rFonts w:hint="eastAsia"/>
        </w:rPr>
        <w:t>——作为基本流中的系统输入和输出类型；</w:t>
      </w:r>
    </w:p>
    <w:p w14:paraId="3963791E">
      <w:pPr>
        <w:ind w:left="706" w:leftChars="336" w:firstLine="2"/>
      </w:pPr>
      <w:r>
        <w:rPr>
          <w:rFonts w:hint="eastAsia"/>
        </w:rPr>
        <w:t>——有关单元过程处理的决策准则（考虑其对产品碳足迹研究结论的重要性）；</w:t>
      </w:r>
    </w:p>
    <w:p w14:paraId="49AA60B2">
      <w:pPr>
        <w:ind w:left="706" w:leftChars="336" w:firstLine="2"/>
      </w:pPr>
      <w:r>
        <w:rPr>
          <w:rFonts w:hint="eastAsia"/>
        </w:rPr>
        <w:t>——产品系统关联的单元过程地理位置、地理格网的划分规则、格网级别的选取，并说明其理由（如适用）；</w:t>
      </w:r>
    </w:p>
    <w:p w14:paraId="284C5E1D">
      <w:pPr>
        <w:ind w:left="706" w:leftChars="336" w:firstLine="2"/>
      </w:pPr>
      <w:r>
        <w:rPr>
          <w:rFonts w:hint="eastAsia"/>
        </w:rPr>
        <w:t>4） 取舍准则；</w:t>
      </w:r>
    </w:p>
    <w:p w14:paraId="21EEF168">
      <w:pPr>
        <w:ind w:left="706" w:leftChars="336" w:firstLine="2"/>
      </w:pPr>
      <w:r>
        <w:rPr>
          <w:rFonts w:hint="eastAsia"/>
        </w:rPr>
        <w:t>5） 生命周期各阶段的描述。</w:t>
      </w:r>
    </w:p>
    <w:p w14:paraId="66AFED68">
      <w:pPr>
        <w:ind w:firstLine="424" w:firstLineChars="202"/>
      </w:pPr>
      <w:r>
        <w:rPr>
          <w:rFonts w:hint="eastAsia"/>
        </w:rPr>
        <w:t>d) 清单分析：</w:t>
      </w:r>
    </w:p>
    <w:p w14:paraId="0D4ECDF5">
      <w:pPr>
        <w:pStyle w:val="61"/>
        <w:ind w:firstLine="840" w:firstLineChars="400"/>
        <w:rPr>
          <w:rFonts w:hint="eastAsia"/>
        </w:rPr>
      </w:pPr>
      <w:r>
        <w:t xml:space="preserve">1） 数据收集信息，包括数据来源； </w:t>
      </w:r>
    </w:p>
    <w:p w14:paraId="233FF863">
      <w:pPr>
        <w:pStyle w:val="61"/>
        <w:ind w:firstLine="840" w:firstLineChars="400"/>
        <w:rPr>
          <w:rFonts w:hint="eastAsia"/>
        </w:rPr>
      </w:pPr>
      <w:r>
        <w:t xml:space="preserve">2） 单元过程的定性和定量描述； </w:t>
      </w:r>
    </w:p>
    <w:p w14:paraId="6828B345">
      <w:pPr>
        <w:pStyle w:val="61"/>
        <w:ind w:firstLine="840" w:firstLineChars="400"/>
        <w:rPr>
          <w:rFonts w:hint="eastAsia"/>
        </w:rPr>
      </w:pPr>
      <w:r>
        <w:t xml:space="preserve">3） 纳入考虑范围的 GHG 清单； </w:t>
      </w:r>
    </w:p>
    <w:p w14:paraId="7C725EF1">
      <w:pPr>
        <w:pStyle w:val="61"/>
        <w:ind w:firstLine="840" w:firstLineChars="400"/>
        <w:rPr>
          <w:rFonts w:hint="eastAsia"/>
        </w:rPr>
      </w:pPr>
      <w:r>
        <w:t xml:space="preserve">4）分配原则与程序； </w:t>
      </w:r>
    </w:p>
    <w:p w14:paraId="5666D80F">
      <w:pPr>
        <w:ind w:firstLine="840" w:firstLineChars="400"/>
      </w:pPr>
      <w:r>
        <w:rPr>
          <w:rFonts w:hAnsi="宋体"/>
        </w:rPr>
        <w:t>5）</w:t>
      </w:r>
      <w:r>
        <w:rPr>
          <w:rFonts w:hint="eastAsia" w:hAnsi="宋体"/>
        </w:rPr>
        <w:t>数据说明，包括</w:t>
      </w:r>
      <w:r>
        <w:rPr>
          <w:rFonts w:hAnsi="宋体"/>
        </w:rPr>
        <w:t>数据质量评价与对缺失数据的处理</w:t>
      </w:r>
      <w:r>
        <w:rPr>
          <w:rFonts w:hint="eastAsia"/>
        </w:rPr>
        <w:t>。</w:t>
      </w:r>
    </w:p>
    <w:p w14:paraId="427B9376">
      <w:pPr>
        <w:ind w:firstLine="424" w:firstLineChars="202"/>
      </w:pPr>
      <w:r>
        <w:rPr>
          <w:rFonts w:hint="eastAsia"/>
        </w:rPr>
        <w:t>e) 影响评价：</w:t>
      </w:r>
    </w:p>
    <w:p w14:paraId="19D4F1CF">
      <w:pPr>
        <w:ind w:left="706" w:leftChars="336" w:firstLine="2"/>
      </w:pPr>
      <w:r>
        <w:rPr>
          <w:rFonts w:hint="eastAsia"/>
        </w:rPr>
        <w:t>1） 影响评价方法；</w:t>
      </w:r>
    </w:p>
    <w:p w14:paraId="194D40CF">
      <w:pPr>
        <w:ind w:left="706" w:leftChars="336" w:firstLine="2"/>
      </w:pPr>
      <w:r>
        <w:rPr>
          <w:rFonts w:hint="eastAsia"/>
        </w:rPr>
        <w:t>2） 特征化因子；</w:t>
      </w:r>
    </w:p>
    <w:p w14:paraId="43BBF7ED">
      <w:pPr>
        <w:ind w:left="706" w:leftChars="336" w:firstLine="2"/>
      </w:pPr>
      <w:r>
        <w:rPr>
          <w:rFonts w:hint="eastAsia"/>
        </w:rPr>
        <w:t>3） 清单结果与计算；</w:t>
      </w:r>
    </w:p>
    <w:p w14:paraId="1D2317D1">
      <w:pPr>
        <w:ind w:left="706" w:leftChars="336" w:firstLine="2"/>
      </w:pPr>
      <w:r>
        <w:rPr>
          <w:rFonts w:hint="eastAsia"/>
        </w:rPr>
        <w:t>4） 结果的图示（可选）。</w:t>
      </w:r>
    </w:p>
    <w:p w14:paraId="665562CC">
      <w:pPr>
        <w:ind w:firstLine="424" w:firstLineChars="202"/>
      </w:pPr>
      <w:r>
        <w:rPr>
          <w:rFonts w:hint="eastAsia"/>
        </w:rPr>
        <w:t>f) 结果解释：</w:t>
      </w:r>
    </w:p>
    <w:p w14:paraId="74BC1CF3">
      <w:pPr>
        <w:ind w:left="706" w:leftChars="336" w:firstLine="2"/>
      </w:pPr>
      <w:r>
        <w:rPr>
          <w:rFonts w:hint="eastAsia"/>
        </w:rPr>
        <w:t>1）结论和局限性；</w:t>
      </w:r>
    </w:p>
    <w:p w14:paraId="6FAF853E">
      <w:pPr>
        <w:ind w:left="706" w:leftChars="336" w:firstLine="2"/>
      </w:pPr>
      <w:r>
        <w:rPr>
          <w:rFonts w:hint="eastAsia"/>
        </w:rPr>
        <w:t>2）敏感性分析和不确定性分析结果；</w:t>
      </w:r>
    </w:p>
    <w:p w14:paraId="3B979C2D">
      <w:pPr>
        <w:ind w:left="706" w:leftChars="336" w:firstLine="2"/>
      </w:pPr>
      <w:r>
        <w:rPr>
          <w:rFonts w:hint="eastAsia"/>
        </w:rPr>
        <w:t>3）电力处理，宜包括关于电网排放因子计算和相关电网的特殊局限信息；</w:t>
      </w:r>
    </w:p>
    <w:p w14:paraId="424F3F8B">
      <w:pPr>
        <w:ind w:left="706" w:leftChars="336" w:firstLine="2"/>
      </w:pPr>
      <w:r>
        <w:rPr>
          <w:rFonts w:hint="eastAsia"/>
        </w:rPr>
        <w:t>4）在产品碳足迹研究中披露和证明相关信息项的选择并说明理由；</w:t>
      </w:r>
    </w:p>
    <w:p w14:paraId="75457F20">
      <w:pPr>
        <w:ind w:left="706" w:leftChars="336" w:firstLine="2"/>
      </w:pPr>
      <w:r>
        <w:rPr>
          <w:rFonts w:hint="eastAsia"/>
        </w:rPr>
        <w:t>5）范围和修改后的范围（如适用），并说明理由和排除的情况；</w:t>
      </w:r>
    </w:p>
    <w:p w14:paraId="3433D19D">
      <w:pPr>
        <w:ind w:firstLine="424" w:firstLineChars="202"/>
      </w:pPr>
      <w:r>
        <w:rPr>
          <w:rFonts w:hint="eastAsia"/>
        </w:rPr>
        <w:t>g) 研究中使用的产品种类规则或其他补充要求的参考资料；</w:t>
      </w:r>
    </w:p>
    <w:p w14:paraId="05BA4689">
      <w:pPr>
        <w:ind w:firstLine="424" w:firstLineChars="202"/>
      </w:pPr>
      <w:r>
        <w:rPr>
          <w:rFonts w:hint="eastAsia"/>
        </w:rPr>
        <w:t>h) 绩效追踪说明（如适用）；</w:t>
      </w:r>
    </w:p>
    <w:p w14:paraId="675CA51E">
      <w:pPr>
        <w:ind w:firstLine="424" w:firstLineChars="202"/>
      </w:pPr>
      <w:r>
        <w:rPr>
          <w:rFonts w:hint="eastAsia"/>
        </w:rPr>
        <w:t>i) 产品碳足迹比较（如适用）。</w:t>
      </w:r>
    </w:p>
    <w:p w14:paraId="14A8A2BB">
      <w:pPr>
        <w:spacing w:before="312" w:beforeLines="100" w:after="312" w:afterLines="100"/>
        <w:outlineLvl w:val="0"/>
        <w:rPr>
          <w:rFonts w:hint="eastAsia" w:ascii="黑体" w:hAnsi="黑体" w:eastAsia="黑体" w:cs="黑体"/>
          <w:bCs/>
        </w:rPr>
      </w:pPr>
      <w:bookmarkStart w:id="164" w:name="_Toc174232060"/>
      <w:r>
        <w:rPr>
          <w:rFonts w:hint="eastAsia" w:ascii="黑体" w:hAnsi="黑体" w:eastAsia="黑体" w:cs="黑体"/>
          <w:bCs/>
        </w:rPr>
        <w:t>10 产品碳足迹声明</w:t>
      </w:r>
      <w:bookmarkEnd w:id="164"/>
    </w:p>
    <w:p w14:paraId="1818148E">
      <w:pPr>
        <w:ind w:firstLine="420" w:firstLineChars="200"/>
        <w:rPr>
          <w:szCs w:val="21"/>
        </w:rPr>
      </w:pPr>
      <w:r>
        <w:rPr>
          <w:rFonts w:hint="eastAsia"/>
        </w:rPr>
        <w:t>如需声明时，可按照</w:t>
      </w:r>
      <w:r>
        <w:t>GB/T 24025或ISO14026</w:t>
      </w:r>
      <w:r>
        <w:rPr>
          <w:rFonts w:hint="eastAsia"/>
        </w:rPr>
        <w:t>的规定进行，相关声明可用于具有相同功能的不同产品之间的比较。</w:t>
      </w:r>
    </w:p>
    <w:p w14:paraId="30720174">
      <w:pPr>
        <w:numPr>
          <w:ilvl w:val="0"/>
          <w:numId w:val="2"/>
        </w:numPr>
        <w:ind w:left="0" w:firstLine="420" w:firstLineChars="200"/>
        <w:rPr>
          <w:szCs w:val="21"/>
        </w:rPr>
        <w:sectPr>
          <w:footerReference r:id="rId8" w:type="default"/>
          <w:footnotePr>
            <w:pos w:val="beneathText"/>
          </w:footnotePr>
          <w:pgSz w:w="11906" w:h="16838"/>
          <w:pgMar w:top="1418" w:right="1800" w:bottom="1134" w:left="1800" w:header="851" w:footer="992" w:gutter="0"/>
          <w:pgNumType w:start="1"/>
          <w:cols w:space="425" w:num="1"/>
          <w:docGrid w:type="lines" w:linePitch="312" w:charSpace="0"/>
        </w:sectPr>
      </w:pPr>
    </w:p>
    <w:p w14:paraId="1A06098C">
      <w:pPr>
        <w:pStyle w:val="4"/>
        <w:spacing w:before="0" w:after="0"/>
        <w:rPr>
          <w:rFonts w:hint="eastAsia" w:ascii="黑体" w:hAnsi="黑体" w:cs="黑体"/>
          <w:b w:val="0"/>
          <w:bCs w:val="0"/>
          <w:szCs w:val="21"/>
        </w:rPr>
      </w:pPr>
      <w:bookmarkStart w:id="165" w:name="_Toc174232061"/>
      <w:bookmarkStart w:id="166" w:name="_Toc161425601"/>
      <w:bookmarkStart w:id="167" w:name="_Toc101106199"/>
      <w:bookmarkStart w:id="168" w:name="_Toc81755155"/>
      <w:r>
        <w:rPr>
          <w:rFonts w:hint="eastAsia" w:ascii="黑体" w:hAnsi="黑体" w:cs="黑体"/>
          <w:b w:val="0"/>
          <w:bCs w:val="0"/>
          <w:szCs w:val="21"/>
        </w:rPr>
        <w:t>附</w:t>
      </w:r>
      <w:r>
        <w:rPr>
          <w:rFonts w:ascii="黑体" w:hAnsi="黑体" w:cs="黑体"/>
          <w:b w:val="0"/>
          <w:bCs w:val="0"/>
          <w:szCs w:val="21"/>
        </w:rPr>
        <w:t xml:space="preserve">  </w:t>
      </w:r>
      <w:r>
        <w:rPr>
          <w:rFonts w:hint="eastAsia" w:ascii="黑体" w:hAnsi="黑体" w:cs="黑体"/>
          <w:b w:val="0"/>
          <w:bCs w:val="0"/>
          <w:szCs w:val="21"/>
        </w:rPr>
        <w:t>录</w:t>
      </w:r>
      <w:r>
        <w:rPr>
          <w:rFonts w:ascii="黑体" w:hAnsi="黑体" w:cs="黑体"/>
          <w:b w:val="0"/>
          <w:bCs w:val="0"/>
          <w:szCs w:val="21"/>
        </w:rPr>
        <w:t xml:space="preserve">  A</w:t>
      </w:r>
      <w:bookmarkEnd w:id="165"/>
    </w:p>
    <w:p w14:paraId="747C2B5E">
      <w:pPr>
        <w:pStyle w:val="61"/>
        <w:ind w:firstLine="0" w:firstLineChars="0"/>
        <w:jc w:val="center"/>
        <w:rPr>
          <w:rFonts w:hint="eastAsia" w:ascii="黑体" w:hAnsi="黑体" w:eastAsia="黑体"/>
        </w:rPr>
      </w:pPr>
      <w:r>
        <w:rPr>
          <w:rFonts w:ascii="黑体" w:hAnsi="黑体" w:eastAsia="黑体"/>
        </w:rPr>
        <w:t>(</w:t>
      </w:r>
      <w:r>
        <w:rPr>
          <w:rFonts w:hint="eastAsia" w:ascii="黑体" w:hAnsi="黑体" w:eastAsia="黑体"/>
        </w:rPr>
        <w:t>资料性</w:t>
      </w:r>
      <w:r>
        <w:rPr>
          <w:rFonts w:ascii="黑体" w:hAnsi="黑体" w:eastAsia="黑体"/>
        </w:rPr>
        <w:t>)</w:t>
      </w:r>
    </w:p>
    <w:p w14:paraId="11245510">
      <w:pPr>
        <w:pStyle w:val="61"/>
        <w:ind w:firstLine="0" w:firstLineChars="0"/>
        <w:jc w:val="center"/>
        <w:rPr>
          <w:rFonts w:hint="eastAsia" w:ascii="黑体" w:hAnsi="黑体" w:eastAsia="黑体"/>
        </w:rPr>
      </w:pPr>
      <w:r>
        <w:rPr>
          <w:rFonts w:hint="eastAsia" w:ascii="黑体" w:hAnsi="黑体" w:eastAsia="黑体"/>
          <w:lang w:eastAsia="zh-CN"/>
        </w:rPr>
        <w:t>锡</w:t>
      </w:r>
      <w:r>
        <w:rPr>
          <w:rFonts w:hint="eastAsia" w:ascii="黑体" w:hAnsi="黑体" w:eastAsia="黑体"/>
        </w:rPr>
        <w:t>锭主要生产工艺</w:t>
      </w:r>
    </w:p>
    <w:p w14:paraId="0D0FEEAD">
      <w:pPr>
        <w:pStyle w:val="47"/>
        <w:spacing w:before="156" w:beforeLines="50" w:after="156" w:afterLines="50"/>
        <w:jc w:val="both"/>
        <w:rPr>
          <w:rFonts w:hint="eastAsia" w:ascii="黑体" w:hAnsi="黑体" w:eastAsia="黑体"/>
          <w:color w:val="auto"/>
          <w:szCs w:val="21"/>
        </w:rPr>
      </w:pPr>
      <w:r>
        <w:rPr>
          <w:rFonts w:hint="eastAsia" w:ascii="黑体" w:hAnsi="黑体" w:eastAsia="黑体"/>
          <w:color w:val="auto"/>
          <w:sz w:val="21"/>
          <w:szCs w:val="21"/>
        </w:rPr>
        <w:t>A</w:t>
      </w:r>
      <w:r>
        <w:rPr>
          <w:rFonts w:ascii="黑体" w:hAnsi="黑体" w:eastAsia="黑体"/>
          <w:color w:val="auto"/>
          <w:sz w:val="21"/>
          <w:szCs w:val="21"/>
        </w:rPr>
        <w:t xml:space="preserve">.1 </w:t>
      </w:r>
      <w:r>
        <w:rPr>
          <w:rFonts w:hint="eastAsia" w:ascii="黑体" w:hAnsi="黑体" w:eastAsia="黑体"/>
          <w:color w:val="auto"/>
          <w:sz w:val="21"/>
          <w:szCs w:val="21"/>
        </w:rPr>
        <w:t>主要</w:t>
      </w:r>
      <w:r>
        <w:rPr>
          <w:rFonts w:hint="eastAsia" w:ascii="黑体" w:hAnsi="黑体" w:eastAsia="黑体"/>
          <w:color w:val="auto"/>
          <w:sz w:val="21"/>
          <w:szCs w:val="21"/>
          <w:lang w:eastAsia="zh-CN"/>
        </w:rPr>
        <w:t>锡</w:t>
      </w:r>
      <w:r>
        <w:rPr>
          <w:rFonts w:hint="eastAsia" w:ascii="黑体" w:hAnsi="黑体" w:eastAsia="黑体"/>
          <w:color w:val="auto"/>
          <w:sz w:val="21"/>
          <w:szCs w:val="21"/>
        </w:rPr>
        <w:t>原料</w:t>
      </w:r>
    </w:p>
    <w:p w14:paraId="37440B89">
      <w:pPr>
        <w:pStyle w:val="61"/>
        <w:rPr>
          <w:rFonts w:hint="eastAsia"/>
        </w:rPr>
      </w:pPr>
      <w:r>
        <w:rPr>
          <w:rFonts w:hint="eastAsia"/>
          <w:lang w:eastAsia="zh-CN"/>
        </w:rPr>
        <w:t>锡</w:t>
      </w:r>
      <w:r>
        <w:rPr>
          <w:rFonts w:hint="eastAsia"/>
        </w:rPr>
        <w:t>锭的商业生产主要来自于以下三类原料：</w:t>
      </w:r>
    </w:p>
    <w:p w14:paraId="487B5272">
      <w:pPr>
        <w:pStyle w:val="61"/>
        <w:ind w:firstLineChars="0"/>
        <w:rPr>
          <w:rFonts w:hint="eastAsia"/>
        </w:rPr>
      </w:pPr>
      <w:r>
        <w:rPr>
          <w:rFonts w:hint="eastAsia"/>
        </w:rPr>
        <w:t>（1）</w:t>
      </w:r>
      <w:r>
        <w:rPr>
          <w:rFonts w:hint="eastAsia"/>
          <w:lang w:eastAsia="zh-CN"/>
        </w:rPr>
        <w:t>锡</w:t>
      </w:r>
      <w:r>
        <w:rPr>
          <w:rFonts w:hint="eastAsia"/>
        </w:rPr>
        <w:t>矿石；</w:t>
      </w:r>
    </w:p>
    <w:p w14:paraId="3E16CAC9">
      <w:pPr>
        <w:pStyle w:val="61"/>
        <w:ind w:firstLineChars="0"/>
        <w:rPr>
          <w:rFonts w:hint="eastAsia"/>
        </w:rPr>
      </w:pPr>
      <w:r>
        <w:rPr>
          <w:rFonts w:hint="eastAsia"/>
        </w:rPr>
        <w:t>（2）</w:t>
      </w:r>
      <w:r>
        <w:rPr>
          <w:rFonts w:hint="eastAsia"/>
          <w:lang w:eastAsia="zh-CN"/>
        </w:rPr>
        <w:t>回收锡原料</w:t>
      </w:r>
      <w:r>
        <w:rPr>
          <w:rFonts w:hint="eastAsia"/>
        </w:rPr>
        <w:t>；</w:t>
      </w:r>
    </w:p>
    <w:p w14:paraId="0B6E6607">
      <w:pPr>
        <w:pStyle w:val="61"/>
        <w:ind w:firstLineChars="0"/>
        <w:rPr>
          <w:rFonts w:hint="eastAsia"/>
        </w:rPr>
      </w:pPr>
      <w:r>
        <w:rPr>
          <w:rFonts w:hint="eastAsia"/>
        </w:rPr>
        <w:t>（3）其他工艺过程的副产。</w:t>
      </w:r>
    </w:p>
    <w:p w14:paraId="7A653F16">
      <w:pPr>
        <w:pStyle w:val="61"/>
        <w:rPr>
          <w:rFonts w:hint="eastAsia"/>
        </w:rPr>
      </w:pPr>
      <w:r>
        <w:rPr>
          <w:rFonts w:hint="eastAsia"/>
        </w:rPr>
        <w:t>其他金属冶炼副产的</w:t>
      </w:r>
      <w:r>
        <w:rPr>
          <w:rFonts w:hint="eastAsia"/>
          <w:lang w:eastAsia="zh-CN"/>
        </w:rPr>
        <w:t>锡</w:t>
      </w:r>
      <w:r>
        <w:rPr>
          <w:rFonts w:hint="eastAsia"/>
        </w:rPr>
        <w:t>锭占比非常小，不在本文件讨论。</w:t>
      </w:r>
    </w:p>
    <w:p w14:paraId="0DADF152">
      <w:pPr>
        <w:pStyle w:val="47"/>
        <w:spacing w:before="156" w:beforeLines="50" w:after="156" w:afterLines="50"/>
        <w:jc w:val="both"/>
        <w:rPr>
          <w:rFonts w:hint="eastAsia" w:ascii="黑体" w:hAnsi="黑体" w:eastAsia="黑体"/>
          <w:color w:val="auto"/>
          <w:sz w:val="21"/>
          <w:szCs w:val="21"/>
        </w:rPr>
      </w:pPr>
      <w:r>
        <w:rPr>
          <w:rFonts w:hint="eastAsia" w:ascii="黑体" w:hAnsi="黑体" w:eastAsia="黑体"/>
          <w:color w:val="auto"/>
          <w:sz w:val="21"/>
          <w:szCs w:val="21"/>
        </w:rPr>
        <w:t>A.</w:t>
      </w:r>
      <w:r>
        <w:rPr>
          <w:rFonts w:ascii="黑体" w:hAnsi="黑体" w:eastAsia="黑体"/>
          <w:color w:val="auto"/>
          <w:sz w:val="21"/>
          <w:szCs w:val="21"/>
        </w:rPr>
        <w:t xml:space="preserve">2 </w:t>
      </w:r>
      <w:r>
        <w:rPr>
          <w:rFonts w:hint="eastAsia" w:ascii="黑体" w:hAnsi="黑体" w:eastAsia="黑体"/>
          <w:color w:val="auto"/>
          <w:sz w:val="21"/>
          <w:szCs w:val="21"/>
        </w:rPr>
        <w:t>以</w:t>
      </w:r>
      <w:r>
        <w:rPr>
          <w:rFonts w:hint="eastAsia" w:ascii="黑体" w:hAnsi="黑体" w:eastAsia="黑体"/>
          <w:color w:val="auto"/>
          <w:sz w:val="21"/>
          <w:szCs w:val="21"/>
          <w:lang w:eastAsia="zh-CN"/>
        </w:rPr>
        <w:t>锡</w:t>
      </w:r>
      <w:r>
        <w:rPr>
          <w:rFonts w:hint="eastAsia" w:ascii="黑体" w:hAnsi="黑体" w:eastAsia="黑体"/>
          <w:color w:val="auto"/>
          <w:sz w:val="21"/>
          <w:szCs w:val="21"/>
        </w:rPr>
        <w:t>精矿为主要原料的生产工艺</w:t>
      </w:r>
    </w:p>
    <w:p w14:paraId="71884185">
      <w:pPr>
        <w:pStyle w:val="61"/>
        <w:rPr>
          <w:rFonts w:hint="eastAsia"/>
        </w:rPr>
      </w:pPr>
      <w:r>
        <w:rPr>
          <w:rFonts w:hint="eastAsia"/>
        </w:rPr>
        <w:t>以</w:t>
      </w:r>
      <w:r>
        <w:rPr>
          <w:rFonts w:hint="eastAsia"/>
          <w:lang w:eastAsia="zh-CN"/>
        </w:rPr>
        <w:t>锡</w:t>
      </w:r>
      <w:r>
        <w:rPr>
          <w:rFonts w:hint="eastAsia"/>
        </w:rPr>
        <w:t>矿石为或消费前废</w:t>
      </w:r>
      <w:r>
        <w:rPr>
          <w:rFonts w:hint="eastAsia"/>
          <w:lang w:eastAsia="zh-CN"/>
        </w:rPr>
        <w:t>锡</w:t>
      </w:r>
      <w:r>
        <w:rPr>
          <w:rFonts w:hint="eastAsia"/>
        </w:rPr>
        <w:t>为原料是</w:t>
      </w:r>
      <w:r>
        <w:rPr>
          <w:rFonts w:hint="eastAsia"/>
          <w:lang w:eastAsia="zh-CN"/>
        </w:rPr>
        <w:t>锡</w:t>
      </w:r>
      <w:r>
        <w:rPr>
          <w:rFonts w:hint="eastAsia"/>
        </w:rPr>
        <w:t>锭生产的主要方式。</w:t>
      </w:r>
    </w:p>
    <w:p w14:paraId="545CC3EF">
      <w:pPr>
        <w:ind w:firstLine="420" w:firstLineChars="200"/>
      </w:pPr>
      <w:r>
        <w:rPr>
          <w:rFonts w:hint="eastAsia"/>
          <w:lang w:eastAsia="zh-CN"/>
        </w:rPr>
        <w:t>锡</w:t>
      </w:r>
      <w:r>
        <w:rPr>
          <w:rFonts w:hint="eastAsia"/>
        </w:rPr>
        <w:t>精矿的采选主要包括爆破、掘进、运输、破碎筛分、浮选、压滤等。</w:t>
      </w:r>
    </w:p>
    <w:p w14:paraId="21F29154">
      <w:pPr>
        <w:ind w:firstLine="420" w:firstLineChars="200"/>
      </w:pPr>
      <w:r>
        <w:rPr>
          <w:rFonts w:hint="eastAsia"/>
          <w:lang w:eastAsia="zh-CN"/>
        </w:rPr>
        <w:t>锡</w:t>
      </w:r>
      <w:r>
        <w:rPr>
          <w:rFonts w:hint="eastAsia"/>
        </w:rPr>
        <w:t>冶炼是指将</w:t>
      </w:r>
      <w:r>
        <w:rPr>
          <w:rFonts w:hint="eastAsia"/>
          <w:lang w:eastAsia="zh-CN"/>
        </w:rPr>
        <w:t>锡</w:t>
      </w:r>
      <w:r>
        <w:rPr>
          <w:rFonts w:hint="eastAsia"/>
        </w:rPr>
        <w:t>精矿熔炼，使硫化</w:t>
      </w:r>
      <w:r>
        <w:rPr>
          <w:rFonts w:hint="eastAsia"/>
          <w:lang w:eastAsia="zh-CN"/>
        </w:rPr>
        <w:t>锡</w:t>
      </w:r>
      <w:r>
        <w:rPr>
          <w:rFonts w:hint="eastAsia"/>
        </w:rPr>
        <w:t>氧化为氧化</w:t>
      </w:r>
      <w:r>
        <w:rPr>
          <w:rFonts w:hint="eastAsia"/>
          <w:lang w:eastAsia="zh-CN"/>
        </w:rPr>
        <w:t>锡</w:t>
      </w:r>
      <w:r>
        <w:rPr>
          <w:rFonts w:hint="eastAsia"/>
        </w:rPr>
        <w:t>，再利用碳质还原剂在高温下使氧化</w:t>
      </w:r>
      <w:r>
        <w:rPr>
          <w:rFonts w:hint="eastAsia"/>
          <w:lang w:eastAsia="zh-CN"/>
        </w:rPr>
        <w:t>锡</w:t>
      </w:r>
      <w:r>
        <w:rPr>
          <w:rFonts w:hint="eastAsia"/>
        </w:rPr>
        <w:t>还原为金属</w:t>
      </w:r>
      <w:r>
        <w:rPr>
          <w:rFonts w:hint="eastAsia"/>
          <w:lang w:eastAsia="zh-CN"/>
        </w:rPr>
        <w:t>锡</w:t>
      </w:r>
      <w:r>
        <w:rPr>
          <w:rFonts w:hint="eastAsia"/>
        </w:rPr>
        <w:t>的过程。</w:t>
      </w:r>
      <w:r>
        <w:rPr>
          <w:rFonts w:hint="eastAsia"/>
          <w:lang w:eastAsia="zh-CN"/>
        </w:rPr>
        <w:t>锡</w:t>
      </w:r>
      <w:r>
        <w:rPr>
          <w:rFonts w:hint="eastAsia"/>
        </w:rPr>
        <w:t>冶炼通常分为粗</w:t>
      </w:r>
      <w:r>
        <w:rPr>
          <w:rFonts w:hint="eastAsia"/>
          <w:lang w:eastAsia="zh-CN"/>
        </w:rPr>
        <w:t>锡</w:t>
      </w:r>
      <w:r>
        <w:rPr>
          <w:rFonts w:hint="eastAsia"/>
        </w:rPr>
        <w:t>冶炼和精炼两个步骤。粗</w:t>
      </w:r>
      <w:r>
        <w:rPr>
          <w:rFonts w:hint="eastAsia"/>
          <w:lang w:eastAsia="zh-CN"/>
        </w:rPr>
        <w:t>锡</w:t>
      </w:r>
      <w:r>
        <w:rPr>
          <w:rFonts w:hint="eastAsia"/>
        </w:rPr>
        <w:t>冶炼过程是指</w:t>
      </w:r>
      <w:r>
        <w:rPr>
          <w:rFonts w:hint="eastAsia"/>
          <w:lang w:eastAsia="zh-CN"/>
        </w:rPr>
        <w:t>锡</w:t>
      </w:r>
      <w:r>
        <w:rPr>
          <w:rFonts w:hint="eastAsia"/>
        </w:rPr>
        <w:t>精矿经过氧化脱硫、还原熔炼、</w:t>
      </w:r>
      <w:r>
        <w:rPr>
          <w:rFonts w:hint="eastAsia"/>
          <w:lang w:eastAsia="zh-CN"/>
        </w:rPr>
        <w:t>锡</w:t>
      </w:r>
      <w:r>
        <w:rPr>
          <w:rFonts w:hint="eastAsia"/>
        </w:rPr>
        <w:t>渣分离等工序，产出粗</w:t>
      </w:r>
      <w:r>
        <w:rPr>
          <w:rFonts w:hint="eastAsia"/>
          <w:lang w:eastAsia="zh-CN"/>
        </w:rPr>
        <w:t>锡</w:t>
      </w:r>
      <w:r>
        <w:rPr>
          <w:rFonts w:hint="eastAsia"/>
        </w:rPr>
        <w:t>，再进一步精炼，去除杂质。</w:t>
      </w:r>
    </w:p>
    <w:p w14:paraId="1AD35DF1">
      <w:pPr>
        <w:pStyle w:val="61"/>
        <w:rPr>
          <w:rFonts w:hint="eastAsia"/>
        </w:rPr>
      </w:pPr>
      <w:r>
        <w:rPr>
          <w:rFonts w:hint="eastAsia"/>
        </w:rPr>
        <w:t>由于资源的稀缺性，消费前</w:t>
      </w:r>
      <w:r>
        <w:rPr>
          <w:rFonts w:hint="eastAsia"/>
          <w:lang w:eastAsia="zh-CN"/>
        </w:rPr>
        <w:t>回收锡原料</w:t>
      </w:r>
      <w:r>
        <w:rPr>
          <w:rFonts w:hint="eastAsia"/>
        </w:rPr>
        <w:t>已成为</w:t>
      </w:r>
      <w:r>
        <w:rPr>
          <w:rFonts w:hint="eastAsia"/>
          <w:lang w:eastAsia="zh-CN"/>
        </w:rPr>
        <w:t>锡</w:t>
      </w:r>
      <w:r>
        <w:rPr>
          <w:rFonts w:hint="eastAsia"/>
        </w:rPr>
        <w:t>锭生产的重要原料。</w:t>
      </w:r>
    </w:p>
    <w:p w14:paraId="67837934">
      <w:pPr>
        <w:pStyle w:val="61"/>
        <w:ind w:firstLineChars="0"/>
        <w:rPr>
          <w:rFonts w:hint="eastAsia"/>
        </w:rPr>
      </w:pPr>
      <w:r>
        <w:rPr>
          <w:rFonts w:hint="eastAsia"/>
        </w:rPr>
        <w:t>消费前</w:t>
      </w:r>
      <w:r>
        <w:rPr>
          <w:rFonts w:hint="eastAsia"/>
          <w:lang w:eastAsia="zh-CN"/>
        </w:rPr>
        <w:t>回收锡原料</w:t>
      </w:r>
      <w:r>
        <w:rPr>
          <w:rFonts w:hint="eastAsia"/>
        </w:rPr>
        <w:t>指工业生产过程中产生的废料，来源于冶炼、加工以及终端产品生产三个环节。冶炼过程产生的</w:t>
      </w:r>
      <w:r>
        <w:rPr>
          <w:rFonts w:hint="eastAsia"/>
          <w:lang w:eastAsia="zh-CN"/>
        </w:rPr>
        <w:t>锡</w:t>
      </w:r>
      <w:r>
        <w:rPr>
          <w:rFonts w:hint="eastAsia"/>
        </w:rPr>
        <w:t>银渣等含</w:t>
      </w:r>
      <w:r>
        <w:rPr>
          <w:rFonts w:hint="eastAsia"/>
          <w:lang w:eastAsia="zh-CN"/>
        </w:rPr>
        <w:t>锡</w:t>
      </w:r>
      <w:r>
        <w:rPr>
          <w:rFonts w:hint="eastAsia"/>
        </w:rPr>
        <w:t>渣和含</w:t>
      </w:r>
      <w:r>
        <w:rPr>
          <w:rFonts w:hint="eastAsia"/>
          <w:lang w:eastAsia="zh-CN"/>
        </w:rPr>
        <w:t>锡</w:t>
      </w:r>
      <w:r>
        <w:rPr>
          <w:rFonts w:hint="eastAsia"/>
        </w:rPr>
        <w:t>烟尘等，加工及终端产品生产过程的工业残次品和边角料等。消费前</w:t>
      </w:r>
      <w:r>
        <w:rPr>
          <w:rFonts w:hint="eastAsia"/>
          <w:lang w:eastAsia="zh-CN"/>
        </w:rPr>
        <w:t>回收锡原料</w:t>
      </w:r>
      <w:r>
        <w:rPr>
          <w:rFonts w:hint="eastAsia"/>
        </w:rPr>
        <w:t>大部分被直接利用或本企业内处理回用。企业报告的使用量是指从企业外部购入的废料量，不包括企业内部循环使用量。</w:t>
      </w:r>
    </w:p>
    <w:p w14:paraId="21185A4A">
      <w:pPr>
        <w:pStyle w:val="61"/>
        <w:ind w:firstLine="0" w:firstLineChars="0"/>
        <w:jc w:val="center"/>
        <w:rPr>
          <w:rFonts w:hint="eastAsia"/>
        </w:rPr>
      </w:pPr>
      <w:bookmarkStart w:id="169" w:name="_Hlk174231222"/>
      <w:r>
        <w:rPr>
          <w:rFonts w:hint="eastAsia"/>
        </w:rPr>
        <mc:AlternateContent>
          <mc:Choice Requires="wpc">
            <w:drawing>
              <wp:inline distT="0" distB="0" distL="0" distR="0">
                <wp:extent cx="4933950" cy="4798695"/>
                <wp:effectExtent l="0" t="0" r="6350" b="1271905"/>
                <wp:docPr id="1624401976" name="画布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256985517" name="组合 1256985517"/>
                        <wpg:cNvGrpSpPr/>
                        <wpg:grpSpPr>
                          <a:xfrm>
                            <a:off x="490855" y="-635"/>
                            <a:ext cx="3979545" cy="6024245"/>
                            <a:chOff x="837225" y="35999"/>
                            <a:chExt cx="3979861" cy="6024336"/>
                          </a:xfrm>
                        </wpg:grpSpPr>
                        <wps:wsp>
                          <wps:cNvPr id="105676901" name="矩形 105676901"/>
                          <wps:cNvSpPr/>
                          <wps:spPr>
                            <a:xfrm>
                              <a:off x="2025015" y="35999"/>
                              <a:ext cx="1241550" cy="29636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2D276B">
                                <w:pPr>
                                  <w:jc w:val="center"/>
                                  <w:rPr>
                                    <w:rFonts w:hint="eastAsia" w:ascii="宋体" w:hAnsi="宋体"/>
                                    <w:b w:val="0"/>
                                    <w:bCs w:val="0"/>
                                    <w:kern w:val="0"/>
                                    <w:szCs w:val="21"/>
                                  </w:rPr>
                                </w:pPr>
                                <w:r>
                                  <w:rPr>
                                    <w:rFonts w:hint="eastAsia" w:ascii="宋体" w:hAnsi="宋体"/>
                                    <w:b w:val="0"/>
                                    <w:bCs w:val="0"/>
                                    <w:szCs w:val="21"/>
                                  </w:rPr>
                                  <w:t>采  矿</w:t>
                                </w:r>
                              </w:p>
                            </w:txbxContent>
                          </wps:txbx>
                          <wps:bodyPr rot="0" spcFirstLastPara="0" vert="horz" wrap="square" lIns="91440" tIns="45720" rIns="91440" bIns="45720" numCol="1" spcCol="0" rtlCol="0" fromWordArt="0" anchor="ctr" anchorCtr="0" forceAA="0" compatLnSpc="1">
                            <a:noAutofit/>
                          </wps:bodyPr>
                        </wps:wsp>
                        <wps:wsp>
                          <wps:cNvPr id="168466196" name="矩形 168466196"/>
                          <wps:cNvSpPr/>
                          <wps:spPr>
                            <a:xfrm>
                              <a:off x="2155175" y="587725"/>
                              <a:ext cx="981786" cy="355404"/>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94DFB0E">
                                <w:pPr>
                                  <w:jc w:val="center"/>
                                  <w:rPr>
                                    <w:rFonts w:hint="eastAsia" w:ascii="宋体" w:hAnsi="宋体"/>
                                    <w:b w:val="0"/>
                                    <w:bCs w:val="0"/>
                                    <w:kern w:val="0"/>
                                    <w:szCs w:val="21"/>
                                  </w:rPr>
                                </w:pPr>
                                <w:r>
                                  <w:rPr>
                                    <w:rFonts w:hint="eastAsia" w:ascii="宋体" w:hAnsi="宋体"/>
                                    <w:b w:val="0"/>
                                    <w:bCs w:val="0"/>
                                    <w:szCs w:val="21"/>
                                    <w:u w:val="single"/>
                                    <w:lang w:eastAsia="zh-CN"/>
                                  </w:rPr>
                                  <w:t>锡</w:t>
                                </w:r>
                                <w:r>
                                  <w:rPr>
                                    <w:rFonts w:hint="eastAsia" w:ascii="宋体" w:hAnsi="宋体"/>
                                    <w:b w:val="0"/>
                                    <w:bCs w:val="0"/>
                                    <w:szCs w:val="21"/>
                                    <w:u w:val="single"/>
                                  </w:rPr>
                                  <w:t>矿石</w:t>
                                </w:r>
                              </w:p>
                            </w:txbxContent>
                          </wps:txbx>
                          <wps:bodyPr rot="0" spcFirstLastPara="0" vert="horz" wrap="square" lIns="91440" tIns="45720" rIns="91440" bIns="45720" numCol="1" spcCol="0" rtlCol="0" fromWordArt="0" anchor="ctr" anchorCtr="0" forceAA="0" compatLnSpc="1">
                            <a:noAutofit/>
                          </wps:bodyPr>
                        </wps:wsp>
                        <wps:wsp>
                          <wps:cNvPr id="1924422235" name="矩形 1924422235"/>
                          <wps:cNvSpPr/>
                          <wps:spPr>
                            <a:xfrm>
                              <a:off x="2040430" y="1154389"/>
                              <a:ext cx="1210850" cy="29577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A510FD">
                                <w:pPr>
                                  <w:jc w:val="center"/>
                                  <w:rPr>
                                    <w:rFonts w:hint="eastAsia" w:ascii="宋体" w:hAnsi="宋体"/>
                                    <w:b/>
                                    <w:bCs/>
                                    <w:kern w:val="0"/>
                                    <w:szCs w:val="21"/>
                                  </w:rPr>
                                </w:pPr>
                                <w:r>
                                  <w:rPr>
                                    <w:rFonts w:hint="eastAsia" w:ascii="宋体" w:hAnsi="宋体"/>
                                    <w:b w:val="0"/>
                                    <w:bCs w:val="0"/>
                                    <w:szCs w:val="21"/>
                                  </w:rPr>
                                  <w:t>破碎筛分</w:t>
                                </w:r>
                              </w:p>
                            </w:txbxContent>
                          </wps:txbx>
                          <wps:bodyPr rot="0" spcFirstLastPara="0" vert="horz" wrap="square" lIns="91440" tIns="45720" rIns="91440" bIns="45720" numCol="1" spcCol="0" rtlCol="0" fromWordArt="0" anchor="ctr" anchorCtr="0" forceAA="0" compatLnSpc="1">
                            <a:noAutofit/>
                          </wps:bodyPr>
                        </wps:wsp>
                        <wps:wsp>
                          <wps:cNvPr id="2028780939" name="矩形 2028780939"/>
                          <wps:cNvSpPr/>
                          <wps:spPr>
                            <a:xfrm>
                              <a:off x="2112445" y="2140593"/>
                              <a:ext cx="1067390" cy="31289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A89AFFE">
                                <w:pPr>
                                  <w:jc w:val="center"/>
                                  <w:rPr>
                                    <w:rFonts w:hint="eastAsia" w:ascii="宋体" w:hAnsi="宋体"/>
                                    <w:b w:val="0"/>
                                    <w:bCs w:val="0"/>
                                    <w:kern w:val="0"/>
                                    <w:szCs w:val="21"/>
                                  </w:rPr>
                                </w:pPr>
                                <w:r>
                                  <w:rPr>
                                    <w:rFonts w:hint="eastAsia" w:ascii="宋体" w:hAnsi="宋体"/>
                                    <w:b w:val="0"/>
                                    <w:bCs w:val="0"/>
                                    <w:szCs w:val="21"/>
                                    <w:u w:val="single"/>
                                    <w:lang w:eastAsia="zh-CN"/>
                                  </w:rPr>
                                  <w:t>锡</w:t>
                                </w:r>
                                <w:r>
                                  <w:rPr>
                                    <w:rFonts w:hint="eastAsia" w:ascii="宋体" w:hAnsi="宋体"/>
                                    <w:b w:val="0"/>
                                    <w:bCs w:val="0"/>
                                    <w:szCs w:val="21"/>
                                    <w:u w:val="single"/>
                                  </w:rPr>
                                  <w:t>精矿</w:t>
                                </w:r>
                              </w:p>
                            </w:txbxContent>
                          </wps:txbx>
                          <wps:bodyPr rot="0" spcFirstLastPara="0" vert="horz" wrap="square" lIns="91440" tIns="45720" rIns="91440" bIns="45720" numCol="1" spcCol="0" rtlCol="0" fromWordArt="0" anchor="ctr" anchorCtr="0" forceAA="0" compatLnSpc="1">
                            <a:noAutofit/>
                          </wps:bodyPr>
                        </wps:wsp>
                        <wps:wsp>
                          <wps:cNvPr id="549378641" name="矩形 549378641"/>
                          <wps:cNvSpPr/>
                          <wps:spPr>
                            <a:xfrm>
                              <a:off x="2040474" y="2691219"/>
                              <a:ext cx="1211441" cy="29518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31ADAB">
                                <w:pPr>
                                  <w:jc w:val="center"/>
                                  <w:rPr>
                                    <w:rFonts w:hint="eastAsia" w:ascii="宋体" w:hAnsi="宋体"/>
                                    <w:b w:val="0"/>
                                    <w:bCs w:val="0"/>
                                    <w:kern w:val="0"/>
                                    <w:szCs w:val="21"/>
                                  </w:rPr>
                                </w:pPr>
                                <w:r>
                                  <w:rPr>
                                    <w:rFonts w:hint="eastAsia" w:ascii="宋体" w:hAnsi="宋体"/>
                                    <w:b w:val="0"/>
                                    <w:bCs w:val="0"/>
                                    <w:szCs w:val="21"/>
                                  </w:rPr>
                                  <w:t>熔  炼</w:t>
                                </w:r>
                              </w:p>
                            </w:txbxContent>
                          </wps:txbx>
                          <wps:bodyPr rot="0" spcFirstLastPara="0" vert="horz" wrap="square" lIns="91440" tIns="45720" rIns="91440" bIns="45720" numCol="1" spcCol="0" rtlCol="0" fromWordArt="0" anchor="ctr" anchorCtr="0" forceAA="0" compatLnSpc="1">
                            <a:noAutofit/>
                          </wps:bodyPr>
                        </wps:wsp>
                        <wps:wsp>
                          <wps:cNvPr id="1816410134" name="直接箭头连接符 1816410134"/>
                          <wps:cNvCnPr/>
                          <wps:spPr>
                            <a:xfrm flipH="1">
                              <a:off x="2638379" y="910943"/>
                              <a:ext cx="15961" cy="2332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1491114" name="直接箭头连接符 1121491114"/>
                          <wps:cNvCnPr/>
                          <wps:spPr>
                            <a:xfrm>
                              <a:off x="2645721" y="342170"/>
                              <a:ext cx="1181" cy="2349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6566523" name="直接箭头连接符 786566523"/>
                          <wps:cNvCnPr/>
                          <wps:spPr>
                            <a:xfrm flipH="1">
                              <a:off x="2643600" y="1460201"/>
                              <a:ext cx="4723" cy="190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63476193" name="矩形 1063476193"/>
                          <wps:cNvSpPr/>
                          <wps:spPr>
                            <a:xfrm>
                              <a:off x="2040474" y="1661061"/>
                              <a:ext cx="1210850" cy="29577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E03F7A">
                                <w:pPr>
                                  <w:jc w:val="center"/>
                                  <w:rPr>
                                    <w:rFonts w:hint="eastAsia" w:ascii="宋体" w:hAnsi="宋体"/>
                                    <w:b w:val="0"/>
                                    <w:bCs w:val="0"/>
                                    <w:kern w:val="0"/>
                                    <w:szCs w:val="21"/>
                                  </w:rPr>
                                </w:pPr>
                                <w:r>
                                  <w:rPr>
                                    <w:rFonts w:hint="eastAsia" w:ascii="宋体" w:hAnsi="宋体"/>
                                    <w:b w:val="0"/>
                                    <w:bCs w:val="0"/>
                                    <w:szCs w:val="21"/>
                                  </w:rPr>
                                  <w:t>浮  选</w:t>
                                </w:r>
                              </w:p>
                            </w:txbxContent>
                          </wps:txbx>
                          <wps:bodyPr rot="0" spcFirstLastPara="0" vert="horz" wrap="square" lIns="91440" tIns="45720" rIns="91440" bIns="45720" numCol="1" spcCol="0" rtlCol="0" fromWordArt="0" anchor="ctr" anchorCtr="0" forceAA="0" compatLnSpc="1">
                            <a:noAutofit/>
                          </wps:bodyPr>
                        </wps:wsp>
                        <wps:wsp>
                          <wps:cNvPr id="856000997" name="直接箭头连接符 856000997"/>
                          <wps:cNvCnPr/>
                          <wps:spPr>
                            <a:xfrm flipH="1">
                              <a:off x="2643644" y="1966873"/>
                              <a:ext cx="4723" cy="190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3037150" name="直接箭头连接符 573037150"/>
                          <wps:cNvCnPr/>
                          <wps:spPr>
                            <a:xfrm flipH="1">
                              <a:off x="2643715" y="2490954"/>
                              <a:ext cx="4723" cy="190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8335490" name="矩形 858335490"/>
                          <wps:cNvSpPr/>
                          <wps:spPr>
                            <a:xfrm>
                              <a:off x="2040255" y="3197257"/>
                              <a:ext cx="1211441" cy="29518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F01AAA">
                                <w:pPr>
                                  <w:jc w:val="center"/>
                                  <w:rPr>
                                    <w:rFonts w:hint="eastAsia" w:ascii="宋体" w:hAnsi="宋体"/>
                                    <w:b w:val="0"/>
                                    <w:bCs w:val="0"/>
                                    <w:kern w:val="0"/>
                                    <w:szCs w:val="21"/>
                                  </w:rPr>
                                </w:pPr>
                                <w:r>
                                  <w:rPr>
                                    <w:rFonts w:hint="eastAsia" w:ascii="宋体" w:hAnsi="宋体"/>
                                    <w:b w:val="0"/>
                                    <w:bCs w:val="0"/>
                                    <w:szCs w:val="21"/>
                                  </w:rPr>
                                  <w:t>还  原</w:t>
                                </w:r>
                              </w:p>
                            </w:txbxContent>
                          </wps:txbx>
                          <wps:bodyPr rot="0" spcFirstLastPara="0" vert="horz" wrap="square" lIns="91440" tIns="45720" rIns="91440" bIns="45720" numCol="1" spcCol="0" rtlCol="0" fromWordArt="0" anchor="ctr" anchorCtr="0" forceAA="0" compatLnSpc="1">
                            <a:noAutofit/>
                          </wps:bodyPr>
                        </wps:wsp>
                        <wps:wsp>
                          <wps:cNvPr id="643156097" name="直接箭头连接符 643156097"/>
                          <wps:cNvCnPr/>
                          <wps:spPr>
                            <a:xfrm flipH="1">
                              <a:off x="2644131" y="2996357"/>
                              <a:ext cx="4723" cy="190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04942238" name="矩形 1704942238"/>
                          <wps:cNvSpPr/>
                          <wps:spPr>
                            <a:xfrm>
                              <a:off x="2112617" y="3715307"/>
                              <a:ext cx="1067390" cy="31289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E3BC29A">
                                <w:pPr>
                                  <w:jc w:val="center"/>
                                  <w:rPr>
                                    <w:rFonts w:hint="eastAsia" w:ascii="宋体" w:hAnsi="宋体" w:eastAsia="宋体"/>
                                    <w:b/>
                                    <w:bCs/>
                                    <w:kern w:val="0"/>
                                    <w:szCs w:val="21"/>
                                    <w:lang w:eastAsia="zh-CN"/>
                                  </w:rPr>
                                </w:pPr>
                                <w:r>
                                  <w:rPr>
                                    <w:rFonts w:hint="eastAsia" w:ascii="宋体" w:hAnsi="宋体"/>
                                    <w:b w:val="0"/>
                                    <w:bCs w:val="0"/>
                                    <w:szCs w:val="21"/>
                                    <w:u w:val="single"/>
                                  </w:rPr>
                                  <w:t>粗</w:t>
                                </w:r>
                                <w:r>
                                  <w:rPr>
                                    <w:rFonts w:hint="eastAsia" w:ascii="宋体" w:hAnsi="宋体"/>
                                    <w:b w:val="0"/>
                                    <w:bCs w:val="0"/>
                                    <w:szCs w:val="21"/>
                                    <w:u w:val="single"/>
                                    <w:lang w:eastAsia="zh-CN"/>
                                  </w:rPr>
                                  <w:t>锡</w:t>
                                </w:r>
                              </w:p>
                            </w:txbxContent>
                          </wps:txbx>
                          <wps:bodyPr rot="0" spcFirstLastPara="0" vert="horz" wrap="square" lIns="91440" tIns="45720" rIns="91440" bIns="45720" numCol="1" spcCol="0" rtlCol="0" fromWordArt="0" anchor="ctr" anchorCtr="0" forceAA="0" compatLnSpc="1">
                            <a:noAutofit/>
                          </wps:bodyPr>
                        </wps:wsp>
                        <wps:wsp>
                          <wps:cNvPr id="1764194622" name="直接箭头连接符 1764194622"/>
                          <wps:cNvCnPr/>
                          <wps:spPr>
                            <a:xfrm flipH="1">
                              <a:off x="2643816" y="3514282"/>
                              <a:ext cx="4723" cy="190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0878927" name="直接箭头连接符 440878927"/>
                          <wps:cNvCnPr/>
                          <wps:spPr>
                            <a:xfrm flipH="1">
                              <a:off x="2643715" y="4038581"/>
                              <a:ext cx="4723" cy="190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3686018" name="矩形 273686018"/>
                          <wps:cNvSpPr/>
                          <wps:spPr>
                            <a:xfrm>
                              <a:off x="2040255" y="5241454"/>
                              <a:ext cx="1211441" cy="29518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CB1B60">
                                <w:pPr>
                                  <w:jc w:val="center"/>
                                  <w:rPr>
                                    <w:rFonts w:hint="eastAsia" w:ascii="宋体" w:hAnsi="宋体"/>
                                    <w:b w:val="0"/>
                                    <w:bCs w:val="0"/>
                                    <w:kern w:val="0"/>
                                    <w:szCs w:val="21"/>
                                  </w:rPr>
                                </w:pPr>
                                <w:r>
                                  <w:rPr>
                                    <w:rFonts w:hint="eastAsia" w:ascii="宋体" w:hAnsi="宋体"/>
                                    <w:b w:val="0"/>
                                    <w:bCs w:val="0"/>
                                    <w:szCs w:val="21"/>
                                  </w:rPr>
                                  <w:t>熔  铸</w:t>
                                </w:r>
                              </w:p>
                            </w:txbxContent>
                          </wps:txbx>
                          <wps:bodyPr rot="0" spcFirstLastPara="0" vert="horz" wrap="square" lIns="91440" tIns="45720" rIns="91440" bIns="45720" numCol="1" spcCol="0" rtlCol="0" fromWordArt="0" anchor="ctr" anchorCtr="0" forceAA="0" compatLnSpc="1">
                            <a:noAutofit/>
                          </wps:bodyPr>
                        </wps:wsp>
                        <wps:wsp>
                          <wps:cNvPr id="1082594841" name="矩形 1082594841"/>
                          <wps:cNvSpPr/>
                          <wps:spPr>
                            <a:xfrm>
                              <a:off x="2112617" y="5747439"/>
                              <a:ext cx="1067390" cy="31289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4E6177A">
                                <w:pPr>
                                  <w:jc w:val="center"/>
                                  <w:rPr>
                                    <w:rFonts w:hint="eastAsia" w:ascii="宋体" w:hAnsi="宋体"/>
                                    <w:b w:val="0"/>
                                    <w:bCs w:val="0"/>
                                    <w:kern w:val="0"/>
                                    <w:szCs w:val="21"/>
                                  </w:rPr>
                                </w:pPr>
                                <w:r>
                                  <w:rPr>
                                    <w:rFonts w:hint="eastAsia" w:ascii="宋体" w:hAnsi="宋体"/>
                                    <w:b w:val="0"/>
                                    <w:bCs w:val="0"/>
                                    <w:szCs w:val="21"/>
                                    <w:u w:val="single"/>
                                    <w:lang w:eastAsia="zh-CN"/>
                                  </w:rPr>
                                  <w:t>锡</w:t>
                                </w:r>
                                <w:r>
                                  <w:rPr>
                                    <w:rFonts w:hint="eastAsia" w:ascii="宋体" w:hAnsi="宋体"/>
                                    <w:b w:val="0"/>
                                    <w:bCs w:val="0"/>
                                    <w:szCs w:val="21"/>
                                    <w:u w:val="single"/>
                                  </w:rPr>
                                  <w:t>锭</w:t>
                                </w:r>
                              </w:p>
                            </w:txbxContent>
                          </wps:txbx>
                          <wps:bodyPr rot="0" spcFirstLastPara="0" vert="horz" wrap="square" lIns="91440" tIns="45720" rIns="91440" bIns="45720" numCol="1" spcCol="0" rtlCol="0" fromWordArt="0" anchor="ctr" anchorCtr="0" forceAA="0" compatLnSpc="1">
                            <a:noAutofit/>
                          </wps:bodyPr>
                        </wps:wsp>
                        <wps:wsp>
                          <wps:cNvPr id="2115708265" name="直接箭头连接符 2115708265"/>
                          <wps:cNvCnPr/>
                          <wps:spPr>
                            <a:xfrm flipH="1">
                              <a:off x="2643816" y="5547049"/>
                              <a:ext cx="4723" cy="190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6997272" name="矩形 1866997272"/>
                          <wps:cNvSpPr/>
                          <wps:spPr>
                            <a:xfrm>
                              <a:off x="3605645" y="3197257"/>
                              <a:ext cx="1211441" cy="29518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D1CB64">
                                <w:pPr>
                                  <w:jc w:val="center"/>
                                  <w:rPr>
                                    <w:rFonts w:hint="eastAsia" w:ascii="宋体" w:hAnsi="宋体"/>
                                    <w:b w:val="0"/>
                                    <w:bCs w:val="0"/>
                                    <w:kern w:val="0"/>
                                    <w:szCs w:val="21"/>
                                  </w:rPr>
                                </w:pPr>
                                <w:r>
                                  <w:rPr>
                                    <w:rFonts w:hint="eastAsia" w:ascii="宋体" w:hAnsi="宋体"/>
                                    <w:b w:val="0"/>
                                    <w:bCs w:val="0"/>
                                    <w:szCs w:val="21"/>
                                  </w:rPr>
                                  <w:t>烟  化</w:t>
                                </w:r>
                              </w:p>
                            </w:txbxContent>
                          </wps:txbx>
                          <wps:bodyPr rot="0" spcFirstLastPara="0" vert="horz" wrap="square" lIns="91440" tIns="45720" rIns="91440" bIns="45720" numCol="1" spcCol="0" rtlCol="0" fromWordArt="0" anchor="ctr" anchorCtr="0" forceAA="0" compatLnSpc="1">
                            <a:noAutofit/>
                          </wps:bodyPr>
                        </wps:wsp>
                        <wps:wsp>
                          <wps:cNvPr id="2008734916" name="连接符: 肘形 2008734916"/>
                          <wps:cNvCnPr>
                            <a:stCxn id="1866997272" idx="2"/>
                          </wps:cNvCnPr>
                          <wps:spPr>
                            <a:xfrm rot="5400000">
                              <a:off x="3341866" y="3008076"/>
                              <a:ext cx="385135" cy="1353866"/>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76836477" name="直接箭头连接符 1676836477"/>
                          <wps:cNvCnPr/>
                          <wps:spPr>
                            <a:xfrm>
                              <a:off x="3239207" y="3324530"/>
                              <a:ext cx="347195" cy="21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65469152" name="矩形 1965469152"/>
                          <wps:cNvSpPr/>
                          <wps:spPr>
                            <a:xfrm>
                              <a:off x="2025015" y="4225385"/>
                              <a:ext cx="1211441" cy="29518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DE9509">
                                <w:pPr>
                                  <w:jc w:val="center"/>
                                  <w:rPr>
                                    <w:rFonts w:hint="eastAsia" w:ascii="宋体" w:hAnsi="宋体"/>
                                    <w:b w:val="0"/>
                                    <w:bCs w:val="0"/>
                                    <w:kern w:val="0"/>
                                    <w:szCs w:val="21"/>
                                  </w:rPr>
                                </w:pPr>
                                <w:r>
                                  <w:rPr>
                                    <w:rFonts w:hint="eastAsia" w:ascii="宋体" w:hAnsi="宋体"/>
                                    <w:b w:val="0"/>
                                    <w:bCs w:val="0"/>
                                    <w:szCs w:val="21"/>
                                  </w:rPr>
                                  <w:t>火法精炼</w:t>
                                </w:r>
                              </w:p>
                            </w:txbxContent>
                          </wps:txbx>
                          <wps:bodyPr rot="0" spcFirstLastPara="0" vert="horz" wrap="square" lIns="91440" tIns="45720" rIns="91440" bIns="45720" numCol="1" spcCol="0" rtlCol="0" fromWordArt="0" anchor="ctr" anchorCtr="0" forceAA="0" compatLnSpc="1">
                            <a:noAutofit/>
                          </wps:bodyPr>
                        </wps:wsp>
                        <wps:wsp>
                          <wps:cNvPr id="2142442636" name="直接箭头连接符 2142442636"/>
                          <wps:cNvCnPr/>
                          <wps:spPr>
                            <a:xfrm flipH="1">
                              <a:off x="2628672" y="4531158"/>
                              <a:ext cx="4723" cy="190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4896393" name="矩形 464896393"/>
                          <wps:cNvSpPr/>
                          <wps:spPr>
                            <a:xfrm>
                              <a:off x="837225" y="2140880"/>
                              <a:ext cx="1066800" cy="31242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59BB55E">
                                <w:pPr>
                                  <w:jc w:val="center"/>
                                  <w:rPr>
                                    <w:rFonts w:hint="eastAsia" w:ascii="宋体" w:hAnsi="宋体" w:eastAsia="宋体"/>
                                    <w:b w:val="0"/>
                                    <w:bCs w:val="0"/>
                                    <w:szCs w:val="21"/>
                                    <w:lang w:eastAsia="zh-CN"/>
                                  </w:rPr>
                                </w:pPr>
                                <w:r>
                                  <w:rPr>
                                    <w:rFonts w:hint="eastAsia" w:ascii="宋体" w:hAnsi="宋体"/>
                                    <w:b w:val="0"/>
                                    <w:bCs w:val="0"/>
                                    <w:szCs w:val="21"/>
                                    <w:u w:val="single"/>
                                    <w:lang w:eastAsia="zh-CN"/>
                                  </w:rPr>
                                  <w:t>回收锡原料</w:t>
                                </w:r>
                              </w:p>
                            </w:txbxContent>
                          </wps:txbx>
                          <wps:bodyPr rot="0" spcFirstLastPara="0" vert="horz" wrap="square" lIns="91440" tIns="45720" rIns="91440" bIns="45720" numCol="1" spcCol="0" rtlCol="0" fromWordArt="0" anchor="ctr" anchorCtr="0" forceAA="0" compatLnSpc="1">
                            <a:noAutofit/>
                          </wps:bodyPr>
                        </wps:wsp>
                        <wps:wsp>
                          <wps:cNvPr id="1779954758" name="连接符: 肘形 1779954758"/>
                          <wps:cNvCnPr>
                            <a:stCxn id="464896393" idx="2"/>
                            <a:endCxn id="549378641" idx="1"/>
                          </wps:cNvCnPr>
                          <wps:spPr>
                            <a:xfrm rot="16200000" flipH="1">
                              <a:off x="1512793" y="2311131"/>
                              <a:ext cx="385512" cy="669849"/>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id="画布 52" o:spid="_x0000_s1026" o:spt="203" style="height:377.85pt;width:388.5pt;" coordsize="4933950,4798695" editas="canvas" o:gfxdata="UEsDBAoAAAAAAIdO4kAAAAAAAAAAAAAAAAAEAAAAZHJzL1BLAwQUAAAACACHTuJA0Zu7dNMAAAAF&#10;AQAADwAAAGRycy9kb3ducmV2LnhtbE2PQU/DMAyF70j8h8hI3FgyoC2Upjsg7QQc2JC4eo3XTjRO&#10;adKt/HsMF7hYfnrW8/eq1ex7daQxHgJbWC4MKOImuAO3Ft6266s7UDEhO+wDk4UvirCqz88qLF04&#10;8SsdN6lVEsKxRAtdSkOpdWw68hgXYSAWbx9Gj0nk2Go34knCfa+vjcm1xwPLhw4Heuyo+dhM3gLm&#10;t+7zZX/zvH2acrxvZ7PO3o21lxdL8wAq0Zz+juEHX9ChFqZdmNhF1VuQIul3ilcUhcidLFlWgK4r&#10;/Z++/gZQSwMEFAAAAAgAh07iQFG6sXuACAAA6EYAAA4AAABkcnMvZTJvRG9jLnhtbO1cTY/bxhm+&#10;F8h/IHSPxfkkR/A6MNaxW8BIDbhFz1yKkghQJEtyrXWPTQ49FT3kEKBACwRpgQJtTzkUCIr8Gif5&#10;GXlmhuRQ0q61cmBBAbgHm+QMOZxXzzzvx7wvH350s868V0lVp0V+MSEP/ImX5HExT/PlxeS3v3n6&#10;YTjx6ibK51FW5MnF5HVSTz569MEvHm7KWUKLVZHNk8rDQ/J6tikvJqumKWfTaR2vknVUPyjKJEfj&#10;oqjWUYPTajmdV9EGT19nU+r7cropqnlZFXFS17j6xDZO2idW93lgsVikcfKkiK/XSd7Yp1ZJFjWY&#10;Ur1Ky3ryyLztYpHEza8XizppvOxigpk25l8MguMr/e/00cNotqyicpXG7StE93mFnTmtozTHoP2j&#10;nkRN5F1X6d6j1mlcFXWxaB7ExXpqJ2IkglkQf0c2z6riujRzWc42y7IXOn6oHam/82PjT169qLx0&#10;DiRIyrlPVCAnXh6t8ct///k3b/73qSeoltKmXM7Q+VlVvixfVO2FpT3TE79ZVGv9P6bk3Rj5vu7l&#10;m9w0XoyLXDGmBEQfo40HKpRK2F8gXuFn2rsvXn184M5pN/BUv1//Ov3JexYZFVKFQpCgF9k3n735&#10;y5884hqOFx1XPp458SCjDyVrBdSJkKlACY5WLULpU05xYkDcizBkAaX2fiaUUl1zJ0v9iFAS9wjG&#10;pO5zpyyxzmsHvvqnge/lKioTg+la46kDny9kIJWPt2qx9/d/vfn/lx7prxs5mlt6/NWzGlC8BXzU&#10;p8IneyLoZEgoJ6KDIVWSye35R7OyqptnSbH29MHFpAKNmNUdvXpeN1ZUXRc9fF1k6fxpmmXmpFpe&#10;XWaV9yoC5Tw1f610t7plubfBoqOBr9dDBCJdgMBwuC6xGOt8OfGibAmGjpvKjL11dz0cxDd/tw2i&#10;X/JJVK/sy5gnWDSs0wYknqXri0k4vDvLgYNN2UlWHzU3Vzet8K+K+Wv8YFVhabQu46cpRnge1c2L&#10;qAJvYirQLGhdFdUfJt4GvIq5/P46qpKJl/0qB3YUAcuAiM0JFwHFSTVsuRq25NfrywJyBC4wmjnU&#10;/ZusO1xUxfp3UCiP9ahoivIYY1uptSeXjeV7qKQ4efzYdAP5llHzPH9Zxvrh+nfLi8fXTbFIze+r&#10;J25n28oDK0Bz4CmWggy5lEQ5Gm6XQn/9qKUApJPALgURBgGIAbdHs24tqJAEIYbSdMKE4D5vcdTx&#10;eYfzc1oKeaEXm5nHiHDA/eeGcAVLg1IK3bbD9q7hKIz7gC3D4geGCRGcha3O60BOKIFKRQeNcqpE&#10;ABsHA/QK72jCHwBw5HGQ+sjj+yYNjJAwCH3F1A7KBw1HoZzAbtGWn8Yw4b5QbJvKiS8DplqUM0JD&#10;qJCfhHJjL7xvs2awlEYu//lxuYBPBwOC7xru7vpRGNdMHnCLcanA2/tMDvux9V3A5CQ09szI5KNF&#10;bsJR78c5DQkA7hMGYLbe6V+//u7P//j+v/9589XXP3z7N3387396xPVzoL/M22hJ51PZiIW3yNLy&#10;l53v0QZNqGRw3qEvQPGK+IrvMrxQnd9OGaP+AX6vmypKl6vmsshzeLBFZR2dO5zYARFbmwaxB61M&#10;zsI1jWZNlGYf53OveV0iNNVUaZQvs6RVcLe4rdZ70/qv9dpO5b6BtLgihBwCi+t3ECzaYeshom0t&#10;ECAgwjglQRvC7E1dgLC1cxlXMni7BTAipDo9QqAuhZSCsreziet2EB93kAlnUgeXgBTCESpEcA1P&#10;cq4/D/QraJeIKB+xtxEqGgvR7JzIxJeMBwgGOax0cdG+waHjPoFRZ18RBJl8qJMtTIye8hjxPLnK&#10;DAV4ylfK7aLcal65bg7yx1lXIERunQuEV2UY7JhXIyGevXUlAuazgGjD9G2WuOv27lDBKNYPxX4c&#10;tty2eXKEytlDJRQhYwhDOKhY1emuO2zcT3PSdleWYZOcCmNaO2sKmnOMTIx7had1NiVnBMrzkOZ0&#10;3Rzkj9ScnDDrdFKFDfNd8I90ePZ0iEgBV9h1Y0jv2k6xcA0OHfcgRGxHSJ34ogMR0JXM3yXEcTti&#10;TJ44efQtQKRWcUlpj/JbfQni+jnQH0mJDOFeC39BOA1NlpyzB0ZKPHtKRCISdmgVPeB3um7vDpXO&#10;meA+g/25E3QZoXL2UKEBk6H0ya7ydNcdNu6hO7HN2TkTAsmIfNe9HJ2JMQx38jAccqSoUDzc28sf&#10;NByF8oGFKAJs6yMTBvc7FTkmrIwoPznKEaYRAZAuXfLhrRbioJ8D/btaiEis1V7WNvxHtX/2ap+E&#10;UmJfggbOnWj331yDQ8dhxY8NWSHbHL4xinjXbusYRTxtFBFVedgLQ9JKX3LQ5zTNvB/++IUuxBn0&#10;cYDXdKgVet1c3uS2iMytC5yj5Mt4xSYFB8U+tr+eXD0o3LH1JCg90H+mFKPNdWGM6wVofWy8o2/T&#10;tp0BAV+K6CRyk8PABNOd8XZ3ZwNeoVywz4aiZqwxG6qt5Hw/qXOo6gqx6xoc8LGJ67cNr/ZsiJdB&#10;NhSjTFEEHk0QkqEUDlUAuGOAEB4Q1BjaxH+dk/VWeIzpUJWWz2nZB1vxgiPXF2WmO4Fp19CiABRy&#10;WMcOi/8Q7wYr7JQ8jc716HacHOVICtVFT6g17VF+h9vR93OgP87toKHU9ir2ZcCH8HbCbUoc3Y6z&#10;dzu45CjeYXtZf+66w8ZhQhzUg+u6oTDc0ZEIw0gUAVslibohjpJcrQa60vqjq+PGuqGxytl94OOO&#10;gv8gUMiqCsBOrdbf9zmI6+Pwvu9zuFUxcDlgAubzzitxxUi2h9l/uY9Tgm9iWK/k1gxrIlC+rxcp&#10;qJaCaXWKBF50YH3qb0OAirV/gkBCaCNAdy+s0T1xtieO2g96GF1tPoBiSKn9WIv+wsrw3PRyH6h5&#10;9C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s&#10;CgAAW0NvbnRlbnRfVHlwZXNdLnhtbFBLAQIUAAoAAAAAAIdO4kAAAAAAAAAAAAAAAAAGAAAAAAAA&#10;AAAAEAAAAM4JAABfcmVscy9QSwECFAAUAAAACACHTuJAihRmPNEAAACUAQAACwAAAAAAAAABACAA&#10;AADyCQAAX3JlbHMvLnJlbHNQSwECFAAKAAAAAACHTuJAAAAAAAAAAAAAAAAABAAAAAAAAAAAABAA&#10;AAAAAAAAZHJzL1BLAQIUABQAAAAIAIdO4kDRm7t00wAAAAUBAAAPAAAAAAAAAAEAIAAAACIAAABk&#10;cnMvZG93bnJldi54bWxQSwECFAAUAAAACACHTuJAUbqxe4AIAADoRgAADgAAAAAAAAABACAAAAAi&#10;AQAAZHJzL2Uyb0RvYy54bWxQSwUGAAAAAAYABgBZAQAAFAwAAAAA&#10;">
                <o:lock v:ext="edit" aspectratio="f"/>
                <v:shape id="画布 52" o:spid="_x0000_s1026" style="position:absolute;left:0;top:0;height:4798695;width:4933950;" fillcolor="#FFFFFF" filled="t" stroked="f" coordsize="21600,21600" o:gfxdata="UEsDBAoAAAAAAIdO4kAAAAAAAAAAAAAAAAAEAAAAZHJzL1BLAwQUAAAACACHTuJA0Zu7dNMAAAAF&#10;AQAADwAAAGRycy9kb3ducmV2LnhtbE2PQU/DMAyF70j8h8hI3FgyoC2Upjsg7QQc2JC4eo3XTjRO&#10;adKt/HsMF7hYfnrW8/eq1ex7daQxHgJbWC4MKOImuAO3Ft6266s7UDEhO+wDk4UvirCqz88qLF04&#10;8SsdN6lVEsKxRAtdSkOpdWw68hgXYSAWbx9Gj0nk2Go34knCfa+vjcm1xwPLhw4Heuyo+dhM3gLm&#10;t+7zZX/zvH2acrxvZ7PO3o21lxdL8wAq0Zz+juEHX9ChFqZdmNhF1VuQIul3ilcUhcidLFlWgK4r&#10;/Z++/gZQSwMEFAAAAAgAh07iQCfv4j9tCAAAXEYAAA4AAABkcnMvZTJvRG9jLnhtbO1cTYvjRhq+&#10;B/Y/CN1nrPqUykxPGHo+dmHYHZiEnNWybAtkSSup2z17DDnktOwxENiFkAQCyZ5yW0J+zWzyM/Yp&#10;leyS7e52e2YxHqg+dEuqUn31U8/7Ue+rRx9fL3LvKq2brCzOfPIw8L20SMpJVszO/E8/ef4g8r2m&#10;jYtJnJdFeua/SRv/48d/+OjRshqntJyX+SStPTRSNONldebP27Yaj0ZNMk8XcfOwrNIChdOyXsQt&#10;buvZaFLHS7S+yEc0CORoWdaTqi6TtGnw9Kkp9PsW6/s0WE6nWZI+LZPLRVq0ptU6zeMWU2rmWdX4&#10;j7vRTqdp0v5lOm3S1svPfMy07X6jE1xf6N+jx4/i8ayOq3mW9EOI7zOErTkt4qxAp+umnsZt7F3W&#10;2U5Tiyypy6actg+TcjEyE+lWBLMgwdbanMfFVWwmk2CtVwPE1f+x3YuZHndT5tnkeZbn+qaqm/Y8&#10;r72rGKu2nGdtqtdptFFrhFGM9bv67xKoSFFlWc3Gy1m1RgcQtQWPg+b/oi4vq+5/ORsnf756VXvZ&#10;BJClQqpICBL6XhEvANHf/vPF23986Q0K+rHgpRd19bp6VfcPZuZOT/J6Wi/0X/wPvOszn6sAbfre&#10;mzP/gWTCACO9br0EhUyFSnCUJiiWAeUUN2gyHidz4Eu/H7GQUvM+E0qpVfGzQRORJLYJxqSug1U1&#10;I8GCzoDEbrR6JbG7GruSzfut5Ot5XKXdSjbDlQyEDKUKMKp+If/1w9tfvvHI+nm3bN0r60Vsxg3W&#10;84YVpAEVAdlZgtUaEsqJENh3eg2pkkxuzt/A7kVaLjyNvzO/xubt9lR89bJpzVLpEl1Fd78B2aae&#10;Xawh+7z76Vd3o1peeEuNoDDQA4lBX1PQBi4XFZDVFDPfi/MZeDFp667vjbc3Ogm6n5s60YN8Gjdz&#10;s3+6FgwaFthJtZdnC8Bl+HZeAAf6P25WVl+11xfX/eJflJM3gH5dGvJqquR5hh5exk37Kq7BVpgK&#10;+Byl87L+m+8twWaYy18v4zr1vfxPBbCjCOeo1nY3XIQUN/Ww5GJYUlwuzktsfeACvXWXun6bry6n&#10;dbn4DDT+RPeKorhI0LdZtf7mvDUsC0GQpE+edNVAeVXcvixeawIj3foW5ZPLtpxm3f9XT9zMtl8P&#10;7IBjbQUZcSmJkttbYf38oK0ApJPQbAURhSGIAa/H49VeUBEJI3SltwITgge8x9GKlFY4P6WtUJRa&#10;PnTzcAgH3D80hCvKOaUUsm2L7W3BQRgPAFuGzQ8MEyI4i3qZtwI5oQQiFRUM4YswfE/CHwDQ8ThI&#10;3fH4rkoDJSQKo0AxtYXyQcFBKCfQW7Tmp5UWwgOh2CaVk0CGTPUoZ4RGECHoYK3WnaZaM9hKjss/&#10;PC4XXDEoEHxbcbfPD8K4ZvKQG4xLBd7eZXLoj73tQpUgUafPvDvGB/BzTO6Y/GbjNCIAeEAYgNlb&#10;p1///N+/f/fbv396++3Pv//6T3394/cesfUs6M+L3uRf2VTGyvameVb9cWV79JY/lQzGO+QFKF6R&#10;QPFthhdqZbdTxmiwh9+bto6z2bw9L4sCFmxZG0PnFiN2ZyfA96CFyUmYpvG4jbP8WTHx2jcV/Cxt&#10;ncXFLE97AXeD2WqsNy3/egfGscw3kBZXhJB9YLH19oJFG2xriGhdCwSo7TVOSdg7DteqLkDY67mM&#10;KxnerQE4hNTHRwjEpZBSUHY3m9hqe/FxC5lwJrVzSVtFHK5CONfQkjX9eaiHoE0iogL43hxUNBbi&#10;8SmRSSAZD+EMslhZ+UXXBRYd93GMWv2KwMkUQJxsYMJZys7jeXSRGQnwVKCUPUW5Ub2y1SzkD9Ou&#10;QIjcGBdwr8oo3FKvHCGevHYlQhawkGjF9C5N3FZ7d6igF2OH4jwOR26bPOmgcvJQiUTEGNwQFipG&#10;dNrnFhv3k5y0P5VlROEcpVOtrTYFyek8E+6s8LjGpuSMQHjuk5y2moX8gZKTE2aMTqpwYL4NfkeH&#10;J0+H8BRwhVM3hqCqzRALW2DRcQ9CxHGE1IEv2hEBWcmCbUJ0xxEueOLo3rcQnlrFJaVrlN9oSxBb&#10;z4L+QEpkcPca+AvCaUSdhtj7Ij8UVy0CkXBCq+geu9NWe3eorIwJHjDon1tOFyc9T1560pDJSAZk&#10;W3ja5xYb95CdOOZcGRMCwYh827x0xoRzwx3dDYcYKSoUj3bO8gcFB6F8oCGKEMf6iITB+wOT2WmI&#10;TkM8toYIN40IgXRpgw9v1BAH9Szo31VDRGCttrI24e/E/smLfRJJiXMJGlpzoj9/swUWHfsFPw5k&#10;hexj+JwX8bbTVudFPK4XEblwOAtD0Mo65WAd0zT2fv/8K52IM6hjAa/pUAt05GhdFyYjyu4L3CMZ&#10;qbOKuxAcZECZ+npyzSBxx+STIPVA/3SpGH2sC2Ncb0BjY2OMgQnbtgoEbCmig8i7GAYmmK6M0d0e&#10;DXiBJL11NBTt+nLRUH3+JIL/3idD7pa8LmR1RTh1DffY2MTW24RXfzfEyyAailGmKByPnROSIRUO&#10;WQB4Y4AQHhLVI0Qf0NwNDxcOVevtc1z2wVG84Ij1FTsy1hZYTOyXscPkP/i7wQpbKU/OuHbG9dFR&#10;jqBQnfSEXNO7HdODehb0h5kdNJJaX8W5DPgQ1k60SYnO7Dh5s4NLjuQdthP1Z59bbOwnxEE+ONAV&#10;RNGWjEQUoEQSsFGjkDfEkZKrxcAqHdzlDbks580vaxz06YRbFMMwVIiqCsFO/XH0rs1BbB2L912b&#10;w+6KgckBFbCYrKwSm4xkanTnL/cxSoiE3aOtkhsjrIlA+r7epKBaCqbVIRIY6ED71N+GABVr+wSO&#10;hMh4gG7fWM48sbonrroveHSSuvvmSEdJ/QdS9FdNhvddLftRmM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kKAABbQ29udGVudF9UeXBlc10u&#10;eG1sUEsBAhQACgAAAAAAh07iQAAAAAAAAAAAAAAAAAYAAAAAAAAAAAAQAAAAuwkAAF9yZWxzL1BL&#10;AQIUABQAAAAIAIdO4kCKFGY80QAAAJQBAAALAAAAAAAAAAEAIAAAAN8JAABfcmVscy8ucmVsc1BL&#10;AQIUAAoAAAAAAIdO4kAAAAAAAAAAAAAAAAAEAAAAAAAAAAAAEAAAAAAAAABkcnMvUEsBAhQAFAAA&#10;AAgAh07iQNGbu3TTAAAABQEAAA8AAAAAAAAAAQAgAAAAIgAAAGRycy9kb3ducmV2LnhtbFBLAQIU&#10;ABQAAAAIAIdO4kAn7+I/bQgAAFxGAAAOAAAAAAAAAAEAIAAAACIBAABkcnMvZTJvRG9jLnhtbFBL&#10;BQYAAAAABgAGAFkBAAABDAAAAAA=&#10;">
                  <v:fill on="t" focussize="0,0"/>
                  <v:stroke on="f"/>
                  <v:imagedata o:title=""/>
                  <o:lock v:ext="edit" aspectratio="t"/>
                </v:shape>
                <v:group id="_x0000_s1026" o:spid="_x0000_s1026" o:spt="203" style="position:absolute;left:490855;top:-635;height:6024245;width:3979545;" coordorigin="837225,35999" coordsize="3979861,6024336" o:gfxdata="UEsDBAoAAAAAAIdO4kAAAAAAAAAAAAAAAAAEAAAAZHJzL1BLAwQUAAAACACHTuJAiRkvhNQAAAAF&#10;AQAADwAAAGRycy9kb3ducmV2LnhtbE2PQUvDQBCF74L/YRnBm91EiZGYTZGinopgK4i3aXaahGZn&#10;Q3abtP/e0Ytehnm84c33yuXJ9WqiMXSeDaSLBBRx7W3HjYGP7cvNA6gQkS32nsnAmQIsq8uLEgvr&#10;Z36naRMbJSEcCjTQxjgUWoe6JYdh4Qdi8fZ+dBhFjo22I84S7np9myT32mHH8qHFgVYt1YfN0Rl4&#10;nXF+ukufp/Vhvzp/bbO3z3VKxlxfpckjqEin+HcMP/iCDpUw7fyRbVC9ASkSf6d4eZ6L3MmSZTno&#10;qtT/6atvUEsDBBQAAAAIAIdO4kDZkhgZOggAAKlFAAAOAAAAZHJzL2Uyb0RvYy54bWztXM+L3MgV&#10;vgfyPwjd1636KVXj8WLGaydgEoOz7FmjVncL1JIiadzjHMMecgo5BhY2EJLAwianvYWQv8bZ/TPy&#10;lUrqUnfPTE+PoWlDzcGWVKX6pa/ee9+r9/rp5zer3HuX1k1WFhc+eRL4Xlok5SwrFhf+l795+Vnk&#10;e00bF7M4L4v0wn+fNv7nz37+s6fraprSclnms7T20EjRTNfVhb9s22o6mTTJMl3FzZOySgsUzst6&#10;Fbe4rReTWR2v0foqn9AgkJN1Wc+qukzSpsHTF6bQ71usH9JgOZ9nSfqiTK5XadGaVus0j1tMqVlm&#10;VeM/60Y7n6dJ++v5vElbL7/wMdO2+xed4PpK/zt59jSeLuq4WmZJP4T4IUPYmdMqzgp0umnqRdzG&#10;3nWd7TW1ypK6bMp5+yQpVxMzkW5FMAsS7KzNq7q8rrq5LKbrRbVZdHyonVV/dLPJr969qb1sBiRQ&#10;IVUkBAl9r4hX+PI//vvrD3/6gzcqwGqtq8UUL72qq7fVm7p/sDB3egFu5vVK/4+peTcXPlcB2vS9&#10;9xf+Z5IJs97pTeslKGQqVIKjNEGxDCinuOm+SLLEZ9PvRyyk1LzPhFJqKP5i1EQkiW2CManrTIaR&#10;TPSAN+NbVwBtY1ey+biVfLuMq7T7QI1elGElAyFDqQKMql/Iv3z34T9/9cjmebds3SubRWymDdbz&#10;lhWkARUB2VuCYQ0J5UQIwFmvIVWSye35x9OqbtpXabny9MWFX2NPdFCN371uWrNUQxXdfVPm2exl&#10;lufdTb24usxr712M/fOy++tXd6taXnhrjaAw0AOJIRXm2I24XFVAVlMsfC/OFxA3SVt3fW+93Yw7&#10;Cbq/2zrRg3wRN0szmK4Fg4ZV1kIi5dkKcBm/nRfAgf7iZmX1VXtzddMv/lU5e48PVpdGJjRV8jJD&#10;D6/jpn0T1xACmArEJEqXZf0731tDSGAuv72O69T38l8WwI4inKNa291wEVLc1OOSq3FJcb26LLGO&#10;wAV66y51/TYfLud1ufoK0vG57hVFcZGgb7Nq/c1la4QX5GuSPn/eVYMkqeL2dfG2SnTj+rsV5fPr&#10;tpxn3ffVEzez7dcDO0Bv5FNsBRlxKYmSu1th8/yorQCkk9BsBRGFIQQDXo+nw15QEQkjdKW3AhOC&#10;B7zH0SCUBpyf01YoSr3Zunk4hAPunxrCFeWcUgrdtiPtbcFRGA8AW4bNDwwTIjiLep03gJxQApWK&#10;CkbgizD8SIE/AqCT4xDqTo7vmzQwQqIwChRTOygfFRyFcgK7RVt+2mghPBCKbYtyEsiQqR7ljNAI&#10;KgQdbMy68zRrRlvJyfJPT5YLrhgMCL5ruNvnR2FcS/KQG4xLBbm9L8lhP/bchSpBos6eeTzGR/Bz&#10;ktxJ8tvJaUQA8IAwALNnp9/88L8//v3Hf/3zw99++Om/3+rr7//hEVvPgv6y6Cn/wKkMy/bmeVb9&#10;YuAePfOnkoG8Q19AxCsSKL4r4YUaeDtljAYH5HvT1nG2WLaXZVGAwZa1ITp3kNi9nQDfg1YmZ0FN&#10;42kbZ/kXxcxr31fws7R1FheLPO0V3C201bA3rf961nYq+gahxRUh5BBYbL2DYNGEbQMRbWtBAGq+&#10;xikJe3/cxtQFCHs7l3Elw/stAIeQ+vQIgboUUgrK7pcmttpBfNwhTDiT2rmkWRGHqxDONbRkqT8P&#10;9RA0JSIqgO/NQUVjIZ6ekzAJJOMhnEEWK4NfdFNg0fEQx6i1rwicTAHUyRYmHFN2Hs+Tq8xIQE4F&#10;StlTlFvNK1vNQv446woCkRtyAfeqjMId88oJxLO3rkTIAhYSbZjeZ4nbao+HCnoxPBTncThy25aT&#10;DipnD5VIRIzBDWGhYlSnfW6x8TDNSftTWUYUzlE609paU9CczjPhzgpPSzYlZwTK85DmtNUs5I/U&#10;nJwwQzqpwoH5LvidODx7cQhPAVc4dWOIVdoOsbAFFh0PEIg4jpA68EU7IqArWbArEN1xhAueOLn3&#10;LYSnVnFJ6Qblt3IJYutZ0B8pEhncvQb+gnAaUWch9r7IT8VVi0AknNAqeoB32mqPh8pAJnjAYH/u&#10;OF2c9jx77UlDJiMZkF3laZ9bbDxAd+KYcyATAsGIfJdeOjLh3HAnd8MhRooKxaO9s/xRwVEoH1mI&#10;IsSxPiJh8P6IMjsL0VmIp7YQ4aYRIZAubfDhrRbiqJ4F/WMtRATWapa1DX+n9s9e7ZNISpxL0NDS&#10;if78zRZYdBxW/DiQFbKP4XNexLtOW50X8bReRKSY4SwMQSublINNTNPU++n3f9aJOKM6FvBaHGqF&#10;3rSXN4XJiLL7AvdIRupYcReCg2QfU19Prhkl7ph8EqQe6L8uFaOPdWGM6w1oODbGGJiwbWtAgEsR&#10;HUTexTAwwXRljO7uaMAr5L5toqFo15eLhurTEhH89zEZcnfkdSGrK8Kpa3iAYxNbbxte/d0YL6No&#10;KEaZonA8dk5IhlQ4ZAHgjRFCeEhUjxB9QHM/PFw4VK23z2mlD47iBUesr9jTsbbAYuKwjh0n/8Hf&#10;Damwk/LkyLUj1ydHOYJCddITck3vd0yP6lnQH0c7aCS1vYpzGchDsJ1oWyQ62nH2tINLjuQdthf1&#10;Z59bbBwWiKN8cKAriKIdHYkoQIkkYGNGIW+IIyVXq4EhHdzlDbks5+0frDjqpxPuMAzDUCGqKoR0&#10;6o+j9zkHsXUs3vc5h90VI8oBE7CYDazEJiOZGt35y0NICZHgPZqV3BphTQTS9/UmhailkLQ6RAID&#10;HVmf+rchIIo1P4EjITIeoLs3lqMn1vbEVfcLHp0g6n9tRP9EyPi+0+L2F1ae/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CJGS+E1AAAAAUBAAAPAAAAAAAAAAEAIAAAACIAAABkcnMvZG93bnJldi54&#10;bWxQSwECFAAUAAAACACHTuJA2ZIYGToIAACpRQAADgAAAAAAAAABACAAAAAjAQAAZHJzL2Uyb0Rv&#10;Yy54bWxQSwUGAAAAAAYABgBZAQAAzwsAAAAA&#10;">
                  <o:lock v:ext="edit" aspectratio="f"/>
                  <v:rect id="_x0000_s1026" o:spid="_x0000_s1026" o:spt="1" style="position:absolute;left:2025015;top:35999;height:296366;width:1241550;v-text-anchor:middle;" fillcolor="#FFFFFF [3201]" filled="t" stroked="t" coordsize="21600,21600" o:gfxdata="UEsDBAoAAAAAAIdO4kAAAAAAAAAAAAAAAAAEAAAAZHJzL1BLAwQUAAAACACHTuJAQ/gTBb8AAADi&#10;AAAADwAAAGRycy9kb3ducmV2LnhtbEVPz2vCMBS+C/sfwht406SC3VaNHsYED17a7bDdHs1bW2xe&#10;ShNt61+/DASPH9/v7X60rbhS7xvHGpKlAkFcOtNwpeHr87B4BeEDssHWMWmYyMN+9zTbYmbcwDld&#10;i1CJGMI+Qw11CF0mpS9rsuiXriOO3K/rLYYI+0qaHocYblu5UiqVFhuODTV29F5TeS4uVgMW4880&#10;Td/DIPNWNR+3vCtOudbz50RtQAQaw0N8dx9NnK/W6Uv6phL4vxQxy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4EwW/&#10;AAAA4gAAAA8AAAAAAAAAAQAgAAAAIgAAAGRycy9kb3ducmV2LnhtbFBLAQIUABQAAAAIAIdO4kAz&#10;LwWeOwAAADkAAAAQAAAAAAAAAAEAIAAAAA4BAABkcnMvc2hhcGV4bWwueG1sUEsFBgAAAAAGAAYA&#10;WwEAALgDAAAAAA==&#10;">
                    <v:fill on="t" focussize="0,0"/>
                    <v:stroke weight="1pt" color="#000000 [3213]" miterlimit="8" joinstyle="miter"/>
                    <v:imagedata o:title=""/>
                    <o:lock v:ext="edit" aspectratio="f"/>
                    <v:textbox>
                      <w:txbxContent>
                        <w:p w14:paraId="222D276B">
                          <w:pPr>
                            <w:jc w:val="center"/>
                            <w:rPr>
                              <w:rFonts w:hint="eastAsia" w:ascii="宋体" w:hAnsi="宋体"/>
                              <w:b w:val="0"/>
                              <w:bCs w:val="0"/>
                              <w:kern w:val="0"/>
                              <w:szCs w:val="21"/>
                            </w:rPr>
                          </w:pPr>
                          <w:r>
                            <w:rPr>
                              <w:rFonts w:hint="eastAsia" w:ascii="宋体" w:hAnsi="宋体"/>
                              <w:b w:val="0"/>
                              <w:bCs w:val="0"/>
                              <w:szCs w:val="21"/>
                            </w:rPr>
                            <w:t>采  矿</w:t>
                          </w:r>
                        </w:p>
                      </w:txbxContent>
                    </v:textbox>
                  </v:rect>
                  <v:rect id="_x0000_s1026" o:spid="_x0000_s1026" o:spt="1" style="position:absolute;left:2155175;top:587725;height:355404;width:981786;v-text-anchor:middle;" fillcolor="#FFFFFF [3201]" filled="t" stroked="f" coordsize="21600,21600" o:gfxdata="UEsDBAoAAAAAAIdO4kAAAAAAAAAAAAAAAAAEAAAAZHJzL1BLAwQUAAAACACHTuJAXq+EDcEAAADi&#10;AAAADwAAAGRycy9kb3ducmV2LnhtbEVPTUvDMBi+C/6H8AreXFo/4laX7TAQ7EHQzYPHl+ZdW9u8&#10;KUnWdv/eCMKOD8/3ejvbXozkQ+tYQ77IQBBXzrRca/g6vN4tQYSIbLB3TBrOFGC7ub5aY2HcxJ80&#10;7mMtUgiHAjU0MQ6FlKFqyGJYuIE4cUfnLcYEfS2NxymF217eZ5mSFltODQ0OtGuo6vYnq6ErS3ua&#10;n6qx/Hh//nnw07k7fO+0vr3JsxcQkeZ4Ef+730yar5aPSuUrBX+XEga5+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q+E&#10;DcEAAADiAAAADwAAAAAAAAABACAAAAAiAAAAZHJzL2Rvd25yZXYueG1sUEsBAhQAFAAAAAgAh07i&#10;QDMvBZ47AAAAOQAAABAAAAAAAAAAAQAgAAAAEAEAAGRycy9zaGFwZXhtbC54bWxQSwUGAAAAAAYA&#10;BgBbAQAAugMAAAAA&#10;">
                    <v:fill on="t" focussize="0,0"/>
                    <v:stroke on="f" weight="1pt" miterlimit="8" joinstyle="miter"/>
                    <v:imagedata o:title=""/>
                    <o:lock v:ext="edit" aspectratio="f"/>
                    <v:textbox>
                      <w:txbxContent>
                        <w:p w14:paraId="394DFB0E">
                          <w:pPr>
                            <w:jc w:val="center"/>
                            <w:rPr>
                              <w:rFonts w:hint="eastAsia" w:ascii="宋体" w:hAnsi="宋体"/>
                              <w:b w:val="0"/>
                              <w:bCs w:val="0"/>
                              <w:kern w:val="0"/>
                              <w:szCs w:val="21"/>
                            </w:rPr>
                          </w:pPr>
                          <w:r>
                            <w:rPr>
                              <w:rFonts w:hint="eastAsia" w:ascii="宋体" w:hAnsi="宋体"/>
                              <w:b w:val="0"/>
                              <w:bCs w:val="0"/>
                              <w:szCs w:val="21"/>
                              <w:u w:val="single"/>
                              <w:lang w:eastAsia="zh-CN"/>
                            </w:rPr>
                            <w:t>锡</w:t>
                          </w:r>
                          <w:r>
                            <w:rPr>
                              <w:rFonts w:hint="eastAsia" w:ascii="宋体" w:hAnsi="宋体"/>
                              <w:b w:val="0"/>
                              <w:bCs w:val="0"/>
                              <w:szCs w:val="21"/>
                              <w:u w:val="single"/>
                            </w:rPr>
                            <w:t>矿石</w:t>
                          </w:r>
                        </w:p>
                      </w:txbxContent>
                    </v:textbox>
                  </v:rect>
                  <v:rect id="_x0000_s1026" o:spid="_x0000_s1026" o:spt="1" style="position:absolute;left:2040430;top:1154389;height:295776;width:1210850;v-text-anchor:middle;" filled="f" stroked="t" coordsize="21600,21600" o:gfxdata="UEsDBAoAAAAAAIdO4kAAAAAAAAAAAAAAAAAEAAAAZHJzL1BLAwQUAAAACACHTuJAR6xOkMEAAADj&#10;AAAADwAAAGRycy9kb3ducmV2LnhtbEVPT0vDMBS/C36H8ARvLllsReuyHSqCojCcu+z2aJ5ttXkp&#10;SdbOb28EweP7/X+rzckNYqIQe88GlgsFgrjxtufWwP798eoWREzIFgfPZOCbImzW52crrKyf+Y2m&#10;XWpFDuFYoYEupbGSMjYdOYwLPxJn7sMHhymfoZU24JzD3SC1UjfSYc+5ocOR6o6ar93RGTiUn3Lb&#10;1zMeX58fXsopeFUX3pjLi6W6B5HolP7Ff+4nm+ff6aLQWl+X8PtTBkCuf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6xO&#10;kMEAAADjAAAADwAAAAAAAAABACAAAAAiAAAAZHJzL2Rvd25yZXYueG1sUEsBAhQAFAAAAAgAh07i&#10;QDMvBZ47AAAAOQAAABAAAAAAAAAAAQAgAAAAEAEAAGRycy9zaGFwZXhtbC54bWxQSwUGAAAAAAYA&#10;BgBbAQAAugMAAAAA&#10;">
                    <v:fill on="f" focussize="0,0"/>
                    <v:stroke weight="1pt" color="#000000 [3213]" miterlimit="8" joinstyle="miter"/>
                    <v:imagedata o:title=""/>
                    <o:lock v:ext="edit" aspectratio="f"/>
                    <v:textbox>
                      <w:txbxContent>
                        <w:p w14:paraId="7FA510FD">
                          <w:pPr>
                            <w:jc w:val="center"/>
                            <w:rPr>
                              <w:rFonts w:hint="eastAsia" w:ascii="宋体" w:hAnsi="宋体"/>
                              <w:b/>
                              <w:bCs/>
                              <w:kern w:val="0"/>
                              <w:szCs w:val="21"/>
                            </w:rPr>
                          </w:pPr>
                          <w:r>
                            <w:rPr>
                              <w:rFonts w:hint="eastAsia" w:ascii="宋体" w:hAnsi="宋体"/>
                              <w:b w:val="0"/>
                              <w:bCs w:val="0"/>
                              <w:szCs w:val="21"/>
                            </w:rPr>
                            <w:t>破碎筛分</w:t>
                          </w:r>
                        </w:p>
                      </w:txbxContent>
                    </v:textbox>
                  </v:rect>
                  <v:rect id="_x0000_s1026" o:spid="_x0000_s1026" o:spt="1" style="position:absolute;left:2112445;top:2140593;height:312896;width:1067390;v-text-anchor:middle;" fillcolor="#FFFFFF [3201]" filled="t" stroked="f" coordsize="21600,21600" o:gfxdata="UEsDBAoAAAAAAIdO4kAAAAAAAAAAAAAAAAAEAAAAZHJzL1BLAwQUAAAACACHTuJAJXJtDsUAAADj&#10;AAAADwAAAGRycy9kb3ducmV2LnhtbEWPQUvDQBSE74L/YXmCN7vbFG0au+2hIJiDoG0PHh/ZZxKT&#10;fRt2t0n6711B8DjMzDfMdj/bXozkQ+tYw3KhQBBXzrRcazifXh5yECEiG+wdk4YrBdjvbm+2WBg3&#10;8QeNx1iLBOFQoIYmxqGQMlQNWQwLNxAn78t5izFJX0vjcUpw28tMqSdpseW00OBAh4aq7nixGrqy&#10;tJf5sRrL97f198pP1+70edD6/m6pnkFEmuN/+K/9ajRkKsvXudqsNvD7Kf0Bufs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VybQ7FAAAA4wAAAA8AAAAAAAAAAQAgAAAAIgAAAGRycy9kb3ducmV2LnhtbFBLAQIUABQAAAAI&#10;AIdO4kAzLwWeOwAAADkAAAAQAAAAAAAAAAEAIAAAABQBAABkcnMvc2hhcGV4bWwueG1sUEsFBgAA&#10;AAAGAAYAWwEAAL4DAAAAAA==&#10;">
                    <v:fill on="t" focussize="0,0"/>
                    <v:stroke on="f" weight="1pt" miterlimit="8" joinstyle="miter"/>
                    <v:imagedata o:title=""/>
                    <o:lock v:ext="edit" aspectratio="f"/>
                    <v:textbox>
                      <w:txbxContent>
                        <w:p w14:paraId="7A89AFFE">
                          <w:pPr>
                            <w:jc w:val="center"/>
                            <w:rPr>
                              <w:rFonts w:hint="eastAsia" w:ascii="宋体" w:hAnsi="宋体"/>
                              <w:b w:val="0"/>
                              <w:bCs w:val="0"/>
                              <w:kern w:val="0"/>
                              <w:szCs w:val="21"/>
                            </w:rPr>
                          </w:pPr>
                          <w:r>
                            <w:rPr>
                              <w:rFonts w:hint="eastAsia" w:ascii="宋体" w:hAnsi="宋体"/>
                              <w:b w:val="0"/>
                              <w:bCs w:val="0"/>
                              <w:szCs w:val="21"/>
                              <w:u w:val="single"/>
                              <w:lang w:eastAsia="zh-CN"/>
                            </w:rPr>
                            <w:t>锡</w:t>
                          </w:r>
                          <w:r>
                            <w:rPr>
                              <w:rFonts w:hint="eastAsia" w:ascii="宋体" w:hAnsi="宋体"/>
                              <w:b w:val="0"/>
                              <w:bCs w:val="0"/>
                              <w:szCs w:val="21"/>
                              <w:u w:val="single"/>
                            </w:rPr>
                            <w:t>精矿</w:t>
                          </w:r>
                        </w:p>
                      </w:txbxContent>
                    </v:textbox>
                  </v:rect>
                  <v:rect id="_x0000_s1026" o:spid="_x0000_s1026" o:spt="1" style="position:absolute;left:2040474;top:2691219;height:295185;width:1211441;v-text-anchor:middle;" filled="f" stroked="t" coordsize="21600,21600" o:gfxdata="UEsDBAoAAAAAAIdO4kAAAAAAAAAAAAAAAAAEAAAAZHJzL1BLAwQUAAAACACHTuJA5Xu8DMQAAADi&#10;AAAADwAAAGRycy9kb3ducmV2LnhtbEWPQUvDQBSE70L/w/IK3uxuNKk1dttDRFAsiNWLt0f2maTN&#10;vg2726T+e1cQPA4z8w2z3p5tL0byoXOsIVsoEMS1Mx03Gj7eH69WIEJENtg7Jg3fFGC7mV2ssTRu&#10;4jca97ERCcKhRA1tjEMpZahbshgWbiBO3pfzFmOSvpHG45TgtpfXSi2lxY7TQosDVS3Vx/3Javgs&#10;DvK1qyY87Z4fXorRO1XlTuvLeabuQUQ6x//wX/vJaCjyu5vb1TLP4PdSugNy8w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5Xu8DMQAAADi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textbox>
                      <w:txbxContent>
                        <w:p w14:paraId="0F31ADAB">
                          <w:pPr>
                            <w:jc w:val="center"/>
                            <w:rPr>
                              <w:rFonts w:hint="eastAsia" w:ascii="宋体" w:hAnsi="宋体"/>
                              <w:b w:val="0"/>
                              <w:bCs w:val="0"/>
                              <w:kern w:val="0"/>
                              <w:szCs w:val="21"/>
                            </w:rPr>
                          </w:pPr>
                          <w:r>
                            <w:rPr>
                              <w:rFonts w:hint="eastAsia" w:ascii="宋体" w:hAnsi="宋体"/>
                              <w:b w:val="0"/>
                              <w:bCs w:val="0"/>
                              <w:szCs w:val="21"/>
                            </w:rPr>
                            <w:t>熔  炼</w:t>
                          </w:r>
                        </w:p>
                      </w:txbxContent>
                    </v:textbox>
                  </v:rect>
                  <v:shape id="_x0000_s1026" o:spid="_x0000_s1026" o:spt="32" type="#_x0000_t32" style="position:absolute;left:2638379;top:910943;flip:x;height:233206;width:15961;" filled="f" stroked="t" coordsize="21600,21600" o:gfxdata="UEsDBAoAAAAAAIdO4kAAAAAAAAAAAAAAAAAEAAAAZHJzL1BLAwQUAAAACACHTuJAMwXepMEAAADj&#10;AAAADwAAAGRycy9kb3ducmV2LnhtbEVPzWoCMRC+C32HMAUvUpNYEbs1erBKhUJpbR9gSKa7SzeT&#10;ZZO669sboeBxvv9ZbQbfiBN1sQ5sQE8VCGIbXM2lge+v/cMSREzIDpvAZOBMETbru9EKCxd6/qTT&#10;MZUih3As0ECVUltIGW1FHuM0tMSZ+wmdx5TPrpSuwz6H+0bOlFpIjzXnhgpb2lZkf49/3sAgd08H&#10;NbGvL/zWz5xt3j+2/cSY8b1WzyASDekm/ncfXJ6/1Iu5VvpxDtefMgByf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wXe&#10;pMEAAADjAAAADwAAAAAAAAABACAAAAAiAAAAZHJzL2Rvd25yZXYueG1sUEsBAhQAFAAAAAgAh07i&#10;QDMvBZ47AAAAOQAAABAAAAAAAAAAAQAgAAAAEAEAAGRycy9zaGFwZXhtbC54bWxQSwUGAAAAAAYA&#10;BgBbAQAAugMAAAAA&#10;">
                    <v:fill on="f" focussize="0,0"/>
                    <v:stroke weight="0.5pt" color="#000000 [3213]" miterlimit="8" joinstyle="miter" endarrow="block"/>
                    <v:imagedata o:title=""/>
                    <o:lock v:ext="edit" aspectratio="f"/>
                  </v:shape>
                  <v:shape id="_x0000_s1026" o:spid="_x0000_s1026" o:spt="32" type="#_x0000_t32" style="position:absolute;left:2645721;top:342170;height:234967;width:1181;" filled="f" stroked="t" coordsize="21600,21600" o:gfxdata="UEsDBAoAAAAAAIdO4kAAAAAAAAAAAAAAAAAEAAAAZHJzL1BLAwQUAAAACACHTuJAENwAEr8AAADj&#10;AAAADwAAAGRycy9kb3ducmV2LnhtbEVPzYrCMBC+L/gOYQRvaxqVRbtGD0LBgyysq56HZmy7NpOS&#10;xKpvv1kQPM73P8v13baiJx8axxrUOANBXDrTcKXh8FO8z0GEiGywdUwaHhRgvRq8LTE37sbf1O9j&#10;JVIIhxw11DF2uZShrMliGLuOOHFn5y3GdPpKGo+3FG5bOcmyD2mx4dRQY0ebmsrL/mo17L4W88NF&#10;9X1RlKffqecCp/Ko9Wiosk8Qke7xJX66tybNVxM1WyilZvD/UwJ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cABK/&#10;AAAA4wAAAA8AAAAAAAAAAQAgAAAAIgAAAGRycy9kb3ducmV2LnhtbFBLAQIUABQAAAAIAIdO4kAz&#10;LwWeOwAAADkAAAAQAAAAAAAAAAEAIAAAAA4BAABkcnMvc2hhcGV4bWwueG1sUEsFBgAAAAAGAAYA&#10;WwEAALgDAAAAAA==&#10;">
                    <v:fill on="f" focussize="0,0"/>
                    <v:stroke weight="0.5pt" color="#000000 [3213]" miterlimit="8" joinstyle="miter" endarrow="block"/>
                    <v:imagedata o:title=""/>
                    <o:lock v:ext="edit" aspectratio="f"/>
                  </v:shape>
                  <v:shape id="_x0000_s1026" o:spid="_x0000_s1026" o:spt="32" type="#_x0000_t32" style="position:absolute;left:2643600;top:1460201;flip:x;height:190690;width:4723;" filled="f" stroked="t" coordsize="21600,21600" o:gfxdata="UEsDBAoAAAAAAIdO4kAAAAAAAAAAAAAAAAAEAAAAZHJzL1BLAwQUAAAACACHTuJAXbsrn8QAAADi&#10;AAAADwAAAGRycy9kb3ducmV2LnhtbEWPUWvCMBSF3wf7D+EOfBFN7LDTzuiD25ggjE39AZfkri1r&#10;bkoTbffvF0HY4+Gc8x3OajO4RlyoC7VnDbOpAkFsvK251HA6vk0WIEJEtth4Jg2/FGCzvr9bYWF9&#10;z190OcRSJAiHAjVUMbaFlMFU5DBMfUucvG/fOYxJdqW0HfYJ7hqZKZVLhzWnhQpb2lZkfg5np2GQ&#10;r8udGpv3F973mTXNx+e2H2s9epipZxCRhvgfvrV3VsPTIp/n+Tx7hOuldAfk+g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bsrn8QAAADi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rect id="_x0000_s1026" o:spid="_x0000_s1026" o:spt="1" style="position:absolute;left:2040474;top:1661061;height:295776;width:1210850;v-text-anchor:middle;" filled="f" stroked="t" coordsize="21600,21600" o:gfxdata="UEsDBAoAAAAAAIdO4kAAAAAAAAAAAAAAAAAEAAAAZHJzL1BLAwQUAAAACACHTuJAXRiSOcIAAADj&#10;AAAADwAAAGRycy9kb3ducmV2LnhtbEVPT0vDMBS/C/sO4Q28uaRuq64u26EiKA7EbRdvj+atrTYv&#10;Jcna+e2NIHh8v/9vvb3YTgzkQ+tYQzZTIIgrZ1quNRwPTzf3IEJENtg5Jg3fFGC7mVytsTBu5Hca&#10;9rEWKYRDgRqaGPtCylA1ZDHMXE+cuJPzFmM6fS2NxzGF207eKpVLiy2nhgZ7KhuqvvZnq+Fj+Snf&#10;2nLE8+7l8XU5eKfKhdP6epqpBxCRLvFf/Od+Nmm+yueLuzxbzeH3pwSA3Pw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0Y&#10;kjnCAAAA4wAAAA8AAAAAAAAAAQAgAAAAIgAAAGRycy9kb3ducmV2LnhtbFBLAQIUABQAAAAIAIdO&#10;4kAzLwWeOwAAADkAAAAQAAAAAAAAAAEAIAAAABEBAABkcnMvc2hhcGV4bWwueG1sUEsFBgAAAAAG&#10;AAYAWwEAALsDAAAAAA==&#10;">
                    <v:fill on="f" focussize="0,0"/>
                    <v:stroke weight="1pt" color="#000000 [3213]" miterlimit="8" joinstyle="miter"/>
                    <v:imagedata o:title=""/>
                    <o:lock v:ext="edit" aspectratio="f"/>
                    <v:textbox>
                      <w:txbxContent>
                        <w:p w14:paraId="7FE03F7A">
                          <w:pPr>
                            <w:jc w:val="center"/>
                            <w:rPr>
                              <w:rFonts w:hint="eastAsia" w:ascii="宋体" w:hAnsi="宋体"/>
                              <w:b w:val="0"/>
                              <w:bCs w:val="0"/>
                              <w:kern w:val="0"/>
                              <w:szCs w:val="21"/>
                            </w:rPr>
                          </w:pPr>
                          <w:r>
                            <w:rPr>
                              <w:rFonts w:hint="eastAsia" w:ascii="宋体" w:hAnsi="宋体"/>
                              <w:b w:val="0"/>
                              <w:bCs w:val="0"/>
                              <w:szCs w:val="21"/>
                            </w:rPr>
                            <w:t>浮  选</w:t>
                          </w:r>
                        </w:p>
                      </w:txbxContent>
                    </v:textbox>
                  </v:rect>
                  <v:shape id="_x0000_s1026" o:spid="_x0000_s1026" o:spt="32" type="#_x0000_t32" style="position:absolute;left:2643644;top:1966873;flip:x;height:190690;width:4723;" filled="f" stroked="t" coordsize="21600,21600" o:gfxdata="UEsDBAoAAAAAAIdO4kAAAAAAAAAAAAAAAAAEAAAAZHJzL1BLAwQUAAAACACHTuJAKB9gn8MAAADi&#10;AAAADwAAAGRycy9kb3ducmV2LnhtbEWP0WoCMRRE3wX/IVyhL1IThaq7NfqglQqFUm0/4JJcdxc3&#10;N8smuuvfN4WCj8PMnGFWm97V4kZtqDxrmE4UCGLjbcWFhp/v/fMSRIjIFmvPpOFOATbr4WCFufUd&#10;H+l2ioVIEA45aihjbHIpgynJYZj4hjh5Z986jEm2hbQtdgnuajlTai4dVpwWSmxoW5K5nK5OQy/f&#10;soMam/cdf3Qza+rPr2031vppNFWvICL18RH+bx+shuXLXCmVZQv4u5TugF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o&#10;H2CfwwAAAOI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shape id="_x0000_s1026" o:spid="_x0000_s1026" o:spt="32" type="#_x0000_t32" style="position:absolute;left:2643715;top:2490954;flip:x;height:190690;width:4723;" filled="f" stroked="t" coordsize="21600,21600" o:gfxdata="UEsDBAoAAAAAAIdO4kAAAAAAAAAAAAAAAAAEAAAAZHJzL1BLAwQUAAAACACHTuJAOYvN1sIAAADi&#10;AAAADwAAAGRycy9kb3ducmV2LnhtbEWP32rCMBTG74W9QzgDb2QmVbRbZ/TCbSgI4twe4JCctWXN&#10;SWmi7d5+uRC8/Pj+8VttBteIK3Wh9qwhmyoQxMbbmksN318fT88gQkS22HgmDX8UYLN+GK2wsL7n&#10;T7qeYynSCIcCNVQxtoWUwVTkMEx9S5y8H985jEl2pbQd9mncNXKm1FI6rDk9VNjStiLze744DYN8&#10;f9mridm98aGfWdMcT9t+ovX4MVOvICIN8R6+tfdWwyKfq3meLRJEQko4IN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mL&#10;zdbCAAAA4g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rect id="_x0000_s1026" o:spid="_x0000_s1026" o:spt="1" style="position:absolute;left:2040255;top:3197257;height:295185;width:1211441;v-text-anchor:middle;" filled="f" stroked="t" coordsize="21600,21600" o:gfxdata="UEsDBAoAAAAAAIdO4kAAAAAAAAAAAAAAAAAEAAAAZHJzL1BLAwQUAAAACACHTuJAxp2Fl8MAAADi&#10;AAAADwAAAGRycy9kb3ducmV2LnhtbEWPT2vCMBjG74N9h/AOvM3EaaXrjB46BMWB6HbZ7aV513Zr&#10;3pQktu7bLwdhx4fnH7/V5mo7MZAPrWMNs6kCQVw503Kt4eN9+5iDCBHZYOeYNPxSgM36/m6FhXEj&#10;n2g4x1qkEQ4Famhi7AspQ9WQxTB1PXHyvpy3GJP0tTQexzRuO/mk1FJabDk9NNhT2VD1c75YDZ/Z&#10;tzy25YiXt/3rIRu8U+XCaT15mKkXEJGu8T98a++MhjzL5/Ns8ZwgElLCAbn+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G&#10;nYWXwwAAAOIAAAAPAAAAAAAAAAEAIAAAACIAAABkcnMvZG93bnJldi54bWxQSwECFAAUAAAACACH&#10;TuJAMy8FnjsAAAA5AAAAEAAAAAAAAAABACAAAAASAQAAZHJzL3NoYXBleG1sLnhtbFBLBQYAAAAA&#10;BgAGAFsBAAC8AwAAAAA=&#10;">
                    <v:fill on="f" focussize="0,0"/>
                    <v:stroke weight="1pt" color="#000000 [3213]" miterlimit="8" joinstyle="miter"/>
                    <v:imagedata o:title=""/>
                    <o:lock v:ext="edit" aspectratio="f"/>
                    <v:textbox>
                      <w:txbxContent>
                        <w:p w14:paraId="58F01AAA">
                          <w:pPr>
                            <w:jc w:val="center"/>
                            <w:rPr>
                              <w:rFonts w:hint="eastAsia" w:ascii="宋体" w:hAnsi="宋体"/>
                              <w:b w:val="0"/>
                              <w:bCs w:val="0"/>
                              <w:kern w:val="0"/>
                              <w:szCs w:val="21"/>
                            </w:rPr>
                          </w:pPr>
                          <w:r>
                            <w:rPr>
                              <w:rFonts w:hint="eastAsia" w:ascii="宋体" w:hAnsi="宋体"/>
                              <w:b w:val="0"/>
                              <w:bCs w:val="0"/>
                              <w:szCs w:val="21"/>
                            </w:rPr>
                            <w:t>还  原</w:t>
                          </w:r>
                        </w:p>
                      </w:txbxContent>
                    </v:textbox>
                  </v:rect>
                  <v:shape id="_x0000_s1026" o:spid="_x0000_s1026" o:spt="32" type="#_x0000_t32" style="position:absolute;left:2644131;top:2996357;flip:x;height:190690;width:4723;" filled="f" stroked="t" coordsize="21600,21600" o:gfxdata="UEsDBAoAAAAAAIdO4kAAAAAAAAAAAAAAAAAEAAAAZHJzL1BLAwQUAAAACACHTuJAF4jTxMQAAADi&#10;AAAADwAAAGRycy9kb3ducmV2LnhtbEWPUUvDMBSF3wX/Q7iCL8Mlna5u3bI9TMXBYMy5H3BJ7tpi&#10;c1OauNZ/b4SBj4dzznc4y/XgGnGhLtSeNWRjBYLYeFtzqeH0+fYwAxEissXGM2n4oQDr1e3NEgvr&#10;e/6gyzGWIkE4FKihirEtpAymIodh7Fvi5J195zAm2ZXSdtgnuGvkRKlcOqw5LVTY0qYi83X8dhoG&#10;+TrfqpF5f+FdP7Gm2R82/Ujr+7tMLUBEGuJ/+NreWg3502M2zdX8Gf4upTsgV7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4jTxMQAAADi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rect id="_x0000_s1026" o:spid="_x0000_s1026" o:spt="1" style="position:absolute;left:2112617;top:3715307;height:312896;width:1067390;v-text-anchor:middle;" fillcolor="#FFFFFF [3201]" filled="t" stroked="f" coordsize="21600,21600" o:gfxdata="UEsDBAoAAAAAAIdO4kAAAAAAAAAAAAAAAAAEAAAAZHJzL1BLAwQUAAAACACHTuJA48RnZsYAAADj&#10;AAAADwAAAGRycy9kb3ducmV2LnhtbEWPMU/DMBCFdyT+g3WV2KjdtFAIdTtUQiJDJWgZGE/xkaSJ&#10;z5HtJum/rwckxrv37r3vNrvJdmIgHxrHGhZzBYK4dKbhSsP36f3xBUSIyAY7x6ThSgF22/u7DebG&#10;jfxFwzFWIoVwyFFDHWOfSxnKmiyGueuJk/brvMWYRl9J43FM4baTmVLP0mLDqaHGnvY1le3xYjW0&#10;RWEv01M5FJ+H9Xnpx2t7+tlr/TBbqDcQkab4b/67/jAJf61Wr6ssWybo9FNagNzeAF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jxGdmxgAAAOMAAAAPAAAAAAAAAAEAIAAAACIAAABkcnMvZG93bnJldi54bWxQSwECFAAUAAAA&#10;CACHTuJAMy8FnjsAAAA5AAAAEAAAAAAAAAABACAAAAAVAQAAZHJzL3NoYXBleG1sLnhtbFBLBQYA&#10;AAAABgAGAFsBAAC/AwAAAAA=&#10;">
                    <v:fill on="t" focussize="0,0"/>
                    <v:stroke on="f" weight="1pt" miterlimit="8" joinstyle="miter"/>
                    <v:imagedata o:title=""/>
                    <o:lock v:ext="edit" aspectratio="f"/>
                    <v:textbox>
                      <w:txbxContent>
                        <w:p w14:paraId="0E3BC29A">
                          <w:pPr>
                            <w:jc w:val="center"/>
                            <w:rPr>
                              <w:rFonts w:hint="eastAsia" w:ascii="宋体" w:hAnsi="宋体" w:eastAsia="宋体"/>
                              <w:b/>
                              <w:bCs/>
                              <w:kern w:val="0"/>
                              <w:szCs w:val="21"/>
                              <w:lang w:eastAsia="zh-CN"/>
                            </w:rPr>
                          </w:pPr>
                          <w:r>
                            <w:rPr>
                              <w:rFonts w:hint="eastAsia" w:ascii="宋体" w:hAnsi="宋体"/>
                              <w:b w:val="0"/>
                              <w:bCs w:val="0"/>
                              <w:szCs w:val="21"/>
                              <w:u w:val="single"/>
                            </w:rPr>
                            <w:t>粗</w:t>
                          </w:r>
                          <w:r>
                            <w:rPr>
                              <w:rFonts w:hint="eastAsia" w:ascii="宋体" w:hAnsi="宋体"/>
                              <w:b w:val="0"/>
                              <w:bCs w:val="0"/>
                              <w:szCs w:val="21"/>
                              <w:u w:val="single"/>
                              <w:lang w:eastAsia="zh-CN"/>
                            </w:rPr>
                            <w:t>锡</w:t>
                          </w:r>
                        </w:p>
                      </w:txbxContent>
                    </v:textbox>
                  </v:rect>
                  <v:shape id="_x0000_s1026" o:spid="_x0000_s1026" o:spt="32" type="#_x0000_t32" style="position:absolute;left:2643816;top:3514282;flip:x;height:190690;width:4723;" filled="f" stroked="t" coordsize="21600,21600" o:gfxdata="UEsDBAoAAAAAAIdO4kAAAAAAAAAAAAAAAAAEAAAAZHJzL1BLAwQUAAAACACHTuJA31UMzcEAAADj&#10;AAAADwAAAGRycy9kb3ducmV2LnhtbEVPX2vCMBB/H+w7hBv4IjNpkW52Rh/cREEQ5/YBjuTWljWX&#10;0mS2fvtlIOzxfv9vuR5dKy7Uh8azhmymQBAbbxuuNHx+bB+fQYSIbLH1TBquFGC9ur9bYmn9wO90&#10;OcdKpBAOJWqoY+xKKYOpyWGY+Y44cV++dxjT2VfS9jikcNfKXKlCOmw4NdTY0aYm833+cRpG+bbY&#10;q6nZvfJhyK1pj6fNMNV68pCpFxCRxvgvvrn3Ns1/KubZYl7kOfz9lACQq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1UM&#10;zcEAAADjAAAADwAAAAAAAAABACAAAAAiAAAAZHJzL2Rvd25yZXYueG1sUEsBAhQAFAAAAAgAh07i&#10;QDMvBZ47AAAAOQAAABAAAAAAAAAAAQAgAAAAEAEAAGRycy9zaGFwZXhtbC54bWxQSwUGAAAAAAYA&#10;BgBbAQAAugMAAAAA&#10;">
                    <v:fill on="f" focussize="0,0"/>
                    <v:stroke weight="0.5pt" color="#000000 [3213]" miterlimit="8" joinstyle="miter" endarrow="block"/>
                    <v:imagedata o:title=""/>
                    <o:lock v:ext="edit" aspectratio="f"/>
                  </v:shape>
                  <v:shape id="_x0000_s1026" o:spid="_x0000_s1026" o:spt="32" type="#_x0000_t32" style="position:absolute;left:2643715;top:4038581;flip:x;height:190690;width:4723;" filled="f" stroked="t" coordsize="21600,21600" o:gfxdata="UEsDBAoAAAAAAIdO4kAAAAAAAAAAAAAAAAAEAAAAZHJzL1BLAwQUAAAACACHTuJA0dphpsMAAADi&#10;AAAADwAAAGRycy9kb3ducmV2LnhtbEWPUWvCMBSF3wf7D+EOfJGZWERrZ/TBORQE2dx+wCW5a8ua&#10;m9Jktvv3RhD2eDjnfIez2gyuERfqQu1Zw3SiQBAbb2suNXx9vj3nIEJEtth4Jg1/FGCzfnxYYWF9&#10;zx90OcdSJAiHAjVUMbaFlMFU5DBMfEucvG/fOYxJdqW0HfYJ7hqZKTWXDmtOCxW2tK3I/Jx/nYZB&#10;7pYHNTb7Vz72mTXN6X3bj7UePU3VC4hIQ/wP39sHq2E2U/kiX2YLuF1Kd0Cur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R&#10;2mGmwwAAAOIAAAAPAAAAAAAAAAEAIAAAACIAAABkcnMvZG93bnJldi54bWxQSwECFAAUAAAACACH&#10;TuJAMy8FnjsAAAA5AAAAEAAAAAAAAAABACAAAAASAQAAZHJzL3NoYXBleG1sLnhtbFBLBQYAAAAA&#10;BgAGAFsBAAC8AwAAAAA=&#10;">
                    <v:fill on="f" focussize="0,0"/>
                    <v:stroke weight="0.5pt" color="#000000 [3213]" miterlimit="8" joinstyle="miter" endarrow="block"/>
                    <v:imagedata o:title=""/>
                    <o:lock v:ext="edit" aspectratio="f"/>
                  </v:shape>
                  <v:rect id="_x0000_s1026" o:spid="_x0000_s1026" o:spt="1" style="position:absolute;left:2040255;top:5241454;height:295185;width:1211441;v-text-anchor:middle;" filled="f" stroked="t" coordsize="21600,21600" o:gfxdata="UEsDBAoAAAAAAIdO4kAAAAAAAAAAAAAAAAAEAAAAZHJzL1BLAwQUAAAACACHTuJAp89Ys8EAAADi&#10;AAAADwAAAGRycy9kb3ducmV2LnhtbEVPz0/CMBS+m/A/NM+Em7RDmGRSOIyYQDAhohdvL+tzm66v&#10;S1s2/O/tgcTjl+/3enu1nRjIh9axhmymQBBXzrRca/h4f3lYgQgR2WDnmDT8UoDtZnK3xsK4kd9o&#10;OMdapBAOBWpoYuwLKUPVkMUwcz1x4r6ctxgT9LU0HscUbjs5VyqXFltODQ32VDZU/ZwvVsPn8lue&#10;2nLEy+thd1wO3qly4bSe3mfqGUSka/wX39x7o2H+9JivcpWlzelSugNy8w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89Y&#10;s8EAAADiAAAADwAAAAAAAAABACAAAAAiAAAAZHJzL2Rvd25yZXYueG1sUEsBAhQAFAAAAAgAh07i&#10;QDMvBZ47AAAAOQAAABAAAAAAAAAAAQAgAAAAEAEAAGRycy9zaGFwZXhtbC54bWxQSwUGAAAAAAYA&#10;BgBbAQAAugMAAAAA&#10;">
                    <v:fill on="f" focussize="0,0"/>
                    <v:stroke weight="1pt" color="#000000 [3213]" miterlimit="8" joinstyle="miter"/>
                    <v:imagedata o:title=""/>
                    <o:lock v:ext="edit" aspectratio="f"/>
                    <v:textbox>
                      <w:txbxContent>
                        <w:p w14:paraId="52CB1B60">
                          <w:pPr>
                            <w:jc w:val="center"/>
                            <w:rPr>
                              <w:rFonts w:hint="eastAsia" w:ascii="宋体" w:hAnsi="宋体"/>
                              <w:b w:val="0"/>
                              <w:bCs w:val="0"/>
                              <w:kern w:val="0"/>
                              <w:szCs w:val="21"/>
                            </w:rPr>
                          </w:pPr>
                          <w:r>
                            <w:rPr>
                              <w:rFonts w:hint="eastAsia" w:ascii="宋体" w:hAnsi="宋体"/>
                              <w:b w:val="0"/>
                              <w:bCs w:val="0"/>
                              <w:szCs w:val="21"/>
                            </w:rPr>
                            <w:t>熔  铸</w:t>
                          </w:r>
                        </w:p>
                      </w:txbxContent>
                    </v:textbox>
                  </v:rect>
                  <v:rect id="_x0000_s1026" o:spid="_x0000_s1026" o:spt="1" style="position:absolute;left:2112617;top:5747439;height:312896;width:1067390;v-text-anchor:middle;" fillcolor="#FFFFFF [3201]" filled="t" stroked="f" coordsize="21600,21600" o:gfxdata="UEsDBAoAAAAAAIdO4kAAAAAAAAAAAAAAAAAEAAAAZHJzL1BLAwQUAAAACACHTuJA2Nu7DMIAAADj&#10;AAAADwAAAGRycy9kb3ducmV2LnhtbEVPvU7DMBDekXgH65DYqJ3SQgh1O1RCIgMSbRkYT/GRhMTn&#10;yHaT9O0xEhLjff+32c22FyP50DrWkC0UCOLKmZZrDR+nl7scRIjIBnvHpOFCAXbb66sNFsZNfKDx&#10;GGuRQjgUqKGJcSikDFVDFsPCDcSJ+3LeYkynr6XxOKVw28ulUg/SYsupocGB9g1V3fFsNXRlac/z&#10;uhrL97fH73s/XbrT517r25tMPYOINMd/8Z/71aT5Kl+un1b5KoPfnxIAcvs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jb&#10;uwzCAAAA4wAAAA8AAAAAAAAAAQAgAAAAIgAAAGRycy9kb3ducmV2LnhtbFBLAQIUABQAAAAIAIdO&#10;4kAzLwWeOwAAADkAAAAQAAAAAAAAAAEAIAAAABEBAABkcnMvc2hhcGV4bWwueG1sUEsFBgAAAAAG&#10;AAYAWwEAALsDAAAAAA==&#10;">
                    <v:fill on="t" focussize="0,0"/>
                    <v:stroke on="f" weight="1pt" miterlimit="8" joinstyle="miter"/>
                    <v:imagedata o:title=""/>
                    <o:lock v:ext="edit" aspectratio="f"/>
                    <v:textbox>
                      <w:txbxContent>
                        <w:p w14:paraId="54E6177A">
                          <w:pPr>
                            <w:jc w:val="center"/>
                            <w:rPr>
                              <w:rFonts w:hint="eastAsia" w:ascii="宋体" w:hAnsi="宋体"/>
                              <w:b w:val="0"/>
                              <w:bCs w:val="0"/>
                              <w:kern w:val="0"/>
                              <w:szCs w:val="21"/>
                            </w:rPr>
                          </w:pPr>
                          <w:r>
                            <w:rPr>
                              <w:rFonts w:hint="eastAsia" w:ascii="宋体" w:hAnsi="宋体"/>
                              <w:b w:val="0"/>
                              <w:bCs w:val="0"/>
                              <w:szCs w:val="21"/>
                              <w:u w:val="single"/>
                              <w:lang w:eastAsia="zh-CN"/>
                            </w:rPr>
                            <w:t>锡</w:t>
                          </w:r>
                          <w:r>
                            <w:rPr>
                              <w:rFonts w:hint="eastAsia" w:ascii="宋体" w:hAnsi="宋体"/>
                              <w:b w:val="0"/>
                              <w:bCs w:val="0"/>
                              <w:szCs w:val="21"/>
                              <w:u w:val="single"/>
                            </w:rPr>
                            <w:t>锭</w:t>
                          </w:r>
                        </w:p>
                      </w:txbxContent>
                    </v:textbox>
                  </v:rect>
                  <v:shape id="_x0000_s1026" o:spid="_x0000_s1026" o:spt="32" type="#_x0000_t32" style="position:absolute;left:2643816;top:5547049;flip:x;height:190690;width:4723;" filled="f" stroked="t" coordsize="21600,21600" o:gfxdata="UEsDBAoAAAAAAIdO4kAAAAAAAAAAAAAAAAAEAAAAZHJzL1BLAwQUAAAACACHTuJAc2tqBcQAAADj&#10;AAAADwAAAGRycy9kb3ducmV2LnhtbEWPUWvCMBSF3wf7D+EOfBFNWtBpNfrgJhMGY1N/wCW5tmXN&#10;TWky2/17Iwz2eDjnfIez3g6uEVfqQu1ZQzZVIIiNtzWXGs6n/WQBIkRki41n0vBLAbabx4c1Ftb3&#10;/EXXYyxFgnAoUEMVY1tIGUxFDsPUt8TJu/jOYUyyK6XtsE9w18hcqbl0WHNaqLClXUXm+/jjNAzy&#10;dXlQY/P2wu99bk3z8bnrx1qPnjK1AhFpiP/hv/bBasizbPasFvl8BvdP6Q/IzQ1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2tqBcQAAADj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rect id="_x0000_s1026" o:spid="_x0000_s1026" o:spt="1" style="position:absolute;left:3605645;top:3197257;height:295185;width:1211441;v-text-anchor:middle;" filled="f" stroked="t" coordsize="21600,21600" o:gfxdata="UEsDBAoAAAAAAIdO4kAAAAAAAAAAAAAAAAAEAAAAZHJzL1BLAwQUAAAACACHTuJAXURW1sIAAADj&#10;AAAADwAAAGRycy9kb3ducmV2LnhtbEVPT0vDMBS/C/sO4Q28uWTFdVu3bIcOQVEQp5fdHs2zrWte&#10;SpK189sbQfD4fv/fdn+1nRjIh9axhvlMgSCunGm51vDx/nC3AhEissHOMWn4pgD73eRmi4VxI7/R&#10;cIy1SCEcCtTQxNgXUoaqIYth5nrixH06bzGm09fSeBxTuO1kplQuLbacGhrsqWyoOh8vVsNp8SVf&#10;23LEy8vT4XkxeKfKe6f17XSuNiAiXeO/+M/9aNL8VZ6v18tsmcHvTwkAufs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1E&#10;VtbCAAAA4wAAAA8AAAAAAAAAAQAgAAAAIgAAAGRycy9kb3ducmV2LnhtbFBLAQIUABQAAAAIAIdO&#10;4kAzLwWeOwAAADkAAAAQAAAAAAAAAAEAIAAAABEBAABkcnMvc2hhcGV4bWwueG1sUEsFBgAAAAAG&#10;AAYAWwEAALsDAAAAAA==&#10;">
                    <v:fill on="f" focussize="0,0"/>
                    <v:stroke weight="1pt" color="#000000 [3213]" miterlimit="8" joinstyle="miter"/>
                    <v:imagedata o:title=""/>
                    <o:lock v:ext="edit" aspectratio="f"/>
                    <v:textbox>
                      <w:txbxContent>
                        <w:p w14:paraId="46D1CB64">
                          <w:pPr>
                            <w:jc w:val="center"/>
                            <w:rPr>
                              <w:rFonts w:hint="eastAsia" w:ascii="宋体" w:hAnsi="宋体"/>
                              <w:b w:val="0"/>
                              <w:bCs w:val="0"/>
                              <w:kern w:val="0"/>
                              <w:szCs w:val="21"/>
                            </w:rPr>
                          </w:pPr>
                          <w:r>
                            <w:rPr>
                              <w:rFonts w:hint="eastAsia" w:ascii="宋体" w:hAnsi="宋体"/>
                              <w:b w:val="0"/>
                              <w:bCs w:val="0"/>
                              <w:szCs w:val="21"/>
                            </w:rPr>
                            <w:t>烟  化</w:t>
                          </w:r>
                        </w:p>
                      </w:txbxContent>
                    </v:textbox>
                  </v:rect>
                  <v:shape id="连接符: 肘形 2008734916" o:spid="_x0000_s1026" o:spt="33" type="#_x0000_t33" style="position:absolute;left:3341866;top:3008076;height:1353866;width:385135;rotation:5898240f;" filled="f" stroked="t" coordsize="21600,21600" o:gfxdata="UEsDBAoAAAAAAIdO4kAAAAAAAAAAAAAAAAAEAAAAZHJzL1BLAwQUAAAACACHTuJAeqi+5cUAAADj&#10;AAAADwAAAGRycy9kb3ducmV2LnhtbEWPzW7CMBCE75V4B2uRekHFTstfAoZDW9QeeqDQ3lfxkoTG&#10;6yh2gfTpMRJSj6OZ+UazWJ1tLY7U+sqxhmSoQBDnzlRcaPjarR9mIHxANlg7Jg0deVgte3cLzIw7&#10;8Scdt6EQEcI+Qw1lCE0mpc9LsuiHriGO3t61FkOUbSFNi6cIt7V8VGoiLVYcF0ps6Lmk/Gf7azV8&#10;dH56SN9eNt1u8Dr236ls/tRe6/t+ouYgAp3Df/jWfjcaInE2fRqlyQSun+IfkMs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qovuXFAAAA4wAAAA8AAAAAAAAAAQAgAAAAIgAAAGRycy9kb3ducmV2LnhtbFBLAQIUABQAAAAI&#10;AIdO4kAzLwWeOwAAADkAAAAQAAAAAAAAAAEAIAAAABQBAABkcnMvc2hhcGV4bWwueG1sUEsFBgAA&#10;AAAGAAYAWwEAAL4DAAAAAA==&#10;">
                    <v:fill on="f" focussize="0,0"/>
                    <v:stroke weight="0.5pt" color="#000000 [3213]" miterlimit="8" joinstyle="miter" endarrow="block"/>
                    <v:imagedata o:title=""/>
                    <o:lock v:ext="edit" aspectratio="f"/>
                  </v:shape>
                  <v:shape id="_x0000_s1026" o:spid="_x0000_s1026" o:spt="32" type="#_x0000_t32" style="position:absolute;left:3239207;top:3324530;height:2114;width:347195;" filled="f" stroked="t" coordsize="21600,21600" o:gfxdata="UEsDBAoAAAAAAIdO4kAAAAAAAAAAAAAAAAAEAAAAZHJzL1BLAwQUAAAACACHTuJAekOShcEAAADj&#10;AAAADwAAAGRycy9kb3ducmV2LnhtbEVPzWrCQBC+C32HZQq96SZNSWJ09VAI9FAKVdvzkB2TaHY2&#10;7G6jfftuQfA43/+st1cziImc7y0rSBcJCOLG6p5bBYd9PS9B+ICscbBMCn7Jw3bzMFtjpe2FP2na&#10;hVbEEPYVKuhCGCspfdORQb+wI3HkjtYZDPF0rdQOLzHcDPI5SXJpsOfY0OFIrx01592PUfD+sSwP&#10;53Sa6rr5PmWOa8zkl1JPj2myAhHoGu7im/tNx/l5kZdZ/lIU8P9TBEB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kOS&#10;hcEAAADjAAAADwAAAAAAAAABACAAAAAiAAAAZHJzL2Rvd25yZXYueG1sUEsBAhQAFAAAAAgAh07i&#10;QDMvBZ47AAAAOQAAABAAAAAAAAAAAQAgAAAAEAEAAGRycy9zaGFwZXhtbC54bWxQSwUGAAAAAAYA&#10;BgBbAQAAugMAAAAA&#10;">
                    <v:fill on="f" focussize="0,0"/>
                    <v:stroke weight="0.5pt" color="#000000 [3213]" miterlimit="8" joinstyle="miter" endarrow="block"/>
                    <v:imagedata o:title=""/>
                    <o:lock v:ext="edit" aspectratio="f"/>
                  </v:shape>
                  <v:rect id="_x0000_s1026" o:spid="_x0000_s1026" o:spt="1" style="position:absolute;left:2025015;top:4225385;height:295185;width:1211441;v-text-anchor:middle;" filled="f" stroked="t" coordsize="21600,21600" o:gfxdata="UEsDBAoAAAAAAIdO4kAAAAAAAAAAAAAAAAAEAAAAZHJzL1BLAwQUAAAACACHTuJAtO6tNMEAAADj&#10;AAAADwAAAGRycy9kb3ducmV2LnhtbEVPT0vDMBS/C/sO4Q28uaRjLa5btkOHoCiI08tuj+bZ1jUv&#10;Jcna+e2NIHh8v/9vu7/aXozkQ+dYQ7ZQIIhrZzpuNHy8P9zdgwgR2WDvmDR8U4D9bnazxdK4id9o&#10;PMZGpBAOJWpoYxxKKUPdksWwcANx4j6dtxjT6RtpPE4p3PZyqVQhLXacGlocqGqpPh8vVsMp/5Kv&#10;XTXh5eXp8JyP3qlq5bS+nWdqAyLSNf6L/9yPJs1fF/mqWGf5En5/SgDI3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O6t&#10;NMEAAADjAAAADwAAAAAAAAABACAAAAAiAAAAZHJzL2Rvd25yZXYueG1sUEsBAhQAFAAAAAgAh07i&#10;QDMvBZ47AAAAOQAAABAAAAAAAAAAAQAgAAAAEAEAAGRycy9zaGFwZXhtbC54bWxQSwUGAAAAAAYA&#10;BgBbAQAAugMAAAAA&#10;">
                    <v:fill on="f" focussize="0,0"/>
                    <v:stroke weight="1pt" color="#000000 [3213]" miterlimit="8" joinstyle="miter"/>
                    <v:imagedata o:title=""/>
                    <o:lock v:ext="edit" aspectratio="f"/>
                    <v:textbox>
                      <w:txbxContent>
                        <w:p w14:paraId="09DE9509">
                          <w:pPr>
                            <w:jc w:val="center"/>
                            <w:rPr>
                              <w:rFonts w:hint="eastAsia" w:ascii="宋体" w:hAnsi="宋体"/>
                              <w:b w:val="0"/>
                              <w:bCs w:val="0"/>
                              <w:kern w:val="0"/>
                              <w:szCs w:val="21"/>
                            </w:rPr>
                          </w:pPr>
                          <w:r>
                            <w:rPr>
                              <w:rFonts w:hint="eastAsia" w:ascii="宋体" w:hAnsi="宋体"/>
                              <w:b w:val="0"/>
                              <w:bCs w:val="0"/>
                              <w:szCs w:val="21"/>
                            </w:rPr>
                            <w:t>火法精炼</w:t>
                          </w:r>
                        </w:p>
                      </w:txbxContent>
                    </v:textbox>
                  </v:rect>
                  <v:shape id="_x0000_s1026" o:spid="_x0000_s1026" o:spt="32" type="#_x0000_t32" style="position:absolute;left:2628672;top:4531158;flip:x;height:190690;width:4723;" filled="f" stroked="t" coordsize="21600,21600" o:gfxdata="UEsDBAoAAAAAAIdO4kAAAAAAAAAAAAAAAAAEAAAAZHJzL1BLAwQUAAAACACHTuJAQGh3ScQAAADj&#10;AAAADwAAAGRycy9kb3ducmV2LnhtbEWPUUvDMBSF3wX/Q7iCL8MljaVoXbaHqTgQhm77AZfk2hab&#10;m9LEtf57Iwg+Hs453+GsNrPvxZnG2AU2UCwVCGIbXMeNgdPx+eYOREzIDvvAZOCbImzWlxcrrF2Y&#10;+J3Oh9SIDOFYo4E2paGWMtqWPMZlGIiz9xFGjynLsZFuxCnDfS+1UpX02HFeaHGgbUv28/DlDczy&#10;6X6nFvblkV8n7Wy/f9tOC2Ourwr1ACLRnP7Df+2dM6CLUpelrm4r+P2U/4Bc/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Gh3ScQAAADjAAAADwAAAAAAAAABACAAAAAiAAAAZHJzL2Rvd25yZXYueG1sUEsBAhQAFAAAAAgA&#10;h07iQDMvBZ47AAAAOQAAABAAAAAAAAAAAQAgAAAAEwEAAGRycy9zaGFwZXhtbC54bWxQSwUGAAAA&#10;AAYABgBbAQAAvQMAAAAA&#10;">
                    <v:fill on="f" focussize="0,0"/>
                    <v:stroke weight="0.5pt" color="#000000 [3213]" miterlimit="8" joinstyle="miter" endarrow="block"/>
                    <v:imagedata o:title=""/>
                    <o:lock v:ext="edit" aspectratio="f"/>
                  </v:shape>
                  <v:rect id="_x0000_s1026" o:spid="_x0000_s1026" o:spt="1" style="position:absolute;left:837225;top:2140880;height:312420;width:1066800;v-text-anchor:middle;" fillcolor="#FFFFFF [3201]" filled="t" stroked="f" coordsize="21600,21600" o:gfxdata="UEsDBAoAAAAAAIdO4kAAAAAAAAAAAAAAAAAEAAAAZHJzL1BLAwQUAAAACACHTuJAnbrIWMUAAADi&#10;AAAADwAAAGRycy9kb3ducmV2LnhtbEWPQUvDQBSE74L/YXlCb3bTpsY2dttDodAcBG09eHxkn0lM&#10;9m3Y3Sbpv3cFweMwM98w2/1kOjGQ841lBYt5AoK4tLrhSsHH5fi4BuEDssbOMim4kYf97v5ui7m2&#10;I7/TcA6ViBD2OSqoQ+hzKX1Zk0E/tz1x9L6sMxiidJXUDscIN51cJkkmDTYcF2rs6VBT2Z6vRkFb&#10;FOY6PZVD8fb6/J268dZePg9KzR4WyQuIQFP4D/+1T1rBKlutN1m6SeH3UrwDcvc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26yFjFAAAA4gAAAA8AAAAAAAAAAQAgAAAAIgAAAGRycy9kb3ducmV2LnhtbFBLAQIUABQAAAAI&#10;AIdO4kAzLwWeOwAAADkAAAAQAAAAAAAAAAEAIAAAABQBAABkcnMvc2hhcGV4bWwueG1sUEsFBgAA&#10;AAAGAAYAWwEAAL4DAAAAAA==&#10;">
                    <v:fill on="t" focussize="0,0"/>
                    <v:stroke on="f" weight="1pt" miterlimit="8" joinstyle="miter"/>
                    <v:imagedata o:title=""/>
                    <o:lock v:ext="edit" aspectratio="f"/>
                    <v:textbox>
                      <w:txbxContent>
                        <w:p w14:paraId="459BB55E">
                          <w:pPr>
                            <w:jc w:val="center"/>
                            <w:rPr>
                              <w:rFonts w:hint="eastAsia" w:ascii="宋体" w:hAnsi="宋体" w:eastAsia="宋体"/>
                              <w:b w:val="0"/>
                              <w:bCs w:val="0"/>
                              <w:szCs w:val="21"/>
                              <w:lang w:eastAsia="zh-CN"/>
                            </w:rPr>
                          </w:pPr>
                          <w:r>
                            <w:rPr>
                              <w:rFonts w:hint="eastAsia" w:ascii="宋体" w:hAnsi="宋体"/>
                              <w:b w:val="0"/>
                              <w:bCs w:val="0"/>
                              <w:szCs w:val="21"/>
                              <w:u w:val="single"/>
                              <w:lang w:eastAsia="zh-CN"/>
                            </w:rPr>
                            <w:t>回收锡原料</w:t>
                          </w:r>
                        </w:p>
                      </w:txbxContent>
                    </v:textbox>
                  </v:rect>
                  <v:shape id="连接符: 肘形 1779954758" o:spid="_x0000_s1026" o:spt="33" type="#_x0000_t33" style="position:absolute;left:1512793;top:2311131;flip:x;height:669849;width:385512;rotation:5898240f;" filled="f" stroked="t" coordsize="21600,21600" o:gfxdata="UEsDBAoAAAAAAIdO4kAAAAAAAAAAAAAAAAAEAAAAZHJzL1BLAwQUAAAACACHTuJAmNyYucIAAADj&#10;AAAADwAAAGRycy9kb3ducmV2LnhtbEWPT0/DMAzF70h8h8hI3FgyoHQry3ZAIHGl24WbabymonGq&#10;JOzfp8cHJI72e37v59XmFEZ1oJSHyBbmMwOKuItu4N7Cbvt2twCVC7LDMTJZOFOGzfr6aoWNi0f+&#10;oENbeiUhnBu04EuZGq1z5ylgnsWJWLR9TAGLjKnXLuFRwsOo74150gEHlgaPE7146r7bn2Bh+No/&#10;9Oas2/rzUr1SxO3Cp4u1tzdz8wyq0Kn8m/+u353g1/VyWT3WlUDLT7IAvf4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jc&#10;mLnCAAAA4wAAAA8AAAAAAAAAAQAgAAAAIgAAAGRycy9kb3ducmV2LnhtbFBLAQIUABQAAAAIAIdO&#10;4kAzLwWeOwAAADkAAAAQAAAAAAAAAAEAIAAAABEBAABkcnMvc2hhcGV4bWwueG1sUEsFBgAAAAAG&#10;AAYAWwEAALsDAAAAAA==&#10;">
                    <v:fill on="f" focussize="0,0"/>
                    <v:stroke weight="0.5pt" color="#000000 [3213]" miterlimit="8" joinstyle="miter" endarrow="block"/>
                    <v:imagedata o:title=""/>
                    <o:lock v:ext="edit" aspectratio="f"/>
                  </v:shape>
                </v:group>
                <w10:wrap type="none"/>
                <w10:anchorlock/>
              </v:group>
            </w:pict>
          </mc:Fallback>
        </mc:AlternateContent>
      </w:r>
    </w:p>
    <w:p w14:paraId="3E4C93BD">
      <w:pPr>
        <w:pStyle w:val="61"/>
        <w:ind w:firstLine="0" w:firstLineChars="0"/>
        <w:rPr>
          <w:rFonts w:hint="eastAsia" w:ascii="黑体" w:hAnsi="黑体" w:eastAsia="黑体"/>
        </w:rPr>
      </w:pPr>
      <w:r>
        <w:rPr>
          <w:rFonts w:hint="eastAsia" w:ascii="黑体" w:hAnsi="黑体" w:eastAsia="黑体"/>
        </w:rPr>
        <w:t xml:space="preserve"> </w:t>
      </w:r>
      <w:r>
        <w:rPr>
          <w:rFonts w:ascii="黑体" w:hAnsi="黑体" w:eastAsia="黑体"/>
        </w:rPr>
        <w:t xml:space="preserve">                   </w:t>
      </w:r>
      <w:r>
        <w:rPr>
          <w:rFonts w:hint="eastAsia" w:ascii="黑体" w:hAnsi="黑体" w:eastAsia="黑体"/>
        </w:rPr>
        <w:t>图A.1</w:t>
      </w:r>
      <w:r>
        <w:rPr>
          <w:rFonts w:ascii="黑体" w:hAnsi="黑体" w:eastAsia="黑体"/>
        </w:rPr>
        <w:t xml:space="preserve">  </w:t>
      </w:r>
      <w:r>
        <w:rPr>
          <w:rFonts w:hint="eastAsia" w:ascii="黑体" w:hAnsi="黑体" w:eastAsia="黑体"/>
        </w:rPr>
        <w:t>以</w:t>
      </w:r>
      <w:r>
        <w:rPr>
          <w:rFonts w:hint="eastAsia" w:ascii="黑体" w:hAnsi="黑体" w:eastAsia="黑体"/>
          <w:lang w:eastAsia="zh-CN"/>
        </w:rPr>
        <w:t>锡</w:t>
      </w:r>
      <w:r>
        <w:rPr>
          <w:rFonts w:hint="eastAsia" w:ascii="黑体" w:hAnsi="黑体" w:eastAsia="黑体"/>
        </w:rPr>
        <w:t>精矿为主要原料生产</w:t>
      </w:r>
      <w:r>
        <w:rPr>
          <w:rFonts w:hint="eastAsia" w:ascii="黑体" w:hAnsi="黑体" w:eastAsia="黑体"/>
          <w:lang w:eastAsia="zh-CN"/>
        </w:rPr>
        <w:t>锡</w:t>
      </w:r>
      <w:r>
        <w:rPr>
          <w:rFonts w:hint="eastAsia" w:ascii="黑体" w:hAnsi="黑体" w:eastAsia="黑体"/>
        </w:rPr>
        <w:t>锭的主要工艺路线</w:t>
      </w:r>
    </w:p>
    <w:bookmarkEnd w:id="169"/>
    <w:p w14:paraId="119B9AB4">
      <w:pPr>
        <w:keepNext/>
        <w:keepLines/>
        <w:jc w:val="center"/>
        <w:outlineLvl w:val="1"/>
        <w:rPr>
          <w:rFonts w:eastAsia="黑体"/>
          <w:bCs/>
          <w:kern w:val="44"/>
          <w:szCs w:val="21"/>
        </w:rPr>
      </w:pPr>
      <w:bookmarkStart w:id="170" w:name="_Toc174232062"/>
    </w:p>
    <w:p w14:paraId="296D8CA5">
      <w:pPr>
        <w:pStyle w:val="2"/>
        <w:rPr>
          <w:rFonts w:eastAsia="黑体"/>
          <w:bCs/>
          <w:kern w:val="44"/>
          <w:szCs w:val="21"/>
        </w:rPr>
      </w:pPr>
    </w:p>
    <w:p w14:paraId="2C69FD95">
      <w:pPr>
        <w:pStyle w:val="2"/>
        <w:rPr>
          <w:rFonts w:eastAsia="黑体"/>
          <w:bCs/>
          <w:kern w:val="44"/>
          <w:szCs w:val="21"/>
        </w:rPr>
      </w:pPr>
    </w:p>
    <w:p w14:paraId="2A59A211">
      <w:pPr>
        <w:pStyle w:val="2"/>
        <w:rPr>
          <w:rFonts w:eastAsia="黑体"/>
          <w:bCs/>
          <w:kern w:val="44"/>
          <w:szCs w:val="21"/>
        </w:rPr>
      </w:pPr>
    </w:p>
    <w:p w14:paraId="495909D3">
      <w:pPr>
        <w:bidi w:val="0"/>
      </w:pPr>
    </w:p>
    <w:p w14:paraId="032AE680">
      <w:pPr>
        <w:bidi w:val="0"/>
      </w:pPr>
    </w:p>
    <w:p w14:paraId="5CC2CC46">
      <w:pPr>
        <w:bidi w:val="0"/>
      </w:pPr>
    </w:p>
    <w:p w14:paraId="0A0453A2">
      <w:pPr>
        <w:bidi w:val="0"/>
      </w:pPr>
    </w:p>
    <w:p w14:paraId="7A75A298">
      <w:pPr>
        <w:bidi w:val="0"/>
      </w:pPr>
    </w:p>
    <w:p w14:paraId="5543C2BA">
      <w:pPr>
        <w:bidi w:val="0"/>
      </w:pPr>
    </w:p>
    <w:p w14:paraId="30CF637D">
      <w:pPr>
        <w:bidi w:val="0"/>
      </w:pPr>
    </w:p>
    <w:p w14:paraId="23F6CF9F">
      <w:pPr>
        <w:keepNext/>
        <w:keepLines/>
        <w:jc w:val="center"/>
        <w:outlineLvl w:val="1"/>
        <w:rPr>
          <w:rFonts w:eastAsia="黑体"/>
          <w:bCs/>
          <w:kern w:val="44"/>
          <w:szCs w:val="21"/>
        </w:rPr>
      </w:pPr>
      <w:r>
        <w:rPr>
          <w:rFonts w:eastAsia="黑体"/>
          <w:bCs/>
          <w:kern w:val="44"/>
          <w:szCs w:val="21"/>
        </w:rPr>
        <w:t xml:space="preserve">附  录  </w:t>
      </w:r>
      <w:r>
        <w:rPr>
          <w:rFonts w:hint="eastAsia" w:eastAsia="黑体"/>
          <w:bCs/>
          <w:kern w:val="44"/>
          <w:szCs w:val="21"/>
        </w:rPr>
        <w:t>B</w:t>
      </w:r>
      <w:bookmarkEnd w:id="170"/>
    </w:p>
    <w:p w14:paraId="4E87D85C">
      <w:pPr>
        <w:keepNext/>
        <w:keepLines/>
        <w:jc w:val="center"/>
        <w:rPr>
          <w:rFonts w:eastAsia="黑体"/>
          <w:bCs/>
          <w:kern w:val="44"/>
          <w:szCs w:val="21"/>
        </w:rPr>
      </w:pPr>
      <w:r>
        <w:rPr>
          <w:rFonts w:eastAsia="黑体"/>
          <w:bCs/>
          <w:kern w:val="44"/>
          <w:szCs w:val="21"/>
        </w:rPr>
        <w:t>（资料性）</w:t>
      </w:r>
    </w:p>
    <w:p w14:paraId="4C8413D8">
      <w:pPr>
        <w:ind w:firstLine="420" w:firstLineChars="200"/>
        <w:jc w:val="center"/>
        <w:rPr>
          <w:rFonts w:eastAsia="黑体"/>
          <w:bCs/>
          <w:kern w:val="44"/>
          <w:szCs w:val="21"/>
        </w:rPr>
      </w:pPr>
      <w:r>
        <w:rPr>
          <w:rFonts w:hint="eastAsia" w:eastAsia="黑体"/>
          <w:bCs/>
          <w:kern w:val="44"/>
          <w:szCs w:val="21"/>
        </w:rPr>
        <w:t>数据质量评价</w:t>
      </w:r>
    </w:p>
    <w:p w14:paraId="01FA17D2">
      <w:pPr>
        <w:ind w:firstLine="420"/>
        <w:rPr>
          <w:rFonts w:ascii="宋体"/>
          <w:kern w:val="0"/>
          <w:szCs w:val="20"/>
        </w:rPr>
      </w:pPr>
      <w:r>
        <w:rPr>
          <w:rFonts w:hint="eastAsia" w:ascii="宋体"/>
          <w:kern w:val="0"/>
          <w:szCs w:val="20"/>
        </w:rPr>
        <w:t>用于评估产品清单过程的单个数据的数据质量指标如表B.1所示。</w:t>
      </w:r>
    </w:p>
    <w:p w14:paraId="7270784D">
      <w:pPr>
        <w:pStyle w:val="61"/>
        <w:ind w:firstLine="0" w:firstLineChars="0"/>
        <w:jc w:val="center"/>
        <w:rPr>
          <w:rFonts w:hint="eastAsia" w:ascii="黑体" w:hAnsi="黑体" w:eastAsia="黑体"/>
        </w:rPr>
      </w:pPr>
      <w:r>
        <w:rPr>
          <w:rFonts w:hint="eastAsia" w:ascii="黑体" w:hAnsi="黑体" w:eastAsia="黑体"/>
        </w:rPr>
        <w:t>表B</w:t>
      </w:r>
      <w:r>
        <w:rPr>
          <w:rFonts w:ascii="黑体" w:hAnsi="黑体" w:eastAsia="黑体"/>
        </w:rPr>
        <w:t xml:space="preserve">.1  </w:t>
      </w:r>
      <w:r>
        <w:rPr>
          <w:rFonts w:hint="eastAsia" w:ascii="黑体" w:hAnsi="黑体" w:eastAsia="黑体"/>
        </w:rPr>
        <w:t>数据质量指标</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8"/>
        <w:gridCol w:w="3544"/>
        <w:gridCol w:w="2920"/>
      </w:tblGrid>
      <w:tr w14:paraId="2E19C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center"/>
          </w:tcPr>
          <w:p w14:paraId="5FC417D6">
            <w:pPr>
              <w:pStyle w:val="2"/>
              <w:ind w:firstLine="0" w:firstLineChars="0"/>
              <w:jc w:val="center"/>
              <w:rPr>
                <w:rFonts w:ascii="宋体"/>
                <w:sz w:val="18"/>
                <w:szCs w:val="18"/>
              </w:rPr>
            </w:pPr>
            <w:r>
              <w:rPr>
                <w:rFonts w:hint="eastAsia" w:ascii="宋体"/>
                <w:sz w:val="18"/>
                <w:szCs w:val="18"/>
              </w:rPr>
              <w:t>指标</w:t>
            </w:r>
          </w:p>
        </w:tc>
        <w:tc>
          <w:tcPr>
            <w:tcW w:w="3544" w:type="dxa"/>
            <w:vAlign w:val="center"/>
          </w:tcPr>
          <w:p w14:paraId="00D352E0">
            <w:pPr>
              <w:pStyle w:val="2"/>
              <w:ind w:firstLine="0" w:firstLineChars="0"/>
              <w:jc w:val="center"/>
              <w:rPr>
                <w:rFonts w:ascii="宋体"/>
                <w:sz w:val="18"/>
                <w:szCs w:val="18"/>
              </w:rPr>
            </w:pPr>
            <w:r>
              <w:rPr>
                <w:rFonts w:hint="eastAsia" w:ascii="宋体"/>
                <w:sz w:val="18"/>
                <w:szCs w:val="18"/>
              </w:rPr>
              <w:t>描述</w:t>
            </w:r>
          </w:p>
        </w:tc>
        <w:tc>
          <w:tcPr>
            <w:tcW w:w="2920" w:type="dxa"/>
            <w:vAlign w:val="center"/>
          </w:tcPr>
          <w:p w14:paraId="461EFE97">
            <w:pPr>
              <w:pStyle w:val="2"/>
              <w:ind w:firstLine="0" w:firstLineChars="0"/>
              <w:jc w:val="center"/>
              <w:rPr>
                <w:rFonts w:ascii="宋体"/>
                <w:sz w:val="18"/>
                <w:szCs w:val="18"/>
              </w:rPr>
            </w:pPr>
            <w:r>
              <w:rPr>
                <w:rFonts w:hint="eastAsia" w:ascii="宋体"/>
                <w:sz w:val="18"/>
                <w:szCs w:val="18"/>
              </w:rPr>
              <w:t>与数据质量的关系</w:t>
            </w:r>
          </w:p>
        </w:tc>
      </w:tr>
      <w:tr w14:paraId="231E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center"/>
          </w:tcPr>
          <w:p w14:paraId="2F24713B">
            <w:pPr>
              <w:pStyle w:val="2"/>
              <w:ind w:firstLine="0" w:firstLineChars="0"/>
              <w:jc w:val="center"/>
              <w:rPr>
                <w:rFonts w:ascii="宋体"/>
                <w:sz w:val="18"/>
                <w:szCs w:val="18"/>
              </w:rPr>
            </w:pPr>
            <w:r>
              <w:rPr>
                <w:rFonts w:hint="eastAsia" w:ascii="宋体"/>
                <w:sz w:val="18"/>
                <w:szCs w:val="18"/>
              </w:rPr>
              <w:t>技术代表性</w:t>
            </w:r>
          </w:p>
        </w:tc>
        <w:tc>
          <w:tcPr>
            <w:tcW w:w="3544" w:type="dxa"/>
            <w:vAlign w:val="center"/>
          </w:tcPr>
          <w:p w14:paraId="2418A613">
            <w:pPr>
              <w:pStyle w:val="2"/>
              <w:ind w:firstLine="0" w:firstLineChars="0"/>
              <w:rPr>
                <w:rFonts w:ascii="宋体"/>
                <w:sz w:val="18"/>
                <w:szCs w:val="18"/>
              </w:rPr>
            </w:pPr>
            <w:r>
              <w:rPr>
                <w:rFonts w:hint="eastAsia" w:ascii="宋体"/>
                <w:sz w:val="18"/>
                <w:szCs w:val="18"/>
              </w:rPr>
              <w:t>数据反映实际使用技术的程度</w:t>
            </w:r>
          </w:p>
        </w:tc>
        <w:tc>
          <w:tcPr>
            <w:tcW w:w="2920" w:type="dxa"/>
            <w:vAlign w:val="center"/>
          </w:tcPr>
          <w:p w14:paraId="60A7DEDF">
            <w:pPr>
              <w:pStyle w:val="2"/>
              <w:ind w:firstLine="0" w:firstLineChars="0"/>
              <w:rPr>
                <w:rFonts w:ascii="宋体"/>
                <w:sz w:val="18"/>
                <w:szCs w:val="18"/>
              </w:rPr>
            </w:pPr>
            <w:r>
              <w:rPr>
                <w:rFonts w:hint="eastAsia" w:ascii="宋体"/>
                <w:sz w:val="18"/>
                <w:szCs w:val="18"/>
              </w:rPr>
              <w:t>企业宜选择反映技术特异性的数据</w:t>
            </w:r>
          </w:p>
        </w:tc>
      </w:tr>
      <w:tr w14:paraId="24060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center"/>
          </w:tcPr>
          <w:p w14:paraId="51B87179">
            <w:pPr>
              <w:pStyle w:val="2"/>
              <w:ind w:firstLine="0" w:firstLineChars="0"/>
              <w:jc w:val="center"/>
              <w:rPr>
                <w:rFonts w:ascii="宋体"/>
                <w:sz w:val="18"/>
                <w:szCs w:val="18"/>
              </w:rPr>
            </w:pPr>
            <w:r>
              <w:rPr>
                <w:rFonts w:hint="eastAsia" w:ascii="宋体"/>
                <w:sz w:val="18"/>
                <w:szCs w:val="18"/>
              </w:rPr>
              <w:t>时间代表性</w:t>
            </w:r>
          </w:p>
        </w:tc>
        <w:tc>
          <w:tcPr>
            <w:tcW w:w="3544" w:type="dxa"/>
            <w:vAlign w:val="center"/>
          </w:tcPr>
          <w:p w14:paraId="2BE613AA">
            <w:pPr>
              <w:pStyle w:val="2"/>
              <w:ind w:firstLine="0" w:firstLineChars="0"/>
              <w:rPr>
                <w:rFonts w:ascii="宋体"/>
                <w:sz w:val="18"/>
                <w:szCs w:val="18"/>
              </w:rPr>
            </w:pPr>
            <w:r>
              <w:rPr>
                <w:rFonts w:hint="eastAsia" w:ascii="宋体"/>
                <w:sz w:val="18"/>
                <w:szCs w:val="18"/>
              </w:rPr>
              <w:t>数据反映实际时间或活动年限的程度</w:t>
            </w:r>
          </w:p>
        </w:tc>
        <w:tc>
          <w:tcPr>
            <w:tcW w:w="2920" w:type="dxa"/>
            <w:vAlign w:val="center"/>
          </w:tcPr>
          <w:p w14:paraId="348D1908">
            <w:pPr>
              <w:pStyle w:val="2"/>
              <w:ind w:firstLine="0" w:firstLineChars="0"/>
              <w:rPr>
                <w:rFonts w:ascii="宋体"/>
                <w:sz w:val="18"/>
                <w:szCs w:val="18"/>
              </w:rPr>
            </w:pPr>
            <w:r>
              <w:rPr>
                <w:rFonts w:hint="eastAsia" w:ascii="宋体"/>
                <w:sz w:val="18"/>
                <w:szCs w:val="18"/>
              </w:rPr>
              <w:t>企业宜选择反映时间特异性的数据</w:t>
            </w:r>
          </w:p>
        </w:tc>
      </w:tr>
      <w:tr w14:paraId="352C7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center"/>
          </w:tcPr>
          <w:p w14:paraId="16E834FD">
            <w:pPr>
              <w:pStyle w:val="2"/>
              <w:ind w:firstLine="0" w:firstLineChars="0"/>
              <w:jc w:val="center"/>
              <w:rPr>
                <w:rFonts w:ascii="宋体"/>
                <w:sz w:val="18"/>
                <w:szCs w:val="18"/>
              </w:rPr>
            </w:pPr>
            <w:r>
              <w:rPr>
                <w:rFonts w:hint="eastAsia" w:ascii="宋体"/>
                <w:sz w:val="18"/>
                <w:szCs w:val="18"/>
              </w:rPr>
              <w:t>地域代表性</w:t>
            </w:r>
          </w:p>
        </w:tc>
        <w:tc>
          <w:tcPr>
            <w:tcW w:w="3544" w:type="dxa"/>
            <w:vAlign w:val="center"/>
          </w:tcPr>
          <w:p w14:paraId="65458DBF">
            <w:pPr>
              <w:pStyle w:val="2"/>
              <w:ind w:firstLine="0" w:firstLineChars="0"/>
              <w:rPr>
                <w:rFonts w:ascii="宋体"/>
                <w:sz w:val="18"/>
                <w:szCs w:val="18"/>
              </w:rPr>
            </w:pPr>
            <w:r>
              <w:rPr>
                <w:rFonts w:hint="eastAsia" w:ascii="宋体"/>
                <w:sz w:val="18"/>
                <w:szCs w:val="18"/>
              </w:rPr>
              <w:t>数据反映活动的实际地理位置的程度</w:t>
            </w:r>
          </w:p>
        </w:tc>
        <w:tc>
          <w:tcPr>
            <w:tcW w:w="2920" w:type="dxa"/>
            <w:vAlign w:val="center"/>
          </w:tcPr>
          <w:p w14:paraId="385BCF4C">
            <w:pPr>
              <w:pStyle w:val="2"/>
              <w:ind w:firstLine="0" w:firstLineChars="0"/>
              <w:rPr>
                <w:rFonts w:ascii="宋体"/>
                <w:sz w:val="18"/>
                <w:szCs w:val="18"/>
              </w:rPr>
            </w:pPr>
            <w:r>
              <w:rPr>
                <w:rFonts w:hint="eastAsia" w:ascii="宋体"/>
                <w:sz w:val="18"/>
                <w:szCs w:val="18"/>
              </w:rPr>
              <w:t>企业宜选择反映地理特异性的数据</w:t>
            </w:r>
          </w:p>
        </w:tc>
      </w:tr>
      <w:tr w14:paraId="7037C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center"/>
          </w:tcPr>
          <w:p w14:paraId="0666CBFE">
            <w:pPr>
              <w:pStyle w:val="2"/>
              <w:ind w:firstLine="0" w:firstLineChars="0"/>
              <w:jc w:val="center"/>
              <w:rPr>
                <w:rFonts w:ascii="宋体"/>
                <w:sz w:val="18"/>
                <w:szCs w:val="18"/>
              </w:rPr>
            </w:pPr>
            <w:r>
              <w:rPr>
                <w:rFonts w:hint="eastAsia" w:ascii="宋体"/>
                <w:sz w:val="18"/>
                <w:szCs w:val="18"/>
              </w:rPr>
              <w:t>完整性</w:t>
            </w:r>
          </w:p>
        </w:tc>
        <w:tc>
          <w:tcPr>
            <w:tcW w:w="3544" w:type="dxa"/>
            <w:vAlign w:val="center"/>
          </w:tcPr>
          <w:p w14:paraId="30AC9568">
            <w:pPr>
              <w:pStyle w:val="2"/>
              <w:ind w:firstLine="0" w:firstLineChars="0"/>
              <w:rPr>
                <w:rFonts w:ascii="宋体"/>
                <w:sz w:val="18"/>
                <w:szCs w:val="18"/>
              </w:rPr>
            </w:pPr>
            <w:r>
              <w:rPr>
                <w:rFonts w:hint="eastAsia" w:ascii="宋体"/>
                <w:sz w:val="18"/>
                <w:szCs w:val="18"/>
              </w:rPr>
              <w:t>数据对相关活动的统计代表程度；</w:t>
            </w:r>
          </w:p>
          <w:p w14:paraId="67EC9138">
            <w:pPr>
              <w:pStyle w:val="2"/>
              <w:ind w:firstLine="0" w:firstLineChars="0"/>
              <w:rPr>
                <w:rFonts w:ascii="宋体"/>
                <w:sz w:val="18"/>
                <w:szCs w:val="18"/>
              </w:rPr>
            </w:pPr>
            <w:r>
              <w:rPr>
                <w:rFonts w:hint="eastAsia" w:ascii="宋体"/>
                <w:sz w:val="18"/>
                <w:szCs w:val="18"/>
              </w:rPr>
              <w:t>完整性反映可获得并可被使用的数据在特定活动相关的总数中的百分比；</w:t>
            </w:r>
          </w:p>
          <w:p w14:paraId="798BF465">
            <w:pPr>
              <w:pStyle w:val="2"/>
              <w:ind w:firstLine="0" w:firstLineChars="0"/>
              <w:rPr>
                <w:rFonts w:ascii="宋体"/>
                <w:sz w:val="18"/>
                <w:szCs w:val="18"/>
              </w:rPr>
            </w:pPr>
            <w:r>
              <w:rPr>
                <w:rFonts w:hint="eastAsia" w:ascii="宋体"/>
                <w:sz w:val="18"/>
                <w:szCs w:val="18"/>
              </w:rPr>
              <w:t>完整的数据也反映了数据的周期性和其他正常的波动性。</w:t>
            </w:r>
          </w:p>
        </w:tc>
        <w:tc>
          <w:tcPr>
            <w:tcW w:w="2920" w:type="dxa"/>
            <w:vAlign w:val="center"/>
          </w:tcPr>
          <w:p w14:paraId="092BCBD8">
            <w:pPr>
              <w:pStyle w:val="2"/>
              <w:ind w:firstLine="0" w:firstLineChars="0"/>
              <w:rPr>
                <w:rFonts w:ascii="宋体"/>
                <w:sz w:val="18"/>
                <w:szCs w:val="18"/>
              </w:rPr>
            </w:pPr>
            <w:r>
              <w:rPr>
                <w:rFonts w:hint="eastAsia" w:ascii="宋体"/>
                <w:sz w:val="18"/>
                <w:szCs w:val="18"/>
              </w:rPr>
              <w:t>企业宜选择完整的数据</w:t>
            </w:r>
          </w:p>
        </w:tc>
      </w:tr>
      <w:tr w14:paraId="06975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center"/>
          </w:tcPr>
          <w:p w14:paraId="270FF455">
            <w:pPr>
              <w:pStyle w:val="2"/>
              <w:ind w:firstLine="0" w:firstLineChars="0"/>
              <w:jc w:val="center"/>
              <w:rPr>
                <w:rFonts w:ascii="宋体"/>
                <w:sz w:val="18"/>
                <w:szCs w:val="18"/>
              </w:rPr>
            </w:pPr>
            <w:r>
              <w:rPr>
                <w:rFonts w:hint="eastAsia" w:ascii="宋体"/>
                <w:sz w:val="18"/>
                <w:szCs w:val="18"/>
              </w:rPr>
              <w:t>可靠性</w:t>
            </w:r>
          </w:p>
        </w:tc>
        <w:tc>
          <w:tcPr>
            <w:tcW w:w="3544" w:type="dxa"/>
            <w:vAlign w:val="center"/>
          </w:tcPr>
          <w:p w14:paraId="2A1D1D59">
            <w:pPr>
              <w:pStyle w:val="2"/>
              <w:ind w:firstLine="0" w:firstLineChars="0"/>
              <w:rPr>
                <w:rFonts w:ascii="宋体"/>
                <w:sz w:val="18"/>
                <w:szCs w:val="18"/>
              </w:rPr>
            </w:pPr>
            <w:r>
              <w:rPr>
                <w:rFonts w:hint="eastAsia" w:ascii="宋体"/>
                <w:sz w:val="18"/>
                <w:szCs w:val="18"/>
              </w:rPr>
              <w:t>获得数据的数据来源、数据收集方法和核查流程的可靠程度</w:t>
            </w:r>
          </w:p>
        </w:tc>
        <w:tc>
          <w:tcPr>
            <w:tcW w:w="2920" w:type="dxa"/>
            <w:vAlign w:val="center"/>
          </w:tcPr>
          <w:p w14:paraId="39FBA936">
            <w:pPr>
              <w:pStyle w:val="2"/>
              <w:ind w:firstLine="0" w:firstLineChars="0"/>
              <w:rPr>
                <w:rFonts w:ascii="宋体"/>
                <w:sz w:val="18"/>
                <w:szCs w:val="18"/>
              </w:rPr>
            </w:pPr>
            <w:r>
              <w:rPr>
                <w:rFonts w:hint="eastAsia" w:ascii="宋体"/>
                <w:sz w:val="18"/>
                <w:szCs w:val="18"/>
              </w:rPr>
              <w:t>企业宜选择可靠的数据</w:t>
            </w:r>
          </w:p>
        </w:tc>
      </w:tr>
    </w:tbl>
    <w:p w14:paraId="776C51B5">
      <w:pPr>
        <w:pStyle w:val="2"/>
      </w:pPr>
    </w:p>
    <w:p w14:paraId="11877E46">
      <w:pPr>
        <w:ind w:firstLine="420"/>
        <w:rPr>
          <w:rFonts w:ascii="宋体"/>
          <w:kern w:val="0"/>
          <w:szCs w:val="20"/>
        </w:rPr>
      </w:pPr>
      <w:r>
        <w:rPr>
          <w:rFonts w:hint="eastAsia" w:ascii="宋体"/>
          <w:kern w:val="0"/>
          <w:szCs w:val="20"/>
        </w:rPr>
        <w:t>数据质量评价宜参照表B.2进行定性评估。</w:t>
      </w:r>
    </w:p>
    <w:p w14:paraId="1603FE1A">
      <w:pPr>
        <w:pStyle w:val="61"/>
        <w:ind w:firstLine="0" w:firstLineChars="0"/>
        <w:jc w:val="center"/>
        <w:rPr>
          <w:rFonts w:hint="eastAsia" w:ascii="黑体" w:hAnsi="黑体" w:eastAsia="黑体"/>
        </w:rPr>
      </w:pPr>
      <w:r>
        <w:rPr>
          <w:rFonts w:hint="eastAsia" w:ascii="黑体" w:hAnsi="黑体" w:eastAsia="黑体"/>
        </w:rPr>
        <w:t>表B</w:t>
      </w:r>
      <w:r>
        <w:rPr>
          <w:rFonts w:ascii="黑体" w:hAnsi="黑体" w:eastAsia="黑体"/>
        </w:rPr>
        <w:t>.</w:t>
      </w:r>
      <w:r>
        <w:rPr>
          <w:rFonts w:hint="eastAsia" w:ascii="黑体" w:hAnsi="黑体" w:eastAsia="黑体"/>
        </w:rPr>
        <w:t>2</w:t>
      </w:r>
      <w:r>
        <w:rPr>
          <w:rFonts w:ascii="黑体" w:hAnsi="黑体" w:eastAsia="黑体"/>
        </w:rPr>
        <w:t xml:space="preserve">  </w:t>
      </w:r>
      <w:r>
        <w:rPr>
          <w:rFonts w:hint="eastAsia" w:ascii="黑体" w:hAnsi="黑体" w:eastAsia="黑体"/>
        </w:rPr>
        <w:t>数据质量定性评价</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2"/>
        <w:gridCol w:w="1179"/>
        <w:gridCol w:w="1561"/>
        <w:gridCol w:w="1759"/>
        <w:gridCol w:w="1671"/>
        <w:gridCol w:w="1764"/>
      </w:tblGrid>
      <w:tr w14:paraId="119C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jc w:val="center"/>
        </w:trPr>
        <w:tc>
          <w:tcPr>
            <w:tcW w:w="229" w:type="pct"/>
            <w:shd w:val="clear" w:color="auto" w:fill="auto"/>
            <w:noWrap/>
            <w:vAlign w:val="bottom"/>
          </w:tcPr>
          <w:p w14:paraId="3237E78A">
            <w:pPr>
              <w:widowControl/>
              <w:jc w:val="center"/>
              <w:rPr>
                <w:rFonts w:hint="eastAsia" w:ascii="宋体" w:hAnsi="宋体" w:cs="宋体"/>
                <w:kern w:val="0"/>
                <w:sz w:val="18"/>
                <w:szCs w:val="18"/>
              </w:rPr>
            </w:pPr>
            <w:r>
              <w:rPr>
                <w:rFonts w:hint="eastAsia" w:ascii="宋体" w:hAnsi="宋体" w:cs="宋体"/>
                <w:kern w:val="0"/>
                <w:sz w:val="18"/>
                <w:szCs w:val="18"/>
              </w:rPr>
              <w:t>评级</w:t>
            </w:r>
          </w:p>
        </w:tc>
        <w:tc>
          <w:tcPr>
            <w:tcW w:w="708" w:type="pct"/>
            <w:shd w:val="clear" w:color="auto" w:fill="auto"/>
            <w:noWrap/>
            <w:vAlign w:val="bottom"/>
          </w:tcPr>
          <w:p w14:paraId="25BA6689">
            <w:pPr>
              <w:widowControl/>
              <w:jc w:val="center"/>
              <w:rPr>
                <w:rFonts w:hint="eastAsia" w:ascii="宋体" w:hAnsi="宋体" w:cs="宋体"/>
                <w:kern w:val="0"/>
                <w:sz w:val="18"/>
                <w:szCs w:val="18"/>
              </w:rPr>
            </w:pPr>
            <w:r>
              <w:rPr>
                <w:rFonts w:hint="eastAsia" w:ascii="宋体" w:hAnsi="宋体" w:cs="宋体"/>
                <w:kern w:val="0"/>
                <w:sz w:val="18"/>
                <w:szCs w:val="18"/>
              </w:rPr>
              <w:t>技术</w:t>
            </w:r>
          </w:p>
        </w:tc>
        <w:tc>
          <w:tcPr>
            <w:tcW w:w="938" w:type="pct"/>
            <w:shd w:val="clear" w:color="auto" w:fill="auto"/>
            <w:noWrap/>
            <w:vAlign w:val="bottom"/>
          </w:tcPr>
          <w:p w14:paraId="7AFC6198">
            <w:pPr>
              <w:widowControl/>
              <w:jc w:val="center"/>
              <w:rPr>
                <w:rFonts w:hint="eastAsia" w:ascii="宋体" w:hAnsi="宋体" w:cs="宋体"/>
                <w:kern w:val="0"/>
                <w:sz w:val="18"/>
                <w:szCs w:val="18"/>
              </w:rPr>
            </w:pPr>
            <w:r>
              <w:rPr>
                <w:rFonts w:hint="eastAsia" w:ascii="宋体" w:hAnsi="宋体" w:cs="宋体"/>
                <w:kern w:val="0"/>
                <w:sz w:val="18"/>
                <w:szCs w:val="18"/>
              </w:rPr>
              <w:t>时间</w:t>
            </w:r>
          </w:p>
        </w:tc>
        <w:tc>
          <w:tcPr>
            <w:tcW w:w="1058" w:type="pct"/>
            <w:vAlign w:val="bottom"/>
          </w:tcPr>
          <w:p w14:paraId="3F38FD87">
            <w:pPr>
              <w:widowControl/>
              <w:jc w:val="center"/>
              <w:rPr>
                <w:rFonts w:hint="eastAsia" w:ascii="宋体" w:hAnsi="宋体" w:cs="宋体"/>
                <w:kern w:val="0"/>
                <w:sz w:val="18"/>
                <w:szCs w:val="18"/>
              </w:rPr>
            </w:pPr>
            <w:r>
              <w:rPr>
                <w:rFonts w:hint="eastAsia" w:ascii="宋体" w:hAnsi="宋体" w:cs="宋体"/>
                <w:kern w:val="0"/>
                <w:sz w:val="18"/>
                <w:szCs w:val="18"/>
              </w:rPr>
              <w:t>地域</w:t>
            </w:r>
          </w:p>
        </w:tc>
        <w:tc>
          <w:tcPr>
            <w:tcW w:w="1005" w:type="pct"/>
            <w:shd w:val="clear" w:color="auto" w:fill="auto"/>
            <w:noWrap/>
            <w:vAlign w:val="bottom"/>
          </w:tcPr>
          <w:p w14:paraId="086300E2">
            <w:pPr>
              <w:widowControl/>
              <w:jc w:val="center"/>
              <w:rPr>
                <w:rFonts w:hint="eastAsia" w:ascii="宋体" w:hAnsi="宋体" w:cs="宋体"/>
                <w:kern w:val="0"/>
                <w:sz w:val="18"/>
                <w:szCs w:val="18"/>
              </w:rPr>
            </w:pPr>
            <w:r>
              <w:rPr>
                <w:rFonts w:hint="eastAsia" w:ascii="宋体" w:hAnsi="宋体" w:cs="宋体"/>
                <w:kern w:val="0"/>
                <w:sz w:val="18"/>
                <w:szCs w:val="18"/>
              </w:rPr>
              <w:t>可靠性</w:t>
            </w:r>
          </w:p>
        </w:tc>
        <w:tc>
          <w:tcPr>
            <w:tcW w:w="1061" w:type="pct"/>
            <w:shd w:val="clear" w:color="auto" w:fill="auto"/>
            <w:noWrap/>
            <w:vAlign w:val="bottom"/>
          </w:tcPr>
          <w:p w14:paraId="59259399">
            <w:pPr>
              <w:widowControl/>
              <w:jc w:val="center"/>
              <w:rPr>
                <w:rFonts w:hint="eastAsia" w:ascii="宋体" w:hAnsi="宋体" w:cs="宋体"/>
                <w:kern w:val="0"/>
                <w:sz w:val="18"/>
                <w:szCs w:val="18"/>
              </w:rPr>
            </w:pPr>
            <w:r>
              <w:rPr>
                <w:rFonts w:hint="eastAsia" w:ascii="宋体" w:hAnsi="宋体" w:cs="宋体"/>
                <w:kern w:val="0"/>
                <w:sz w:val="18"/>
                <w:szCs w:val="18"/>
              </w:rPr>
              <w:t>完整性</w:t>
            </w:r>
          </w:p>
        </w:tc>
      </w:tr>
      <w:tr w14:paraId="4BC0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229" w:type="pct"/>
            <w:shd w:val="clear" w:color="auto" w:fill="auto"/>
            <w:noWrap/>
            <w:vAlign w:val="center"/>
          </w:tcPr>
          <w:p w14:paraId="33A74920">
            <w:pPr>
              <w:widowControl/>
              <w:jc w:val="center"/>
              <w:rPr>
                <w:rFonts w:hint="eastAsia" w:ascii="宋体" w:hAnsi="宋体" w:cs="宋体"/>
                <w:kern w:val="0"/>
                <w:sz w:val="18"/>
                <w:szCs w:val="18"/>
              </w:rPr>
            </w:pPr>
            <w:r>
              <w:rPr>
                <w:rFonts w:hint="eastAsia" w:ascii="宋体" w:hAnsi="宋体" w:cs="宋体"/>
                <w:kern w:val="0"/>
                <w:sz w:val="18"/>
                <w:szCs w:val="18"/>
              </w:rPr>
              <w:t>很好</w:t>
            </w:r>
          </w:p>
        </w:tc>
        <w:tc>
          <w:tcPr>
            <w:tcW w:w="708" w:type="pct"/>
            <w:shd w:val="clear" w:color="auto" w:fill="auto"/>
            <w:noWrap/>
            <w:vAlign w:val="center"/>
          </w:tcPr>
          <w:p w14:paraId="33AD28F7">
            <w:pPr>
              <w:widowControl/>
              <w:jc w:val="center"/>
              <w:rPr>
                <w:rFonts w:hint="eastAsia" w:ascii="宋体" w:hAnsi="宋体" w:cs="宋体"/>
                <w:kern w:val="0"/>
                <w:sz w:val="18"/>
                <w:szCs w:val="18"/>
              </w:rPr>
            </w:pPr>
            <w:r>
              <w:rPr>
                <w:rFonts w:hint="eastAsia" w:ascii="宋体" w:hAnsi="宋体" w:cs="宋体"/>
                <w:kern w:val="0"/>
                <w:sz w:val="18"/>
                <w:szCs w:val="18"/>
              </w:rPr>
              <w:t>相同技术的数据</w:t>
            </w:r>
          </w:p>
        </w:tc>
        <w:tc>
          <w:tcPr>
            <w:tcW w:w="938" w:type="pct"/>
            <w:shd w:val="clear" w:color="auto" w:fill="auto"/>
            <w:noWrap/>
            <w:vAlign w:val="center"/>
          </w:tcPr>
          <w:p w14:paraId="15096B7E">
            <w:pPr>
              <w:widowControl/>
              <w:jc w:val="center"/>
              <w:rPr>
                <w:rFonts w:hint="eastAsia" w:ascii="宋体" w:hAnsi="宋体" w:cs="宋体"/>
                <w:kern w:val="0"/>
                <w:sz w:val="18"/>
                <w:szCs w:val="18"/>
              </w:rPr>
            </w:pPr>
            <w:r>
              <w:rPr>
                <w:rFonts w:hint="eastAsia" w:ascii="宋体" w:hAnsi="宋体" w:cs="宋体"/>
                <w:kern w:val="0"/>
                <w:sz w:val="18"/>
                <w:szCs w:val="18"/>
              </w:rPr>
              <w:t>时间差别≤3年</w:t>
            </w:r>
          </w:p>
        </w:tc>
        <w:tc>
          <w:tcPr>
            <w:tcW w:w="1058" w:type="pct"/>
            <w:vAlign w:val="center"/>
          </w:tcPr>
          <w:p w14:paraId="256D797F">
            <w:pPr>
              <w:widowControl/>
              <w:jc w:val="center"/>
              <w:rPr>
                <w:rFonts w:hint="eastAsia" w:ascii="宋体" w:hAnsi="宋体" w:cs="宋体"/>
                <w:kern w:val="0"/>
                <w:sz w:val="18"/>
                <w:szCs w:val="18"/>
              </w:rPr>
            </w:pPr>
            <w:r>
              <w:rPr>
                <w:rFonts w:hint="eastAsia" w:ascii="宋体" w:hAnsi="宋体" w:cs="宋体"/>
                <w:kern w:val="0"/>
                <w:sz w:val="18"/>
                <w:szCs w:val="18"/>
              </w:rPr>
              <w:t>来自同一地区的数据</w:t>
            </w:r>
          </w:p>
        </w:tc>
        <w:tc>
          <w:tcPr>
            <w:tcW w:w="1005" w:type="pct"/>
            <w:shd w:val="clear" w:color="auto" w:fill="auto"/>
            <w:noWrap/>
            <w:vAlign w:val="center"/>
          </w:tcPr>
          <w:p w14:paraId="73DAC3DE">
            <w:pPr>
              <w:widowControl/>
              <w:jc w:val="center"/>
              <w:rPr>
                <w:rFonts w:hint="eastAsia" w:ascii="宋体" w:hAnsi="宋体" w:cs="宋体"/>
                <w:kern w:val="0"/>
                <w:sz w:val="18"/>
                <w:szCs w:val="18"/>
              </w:rPr>
            </w:pPr>
            <w:r>
              <w:rPr>
                <w:rFonts w:hint="eastAsia" w:ascii="宋体" w:hAnsi="宋体" w:cs="宋体"/>
                <w:kern w:val="0"/>
                <w:sz w:val="18"/>
                <w:szCs w:val="18"/>
              </w:rPr>
              <w:t>基于测量或经核查的数据</w:t>
            </w:r>
          </w:p>
        </w:tc>
        <w:tc>
          <w:tcPr>
            <w:tcW w:w="1061" w:type="pct"/>
            <w:shd w:val="clear" w:color="auto" w:fill="auto"/>
            <w:noWrap/>
            <w:vAlign w:val="center"/>
          </w:tcPr>
          <w:p w14:paraId="2A990779">
            <w:pPr>
              <w:widowControl/>
              <w:jc w:val="center"/>
              <w:rPr>
                <w:rFonts w:hint="eastAsia" w:ascii="宋体" w:hAnsi="宋体" w:cs="宋体"/>
                <w:kern w:val="0"/>
                <w:sz w:val="18"/>
                <w:szCs w:val="18"/>
              </w:rPr>
            </w:pPr>
            <w:r>
              <w:rPr>
                <w:rFonts w:hint="eastAsia" w:ascii="宋体" w:hAnsi="宋体" w:cs="宋体"/>
                <w:kern w:val="0"/>
                <w:sz w:val="18"/>
                <w:szCs w:val="18"/>
              </w:rPr>
              <w:t>数据基本完整</w:t>
            </w:r>
          </w:p>
        </w:tc>
      </w:tr>
      <w:tr w14:paraId="64FA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229" w:type="pct"/>
            <w:shd w:val="clear" w:color="auto" w:fill="auto"/>
            <w:noWrap/>
            <w:vAlign w:val="center"/>
          </w:tcPr>
          <w:p w14:paraId="3073BAA6">
            <w:pPr>
              <w:widowControl/>
              <w:jc w:val="center"/>
              <w:rPr>
                <w:rFonts w:hint="eastAsia" w:ascii="宋体" w:hAnsi="宋体" w:cs="宋体"/>
                <w:kern w:val="0"/>
                <w:sz w:val="18"/>
                <w:szCs w:val="18"/>
              </w:rPr>
            </w:pPr>
            <w:r>
              <w:rPr>
                <w:rFonts w:hint="eastAsia" w:ascii="宋体" w:hAnsi="宋体" w:cs="宋体"/>
                <w:kern w:val="0"/>
                <w:sz w:val="18"/>
                <w:szCs w:val="18"/>
              </w:rPr>
              <w:t>好</w:t>
            </w:r>
          </w:p>
        </w:tc>
        <w:tc>
          <w:tcPr>
            <w:tcW w:w="708" w:type="pct"/>
            <w:shd w:val="clear" w:color="auto" w:fill="auto"/>
            <w:noWrap/>
            <w:vAlign w:val="center"/>
          </w:tcPr>
          <w:p w14:paraId="62CC4998">
            <w:pPr>
              <w:widowControl/>
              <w:jc w:val="center"/>
              <w:rPr>
                <w:rFonts w:hint="eastAsia" w:ascii="宋体" w:hAnsi="宋体" w:cs="宋体"/>
                <w:kern w:val="0"/>
                <w:sz w:val="18"/>
                <w:szCs w:val="18"/>
              </w:rPr>
            </w:pPr>
            <w:r>
              <w:rPr>
                <w:rFonts w:hint="eastAsia" w:ascii="宋体" w:hAnsi="宋体" w:cs="宋体"/>
                <w:kern w:val="0"/>
                <w:sz w:val="18"/>
                <w:szCs w:val="18"/>
              </w:rPr>
              <w:t>类似技术的数据</w:t>
            </w:r>
          </w:p>
        </w:tc>
        <w:tc>
          <w:tcPr>
            <w:tcW w:w="938" w:type="pct"/>
            <w:shd w:val="clear" w:color="auto" w:fill="auto"/>
            <w:noWrap/>
            <w:vAlign w:val="center"/>
          </w:tcPr>
          <w:p w14:paraId="52303D82">
            <w:pPr>
              <w:widowControl/>
              <w:jc w:val="center"/>
              <w:rPr>
                <w:rFonts w:hint="eastAsia" w:ascii="宋体" w:hAnsi="宋体" w:cs="宋体"/>
                <w:kern w:val="0"/>
                <w:sz w:val="18"/>
                <w:szCs w:val="18"/>
              </w:rPr>
            </w:pPr>
            <w:r>
              <w:rPr>
                <w:rFonts w:hint="eastAsia" w:ascii="宋体" w:hAnsi="宋体" w:cs="宋体"/>
                <w:kern w:val="0"/>
                <w:sz w:val="18"/>
                <w:szCs w:val="18"/>
              </w:rPr>
              <w:t>时间差别3～5年（含）</w:t>
            </w:r>
          </w:p>
        </w:tc>
        <w:tc>
          <w:tcPr>
            <w:tcW w:w="1058" w:type="pct"/>
            <w:vAlign w:val="center"/>
          </w:tcPr>
          <w:p w14:paraId="1FB496A5">
            <w:pPr>
              <w:widowControl/>
              <w:jc w:val="center"/>
              <w:rPr>
                <w:rFonts w:hint="eastAsia" w:ascii="宋体" w:hAnsi="宋体" w:cs="宋体"/>
                <w:kern w:val="0"/>
                <w:sz w:val="18"/>
                <w:szCs w:val="18"/>
              </w:rPr>
            </w:pPr>
            <w:r>
              <w:rPr>
                <w:rFonts w:hint="eastAsia" w:ascii="宋体" w:hAnsi="宋体" w:cs="宋体"/>
                <w:kern w:val="0"/>
                <w:sz w:val="18"/>
                <w:szCs w:val="18"/>
              </w:rPr>
              <w:t>来自相似地区的数据</w:t>
            </w:r>
          </w:p>
        </w:tc>
        <w:tc>
          <w:tcPr>
            <w:tcW w:w="1005" w:type="pct"/>
            <w:shd w:val="clear" w:color="auto" w:fill="auto"/>
            <w:noWrap/>
            <w:vAlign w:val="center"/>
          </w:tcPr>
          <w:p w14:paraId="6E03F96D">
            <w:pPr>
              <w:widowControl/>
              <w:jc w:val="center"/>
              <w:rPr>
                <w:rFonts w:hint="eastAsia" w:ascii="宋体" w:hAnsi="宋体" w:cs="宋体"/>
                <w:kern w:val="0"/>
                <w:sz w:val="18"/>
                <w:szCs w:val="18"/>
              </w:rPr>
            </w:pPr>
            <w:r>
              <w:rPr>
                <w:rFonts w:hint="eastAsia" w:ascii="宋体" w:hAnsi="宋体" w:cs="宋体"/>
                <w:kern w:val="0"/>
                <w:sz w:val="18"/>
                <w:szCs w:val="18"/>
              </w:rPr>
              <w:t>基于部分测量或部分核查的数据</w:t>
            </w:r>
          </w:p>
        </w:tc>
        <w:tc>
          <w:tcPr>
            <w:tcW w:w="1061" w:type="pct"/>
            <w:shd w:val="clear" w:color="auto" w:fill="auto"/>
            <w:noWrap/>
            <w:vAlign w:val="center"/>
          </w:tcPr>
          <w:p w14:paraId="2984C15C">
            <w:pPr>
              <w:widowControl/>
              <w:jc w:val="center"/>
              <w:rPr>
                <w:rFonts w:hint="eastAsia" w:ascii="宋体" w:hAnsi="宋体" w:cs="宋体"/>
                <w:kern w:val="0"/>
                <w:sz w:val="18"/>
                <w:szCs w:val="18"/>
              </w:rPr>
            </w:pPr>
            <w:r>
              <w:rPr>
                <w:rFonts w:hint="eastAsia" w:ascii="宋体" w:hAnsi="宋体" w:cs="宋体"/>
                <w:kern w:val="0"/>
                <w:sz w:val="18"/>
                <w:szCs w:val="18"/>
              </w:rPr>
              <w:t>数据完整性≥80%</w:t>
            </w:r>
          </w:p>
        </w:tc>
      </w:tr>
      <w:tr w14:paraId="2F17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229" w:type="pct"/>
            <w:shd w:val="clear" w:color="auto" w:fill="auto"/>
            <w:noWrap/>
            <w:vAlign w:val="center"/>
          </w:tcPr>
          <w:p w14:paraId="021EE27B">
            <w:pPr>
              <w:widowControl/>
              <w:jc w:val="center"/>
              <w:rPr>
                <w:rFonts w:hint="eastAsia" w:ascii="宋体" w:hAnsi="宋体" w:cs="宋体"/>
                <w:kern w:val="0"/>
                <w:sz w:val="18"/>
                <w:szCs w:val="18"/>
              </w:rPr>
            </w:pPr>
            <w:r>
              <w:rPr>
                <w:rFonts w:hint="eastAsia" w:ascii="宋体" w:hAnsi="宋体" w:cs="宋体"/>
                <w:kern w:val="0"/>
                <w:sz w:val="18"/>
                <w:szCs w:val="18"/>
              </w:rPr>
              <w:t>中等</w:t>
            </w:r>
          </w:p>
        </w:tc>
        <w:tc>
          <w:tcPr>
            <w:tcW w:w="708" w:type="pct"/>
            <w:shd w:val="clear" w:color="auto" w:fill="auto"/>
            <w:noWrap/>
            <w:vAlign w:val="center"/>
          </w:tcPr>
          <w:p w14:paraId="75E349F1">
            <w:pPr>
              <w:widowControl/>
              <w:jc w:val="center"/>
              <w:rPr>
                <w:rFonts w:hint="eastAsia" w:ascii="宋体" w:hAnsi="宋体" w:cs="宋体"/>
                <w:kern w:val="0"/>
                <w:sz w:val="18"/>
                <w:szCs w:val="18"/>
              </w:rPr>
            </w:pPr>
            <w:r>
              <w:rPr>
                <w:rFonts w:hint="eastAsia" w:ascii="宋体" w:hAnsi="宋体" w:cs="宋体"/>
                <w:kern w:val="0"/>
                <w:sz w:val="18"/>
                <w:szCs w:val="18"/>
              </w:rPr>
              <w:t>不同技术的数据</w:t>
            </w:r>
          </w:p>
        </w:tc>
        <w:tc>
          <w:tcPr>
            <w:tcW w:w="938" w:type="pct"/>
            <w:shd w:val="clear" w:color="auto" w:fill="auto"/>
            <w:noWrap/>
            <w:vAlign w:val="center"/>
          </w:tcPr>
          <w:p w14:paraId="2B98AAC6">
            <w:pPr>
              <w:widowControl/>
              <w:jc w:val="center"/>
              <w:rPr>
                <w:rFonts w:hint="eastAsia" w:ascii="宋体" w:hAnsi="宋体" w:cs="宋体"/>
                <w:kern w:val="0"/>
                <w:sz w:val="18"/>
                <w:szCs w:val="18"/>
              </w:rPr>
            </w:pPr>
            <w:r>
              <w:rPr>
                <w:rFonts w:hint="eastAsia" w:ascii="宋体" w:hAnsi="宋体" w:cs="宋体"/>
                <w:kern w:val="0"/>
                <w:sz w:val="18"/>
                <w:szCs w:val="18"/>
              </w:rPr>
              <w:t>时间差别5～10年（含）</w:t>
            </w:r>
          </w:p>
        </w:tc>
        <w:tc>
          <w:tcPr>
            <w:tcW w:w="1058" w:type="pct"/>
            <w:vAlign w:val="center"/>
          </w:tcPr>
          <w:p w14:paraId="1ADC4107">
            <w:pPr>
              <w:widowControl/>
              <w:jc w:val="center"/>
              <w:rPr>
                <w:rFonts w:hint="eastAsia" w:ascii="宋体" w:hAnsi="宋体" w:cs="宋体"/>
                <w:kern w:val="0"/>
                <w:sz w:val="18"/>
                <w:szCs w:val="18"/>
              </w:rPr>
            </w:pPr>
            <w:r>
              <w:rPr>
                <w:rFonts w:hint="eastAsia" w:ascii="宋体" w:hAnsi="宋体" w:cs="宋体"/>
                <w:kern w:val="0"/>
                <w:sz w:val="18"/>
                <w:szCs w:val="18"/>
              </w:rPr>
              <w:t>来自不同地区的数据</w:t>
            </w:r>
          </w:p>
        </w:tc>
        <w:tc>
          <w:tcPr>
            <w:tcW w:w="1005" w:type="pct"/>
            <w:shd w:val="clear" w:color="auto" w:fill="auto"/>
            <w:noWrap/>
            <w:vAlign w:val="center"/>
          </w:tcPr>
          <w:p w14:paraId="0EB76DE2">
            <w:pPr>
              <w:widowControl/>
              <w:jc w:val="center"/>
              <w:rPr>
                <w:rFonts w:hint="eastAsia" w:ascii="宋体" w:hAnsi="宋体" w:cs="宋体"/>
                <w:kern w:val="0"/>
                <w:sz w:val="18"/>
                <w:szCs w:val="18"/>
              </w:rPr>
            </w:pPr>
            <w:r>
              <w:rPr>
                <w:rFonts w:hint="eastAsia" w:ascii="宋体" w:hAnsi="宋体" w:cs="宋体"/>
                <w:kern w:val="0"/>
                <w:sz w:val="18"/>
                <w:szCs w:val="18"/>
              </w:rPr>
              <w:t>基于数据库的估算值</w:t>
            </w:r>
          </w:p>
        </w:tc>
        <w:tc>
          <w:tcPr>
            <w:tcW w:w="1061" w:type="pct"/>
            <w:shd w:val="clear" w:color="auto" w:fill="auto"/>
            <w:noWrap/>
            <w:vAlign w:val="center"/>
          </w:tcPr>
          <w:p w14:paraId="2DFF1D64">
            <w:pPr>
              <w:widowControl/>
              <w:jc w:val="center"/>
              <w:rPr>
                <w:rFonts w:hint="eastAsia" w:ascii="宋体" w:hAnsi="宋体" w:cs="宋体"/>
                <w:kern w:val="0"/>
                <w:sz w:val="18"/>
                <w:szCs w:val="18"/>
              </w:rPr>
            </w:pPr>
            <w:r>
              <w:rPr>
                <w:rFonts w:hint="eastAsia" w:ascii="宋体" w:hAnsi="宋体" w:cs="宋体"/>
                <w:kern w:val="0"/>
                <w:sz w:val="18"/>
                <w:szCs w:val="18"/>
              </w:rPr>
              <w:t>80%&gt;数据完整性≥50%</w:t>
            </w:r>
          </w:p>
        </w:tc>
      </w:tr>
      <w:tr w14:paraId="2107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229" w:type="pct"/>
            <w:shd w:val="clear" w:color="auto" w:fill="auto"/>
            <w:noWrap/>
            <w:vAlign w:val="center"/>
          </w:tcPr>
          <w:p w14:paraId="2D9F7252">
            <w:pPr>
              <w:widowControl/>
              <w:jc w:val="center"/>
              <w:rPr>
                <w:rFonts w:hint="eastAsia" w:ascii="宋体" w:hAnsi="宋体" w:cs="宋体"/>
                <w:kern w:val="0"/>
                <w:sz w:val="18"/>
                <w:szCs w:val="18"/>
              </w:rPr>
            </w:pPr>
            <w:r>
              <w:rPr>
                <w:rFonts w:hint="eastAsia" w:ascii="宋体" w:hAnsi="宋体" w:cs="宋体"/>
                <w:kern w:val="0"/>
                <w:sz w:val="18"/>
                <w:szCs w:val="18"/>
              </w:rPr>
              <w:t>差</w:t>
            </w:r>
          </w:p>
        </w:tc>
        <w:tc>
          <w:tcPr>
            <w:tcW w:w="708" w:type="pct"/>
            <w:shd w:val="clear" w:color="auto" w:fill="auto"/>
            <w:noWrap/>
            <w:vAlign w:val="center"/>
          </w:tcPr>
          <w:p w14:paraId="58F18CCD">
            <w:pPr>
              <w:widowControl/>
              <w:jc w:val="center"/>
              <w:rPr>
                <w:rFonts w:hint="eastAsia" w:ascii="宋体" w:hAnsi="宋体" w:cs="宋体"/>
                <w:kern w:val="0"/>
                <w:sz w:val="18"/>
                <w:szCs w:val="18"/>
              </w:rPr>
            </w:pPr>
            <w:r>
              <w:rPr>
                <w:rFonts w:hint="eastAsia" w:ascii="宋体" w:hAnsi="宋体" w:cs="宋体"/>
                <w:kern w:val="0"/>
                <w:sz w:val="18"/>
                <w:szCs w:val="18"/>
              </w:rPr>
              <w:t>来自不明技术的数据</w:t>
            </w:r>
          </w:p>
        </w:tc>
        <w:tc>
          <w:tcPr>
            <w:tcW w:w="938" w:type="pct"/>
            <w:shd w:val="clear" w:color="auto" w:fill="auto"/>
            <w:noWrap/>
            <w:vAlign w:val="center"/>
          </w:tcPr>
          <w:p w14:paraId="45B38C95">
            <w:pPr>
              <w:widowControl/>
              <w:jc w:val="center"/>
              <w:rPr>
                <w:rFonts w:hint="eastAsia" w:ascii="宋体" w:hAnsi="宋体" w:cs="宋体"/>
                <w:kern w:val="0"/>
                <w:sz w:val="18"/>
                <w:szCs w:val="18"/>
              </w:rPr>
            </w:pPr>
            <w:r>
              <w:rPr>
                <w:rFonts w:hint="eastAsia" w:ascii="宋体" w:hAnsi="宋体" w:cs="宋体"/>
                <w:kern w:val="0"/>
                <w:sz w:val="18"/>
                <w:szCs w:val="18"/>
              </w:rPr>
              <w:t>时间差别&gt;10年</w:t>
            </w:r>
          </w:p>
        </w:tc>
        <w:tc>
          <w:tcPr>
            <w:tcW w:w="1058" w:type="pct"/>
            <w:vAlign w:val="center"/>
          </w:tcPr>
          <w:p w14:paraId="1425107D">
            <w:pPr>
              <w:widowControl/>
              <w:jc w:val="center"/>
              <w:rPr>
                <w:rFonts w:hint="eastAsia" w:ascii="宋体" w:hAnsi="宋体" w:cs="宋体"/>
                <w:kern w:val="0"/>
                <w:sz w:val="18"/>
                <w:szCs w:val="18"/>
              </w:rPr>
            </w:pPr>
            <w:r>
              <w:rPr>
                <w:rFonts w:hint="eastAsia" w:ascii="宋体" w:hAnsi="宋体" w:cs="宋体"/>
                <w:kern w:val="0"/>
                <w:sz w:val="18"/>
                <w:szCs w:val="18"/>
              </w:rPr>
              <w:t>来自未知区域的数据</w:t>
            </w:r>
          </w:p>
        </w:tc>
        <w:tc>
          <w:tcPr>
            <w:tcW w:w="1005" w:type="pct"/>
            <w:shd w:val="clear" w:color="auto" w:fill="auto"/>
            <w:noWrap/>
            <w:vAlign w:val="center"/>
          </w:tcPr>
          <w:p w14:paraId="6CF65583">
            <w:pPr>
              <w:widowControl/>
              <w:jc w:val="center"/>
              <w:rPr>
                <w:rFonts w:hint="eastAsia" w:ascii="宋体" w:hAnsi="宋体" w:cs="宋体"/>
                <w:kern w:val="0"/>
                <w:sz w:val="18"/>
                <w:szCs w:val="18"/>
              </w:rPr>
            </w:pPr>
            <w:r>
              <w:rPr>
                <w:rFonts w:hint="eastAsia" w:ascii="宋体" w:hAnsi="宋体" w:cs="宋体"/>
                <w:kern w:val="0"/>
                <w:sz w:val="18"/>
                <w:szCs w:val="18"/>
              </w:rPr>
              <w:t>不明来源的估算值</w:t>
            </w:r>
          </w:p>
        </w:tc>
        <w:tc>
          <w:tcPr>
            <w:tcW w:w="1061" w:type="pct"/>
            <w:shd w:val="clear" w:color="auto" w:fill="auto"/>
            <w:noWrap/>
            <w:vAlign w:val="center"/>
          </w:tcPr>
          <w:p w14:paraId="413B7515">
            <w:pPr>
              <w:widowControl/>
              <w:jc w:val="center"/>
              <w:rPr>
                <w:rFonts w:hint="eastAsia" w:ascii="宋体" w:hAnsi="宋体" w:cs="宋体"/>
                <w:kern w:val="0"/>
                <w:sz w:val="18"/>
                <w:szCs w:val="18"/>
              </w:rPr>
            </w:pPr>
            <w:r>
              <w:rPr>
                <w:rFonts w:hint="eastAsia" w:ascii="宋体" w:hAnsi="宋体" w:cs="宋体"/>
                <w:kern w:val="0"/>
                <w:sz w:val="18"/>
                <w:szCs w:val="18"/>
              </w:rPr>
              <w:t>数据完整性&lt;50%</w:t>
            </w:r>
          </w:p>
        </w:tc>
      </w:tr>
    </w:tbl>
    <w:p w14:paraId="353D6B45">
      <w:pPr>
        <w:jc w:val="left"/>
        <w:rPr>
          <w:rFonts w:hint="eastAsia" w:ascii="宋体" w:hAnsi="宋体"/>
          <w:szCs w:val="21"/>
        </w:rPr>
      </w:pPr>
    </w:p>
    <w:p w14:paraId="3529034A">
      <w:pPr>
        <w:ind w:firstLine="420" w:firstLineChars="200"/>
        <w:rPr>
          <w:rFonts w:hint="eastAsia" w:ascii="宋体" w:hAnsi="宋体"/>
        </w:rPr>
        <w:sectPr>
          <w:footerReference r:id="rId9" w:type="default"/>
          <w:footerReference r:id="rId10" w:type="even"/>
          <w:pgSz w:w="11906" w:h="16838"/>
          <w:pgMar w:top="1418" w:right="1800" w:bottom="1134" w:left="1800" w:header="851" w:footer="992" w:gutter="0"/>
          <w:cols w:space="425" w:num="1"/>
          <w:docGrid w:type="lines" w:linePitch="312" w:charSpace="0"/>
        </w:sectPr>
      </w:pPr>
    </w:p>
    <w:p w14:paraId="7037A835">
      <w:pPr>
        <w:pStyle w:val="4"/>
        <w:spacing w:before="0" w:after="0"/>
        <w:rPr>
          <w:b w:val="0"/>
          <w:bCs w:val="0"/>
          <w:szCs w:val="21"/>
        </w:rPr>
      </w:pPr>
      <w:bookmarkStart w:id="171" w:name="_Toc174232063"/>
      <w:r>
        <w:rPr>
          <w:rFonts w:hint="eastAsia"/>
          <w:b w:val="0"/>
          <w:bCs w:val="0"/>
          <w:szCs w:val="21"/>
        </w:rPr>
        <w:t>附</w:t>
      </w:r>
      <w:r>
        <w:rPr>
          <w:b w:val="0"/>
          <w:bCs w:val="0"/>
          <w:szCs w:val="21"/>
        </w:rPr>
        <w:t xml:space="preserve">  </w:t>
      </w:r>
      <w:r>
        <w:rPr>
          <w:rFonts w:hint="eastAsia"/>
          <w:b w:val="0"/>
          <w:bCs w:val="0"/>
          <w:szCs w:val="21"/>
        </w:rPr>
        <w:t>录</w:t>
      </w:r>
      <w:r>
        <w:rPr>
          <w:b w:val="0"/>
          <w:bCs w:val="0"/>
          <w:szCs w:val="21"/>
        </w:rPr>
        <w:t xml:space="preserve">  </w:t>
      </w:r>
      <w:bookmarkEnd w:id="166"/>
      <w:r>
        <w:rPr>
          <w:b w:val="0"/>
          <w:bCs w:val="0"/>
          <w:szCs w:val="21"/>
        </w:rPr>
        <w:t>C</w:t>
      </w:r>
      <w:bookmarkEnd w:id="171"/>
    </w:p>
    <w:p w14:paraId="223CEC0C">
      <w:pPr>
        <w:pStyle w:val="61"/>
        <w:ind w:firstLine="0" w:firstLineChars="0"/>
        <w:jc w:val="center"/>
        <w:rPr>
          <w:rFonts w:hint="eastAsia" w:ascii="黑体" w:hAnsi="黑体" w:eastAsia="黑体"/>
        </w:rPr>
      </w:pPr>
      <w:r>
        <w:rPr>
          <w:rFonts w:ascii="黑体" w:hAnsi="黑体" w:eastAsia="黑体"/>
        </w:rPr>
        <w:t>(</w:t>
      </w:r>
      <w:r>
        <w:rPr>
          <w:rFonts w:hint="eastAsia" w:ascii="黑体" w:hAnsi="黑体" w:eastAsia="黑体"/>
        </w:rPr>
        <w:t>资料性</w:t>
      </w:r>
      <w:r>
        <w:rPr>
          <w:rFonts w:ascii="黑体" w:hAnsi="黑体" w:eastAsia="黑体"/>
        </w:rPr>
        <w:t>)</w:t>
      </w:r>
    </w:p>
    <w:p w14:paraId="16384654">
      <w:pPr>
        <w:pStyle w:val="61"/>
        <w:ind w:firstLine="0" w:firstLineChars="0"/>
        <w:jc w:val="center"/>
        <w:rPr>
          <w:rFonts w:hint="eastAsia" w:ascii="Times New Roman" w:eastAsia="黑体"/>
        </w:rPr>
      </w:pPr>
      <w:r>
        <w:rPr>
          <w:rFonts w:hint="eastAsia" w:ascii="黑体" w:hAnsi="黑体" w:eastAsia="黑体"/>
        </w:rPr>
        <w:t>产品碳足迹量化数据收集表</w:t>
      </w:r>
    </w:p>
    <w:p w14:paraId="07EEC050">
      <w:pPr>
        <w:pStyle w:val="61"/>
        <w:ind w:left="5250"/>
        <w:rPr>
          <w:rFonts w:hint="eastAsia"/>
        </w:rPr>
      </w:pPr>
    </w:p>
    <w:p w14:paraId="6D546E96">
      <w:pPr>
        <w:pStyle w:val="61"/>
        <w:ind w:firstLineChars="0"/>
        <w:rPr>
          <w:rFonts w:hint="eastAsia"/>
        </w:rPr>
      </w:pPr>
      <w:r>
        <w:rPr>
          <w:rFonts w:hint="eastAsia"/>
        </w:rPr>
        <w:t>涉及的主要环节初级数据和次级数据的收集见表</w:t>
      </w:r>
      <w:r>
        <w:t>C.1</w:t>
      </w:r>
      <w:r>
        <w:rPr>
          <w:rFonts w:hint="eastAsia"/>
        </w:rPr>
        <w:t>至表</w:t>
      </w:r>
      <w:r>
        <w:t>C.11</w:t>
      </w:r>
      <w:r>
        <w:rPr>
          <w:rFonts w:hint="eastAsia"/>
        </w:rPr>
        <w:t>。</w:t>
      </w:r>
    </w:p>
    <w:p w14:paraId="5B23732A">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 xml:space="preserve">C.1  </w:t>
      </w:r>
      <w:r>
        <w:rPr>
          <w:rFonts w:hint="eastAsia" w:ascii="黑体" w:hAnsi="黑体" w:eastAsia="黑体"/>
        </w:rPr>
        <w:t>现场特征数据收集范例（采矿单元）</w:t>
      </w:r>
    </w:p>
    <w:tbl>
      <w:tblPr>
        <w:tblStyle w:val="22"/>
        <w:tblW w:w="5000" w:type="pct"/>
        <w:tblInd w:w="0" w:type="dxa"/>
        <w:tblLayout w:type="autofit"/>
        <w:tblCellMar>
          <w:top w:w="0" w:type="dxa"/>
          <w:left w:w="0" w:type="dxa"/>
          <w:bottom w:w="0" w:type="dxa"/>
          <w:right w:w="0" w:type="dxa"/>
        </w:tblCellMar>
      </w:tblPr>
      <w:tblGrid>
        <w:gridCol w:w="3528"/>
        <w:gridCol w:w="449"/>
        <w:gridCol w:w="557"/>
        <w:gridCol w:w="587"/>
        <w:gridCol w:w="975"/>
        <w:gridCol w:w="2220"/>
      </w:tblGrid>
      <w:tr w14:paraId="7575D5EA">
        <w:tblPrEx>
          <w:tblCellMar>
            <w:top w:w="0" w:type="dxa"/>
            <w:left w:w="0" w:type="dxa"/>
            <w:bottom w:w="0" w:type="dxa"/>
            <w:right w:w="0" w:type="dxa"/>
          </w:tblCellMar>
        </w:tblPrEx>
        <w:trPr>
          <w:trHeight w:val="276" w:hRule="atLeast"/>
        </w:trPr>
        <w:tc>
          <w:tcPr>
            <w:tcW w:w="5000" w:type="pct"/>
            <w:gridSpan w:val="6"/>
            <w:tcBorders>
              <w:top w:val="single" w:color="auto" w:sz="4" w:space="0"/>
              <w:left w:val="single" w:color="auto" w:sz="4" w:space="0"/>
              <w:bottom w:val="nil"/>
              <w:right w:val="single" w:color="000000" w:sz="4" w:space="0"/>
            </w:tcBorders>
            <w:noWrap/>
            <w:vAlign w:val="bottom"/>
          </w:tcPr>
          <w:p w14:paraId="7A060A11">
            <w:pPr>
              <w:widowControl/>
              <w:jc w:val="left"/>
              <w:rPr>
                <w:rFonts w:ascii="宋体" w:cs="宋体"/>
                <w:color w:val="000000"/>
                <w:kern w:val="0"/>
                <w:sz w:val="18"/>
                <w:szCs w:val="18"/>
              </w:rPr>
            </w:pPr>
            <w:r>
              <w:rPr>
                <w:rFonts w:hint="eastAsia" w:ascii="宋体" w:hAnsi="宋体" w:cs="宋体"/>
                <w:color w:val="000000"/>
                <w:kern w:val="0"/>
                <w:sz w:val="18"/>
                <w:szCs w:val="18"/>
              </w:rPr>
              <w:t>单元过程及统计口径描述：</w:t>
            </w:r>
          </w:p>
          <w:p w14:paraId="54BD1906">
            <w:pPr>
              <w:widowControl/>
              <w:jc w:val="left"/>
              <w:rPr>
                <w:rFonts w:ascii="宋体" w:cs="宋体"/>
                <w:color w:val="000000"/>
                <w:kern w:val="0"/>
                <w:sz w:val="18"/>
                <w:szCs w:val="18"/>
              </w:rPr>
            </w:pPr>
            <w:r>
              <w:rPr>
                <w:rFonts w:hint="eastAsia" w:ascii="宋体" w:hAnsi="宋体" w:cs="宋体"/>
                <w:color w:val="000000"/>
                <w:kern w:val="0"/>
                <w:sz w:val="18"/>
                <w:szCs w:val="18"/>
              </w:rPr>
              <w:t>时间段：起始时间</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r>
              <w:rPr>
                <w:rFonts w:ascii="宋体" w:hAnsi="宋体" w:cs="宋体"/>
                <w:color w:val="000000"/>
                <w:kern w:val="0"/>
                <w:sz w:val="18"/>
                <w:szCs w:val="18"/>
              </w:rPr>
              <w:t xml:space="preserve">   </w:t>
            </w:r>
            <w:r>
              <w:rPr>
                <w:rFonts w:hint="eastAsia" w:ascii="宋体" w:hAnsi="宋体" w:cs="宋体"/>
                <w:color w:val="000000"/>
                <w:kern w:val="0"/>
                <w:sz w:val="18"/>
                <w:szCs w:val="18"/>
              </w:rPr>
              <w:t>终止时间</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p>
        </w:tc>
      </w:tr>
      <w:tr w14:paraId="40A575A3">
        <w:tblPrEx>
          <w:tblCellMar>
            <w:top w:w="0" w:type="dxa"/>
            <w:left w:w="0" w:type="dxa"/>
            <w:bottom w:w="0" w:type="dxa"/>
            <w:right w:w="0" w:type="dxa"/>
          </w:tblCellMar>
        </w:tblPrEx>
        <w:trPr>
          <w:trHeight w:val="276" w:hRule="atLeast"/>
        </w:trPr>
        <w:tc>
          <w:tcPr>
            <w:tcW w:w="5000" w:type="pct"/>
            <w:gridSpan w:val="6"/>
            <w:tcBorders>
              <w:top w:val="nil"/>
              <w:left w:val="single" w:color="auto" w:sz="4" w:space="0"/>
              <w:bottom w:val="single" w:color="auto" w:sz="4" w:space="0"/>
              <w:right w:val="single" w:color="000000" w:sz="4" w:space="0"/>
            </w:tcBorders>
            <w:noWrap/>
            <w:vAlign w:val="bottom"/>
          </w:tcPr>
          <w:p w14:paraId="449C70F0">
            <w:pPr>
              <w:pStyle w:val="69"/>
              <w:ind w:firstLine="0" w:firstLineChars="0"/>
              <w:rPr>
                <w:rFonts w:ascii="宋体"/>
                <w:sz w:val="18"/>
                <w:szCs w:val="18"/>
              </w:rPr>
            </w:pPr>
            <w:r>
              <w:rPr>
                <w:rFonts w:hint="eastAsia" w:ascii="宋体" w:hAnsi="宋体"/>
                <w:sz w:val="18"/>
                <w:szCs w:val="18"/>
              </w:rPr>
              <w:t>制表人：</w:t>
            </w:r>
            <w:r>
              <w:rPr>
                <w:rFonts w:ascii="宋体" w:hAnsi="宋体"/>
                <w:sz w:val="18"/>
                <w:szCs w:val="18"/>
              </w:rPr>
              <w:t xml:space="preserve">                         </w:t>
            </w:r>
            <w:r>
              <w:rPr>
                <w:rFonts w:hint="eastAsia" w:ascii="宋体" w:hAnsi="宋体"/>
                <w:sz w:val="18"/>
                <w:szCs w:val="18"/>
              </w:rPr>
              <w:t>制表日期：</w:t>
            </w:r>
          </w:p>
        </w:tc>
      </w:tr>
      <w:tr w14:paraId="4B863FAB">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269ECEE0">
            <w:pPr>
              <w:widowControl/>
              <w:jc w:val="left"/>
              <w:rPr>
                <w:rFonts w:ascii="宋体" w:cs="宋体"/>
                <w:b/>
                <w:color w:val="000000"/>
                <w:kern w:val="0"/>
                <w:sz w:val="18"/>
                <w:szCs w:val="18"/>
              </w:rPr>
            </w:pPr>
            <w:r>
              <w:rPr>
                <w:rFonts w:hint="eastAsia" w:ascii="宋体" w:hAnsi="宋体" w:cs="宋体"/>
                <w:b/>
                <w:color w:val="000000"/>
                <w:kern w:val="0"/>
                <w:sz w:val="18"/>
                <w:szCs w:val="18"/>
              </w:rPr>
              <w:t>输入</w:t>
            </w:r>
          </w:p>
        </w:tc>
        <w:tc>
          <w:tcPr>
            <w:tcW w:w="270" w:type="pct"/>
            <w:tcBorders>
              <w:top w:val="nil"/>
              <w:left w:val="nil"/>
              <w:bottom w:val="single" w:color="auto" w:sz="4" w:space="0"/>
              <w:right w:val="single" w:color="auto" w:sz="4" w:space="0"/>
            </w:tcBorders>
            <w:noWrap/>
            <w:vAlign w:val="bottom"/>
          </w:tcPr>
          <w:p w14:paraId="357326FD">
            <w:pPr>
              <w:widowControl/>
              <w:jc w:val="center"/>
              <w:rPr>
                <w:rFonts w:ascii="宋体" w:cs="宋体"/>
                <w:b/>
                <w:color w:val="000000"/>
                <w:kern w:val="0"/>
                <w:sz w:val="18"/>
                <w:szCs w:val="18"/>
              </w:rPr>
            </w:pPr>
            <w:r>
              <w:rPr>
                <w:rFonts w:hint="eastAsia" w:ascii="宋体" w:hAnsi="宋体" w:cs="宋体"/>
                <w:b/>
                <w:color w:val="000000"/>
                <w:kern w:val="0"/>
                <w:sz w:val="18"/>
                <w:szCs w:val="18"/>
              </w:rPr>
              <w:t>单位</w:t>
            </w:r>
          </w:p>
        </w:tc>
        <w:tc>
          <w:tcPr>
            <w:tcW w:w="335" w:type="pct"/>
            <w:tcBorders>
              <w:top w:val="nil"/>
              <w:left w:val="nil"/>
              <w:bottom w:val="single" w:color="auto" w:sz="4" w:space="0"/>
              <w:right w:val="single" w:color="auto" w:sz="4" w:space="0"/>
            </w:tcBorders>
            <w:noWrap/>
            <w:vAlign w:val="bottom"/>
          </w:tcPr>
          <w:p w14:paraId="1DAB99EB">
            <w:pPr>
              <w:widowControl/>
              <w:jc w:val="center"/>
              <w:rPr>
                <w:rFonts w:ascii="宋体" w:cs="宋体"/>
                <w:b/>
                <w:color w:val="000000"/>
                <w:kern w:val="0"/>
                <w:sz w:val="18"/>
                <w:szCs w:val="18"/>
              </w:rPr>
            </w:pPr>
            <w:r>
              <w:rPr>
                <w:rFonts w:hint="eastAsia" w:ascii="宋体" w:hAnsi="宋体" w:cs="宋体"/>
                <w:b/>
                <w:color w:val="000000"/>
                <w:kern w:val="0"/>
                <w:sz w:val="18"/>
                <w:szCs w:val="18"/>
              </w:rPr>
              <w:t>数量</w:t>
            </w:r>
          </w:p>
        </w:tc>
        <w:tc>
          <w:tcPr>
            <w:tcW w:w="353" w:type="pct"/>
            <w:tcBorders>
              <w:top w:val="nil"/>
              <w:left w:val="nil"/>
              <w:bottom w:val="single" w:color="auto" w:sz="4" w:space="0"/>
              <w:right w:val="single" w:color="auto" w:sz="4" w:space="0"/>
            </w:tcBorders>
            <w:noWrap/>
            <w:vAlign w:val="bottom"/>
          </w:tcPr>
          <w:p w14:paraId="5B3C9653">
            <w:pPr>
              <w:widowControl/>
              <w:jc w:val="center"/>
              <w:rPr>
                <w:rFonts w:ascii="宋体" w:cs="宋体"/>
                <w:b/>
                <w:color w:val="000000"/>
                <w:kern w:val="0"/>
                <w:sz w:val="18"/>
                <w:szCs w:val="18"/>
              </w:rPr>
            </w:pPr>
            <w:r>
              <w:rPr>
                <w:rFonts w:hint="eastAsia" w:ascii="宋体" w:hAnsi="宋体" w:cs="宋体"/>
                <w:b/>
                <w:color w:val="000000"/>
                <w:kern w:val="0"/>
                <w:sz w:val="18"/>
                <w:szCs w:val="18"/>
              </w:rPr>
              <w:t>运距</w:t>
            </w:r>
          </w:p>
        </w:tc>
        <w:tc>
          <w:tcPr>
            <w:tcW w:w="586" w:type="pct"/>
            <w:tcBorders>
              <w:top w:val="nil"/>
              <w:left w:val="nil"/>
              <w:bottom w:val="single" w:color="auto" w:sz="4" w:space="0"/>
              <w:right w:val="single" w:color="auto" w:sz="4" w:space="0"/>
            </w:tcBorders>
            <w:vAlign w:val="bottom"/>
          </w:tcPr>
          <w:p w14:paraId="3E5FD2B5">
            <w:pPr>
              <w:jc w:val="center"/>
              <w:rPr>
                <w:rFonts w:ascii="宋体" w:cs="宋体"/>
                <w:b/>
                <w:color w:val="000000"/>
                <w:kern w:val="0"/>
                <w:sz w:val="18"/>
                <w:szCs w:val="18"/>
              </w:rPr>
            </w:pPr>
            <w:r>
              <w:rPr>
                <w:rFonts w:hint="eastAsia" w:ascii="宋体" w:hAnsi="宋体" w:cs="宋体"/>
                <w:b/>
                <w:color w:val="000000"/>
                <w:kern w:val="0"/>
                <w:sz w:val="18"/>
                <w:szCs w:val="18"/>
              </w:rPr>
              <w:t>运输方式</w:t>
            </w:r>
          </w:p>
        </w:tc>
        <w:tc>
          <w:tcPr>
            <w:tcW w:w="1335" w:type="pct"/>
            <w:tcBorders>
              <w:top w:val="nil"/>
              <w:left w:val="nil"/>
              <w:bottom w:val="single" w:color="auto" w:sz="4" w:space="0"/>
              <w:right w:val="single" w:color="auto" w:sz="4" w:space="0"/>
            </w:tcBorders>
            <w:vAlign w:val="bottom"/>
          </w:tcPr>
          <w:p w14:paraId="7D233A73">
            <w:pPr>
              <w:jc w:val="center"/>
              <w:rPr>
                <w:rFonts w:ascii="宋体" w:cs="宋体"/>
                <w:b/>
                <w:color w:val="000000"/>
                <w:kern w:val="0"/>
                <w:sz w:val="18"/>
                <w:szCs w:val="18"/>
              </w:rPr>
            </w:pPr>
            <w:r>
              <w:rPr>
                <w:rFonts w:hint="eastAsia" w:ascii="宋体" w:hAnsi="宋体" w:cs="宋体"/>
                <w:b/>
                <w:color w:val="000000"/>
                <w:kern w:val="0"/>
                <w:sz w:val="18"/>
                <w:szCs w:val="18"/>
              </w:rPr>
              <w:t>规格特征</w:t>
            </w:r>
            <w:r>
              <w:rPr>
                <w:rFonts w:ascii="宋体" w:hAnsi="宋体" w:cs="宋体"/>
                <w:b/>
                <w:color w:val="000000"/>
                <w:kern w:val="0"/>
                <w:sz w:val="18"/>
                <w:szCs w:val="18"/>
              </w:rPr>
              <w:t>/</w:t>
            </w:r>
            <w:r>
              <w:rPr>
                <w:rFonts w:hint="eastAsia" w:ascii="宋体" w:hAnsi="宋体" w:cs="宋体"/>
                <w:b/>
                <w:color w:val="000000"/>
                <w:kern w:val="0"/>
                <w:sz w:val="18"/>
                <w:szCs w:val="18"/>
              </w:rPr>
              <w:t>来源</w:t>
            </w:r>
          </w:p>
        </w:tc>
      </w:tr>
      <w:tr w14:paraId="3B14B26C">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7845608E">
            <w:pPr>
              <w:widowControl/>
              <w:jc w:val="left"/>
              <w:rPr>
                <w:rFonts w:ascii="宋体" w:cs="宋体"/>
                <w:color w:val="000000"/>
                <w:kern w:val="0"/>
                <w:sz w:val="18"/>
                <w:szCs w:val="18"/>
              </w:rPr>
            </w:pPr>
            <w:r>
              <w:rPr>
                <w:rFonts w:hint="eastAsia" w:ascii="宋体" w:hAnsi="宋体" w:cs="宋体"/>
                <w:color w:val="000000"/>
                <w:kern w:val="0"/>
                <w:sz w:val="18"/>
                <w:szCs w:val="18"/>
              </w:rPr>
              <w:t>炸药</w:t>
            </w:r>
          </w:p>
        </w:tc>
        <w:tc>
          <w:tcPr>
            <w:tcW w:w="270" w:type="pct"/>
            <w:tcBorders>
              <w:top w:val="nil"/>
              <w:left w:val="nil"/>
              <w:bottom w:val="single" w:color="auto" w:sz="4" w:space="0"/>
              <w:right w:val="single" w:color="auto" w:sz="4" w:space="0"/>
            </w:tcBorders>
            <w:noWrap/>
            <w:vAlign w:val="bottom"/>
          </w:tcPr>
          <w:p w14:paraId="189614D6">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50AA02EC">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253F05E2">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7DD16306">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64D0D8A9">
            <w:pPr>
              <w:jc w:val="center"/>
              <w:rPr>
                <w:rFonts w:ascii="宋体" w:cs="宋体"/>
                <w:color w:val="000000"/>
                <w:kern w:val="0"/>
                <w:sz w:val="18"/>
                <w:szCs w:val="18"/>
              </w:rPr>
            </w:pPr>
          </w:p>
        </w:tc>
      </w:tr>
      <w:tr w14:paraId="666621CB">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240DA9B6">
            <w:pPr>
              <w:widowControl/>
              <w:jc w:val="left"/>
              <w:rPr>
                <w:rFonts w:ascii="宋体" w:cs="宋体"/>
                <w:color w:val="000000"/>
                <w:kern w:val="0"/>
                <w:sz w:val="18"/>
                <w:szCs w:val="18"/>
              </w:rPr>
            </w:pPr>
            <w:r>
              <w:rPr>
                <w:rFonts w:hint="eastAsia" w:ascii="宋体" w:hAnsi="宋体" w:cs="宋体"/>
                <w:color w:val="000000"/>
                <w:kern w:val="0"/>
                <w:sz w:val="18"/>
                <w:szCs w:val="18"/>
              </w:rPr>
              <w:t>水泥</w:t>
            </w:r>
          </w:p>
        </w:tc>
        <w:tc>
          <w:tcPr>
            <w:tcW w:w="270" w:type="pct"/>
            <w:tcBorders>
              <w:top w:val="nil"/>
              <w:left w:val="nil"/>
              <w:bottom w:val="single" w:color="auto" w:sz="4" w:space="0"/>
              <w:right w:val="single" w:color="auto" w:sz="4" w:space="0"/>
            </w:tcBorders>
            <w:noWrap/>
            <w:vAlign w:val="bottom"/>
          </w:tcPr>
          <w:p w14:paraId="3B3461BE">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63967975">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1EBE69A1">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09E6FD17">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7D880649">
            <w:pPr>
              <w:jc w:val="center"/>
              <w:rPr>
                <w:rFonts w:ascii="宋体" w:cs="宋体"/>
                <w:color w:val="000000"/>
                <w:kern w:val="0"/>
                <w:sz w:val="18"/>
                <w:szCs w:val="18"/>
              </w:rPr>
            </w:pPr>
          </w:p>
        </w:tc>
      </w:tr>
      <w:tr w14:paraId="54130A1D">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772B4B93">
            <w:pPr>
              <w:widowControl/>
              <w:jc w:val="left"/>
              <w:rPr>
                <w:rFonts w:ascii="宋体" w:cs="宋体"/>
                <w:color w:val="000000"/>
                <w:kern w:val="0"/>
                <w:sz w:val="18"/>
                <w:szCs w:val="18"/>
              </w:rPr>
            </w:pPr>
            <w:r>
              <w:rPr>
                <w:rFonts w:hint="eastAsia" w:ascii="宋体" w:hAnsi="宋体" w:cs="宋体"/>
                <w:color w:val="000000"/>
                <w:kern w:val="0"/>
                <w:sz w:val="18"/>
                <w:szCs w:val="18"/>
              </w:rPr>
              <w:t>轮胎</w:t>
            </w:r>
          </w:p>
        </w:tc>
        <w:tc>
          <w:tcPr>
            <w:tcW w:w="270" w:type="pct"/>
            <w:tcBorders>
              <w:top w:val="nil"/>
              <w:left w:val="nil"/>
              <w:bottom w:val="single" w:color="auto" w:sz="4" w:space="0"/>
              <w:right w:val="single" w:color="auto" w:sz="4" w:space="0"/>
            </w:tcBorders>
            <w:noWrap/>
            <w:vAlign w:val="bottom"/>
          </w:tcPr>
          <w:p w14:paraId="52FF36A5">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23E035AE">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6B78109A">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7821CD37">
            <w:pPr>
              <w:widowControl/>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43CABF20">
            <w:pPr>
              <w:widowControl/>
              <w:jc w:val="center"/>
              <w:rPr>
                <w:rFonts w:ascii="宋体" w:cs="宋体"/>
                <w:color w:val="000000"/>
                <w:kern w:val="0"/>
                <w:sz w:val="18"/>
                <w:szCs w:val="18"/>
              </w:rPr>
            </w:pPr>
          </w:p>
        </w:tc>
      </w:tr>
      <w:tr w14:paraId="63992BB7">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7977CC0E">
            <w:pPr>
              <w:widowControl/>
              <w:jc w:val="left"/>
              <w:rPr>
                <w:rFonts w:ascii="宋体" w:cs="宋体"/>
                <w:color w:val="000000"/>
                <w:kern w:val="0"/>
                <w:sz w:val="18"/>
                <w:szCs w:val="18"/>
              </w:rPr>
            </w:pPr>
            <w:r>
              <w:rPr>
                <w:rFonts w:hint="eastAsia" w:ascii="宋体" w:hAnsi="宋体" w:cs="宋体"/>
                <w:color w:val="000000"/>
                <w:kern w:val="0"/>
                <w:sz w:val="18"/>
                <w:szCs w:val="18"/>
              </w:rPr>
              <w:t>燃料（如，柴油、汽油、天然气等）</w:t>
            </w:r>
          </w:p>
        </w:tc>
        <w:tc>
          <w:tcPr>
            <w:tcW w:w="270" w:type="pct"/>
            <w:tcBorders>
              <w:top w:val="nil"/>
              <w:left w:val="nil"/>
              <w:bottom w:val="single" w:color="auto" w:sz="4" w:space="0"/>
              <w:right w:val="single" w:color="auto" w:sz="4" w:space="0"/>
            </w:tcBorders>
            <w:noWrap/>
            <w:vAlign w:val="bottom"/>
          </w:tcPr>
          <w:p w14:paraId="03DC26E8">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2FCD4276">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707B7AD6">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4C245901">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29775F8B">
            <w:pPr>
              <w:jc w:val="center"/>
              <w:rPr>
                <w:rFonts w:ascii="宋体" w:cs="宋体"/>
                <w:color w:val="000000"/>
                <w:kern w:val="0"/>
                <w:sz w:val="18"/>
                <w:szCs w:val="18"/>
              </w:rPr>
            </w:pPr>
          </w:p>
        </w:tc>
      </w:tr>
      <w:tr w14:paraId="3F231A3A">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062EEB9E">
            <w:pPr>
              <w:widowControl/>
              <w:jc w:val="left"/>
              <w:rPr>
                <w:rFonts w:ascii="宋体" w:cs="宋体"/>
                <w:color w:val="000000"/>
                <w:kern w:val="0"/>
                <w:sz w:val="18"/>
                <w:szCs w:val="18"/>
              </w:rPr>
            </w:pPr>
            <w:r>
              <w:rPr>
                <w:rFonts w:hint="eastAsia" w:ascii="宋体" w:hAnsi="宋体" w:cs="宋体"/>
                <w:color w:val="000000"/>
                <w:kern w:val="0"/>
                <w:sz w:val="18"/>
                <w:szCs w:val="18"/>
              </w:rPr>
              <w:t>电力</w:t>
            </w:r>
          </w:p>
        </w:tc>
        <w:tc>
          <w:tcPr>
            <w:tcW w:w="270" w:type="pct"/>
            <w:tcBorders>
              <w:top w:val="nil"/>
              <w:left w:val="nil"/>
              <w:bottom w:val="single" w:color="auto" w:sz="4" w:space="0"/>
              <w:right w:val="single" w:color="auto" w:sz="4" w:space="0"/>
            </w:tcBorders>
            <w:noWrap/>
            <w:vAlign w:val="bottom"/>
          </w:tcPr>
          <w:p w14:paraId="5111C199">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313CE313">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07E0173D">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3AE82FA4">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78786E0E">
            <w:pPr>
              <w:jc w:val="center"/>
              <w:rPr>
                <w:rFonts w:ascii="宋体" w:cs="宋体"/>
                <w:color w:val="000000"/>
                <w:kern w:val="0"/>
                <w:sz w:val="18"/>
                <w:szCs w:val="18"/>
              </w:rPr>
            </w:pPr>
          </w:p>
        </w:tc>
      </w:tr>
      <w:tr w14:paraId="228DA368">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40B208C0">
            <w:pPr>
              <w:widowControl/>
              <w:jc w:val="left"/>
              <w:rPr>
                <w:rFonts w:ascii="宋体" w:cs="宋体"/>
                <w:color w:val="000000"/>
                <w:kern w:val="0"/>
                <w:sz w:val="18"/>
                <w:szCs w:val="18"/>
              </w:rPr>
            </w:pPr>
            <w:r>
              <w:rPr>
                <w:rFonts w:hint="eastAsia" w:ascii="宋体" w:hAnsi="宋体" w:cs="宋体"/>
                <w:color w:val="000000"/>
                <w:kern w:val="0"/>
                <w:sz w:val="18"/>
                <w:szCs w:val="18"/>
              </w:rPr>
              <w:t>热力</w:t>
            </w:r>
          </w:p>
        </w:tc>
        <w:tc>
          <w:tcPr>
            <w:tcW w:w="270" w:type="pct"/>
            <w:tcBorders>
              <w:top w:val="nil"/>
              <w:left w:val="nil"/>
              <w:bottom w:val="single" w:color="auto" w:sz="4" w:space="0"/>
              <w:right w:val="single" w:color="auto" w:sz="4" w:space="0"/>
            </w:tcBorders>
            <w:noWrap/>
            <w:vAlign w:val="bottom"/>
          </w:tcPr>
          <w:p w14:paraId="090673E3">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57987F8A">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1061B431">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0F4A743A">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36597FEE">
            <w:pPr>
              <w:jc w:val="center"/>
              <w:rPr>
                <w:rFonts w:ascii="宋体" w:cs="宋体"/>
                <w:color w:val="000000"/>
                <w:kern w:val="0"/>
                <w:sz w:val="18"/>
                <w:szCs w:val="18"/>
              </w:rPr>
            </w:pPr>
          </w:p>
        </w:tc>
      </w:tr>
      <w:tr w14:paraId="25F30205">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2EC28D5F">
            <w:pPr>
              <w:widowControl/>
              <w:jc w:val="left"/>
              <w:rPr>
                <w:rFonts w:ascii="宋体" w:cs="宋体"/>
                <w:color w:val="000000"/>
                <w:kern w:val="0"/>
                <w:sz w:val="18"/>
                <w:szCs w:val="18"/>
              </w:rPr>
            </w:pPr>
            <w:r>
              <w:rPr>
                <w:rFonts w:hint="eastAsia" w:ascii="宋体" w:hAnsi="宋体" w:cs="宋体"/>
                <w:color w:val="000000"/>
                <w:kern w:val="0"/>
                <w:sz w:val="18"/>
                <w:szCs w:val="18"/>
              </w:rPr>
              <w:t>第三方服务（如有）</w:t>
            </w:r>
          </w:p>
        </w:tc>
        <w:tc>
          <w:tcPr>
            <w:tcW w:w="270" w:type="pct"/>
            <w:tcBorders>
              <w:top w:val="nil"/>
              <w:left w:val="nil"/>
              <w:bottom w:val="single" w:color="auto" w:sz="4" w:space="0"/>
              <w:right w:val="single" w:color="auto" w:sz="4" w:space="0"/>
            </w:tcBorders>
            <w:noWrap/>
            <w:vAlign w:val="bottom"/>
          </w:tcPr>
          <w:p w14:paraId="78B63F03">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029C5D90">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43BE2060">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6FECCC28">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6A60FDBC">
            <w:pPr>
              <w:jc w:val="center"/>
              <w:rPr>
                <w:rFonts w:ascii="宋体" w:cs="宋体"/>
                <w:color w:val="000000"/>
                <w:kern w:val="0"/>
                <w:sz w:val="18"/>
                <w:szCs w:val="18"/>
              </w:rPr>
            </w:pPr>
          </w:p>
        </w:tc>
      </w:tr>
      <w:tr w14:paraId="78264C2B">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6C9A3B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270" w:type="pct"/>
            <w:tcBorders>
              <w:top w:val="nil"/>
              <w:left w:val="nil"/>
              <w:bottom w:val="single" w:color="auto" w:sz="4" w:space="0"/>
              <w:right w:val="single" w:color="auto" w:sz="4" w:space="0"/>
            </w:tcBorders>
            <w:noWrap/>
            <w:vAlign w:val="bottom"/>
          </w:tcPr>
          <w:p w14:paraId="73F8116F">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0EC1C258">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3A49568D">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2A8A3BFC">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142C0772">
            <w:pPr>
              <w:jc w:val="center"/>
              <w:rPr>
                <w:rFonts w:ascii="宋体" w:cs="宋体"/>
                <w:color w:val="000000"/>
                <w:kern w:val="0"/>
                <w:sz w:val="18"/>
                <w:szCs w:val="18"/>
              </w:rPr>
            </w:pPr>
          </w:p>
        </w:tc>
      </w:tr>
      <w:tr w14:paraId="0538A846">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76A142CB">
            <w:pPr>
              <w:widowControl/>
              <w:jc w:val="left"/>
              <w:rPr>
                <w:rFonts w:ascii="宋体" w:cs="宋体"/>
                <w:b/>
                <w:color w:val="000000"/>
                <w:kern w:val="0"/>
                <w:sz w:val="18"/>
                <w:szCs w:val="18"/>
              </w:rPr>
            </w:pPr>
            <w:r>
              <w:rPr>
                <w:rFonts w:hint="eastAsia" w:ascii="宋体" w:hAnsi="宋体" w:cs="宋体"/>
                <w:b/>
                <w:color w:val="000000"/>
                <w:kern w:val="0"/>
                <w:sz w:val="18"/>
                <w:szCs w:val="18"/>
              </w:rPr>
              <w:t>输出</w:t>
            </w:r>
          </w:p>
        </w:tc>
        <w:tc>
          <w:tcPr>
            <w:tcW w:w="270" w:type="pct"/>
            <w:tcBorders>
              <w:top w:val="nil"/>
              <w:left w:val="nil"/>
              <w:bottom w:val="single" w:color="auto" w:sz="4" w:space="0"/>
              <w:right w:val="single" w:color="auto" w:sz="4" w:space="0"/>
            </w:tcBorders>
            <w:noWrap/>
            <w:vAlign w:val="bottom"/>
          </w:tcPr>
          <w:p w14:paraId="238C62CE">
            <w:pPr>
              <w:widowControl/>
              <w:jc w:val="center"/>
              <w:rPr>
                <w:rFonts w:ascii="宋体" w:cs="宋体"/>
                <w:b/>
                <w:color w:val="000000"/>
                <w:kern w:val="0"/>
                <w:sz w:val="18"/>
                <w:szCs w:val="18"/>
              </w:rPr>
            </w:pPr>
            <w:r>
              <w:rPr>
                <w:rFonts w:hint="eastAsia" w:ascii="宋体" w:hAnsi="宋体" w:cs="宋体"/>
                <w:b/>
                <w:color w:val="000000"/>
                <w:kern w:val="0"/>
                <w:sz w:val="18"/>
                <w:szCs w:val="18"/>
              </w:rPr>
              <w:t>单位</w:t>
            </w:r>
          </w:p>
        </w:tc>
        <w:tc>
          <w:tcPr>
            <w:tcW w:w="335" w:type="pct"/>
            <w:tcBorders>
              <w:top w:val="nil"/>
              <w:left w:val="nil"/>
              <w:bottom w:val="single" w:color="auto" w:sz="4" w:space="0"/>
              <w:right w:val="single" w:color="auto" w:sz="4" w:space="0"/>
            </w:tcBorders>
            <w:noWrap/>
            <w:vAlign w:val="bottom"/>
          </w:tcPr>
          <w:p w14:paraId="5BB73274">
            <w:pPr>
              <w:widowControl/>
              <w:jc w:val="center"/>
              <w:rPr>
                <w:rFonts w:ascii="宋体" w:cs="宋体"/>
                <w:b/>
                <w:color w:val="000000"/>
                <w:kern w:val="0"/>
                <w:sz w:val="18"/>
                <w:szCs w:val="18"/>
              </w:rPr>
            </w:pPr>
            <w:r>
              <w:rPr>
                <w:rFonts w:hint="eastAsia" w:ascii="宋体" w:hAnsi="宋体" w:cs="宋体"/>
                <w:b/>
                <w:color w:val="000000"/>
                <w:kern w:val="0"/>
                <w:sz w:val="18"/>
                <w:szCs w:val="18"/>
              </w:rPr>
              <w:t>数量</w:t>
            </w:r>
          </w:p>
        </w:tc>
        <w:tc>
          <w:tcPr>
            <w:tcW w:w="353" w:type="pct"/>
            <w:tcBorders>
              <w:top w:val="nil"/>
              <w:left w:val="nil"/>
              <w:bottom w:val="single" w:color="auto" w:sz="4" w:space="0"/>
              <w:right w:val="single" w:color="auto" w:sz="4" w:space="0"/>
            </w:tcBorders>
            <w:noWrap/>
            <w:vAlign w:val="bottom"/>
          </w:tcPr>
          <w:p w14:paraId="1E178022">
            <w:pPr>
              <w:widowControl/>
              <w:jc w:val="center"/>
              <w:rPr>
                <w:rFonts w:ascii="宋体" w:cs="宋体"/>
                <w:b/>
                <w:color w:val="000000"/>
                <w:kern w:val="0"/>
                <w:sz w:val="18"/>
                <w:szCs w:val="18"/>
              </w:rPr>
            </w:pPr>
            <w:r>
              <w:rPr>
                <w:rFonts w:hint="eastAsia" w:ascii="宋体" w:hAnsi="宋体" w:cs="宋体"/>
                <w:b/>
                <w:color w:val="000000"/>
                <w:kern w:val="0"/>
                <w:sz w:val="18"/>
                <w:szCs w:val="18"/>
              </w:rPr>
              <w:t>运距</w:t>
            </w:r>
          </w:p>
        </w:tc>
        <w:tc>
          <w:tcPr>
            <w:tcW w:w="586" w:type="pct"/>
            <w:tcBorders>
              <w:top w:val="nil"/>
              <w:left w:val="nil"/>
              <w:bottom w:val="single" w:color="auto" w:sz="4" w:space="0"/>
              <w:right w:val="single" w:color="auto" w:sz="4" w:space="0"/>
            </w:tcBorders>
            <w:vAlign w:val="bottom"/>
          </w:tcPr>
          <w:p w14:paraId="069B52B9">
            <w:pPr>
              <w:jc w:val="center"/>
              <w:rPr>
                <w:rFonts w:ascii="宋体" w:cs="宋体"/>
                <w:b/>
                <w:color w:val="000000"/>
                <w:kern w:val="0"/>
                <w:sz w:val="18"/>
                <w:szCs w:val="18"/>
              </w:rPr>
            </w:pPr>
            <w:r>
              <w:rPr>
                <w:rFonts w:hint="eastAsia" w:ascii="宋体" w:hAnsi="宋体" w:cs="宋体"/>
                <w:b/>
                <w:color w:val="000000"/>
                <w:kern w:val="0"/>
                <w:sz w:val="18"/>
                <w:szCs w:val="18"/>
              </w:rPr>
              <w:t>运输方式</w:t>
            </w:r>
          </w:p>
        </w:tc>
        <w:tc>
          <w:tcPr>
            <w:tcW w:w="1335" w:type="pct"/>
            <w:tcBorders>
              <w:top w:val="nil"/>
              <w:left w:val="nil"/>
              <w:bottom w:val="single" w:color="auto" w:sz="4" w:space="0"/>
              <w:right w:val="single" w:color="auto" w:sz="4" w:space="0"/>
            </w:tcBorders>
            <w:vAlign w:val="bottom"/>
          </w:tcPr>
          <w:p w14:paraId="0FC149CB">
            <w:pPr>
              <w:jc w:val="center"/>
              <w:rPr>
                <w:rFonts w:ascii="宋体" w:cs="宋体"/>
                <w:b/>
                <w:color w:val="000000"/>
                <w:kern w:val="0"/>
                <w:sz w:val="18"/>
                <w:szCs w:val="18"/>
              </w:rPr>
            </w:pPr>
            <w:r>
              <w:rPr>
                <w:rFonts w:hint="eastAsia" w:ascii="宋体" w:hAnsi="宋体" w:cs="宋体"/>
                <w:b/>
                <w:color w:val="000000"/>
                <w:kern w:val="0"/>
                <w:sz w:val="18"/>
                <w:szCs w:val="18"/>
              </w:rPr>
              <w:t>规格特征</w:t>
            </w:r>
            <w:r>
              <w:rPr>
                <w:rFonts w:ascii="宋体" w:hAnsi="宋体" w:cs="宋体"/>
                <w:b/>
                <w:color w:val="000000"/>
                <w:kern w:val="0"/>
                <w:sz w:val="18"/>
                <w:szCs w:val="18"/>
              </w:rPr>
              <w:t>/</w:t>
            </w:r>
            <w:r>
              <w:rPr>
                <w:rFonts w:hint="eastAsia" w:ascii="宋体" w:hAnsi="宋体" w:cs="宋体"/>
                <w:b/>
                <w:color w:val="000000"/>
                <w:kern w:val="0"/>
                <w:sz w:val="18"/>
                <w:szCs w:val="18"/>
              </w:rPr>
              <w:t>去向</w:t>
            </w:r>
          </w:p>
        </w:tc>
      </w:tr>
      <w:tr w14:paraId="5511B6EE">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699C2965">
            <w:pPr>
              <w:widowControl/>
              <w:jc w:val="left"/>
              <w:rPr>
                <w:rFonts w:ascii="宋体" w:cs="宋体"/>
                <w:color w:val="000000"/>
                <w:kern w:val="0"/>
                <w:sz w:val="18"/>
                <w:szCs w:val="18"/>
              </w:rPr>
            </w:pPr>
            <w:r>
              <w:rPr>
                <w:rFonts w:hint="eastAsia" w:ascii="宋体" w:hAnsi="宋体" w:cs="宋体"/>
                <w:color w:val="000000"/>
                <w:kern w:val="0"/>
                <w:sz w:val="18"/>
                <w:szCs w:val="18"/>
              </w:rPr>
              <w:t>矿石</w:t>
            </w:r>
          </w:p>
        </w:tc>
        <w:tc>
          <w:tcPr>
            <w:tcW w:w="270" w:type="pct"/>
            <w:tcBorders>
              <w:top w:val="nil"/>
              <w:left w:val="nil"/>
              <w:bottom w:val="single" w:color="auto" w:sz="4" w:space="0"/>
              <w:right w:val="single" w:color="auto" w:sz="4" w:space="0"/>
            </w:tcBorders>
            <w:noWrap/>
            <w:vAlign w:val="bottom"/>
          </w:tcPr>
          <w:p w14:paraId="26ECE8BA">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69A8E3A9">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0F32BE29">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28B5F6B9">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67C6EA27">
            <w:pPr>
              <w:jc w:val="center"/>
              <w:rPr>
                <w:rFonts w:ascii="宋体" w:cs="宋体"/>
                <w:color w:val="000000"/>
                <w:kern w:val="0"/>
                <w:sz w:val="18"/>
                <w:szCs w:val="18"/>
              </w:rPr>
            </w:pPr>
          </w:p>
        </w:tc>
      </w:tr>
      <w:tr w14:paraId="0D53E794">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23A39D5B">
            <w:pPr>
              <w:widowControl/>
              <w:jc w:val="left"/>
              <w:rPr>
                <w:rFonts w:ascii="宋体" w:cs="宋体"/>
                <w:color w:val="000000"/>
                <w:kern w:val="0"/>
                <w:sz w:val="18"/>
                <w:szCs w:val="18"/>
              </w:rPr>
            </w:pPr>
            <w:r>
              <w:rPr>
                <w:rFonts w:hint="eastAsia" w:ascii="宋体" w:hAnsi="宋体" w:cs="宋体"/>
                <w:color w:val="000000"/>
                <w:kern w:val="0"/>
                <w:sz w:val="18"/>
                <w:szCs w:val="18"/>
              </w:rPr>
              <w:t>表土</w:t>
            </w:r>
          </w:p>
        </w:tc>
        <w:tc>
          <w:tcPr>
            <w:tcW w:w="270" w:type="pct"/>
            <w:tcBorders>
              <w:top w:val="nil"/>
              <w:left w:val="nil"/>
              <w:bottom w:val="single" w:color="auto" w:sz="4" w:space="0"/>
              <w:right w:val="single" w:color="auto" w:sz="4" w:space="0"/>
            </w:tcBorders>
            <w:noWrap/>
            <w:vAlign w:val="bottom"/>
          </w:tcPr>
          <w:p w14:paraId="56D87E2E">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4A6D878C">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66F5E1B8">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01E14436">
            <w:pPr>
              <w:widowControl/>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3A028277">
            <w:pPr>
              <w:widowControl/>
              <w:jc w:val="center"/>
              <w:rPr>
                <w:rFonts w:ascii="宋体" w:cs="宋体"/>
                <w:color w:val="000000"/>
                <w:kern w:val="0"/>
                <w:sz w:val="18"/>
                <w:szCs w:val="18"/>
              </w:rPr>
            </w:pPr>
          </w:p>
        </w:tc>
      </w:tr>
      <w:tr w14:paraId="7E67C6D6">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66E7C2CC">
            <w:pPr>
              <w:widowControl/>
              <w:jc w:val="left"/>
              <w:rPr>
                <w:rFonts w:ascii="宋体" w:cs="宋体"/>
                <w:color w:val="000000"/>
                <w:kern w:val="0"/>
                <w:sz w:val="18"/>
                <w:szCs w:val="18"/>
              </w:rPr>
            </w:pPr>
            <w:r>
              <w:rPr>
                <w:rFonts w:hint="eastAsia" w:ascii="宋体" w:hAnsi="宋体" w:cs="宋体"/>
                <w:color w:val="000000"/>
                <w:kern w:val="0"/>
                <w:sz w:val="18"/>
                <w:szCs w:val="18"/>
              </w:rPr>
              <w:t>废石</w:t>
            </w:r>
          </w:p>
        </w:tc>
        <w:tc>
          <w:tcPr>
            <w:tcW w:w="270" w:type="pct"/>
            <w:tcBorders>
              <w:top w:val="nil"/>
              <w:left w:val="nil"/>
              <w:bottom w:val="single" w:color="auto" w:sz="4" w:space="0"/>
              <w:right w:val="single" w:color="auto" w:sz="4" w:space="0"/>
            </w:tcBorders>
            <w:noWrap/>
            <w:vAlign w:val="bottom"/>
          </w:tcPr>
          <w:p w14:paraId="6429087D">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15379155">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0FCF2F44">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1A54FED3">
            <w:pPr>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49C0A431">
            <w:pPr>
              <w:jc w:val="center"/>
              <w:rPr>
                <w:rFonts w:ascii="宋体" w:cs="宋体"/>
                <w:color w:val="000000"/>
                <w:kern w:val="0"/>
                <w:sz w:val="18"/>
                <w:szCs w:val="18"/>
              </w:rPr>
            </w:pPr>
          </w:p>
        </w:tc>
      </w:tr>
      <w:tr w14:paraId="5272909F">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3FFB6D0A">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270" w:type="pct"/>
            <w:tcBorders>
              <w:top w:val="nil"/>
              <w:left w:val="nil"/>
              <w:bottom w:val="single" w:color="auto" w:sz="4" w:space="0"/>
              <w:right w:val="single" w:color="auto" w:sz="4" w:space="0"/>
            </w:tcBorders>
            <w:noWrap/>
            <w:vAlign w:val="bottom"/>
          </w:tcPr>
          <w:p w14:paraId="2B92FADE">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40AECF25">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0D4D96A3">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749896AC">
            <w:pPr>
              <w:widowControl/>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1CD92BD0">
            <w:pPr>
              <w:widowControl/>
              <w:jc w:val="center"/>
              <w:rPr>
                <w:rFonts w:ascii="宋体" w:cs="宋体"/>
                <w:color w:val="000000"/>
                <w:kern w:val="0"/>
                <w:sz w:val="18"/>
                <w:szCs w:val="18"/>
              </w:rPr>
            </w:pPr>
          </w:p>
        </w:tc>
      </w:tr>
      <w:tr w14:paraId="3949A2C3">
        <w:tblPrEx>
          <w:tblCellMar>
            <w:top w:w="0" w:type="dxa"/>
            <w:left w:w="0" w:type="dxa"/>
            <w:bottom w:w="0" w:type="dxa"/>
            <w:right w:w="0" w:type="dxa"/>
          </w:tblCellMar>
        </w:tblPrEx>
        <w:trPr>
          <w:trHeight w:val="276" w:hRule="atLeast"/>
        </w:trPr>
        <w:tc>
          <w:tcPr>
            <w:tcW w:w="2121" w:type="pct"/>
            <w:tcBorders>
              <w:top w:val="nil"/>
              <w:left w:val="single" w:color="auto" w:sz="4" w:space="0"/>
              <w:bottom w:val="single" w:color="auto" w:sz="4" w:space="0"/>
              <w:right w:val="single" w:color="auto" w:sz="4" w:space="0"/>
            </w:tcBorders>
            <w:noWrap/>
            <w:vAlign w:val="bottom"/>
          </w:tcPr>
          <w:p w14:paraId="3D25D31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温室气体直接排放</w:t>
            </w:r>
          </w:p>
        </w:tc>
        <w:tc>
          <w:tcPr>
            <w:tcW w:w="270" w:type="pct"/>
            <w:tcBorders>
              <w:top w:val="nil"/>
              <w:left w:val="nil"/>
              <w:bottom w:val="single" w:color="auto" w:sz="4" w:space="0"/>
              <w:right w:val="single" w:color="auto" w:sz="4" w:space="0"/>
            </w:tcBorders>
            <w:noWrap/>
            <w:vAlign w:val="bottom"/>
          </w:tcPr>
          <w:p w14:paraId="6F20E270">
            <w:pPr>
              <w:widowControl/>
              <w:jc w:val="center"/>
              <w:rPr>
                <w:rFonts w:ascii="宋体" w:cs="宋体"/>
                <w:color w:val="000000"/>
                <w:kern w:val="0"/>
                <w:sz w:val="18"/>
                <w:szCs w:val="18"/>
              </w:rPr>
            </w:pPr>
          </w:p>
        </w:tc>
        <w:tc>
          <w:tcPr>
            <w:tcW w:w="335" w:type="pct"/>
            <w:tcBorders>
              <w:top w:val="nil"/>
              <w:left w:val="nil"/>
              <w:bottom w:val="single" w:color="auto" w:sz="4" w:space="0"/>
              <w:right w:val="single" w:color="auto" w:sz="4" w:space="0"/>
            </w:tcBorders>
            <w:noWrap/>
            <w:vAlign w:val="bottom"/>
          </w:tcPr>
          <w:p w14:paraId="5B9BD9E6">
            <w:pPr>
              <w:widowControl/>
              <w:jc w:val="center"/>
              <w:rPr>
                <w:rFonts w:ascii="宋体" w:cs="宋体"/>
                <w:color w:val="000000"/>
                <w:kern w:val="0"/>
                <w:sz w:val="18"/>
                <w:szCs w:val="18"/>
              </w:rPr>
            </w:pPr>
          </w:p>
        </w:tc>
        <w:tc>
          <w:tcPr>
            <w:tcW w:w="353" w:type="pct"/>
            <w:tcBorders>
              <w:top w:val="nil"/>
              <w:left w:val="nil"/>
              <w:bottom w:val="single" w:color="auto" w:sz="4" w:space="0"/>
              <w:right w:val="single" w:color="auto" w:sz="4" w:space="0"/>
            </w:tcBorders>
            <w:noWrap/>
            <w:vAlign w:val="bottom"/>
          </w:tcPr>
          <w:p w14:paraId="05032619">
            <w:pPr>
              <w:widowControl/>
              <w:jc w:val="center"/>
              <w:rPr>
                <w:rFonts w:ascii="宋体" w:cs="宋体"/>
                <w:color w:val="000000"/>
                <w:kern w:val="0"/>
                <w:sz w:val="18"/>
                <w:szCs w:val="18"/>
              </w:rPr>
            </w:pPr>
          </w:p>
        </w:tc>
        <w:tc>
          <w:tcPr>
            <w:tcW w:w="586" w:type="pct"/>
            <w:tcBorders>
              <w:top w:val="nil"/>
              <w:left w:val="nil"/>
              <w:bottom w:val="single" w:color="auto" w:sz="4" w:space="0"/>
              <w:right w:val="single" w:color="auto" w:sz="4" w:space="0"/>
            </w:tcBorders>
            <w:vAlign w:val="bottom"/>
          </w:tcPr>
          <w:p w14:paraId="64D942E1">
            <w:pPr>
              <w:widowControl/>
              <w:jc w:val="center"/>
              <w:rPr>
                <w:rFonts w:ascii="宋体" w:cs="宋体"/>
                <w:color w:val="000000"/>
                <w:kern w:val="0"/>
                <w:sz w:val="18"/>
                <w:szCs w:val="18"/>
              </w:rPr>
            </w:pPr>
          </w:p>
        </w:tc>
        <w:tc>
          <w:tcPr>
            <w:tcW w:w="1335" w:type="pct"/>
            <w:tcBorders>
              <w:top w:val="nil"/>
              <w:left w:val="nil"/>
              <w:bottom w:val="single" w:color="auto" w:sz="4" w:space="0"/>
              <w:right w:val="single" w:color="auto" w:sz="4" w:space="0"/>
            </w:tcBorders>
            <w:vAlign w:val="bottom"/>
          </w:tcPr>
          <w:p w14:paraId="7DE79B9C">
            <w:pPr>
              <w:widowControl/>
              <w:jc w:val="center"/>
              <w:rPr>
                <w:rFonts w:ascii="宋体" w:cs="宋体"/>
                <w:color w:val="000000"/>
                <w:kern w:val="0"/>
                <w:sz w:val="18"/>
                <w:szCs w:val="18"/>
              </w:rPr>
            </w:pPr>
          </w:p>
        </w:tc>
      </w:tr>
      <w:tr w14:paraId="710D3414">
        <w:tblPrEx>
          <w:tblCellMar>
            <w:top w:w="0" w:type="dxa"/>
            <w:left w:w="0" w:type="dxa"/>
            <w:bottom w:w="0" w:type="dxa"/>
            <w:right w:w="0" w:type="dxa"/>
          </w:tblCellMar>
        </w:tblPrEx>
        <w:trPr>
          <w:trHeight w:val="276" w:hRule="atLeast"/>
        </w:trPr>
        <w:tc>
          <w:tcPr>
            <w:tcW w:w="5000" w:type="pct"/>
            <w:gridSpan w:val="6"/>
            <w:tcBorders>
              <w:top w:val="single" w:color="auto" w:sz="4" w:space="0"/>
              <w:left w:val="single" w:color="auto" w:sz="4" w:space="0"/>
              <w:bottom w:val="single" w:color="auto" w:sz="4" w:space="0"/>
              <w:right w:val="single" w:color="000000" w:sz="4" w:space="0"/>
            </w:tcBorders>
            <w:noWrap/>
            <w:vAlign w:val="bottom"/>
          </w:tcPr>
          <w:p w14:paraId="1022F73C">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1</w:t>
            </w:r>
            <w:r>
              <w:rPr>
                <w:rFonts w:hint="eastAsia" w:ascii="宋体" w:hAnsi="宋体" w:cs="宋体"/>
                <w:color w:val="000000"/>
                <w:kern w:val="0"/>
                <w:sz w:val="18"/>
                <w:szCs w:val="18"/>
              </w:rPr>
              <w:t>：此数据收集表中的数据是指规定时间段内所有未分配的输入和输出；</w:t>
            </w:r>
          </w:p>
          <w:p w14:paraId="2873799D">
            <w:pPr>
              <w:pStyle w:val="69"/>
              <w:ind w:firstLine="0" w:firstLineChars="0"/>
              <w:rPr>
                <w:rFonts w:ascii="宋体"/>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2</w:t>
            </w:r>
            <w:r>
              <w:rPr>
                <w:rFonts w:hint="eastAsia" w:ascii="宋体" w:hAnsi="宋体" w:cs="宋体"/>
                <w:color w:val="000000"/>
                <w:kern w:val="0"/>
                <w:sz w:val="18"/>
                <w:szCs w:val="18"/>
              </w:rPr>
              <w:t>：燃料和热力应注意换算为热量单位，因为排放通常与热量相关。</w:t>
            </w:r>
          </w:p>
        </w:tc>
      </w:tr>
    </w:tbl>
    <w:p w14:paraId="2293DE60">
      <w:pPr>
        <w:pStyle w:val="61"/>
        <w:spacing w:line="360" w:lineRule="auto"/>
        <w:ind w:left="5250" w:firstLine="0" w:firstLineChars="0"/>
        <w:jc w:val="center"/>
        <w:rPr>
          <w:rFonts w:hint="eastAsia" w:ascii="黑体" w:hAnsi="黑体" w:eastAsia="黑体" w:cs="黑体"/>
          <w:szCs w:val="21"/>
        </w:rPr>
      </w:pPr>
    </w:p>
    <w:p w14:paraId="1DC6CD23">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 xml:space="preserve">C.2  </w:t>
      </w:r>
      <w:r>
        <w:rPr>
          <w:rFonts w:hint="eastAsia" w:ascii="黑体" w:hAnsi="黑体" w:eastAsia="黑体"/>
        </w:rPr>
        <w:t>现场特征数据收集范例（选矿单元）</w:t>
      </w:r>
    </w:p>
    <w:tbl>
      <w:tblPr>
        <w:tblStyle w:val="22"/>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7"/>
        <w:gridCol w:w="708"/>
        <w:gridCol w:w="710"/>
        <w:gridCol w:w="708"/>
        <w:gridCol w:w="1133"/>
        <w:gridCol w:w="1700"/>
      </w:tblGrid>
      <w:tr w14:paraId="072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00" w:type="pct"/>
            <w:gridSpan w:val="6"/>
            <w:noWrap/>
            <w:vAlign w:val="bottom"/>
          </w:tcPr>
          <w:p w14:paraId="6EB87D65">
            <w:pPr>
              <w:widowControl/>
              <w:jc w:val="left"/>
              <w:rPr>
                <w:rFonts w:ascii="宋体" w:cs="宋体"/>
                <w:color w:val="000000"/>
                <w:kern w:val="0"/>
                <w:sz w:val="18"/>
                <w:szCs w:val="18"/>
              </w:rPr>
            </w:pPr>
            <w:r>
              <w:rPr>
                <w:rFonts w:hint="eastAsia" w:ascii="宋体" w:hAnsi="宋体" w:cs="宋体"/>
                <w:color w:val="000000"/>
                <w:kern w:val="0"/>
                <w:sz w:val="18"/>
                <w:szCs w:val="18"/>
              </w:rPr>
              <w:t>单元过程及统计口径描述：</w:t>
            </w:r>
          </w:p>
          <w:p w14:paraId="36AF890C">
            <w:pPr>
              <w:widowControl/>
              <w:jc w:val="left"/>
              <w:rPr>
                <w:rFonts w:ascii="宋体" w:cs="宋体"/>
                <w:color w:val="000000"/>
                <w:kern w:val="0"/>
                <w:sz w:val="18"/>
                <w:szCs w:val="18"/>
              </w:rPr>
            </w:pPr>
            <w:r>
              <w:rPr>
                <w:rFonts w:hint="eastAsia" w:ascii="宋体" w:hAnsi="宋体" w:cs="宋体"/>
                <w:color w:val="000000"/>
                <w:kern w:val="0"/>
                <w:sz w:val="18"/>
                <w:szCs w:val="18"/>
              </w:rPr>
              <w:t>时间段：起始时间</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r>
              <w:rPr>
                <w:rFonts w:ascii="宋体" w:hAnsi="宋体" w:cs="宋体"/>
                <w:color w:val="000000"/>
                <w:kern w:val="0"/>
                <w:sz w:val="18"/>
                <w:szCs w:val="18"/>
              </w:rPr>
              <w:t xml:space="preserve">   </w:t>
            </w:r>
            <w:r>
              <w:rPr>
                <w:rFonts w:hint="eastAsia" w:ascii="宋体" w:hAnsi="宋体" w:cs="宋体"/>
                <w:color w:val="000000"/>
                <w:kern w:val="0"/>
                <w:sz w:val="18"/>
                <w:szCs w:val="18"/>
              </w:rPr>
              <w:t>终止时间</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p>
        </w:tc>
      </w:tr>
      <w:tr w14:paraId="0797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00" w:type="pct"/>
            <w:gridSpan w:val="6"/>
            <w:noWrap/>
            <w:vAlign w:val="bottom"/>
          </w:tcPr>
          <w:p w14:paraId="5A5B9CB3">
            <w:pPr>
              <w:pStyle w:val="69"/>
              <w:ind w:firstLine="0" w:firstLineChars="0"/>
              <w:rPr>
                <w:rFonts w:ascii="宋体"/>
                <w:sz w:val="18"/>
                <w:szCs w:val="18"/>
              </w:rPr>
            </w:pPr>
            <w:r>
              <w:rPr>
                <w:rFonts w:hint="eastAsia" w:ascii="宋体" w:hAnsi="宋体"/>
                <w:sz w:val="18"/>
                <w:szCs w:val="18"/>
              </w:rPr>
              <w:t>制表人：</w:t>
            </w:r>
            <w:r>
              <w:rPr>
                <w:rFonts w:ascii="宋体" w:hAnsi="宋体"/>
                <w:sz w:val="18"/>
                <w:szCs w:val="18"/>
              </w:rPr>
              <w:t xml:space="preserve">                         </w:t>
            </w:r>
            <w:r>
              <w:rPr>
                <w:rFonts w:hint="eastAsia" w:ascii="宋体" w:hAnsi="宋体"/>
                <w:sz w:val="18"/>
                <w:szCs w:val="18"/>
              </w:rPr>
              <w:t>制表日期：</w:t>
            </w:r>
          </w:p>
        </w:tc>
      </w:tr>
      <w:tr w14:paraId="01A8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557AFFD6">
            <w:pPr>
              <w:widowControl/>
              <w:jc w:val="left"/>
              <w:rPr>
                <w:rFonts w:ascii="宋体" w:cs="宋体"/>
                <w:b/>
                <w:color w:val="000000"/>
                <w:kern w:val="0"/>
                <w:sz w:val="18"/>
                <w:szCs w:val="18"/>
              </w:rPr>
            </w:pPr>
            <w:r>
              <w:rPr>
                <w:rFonts w:hint="eastAsia" w:ascii="宋体" w:hAnsi="宋体" w:cs="宋体"/>
                <w:b/>
                <w:color w:val="000000"/>
                <w:kern w:val="0"/>
                <w:sz w:val="18"/>
                <w:szCs w:val="18"/>
              </w:rPr>
              <w:t>输入</w:t>
            </w:r>
          </w:p>
        </w:tc>
        <w:tc>
          <w:tcPr>
            <w:tcW w:w="418" w:type="pct"/>
            <w:noWrap/>
            <w:vAlign w:val="bottom"/>
          </w:tcPr>
          <w:p w14:paraId="6AB58CEE">
            <w:pPr>
              <w:widowControl/>
              <w:jc w:val="center"/>
              <w:rPr>
                <w:rFonts w:ascii="宋体" w:cs="宋体"/>
                <w:b/>
                <w:color w:val="000000"/>
                <w:kern w:val="0"/>
                <w:sz w:val="18"/>
                <w:szCs w:val="18"/>
              </w:rPr>
            </w:pPr>
            <w:r>
              <w:rPr>
                <w:rFonts w:hint="eastAsia" w:ascii="宋体" w:hAnsi="宋体" w:cs="宋体"/>
                <w:b/>
                <w:color w:val="000000"/>
                <w:kern w:val="0"/>
                <w:sz w:val="18"/>
                <w:szCs w:val="18"/>
              </w:rPr>
              <w:t>单位</w:t>
            </w:r>
          </w:p>
        </w:tc>
        <w:tc>
          <w:tcPr>
            <w:tcW w:w="419" w:type="pct"/>
            <w:noWrap/>
            <w:vAlign w:val="bottom"/>
          </w:tcPr>
          <w:p w14:paraId="51EC7EA5">
            <w:pPr>
              <w:widowControl/>
              <w:jc w:val="center"/>
              <w:rPr>
                <w:rFonts w:ascii="宋体" w:cs="宋体"/>
                <w:b/>
                <w:color w:val="000000"/>
                <w:kern w:val="0"/>
                <w:sz w:val="18"/>
                <w:szCs w:val="18"/>
              </w:rPr>
            </w:pPr>
            <w:r>
              <w:rPr>
                <w:rFonts w:hint="eastAsia" w:ascii="宋体" w:hAnsi="宋体" w:cs="宋体"/>
                <w:b/>
                <w:color w:val="000000"/>
                <w:kern w:val="0"/>
                <w:sz w:val="18"/>
                <w:szCs w:val="18"/>
              </w:rPr>
              <w:t>数量</w:t>
            </w:r>
          </w:p>
        </w:tc>
        <w:tc>
          <w:tcPr>
            <w:tcW w:w="418" w:type="pct"/>
            <w:vAlign w:val="bottom"/>
          </w:tcPr>
          <w:p w14:paraId="78C36744">
            <w:pPr>
              <w:widowControl/>
              <w:jc w:val="center"/>
              <w:rPr>
                <w:rFonts w:ascii="宋体" w:cs="宋体"/>
                <w:b/>
                <w:color w:val="000000"/>
                <w:kern w:val="0"/>
                <w:sz w:val="18"/>
                <w:szCs w:val="18"/>
              </w:rPr>
            </w:pPr>
            <w:r>
              <w:rPr>
                <w:rFonts w:hint="eastAsia" w:ascii="宋体" w:hAnsi="宋体" w:cs="宋体"/>
                <w:b/>
                <w:color w:val="000000"/>
                <w:kern w:val="0"/>
                <w:sz w:val="18"/>
                <w:szCs w:val="18"/>
              </w:rPr>
              <w:t>运距</w:t>
            </w:r>
          </w:p>
        </w:tc>
        <w:tc>
          <w:tcPr>
            <w:tcW w:w="669" w:type="pct"/>
            <w:noWrap/>
            <w:vAlign w:val="bottom"/>
          </w:tcPr>
          <w:p w14:paraId="7B5D880C">
            <w:pPr>
              <w:widowControl/>
              <w:jc w:val="center"/>
              <w:rPr>
                <w:rFonts w:ascii="宋体" w:cs="宋体"/>
                <w:b/>
                <w:color w:val="000000"/>
                <w:kern w:val="0"/>
                <w:sz w:val="18"/>
                <w:szCs w:val="18"/>
              </w:rPr>
            </w:pPr>
            <w:r>
              <w:rPr>
                <w:rFonts w:hint="eastAsia" w:ascii="宋体" w:hAnsi="宋体" w:cs="宋体"/>
                <w:b/>
                <w:color w:val="000000"/>
                <w:kern w:val="0"/>
                <w:sz w:val="18"/>
                <w:szCs w:val="18"/>
              </w:rPr>
              <w:t>运输方式</w:t>
            </w:r>
          </w:p>
        </w:tc>
        <w:tc>
          <w:tcPr>
            <w:tcW w:w="1004" w:type="pct"/>
            <w:vAlign w:val="bottom"/>
          </w:tcPr>
          <w:p w14:paraId="4E392760">
            <w:pPr>
              <w:rPr>
                <w:rFonts w:ascii="宋体" w:cs="宋体"/>
                <w:b/>
                <w:color w:val="000000"/>
                <w:kern w:val="0"/>
                <w:sz w:val="18"/>
                <w:szCs w:val="18"/>
              </w:rPr>
            </w:pPr>
            <w:r>
              <w:rPr>
                <w:rFonts w:hint="eastAsia" w:ascii="宋体" w:hAnsi="宋体" w:cs="宋体"/>
                <w:b/>
                <w:color w:val="000000"/>
                <w:kern w:val="0"/>
                <w:sz w:val="18"/>
                <w:szCs w:val="18"/>
              </w:rPr>
              <w:t>规格特征</w:t>
            </w:r>
            <w:r>
              <w:rPr>
                <w:rFonts w:ascii="宋体" w:hAnsi="宋体" w:cs="宋体"/>
                <w:b/>
                <w:color w:val="000000"/>
                <w:kern w:val="0"/>
                <w:sz w:val="18"/>
                <w:szCs w:val="18"/>
              </w:rPr>
              <w:t>/</w:t>
            </w:r>
            <w:r>
              <w:rPr>
                <w:rFonts w:hint="eastAsia" w:ascii="宋体" w:hAnsi="宋体" w:cs="宋体"/>
                <w:b/>
                <w:color w:val="000000"/>
                <w:kern w:val="0"/>
                <w:sz w:val="18"/>
                <w:szCs w:val="18"/>
              </w:rPr>
              <w:t>来源</w:t>
            </w:r>
          </w:p>
        </w:tc>
      </w:tr>
      <w:tr w14:paraId="5D6A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3397350D">
            <w:pPr>
              <w:widowControl/>
              <w:jc w:val="left"/>
              <w:rPr>
                <w:rFonts w:ascii="宋体" w:cs="宋体"/>
                <w:color w:val="000000"/>
                <w:kern w:val="0"/>
                <w:sz w:val="18"/>
                <w:szCs w:val="18"/>
              </w:rPr>
            </w:pPr>
            <w:r>
              <w:rPr>
                <w:rFonts w:hint="eastAsia" w:ascii="宋体" w:hAnsi="宋体" w:cs="宋体"/>
                <w:color w:val="000000"/>
                <w:kern w:val="0"/>
                <w:sz w:val="18"/>
                <w:szCs w:val="18"/>
              </w:rPr>
              <w:t>原矿</w:t>
            </w:r>
          </w:p>
        </w:tc>
        <w:tc>
          <w:tcPr>
            <w:tcW w:w="418" w:type="pct"/>
            <w:noWrap/>
            <w:vAlign w:val="bottom"/>
          </w:tcPr>
          <w:p w14:paraId="4ADB089E">
            <w:pPr>
              <w:widowControl/>
              <w:jc w:val="center"/>
              <w:rPr>
                <w:rFonts w:ascii="宋体" w:cs="宋体"/>
                <w:color w:val="000000"/>
                <w:kern w:val="0"/>
                <w:sz w:val="18"/>
                <w:szCs w:val="18"/>
              </w:rPr>
            </w:pPr>
          </w:p>
        </w:tc>
        <w:tc>
          <w:tcPr>
            <w:tcW w:w="419" w:type="pct"/>
            <w:noWrap/>
            <w:vAlign w:val="bottom"/>
          </w:tcPr>
          <w:p w14:paraId="4FE67305">
            <w:pPr>
              <w:widowControl/>
              <w:jc w:val="left"/>
              <w:rPr>
                <w:rFonts w:ascii="宋体" w:cs="宋体"/>
                <w:color w:val="000000"/>
                <w:kern w:val="0"/>
                <w:sz w:val="18"/>
                <w:szCs w:val="18"/>
              </w:rPr>
            </w:pPr>
          </w:p>
        </w:tc>
        <w:tc>
          <w:tcPr>
            <w:tcW w:w="418" w:type="pct"/>
            <w:vAlign w:val="bottom"/>
          </w:tcPr>
          <w:p w14:paraId="56D77243">
            <w:pPr>
              <w:widowControl/>
              <w:jc w:val="left"/>
              <w:rPr>
                <w:rFonts w:ascii="宋体" w:cs="宋体"/>
                <w:color w:val="000000"/>
                <w:kern w:val="0"/>
                <w:sz w:val="18"/>
                <w:szCs w:val="18"/>
              </w:rPr>
            </w:pPr>
          </w:p>
        </w:tc>
        <w:tc>
          <w:tcPr>
            <w:tcW w:w="669" w:type="pct"/>
            <w:noWrap/>
            <w:vAlign w:val="bottom"/>
          </w:tcPr>
          <w:p w14:paraId="22476050">
            <w:pPr>
              <w:widowControl/>
              <w:jc w:val="left"/>
              <w:rPr>
                <w:rFonts w:ascii="宋体" w:cs="宋体"/>
                <w:color w:val="000000"/>
                <w:kern w:val="0"/>
                <w:sz w:val="18"/>
                <w:szCs w:val="18"/>
              </w:rPr>
            </w:pPr>
          </w:p>
        </w:tc>
        <w:tc>
          <w:tcPr>
            <w:tcW w:w="1004" w:type="pct"/>
            <w:vAlign w:val="bottom"/>
          </w:tcPr>
          <w:p w14:paraId="2746AD16">
            <w:pPr>
              <w:widowControl/>
              <w:jc w:val="left"/>
              <w:rPr>
                <w:rFonts w:ascii="宋体" w:cs="宋体"/>
                <w:color w:val="000000"/>
                <w:kern w:val="0"/>
                <w:sz w:val="18"/>
                <w:szCs w:val="18"/>
              </w:rPr>
            </w:pPr>
          </w:p>
        </w:tc>
      </w:tr>
      <w:tr w14:paraId="6A3C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6CB38391">
            <w:pPr>
              <w:widowControl/>
              <w:jc w:val="left"/>
              <w:rPr>
                <w:rFonts w:ascii="宋体" w:cs="宋体"/>
                <w:color w:val="000000"/>
                <w:kern w:val="0"/>
                <w:sz w:val="18"/>
                <w:szCs w:val="18"/>
              </w:rPr>
            </w:pPr>
            <w:r>
              <w:rPr>
                <w:rFonts w:hint="eastAsia" w:ascii="宋体" w:hAnsi="宋体" w:cs="宋体"/>
                <w:color w:val="000000"/>
                <w:kern w:val="0"/>
                <w:sz w:val="18"/>
                <w:szCs w:val="18"/>
              </w:rPr>
              <w:t>钢球</w:t>
            </w:r>
          </w:p>
        </w:tc>
        <w:tc>
          <w:tcPr>
            <w:tcW w:w="418" w:type="pct"/>
            <w:noWrap/>
            <w:vAlign w:val="bottom"/>
          </w:tcPr>
          <w:p w14:paraId="3DCB3B8D">
            <w:pPr>
              <w:widowControl/>
              <w:jc w:val="center"/>
              <w:rPr>
                <w:rFonts w:ascii="宋体" w:cs="宋体"/>
                <w:color w:val="000000"/>
                <w:kern w:val="0"/>
                <w:sz w:val="18"/>
                <w:szCs w:val="18"/>
              </w:rPr>
            </w:pPr>
          </w:p>
        </w:tc>
        <w:tc>
          <w:tcPr>
            <w:tcW w:w="419" w:type="pct"/>
            <w:noWrap/>
            <w:vAlign w:val="bottom"/>
          </w:tcPr>
          <w:p w14:paraId="38B85D06">
            <w:pPr>
              <w:widowControl/>
              <w:jc w:val="center"/>
              <w:rPr>
                <w:rFonts w:ascii="宋体" w:cs="宋体"/>
                <w:color w:val="000000"/>
                <w:kern w:val="0"/>
                <w:sz w:val="18"/>
                <w:szCs w:val="18"/>
              </w:rPr>
            </w:pPr>
          </w:p>
        </w:tc>
        <w:tc>
          <w:tcPr>
            <w:tcW w:w="418" w:type="pct"/>
            <w:vAlign w:val="bottom"/>
          </w:tcPr>
          <w:p w14:paraId="13D58FFD">
            <w:pPr>
              <w:widowControl/>
              <w:jc w:val="center"/>
              <w:rPr>
                <w:rFonts w:ascii="宋体" w:cs="宋体"/>
                <w:color w:val="000000"/>
                <w:kern w:val="0"/>
                <w:sz w:val="18"/>
                <w:szCs w:val="18"/>
              </w:rPr>
            </w:pPr>
          </w:p>
        </w:tc>
        <w:tc>
          <w:tcPr>
            <w:tcW w:w="669" w:type="pct"/>
            <w:noWrap/>
            <w:vAlign w:val="bottom"/>
          </w:tcPr>
          <w:p w14:paraId="0301AA77">
            <w:pPr>
              <w:widowControl/>
              <w:jc w:val="center"/>
              <w:rPr>
                <w:rFonts w:ascii="宋体" w:cs="宋体"/>
                <w:color w:val="000000"/>
                <w:kern w:val="0"/>
                <w:sz w:val="18"/>
                <w:szCs w:val="18"/>
              </w:rPr>
            </w:pPr>
          </w:p>
        </w:tc>
        <w:tc>
          <w:tcPr>
            <w:tcW w:w="1004" w:type="pct"/>
            <w:vAlign w:val="bottom"/>
          </w:tcPr>
          <w:p w14:paraId="71F54AA1">
            <w:pPr>
              <w:ind w:firstLine="360"/>
              <w:jc w:val="center"/>
              <w:rPr>
                <w:rFonts w:ascii="宋体" w:cs="宋体"/>
                <w:color w:val="000000"/>
                <w:kern w:val="0"/>
                <w:sz w:val="18"/>
                <w:szCs w:val="18"/>
              </w:rPr>
            </w:pPr>
          </w:p>
        </w:tc>
      </w:tr>
      <w:tr w14:paraId="75CA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3F58831A">
            <w:pPr>
              <w:widowControl/>
              <w:jc w:val="left"/>
              <w:rPr>
                <w:rFonts w:ascii="宋体" w:cs="宋体"/>
                <w:color w:val="000000"/>
                <w:kern w:val="0"/>
                <w:sz w:val="18"/>
                <w:szCs w:val="18"/>
              </w:rPr>
            </w:pPr>
            <w:r>
              <w:rPr>
                <w:rFonts w:hint="eastAsia" w:ascii="宋体" w:hAnsi="宋体" w:cs="宋体"/>
                <w:color w:val="000000"/>
                <w:kern w:val="0"/>
                <w:sz w:val="18"/>
                <w:szCs w:val="18"/>
              </w:rPr>
              <w:t>衬板</w:t>
            </w:r>
          </w:p>
        </w:tc>
        <w:tc>
          <w:tcPr>
            <w:tcW w:w="418" w:type="pct"/>
            <w:noWrap/>
            <w:vAlign w:val="bottom"/>
          </w:tcPr>
          <w:p w14:paraId="41AA413B">
            <w:pPr>
              <w:widowControl/>
              <w:jc w:val="center"/>
              <w:rPr>
                <w:rFonts w:ascii="宋体" w:cs="宋体"/>
                <w:color w:val="000000"/>
                <w:kern w:val="0"/>
                <w:sz w:val="18"/>
                <w:szCs w:val="18"/>
              </w:rPr>
            </w:pPr>
          </w:p>
        </w:tc>
        <w:tc>
          <w:tcPr>
            <w:tcW w:w="419" w:type="pct"/>
            <w:noWrap/>
            <w:vAlign w:val="bottom"/>
          </w:tcPr>
          <w:p w14:paraId="3B954488">
            <w:pPr>
              <w:widowControl/>
              <w:jc w:val="center"/>
              <w:rPr>
                <w:rFonts w:ascii="宋体" w:cs="宋体"/>
                <w:color w:val="000000"/>
                <w:kern w:val="0"/>
                <w:sz w:val="18"/>
                <w:szCs w:val="18"/>
              </w:rPr>
            </w:pPr>
          </w:p>
        </w:tc>
        <w:tc>
          <w:tcPr>
            <w:tcW w:w="418" w:type="pct"/>
            <w:vAlign w:val="bottom"/>
          </w:tcPr>
          <w:p w14:paraId="6872F5E9">
            <w:pPr>
              <w:widowControl/>
              <w:jc w:val="center"/>
              <w:rPr>
                <w:rFonts w:ascii="宋体" w:cs="宋体"/>
                <w:color w:val="000000"/>
                <w:kern w:val="0"/>
                <w:sz w:val="18"/>
                <w:szCs w:val="18"/>
              </w:rPr>
            </w:pPr>
          </w:p>
        </w:tc>
        <w:tc>
          <w:tcPr>
            <w:tcW w:w="669" w:type="pct"/>
            <w:noWrap/>
            <w:vAlign w:val="bottom"/>
          </w:tcPr>
          <w:p w14:paraId="1D50EA0D">
            <w:pPr>
              <w:widowControl/>
              <w:jc w:val="center"/>
              <w:rPr>
                <w:rFonts w:ascii="宋体" w:cs="宋体"/>
                <w:color w:val="000000"/>
                <w:kern w:val="0"/>
                <w:sz w:val="18"/>
                <w:szCs w:val="18"/>
              </w:rPr>
            </w:pPr>
          </w:p>
        </w:tc>
        <w:tc>
          <w:tcPr>
            <w:tcW w:w="1004" w:type="pct"/>
            <w:vAlign w:val="bottom"/>
          </w:tcPr>
          <w:p w14:paraId="442FB89C">
            <w:pPr>
              <w:ind w:firstLine="360"/>
              <w:jc w:val="center"/>
              <w:rPr>
                <w:rFonts w:ascii="宋体" w:cs="宋体"/>
                <w:color w:val="000000"/>
                <w:kern w:val="0"/>
                <w:sz w:val="18"/>
                <w:szCs w:val="18"/>
              </w:rPr>
            </w:pPr>
          </w:p>
        </w:tc>
      </w:tr>
      <w:tr w14:paraId="0422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61B6D9F8">
            <w:pPr>
              <w:widowControl/>
              <w:jc w:val="left"/>
              <w:rPr>
                <w:rFonts w:ascii="宋体" w:cs="宋体"/>
                <w:color w:val="000000"/>
                <w:kern w:val="0"/>
                <w:sz w:val="18"/>
                <w:szCs w:val="18"/>
              </w:rPr>
            </w:pPr>
            <w:r>
              <w:rPr>
                <w:rFonts w:hint="eastAsia" w:ascii="宋体" w:hAnsi="宋体" w:cs="宋体"/>
                <w:color w:val="000000"/>
                <w:kern w:val="0"/>
                <w:sz w:val="18"/>
                <w:szCs w:val="18"/>
              </w:rPr>
              <w:t>胶带</w:t>
            </w:r>
          </w:p>
        </w:tc>
        <w:tc>
          <w:tcPr>
            <w:tcW w:w="418" w:type="pct"/>
            <w:noWrap/>
            <w:vAlign w:val="bottom"/>
          </w:tcPr>
          <w:p w14:paraId="3ED4F901">
            <w:pPr>
              <w:widowControl/>
              <w:jc w:val="center"/>
              <w:rPr>
                <w:rFonts w:ascii="宋体" w:cs="宋体"/>
                <w:color w:val="000000"/>
                <w:kern w:val="0"/>
                <w:sz w:val="18"/>
                <w:szCs w:val="18"/>
              </w:rPr>
            </w:pPr>
          </w:p>
        </w:tc>
        <w:tc>
          <w:tcPr>
            <w:tcW w:w="419" w:type="pct"/>
            <w:noWrap/>
            <w:vAlign w:val="bottom"/>
          </w:tcPr>
          <w:p w14:paraId="0B616326">
            <w:pPr>
              <w:widowControl/>
              <w:jc w:val="center"/>
              <w:rPr>
                <w:rFonts w:ascii="宋体" w:cs="宋体"/>
                <w:color w:val="000000"/>
                <w:kern w:val="0"/>
                <w:sz w:val="18"/>
                <w:szCs w:val="18"/>
              </w:rPr>
            </w:pPr>
          </w:p>
        </w:tc>
        <w:tc>
          <w:tcPr>
            <w:tcW w:w="418" w:type="pct"/>
            <w:vAlign w:val="bottom"/>
          </w:tcPr>
          <w:p w14:paraId="32255CBB">
            <w:pPr>
              <w:widowControl/>
              <w:jc w:val="center"/>
              <w:rPr>
                <w:rFonts w:ascii="宋体" w:cs="宋体"/>
                <w:color w:val="000000"/>
                <w:kern w:val="0"/>
                <w:sz w:val="18"/>
                <w:szCs w:val="18"/>
              </w:rPr>
            </w:pPr>
          </w:p>
        </w:tc>
        <w:tc>
          <w:tcPr>
            <w:tcW w:w="669" w:type="pct"/>
            <w:noWrap/>
            <w:vAlign w:val="bottom"/>
          </w:tcPr>
          <w:p w14:paraId="5E63470D">
            <w:pPr>
              <w:widowControl/>
              <w:jc w:val="center"/>
              <w:rPr>
                <w:rFonts w:ascii="宋体" w:cs="宋体"/>
                <w:color w:val="000000"/>
                <w:kern w:val="0"/>
                <w:sz w:val="18"/>
                <w:szCs w:val="18"/>
              </w:rPr>
            </w:pPr>
          </w:p>
        </w:tc>
        <w:tc>
          <w:tcPr>
            <w:tcW w:w="1004" w:type="pct"/>
            <w:vAlign w:val="bottom"/>
          </w:tcPr>
          <w:p w14:paraId="21A9A4C0">
            <w:pPr>
              <w:widowControl/>
              <w:jc w:val="center"/>
              <w:rPr>
                <w:rFonts w:ascii="宋体" w:cs="宋体"/>
                <w:color w:val="000000"/>
                <w:kern w:val="0"/>
                <w:sz w:val="18"/>
                <w:szCs w:val="18"/>
              </w:rPr>
            </w:pPr>
          </w:p>
        </w:tc>
      </w:tr>
      <w:tr w14:paraId="15D4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2DBAA9B2">
            <w:pPr>
              <w:widowControl/>
              <w:jc w:val="left"/>
              <w:rPr>
                <w:rFonts w:ascii="宋体" w:cs="宋体"/>
                <w:color w:val="000000"/>
                <w:kern w:val="0"/>
                <w:sz w:val="18"/>
                <w:szCs w:val="18"/>
              </w:rPr>
            </w:pPr>
            <w:r>
              <w:rPr>
                <w:rFonts w:hint="eastAsia" w:ascii="宋体" w:hAnsi="宋体" w:cs="宋体"/>
                <w:color w:val="000000"/>
                <w:kern w:val="0"/>
                <w:sz w:val="18"/>
                <w:szCs w:val="18"/>
              </w:rPr>
              <w:t>生石灰</w:t>
            </w:r>
          </w:p>
        </w:tc>
        <w:tc>
          <w:tcPr>
            <w:tcW w:w="418" w:type="pct"/>
            <w:noWrap/>
            <w:vAlign w:val="bottom"/>
          </w:tcPr>
          <w:p w14:paraId="6D0CD519">
            <w:pPr>
              <w:widowControl/>
              <w:jc w:val="center"/>
              <w:rPr>
                <w:rFonts w:ascii="宋体" w:cs="宋体"/>
                <w:color w:val="000000"/>
                <w:kern w:val="0"/>
                <w:sz w:val="18"/>
                <w:szCs w:val="18"/>
              </w:rPr>
            </w:pPr>
          </w:p>
        </w:tc>
        <w:tc>
          <w:tcPr>
            <w:tcW w:w="419" w:type="pct"/>
            <w:noWrap/>
            <w:vAlign w:val="bottom"/>
          </w:tcPr>
          <w:p w14:paraId="20580C35">
            <w:pPr>
              <w:widowControl/>
              <w:jc w:val="center"/>
              <w:rPr>
                <w:rFonts w:ascii="宋体" w:cs="宋体"/>
                <w:color w:val="000000"/>
                <w:kern w:val="0"/>
                <w:sz w:val="18"/>
                <w:szCs w:val="18"/>
              </w:rPr>
            </w:pPr>
          </w:p>
        </w:tc>
        <w:tc>
          <w:tcPr>
            <w:tcW w:w="418" w:type="pct"/>
            <w:vAlign w:val="bottom"/>
          </w:tcPr>
          <w:p w14:paraId="6CD904EC">
            <w:pPr>
              <w:widowControl/>
              <w:jc w:val="center"/>
              <w:rPr>
                <w:rFonts w:ascii="宋体" w:cs="宋体"/>
                <w:color w:val="000000"/>
                <w:kern w:val="0"/>
                <w:sz w:val="18"/>
                <w:szCs w:val="18"/>
              </w:rPr>
            </w:pPr>
          </w:p>
        </w:tc>
        <w:tc>
          <w:tcPr>
            <w:tcW w:w="669" w:type="pct"/>
            <w:noWrap/>
            <w:vAlign w:val="bottom"/>
          </w:tcPr>
          <w:p w14:paraId="5C9ED05D">
            <w:pPr>
              <w:widowControl/>
              <w:jc w:val="center"/>
              <w:rPr>
                <w:rFonts w:ascii="宋体" w:cs="宋体"/>
                <w:color w:val="000000"/>
                <w:kern w:val="0"/>
                <w:sz w:val="18"/>
                <w:szCs w:val="18"/>
              </w:rPr>
            </w:pPr>
          </w:p>
        </w:tc>
        <w:tc>
          <w:tcPr>
            <w:tcW w:w="1004" w:type="pct"/>
            <w:vAlign w:val="bottom"/>
          </w:tcPr>
          <w:p w14:paraId="53AC58B9">
            <w:pPr>
              <w:widowControl/>
              <w:jc w:val="center"/>
              <w:rPr>
                <w:rFonts w:ascii="宋体" w:cs="宋体"/>
                <w:color w:val="000000"/>
                <w:kern w:val="0"/>
                <w:sz w:val="18"/>
                <w:szCs w:val="18"/>
              </w:rPr>
            </w:pPr>
          </w:p>
        </w:tc>
      </w:tr>
      <w:tr w14:paraId="39E0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196514D0">
            <w:pPr>
              <w:widowControl/>
              <w:jc w:val="left"/>
              <w:rPr>
                <w:rFonts w:ascii="宋体" w:cs="宋体"/>
                <w:color w:val="000000"/>
                <w:kern w:val="0"/>
                <w:sz w:val="18"/>
                <w:szCs w:val="18"/>
              </w:rPr>
            </w:pPr>
            <w:r>
              <w:rPr>
                <w:rFonts w:hint="eastAsia" w:ascii="宋体" w:hAnsi="宋体" w:cs="宋体"/>
                <w:color w:val="000000"/>
                <w:kern w:val="0"/>
                <w:sz w:val="18"/>
                <w:szCs w:val="18"/>
              </w:rPr>
              <w:t>药剂</w:t>
            </w:r>
          </w:p>
        </w:tc>
        <w:tc>
          <w:tcPr>
            <w:tcW w:w="418" w:type="pct"/>
            <w:noWrap/>
            <w:vAlign w:val="bottom"/>
          </w:tcPr>
          <w:p w14:paraId="55DC394A">
            <w:pPr>
              <w:widowControl/>
              <w:jc w:val="center"/>
              <w:rPr>
                <w:rFonts w:ascii="宋体" w:cs="宋体"/>
                <w:color w:val="000000"/>
                <w:kern w:val="0"/>
                <w:sz w:val="18"/>
                <w:szCs w:val="18"/>
              </w:rPr>
            </w:pPr>
          </w:p>
        </w:tc>
        <w:tc>
          <w:tcPr>
            <w:tcW w:w="419" w:type="pct"/>
            <w:noWrap/>
            <w:vAlign w:val="bottom"/>
          </w:tcPr>
          <w:p w14:paraId="7C8EC1E4">
            <w:pPr>
              <w:widowControl/>
              <w:jc w:val="center"/>
              <w:rPr>
                <w:rFonts w:ascii="宋体" w:cs="宋体"/>
                <w:color w:val="000000"/>
                <w:kern w:val="0"/>
                <w:sz w:val="18"/>
                <w:szCs w:val="18"/>
              </w:rPr>
            </w:pPr>
          </w:p>
        </w:tc>
        <w:tc>
          <w:tcPr>
            <w:tcW w:w="418" w:type="pct"/>
            <w:vAlign w:val="bottom"/>
          </w:tcPr>
          <w:p w14:paraId="0BB14B42">
            <w:pPr>
              <w:widowControl/>
              <w:jc w:val="center"/>
              <w:rPr>
                <w:rFonts w:ascii="宋体" w:cs="宋体"/>
                <w:color w:val="000000"/>
                <w:kern w:val="0"/>
                <w:sz w:val="18"/>
                <w:szCs w:val="18"/>
              </w:rPr>
            </w:pPr>
          </w:p>
        </w:tc>
        <w:tc>
          <w:tcPr>
            <w:tcW w:w="669" w:type="pct"/>
            <w:noWrap/>
            <w:vAlign w:val="bottom"/>
          </w:tcPr>
          <w:p w14:paraId="2BA0C72B">
            <w:pPr>
              <w:widowControl/>
              <w:jc w:val="center"/>
              <w:rPr>
                <w:rFonts w:ascii="宋体" w:cs="宋体"/>
                <w:color w:val="000000"/>
                <w:kern w:val="0"/>
                <w:sz w:val="18"/>
                <w:szCs w:val="18"/>
              </w:rPr>
            </w:pPr>
          </w:p>
        </w:tc>
        <w:tc>
          <w:tcPr>
            <w:tcW w:w="1004" w:type="pct"/>
            <w:vAlign w:val="bottom"/>
          </w:tcPr>
          <w:p w14:paraId="52058C32">
            <w:pPr>
              <w:widowControl/>
              <w:jc w:val="center"/>
              <w:rPr>
                <w:rFonts w:ascii="宋体" w:cs="宋体"/>
                <w:color w:val="000000"/>
                <w:kern w:val="0"/>
                <w:sz w:val="18"/>
                <w:szCs w:val="18"/>
              </w:rPr>
            </w:pPr>
          </w:p>
        </w:tc>
      </w:tr>
      <w:tr w14:paraId="49D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68A82280">
            <w:pPr>
              <w:widowControl/>
              <w:jc w:val="left"/>
              <w:rPr>
                <w:rFonts w:ascii="宋体" w:cs="宋体"/>
                <w:color w:val="000000"/>
                <w:kern w:val="0"/>
                <w:sz w:val="18"/>
                <w:szCs w:val="18"/>
              </w:rPr>
            </w:pPr>
            <w:r>
              <w:rPr>
                <w:rFonts w:hint="eastAsia" w:ascii="宋体" w:hAnsi="宋体" w:cs="宋体"/>
                <w:color w:val="000000"/>
                <w:kern w:val="0"/>
                <w:sz w:val="18"/>
                <w:szCs w:val="18"/>
              </w:rPr>
              <w:t>燃料（如，柴油、汽油、天然气等）</w:t>
            </w:r>
          </w:p>
        </w:tc>
        <w:tc>
          <w:tcPr>
            <w:tcW w:w="418" w:type="pct"/>
            <w:noWrap/>
            <w:vAlign w:val="bottom"/>
          </w:tcPr>
          <w:p w14:paraId="15407021">
            <w:pPr>
              <w:widowControl/>
              <w:jc w:val="center"/>
              <w:rPr>
                <w:rFonts w:ascii="宋体" w:cs="宋体"/>
                <w:color w:val="000000"/>
                <w:kern w:val="0"/>
                <w:sz w:val="18"/>
                <w:szCs w:val="18"/>
              </w:rPr>
            </w:pPr>
          </w:p>
        </w:tc>
        <w:tc>
          <w:tcPr>
            <w:tcW w:w="419" w:type="pct"/>
            <w:noWrap/>
            <w:vAlign w:val="bottom"/>
          </w:tcPr>
          <w:p w14:paraId="641A5D7B">
            <w:pPr>
              <w:widowControl/>
              <w:jc w:val="center"/>
              <w:rPr>
                <w:rFonts w:ascii="宋体" w:cs="宋体"/>
                <w:color w:val="000000"/>
                <w:kern w:val="0"/>
                <w:sz w:val="18"/>
                <w:szCs w:val="18"/>
              </w:rPr>
            </w:pPr>
          </w:p>
        </w:tc>
        <w:tc>
          <w:tcPr>
            <w:tcW w:w="418" w:type="pct"/>
            <w:vAlign w:val="bottom"/>
          </w:tcPr>
          <w:p w14:paraId="62811A10">
            <w:pPr>
              <w:widowControl/>
              <w:jc w:val="center"/>
              <w:rPr>
                <w:rFonts w:ascii="宋体" w:cs="宋体"/>
                <w:color w:val="000000"/>
                <w:kern w:val="0"/>
                <w:sz w:val="18"/>
                <w:szCs w:val="18"/>
              </w:rPr>
            </w:pPr>
          </w:p>
        </w:tc>
        <w:tc>
          <w:tcPr>
            <w:tcW w:w="669" w:type="pct"/>
            <w:noWrap/>
            <w:vAlign w:val="bottom"/>
          </w:tcPr>
          <w:p w14:paraId="0DD1C49D">
            <w:pPr>
              <w:widowControl/>
              <w:jc w:val="center"/>
              <w:rPr>
                <w:rFonts w:ascii="宋体" w:cs="宋体"/>
                <w:color w:val="000000"/>
                <w:kern w:val="0"/>
                <w:sz w:val="18"/>
                <w:szCs w:val="18"/>
              </w:rPr>
            </w:pPr>
          </w:p>
        </w:tc>
        <w:tc>
          <w:tcPr>
            <w:tcW w:w="1004" w:type="pct"/>
            <w:vAlign w:val="bottom"/>
          </w:tcPr>
          <w:p w14:paraId="4370649F">
            <w:pPr>
              <w:ind w:firstLine="360"/>
              <w:jc w:val="center"/>
              <w:rPr>
                <w:rFonts w:ascii="宋体" w:cs="宋体"/>
                <w:color w:val="000000"/>
                <w:kern w:val="0"/>
                <w:sz w:val="18"/>
                <w:szCs w:val="18"/>
              </w:rPr>
            </w:pPr>
          </w:p>
        </w:tc>
      </w:tr>
      <w:tr w14:paraId="6DA3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71206F29">
            <w:pPr>
              <w:widowControl/>
              <w:jc w:val="left"/>
              <w:rPr>
                <w:rFonts w:ascii="宋体" w:cs="宋体"/>
                <w:color w:val="000000"/>
                <w:kern w:val="0"/>
                <w:sz w:val="18"/>
                <w:szCs w:val="18"/>
              </w:rPr>
            </w:pPr>
            <w:r>
              <w:rPr>
                <w:rFonts w:hint="eastAsia" w:ascii="宋体" w:hAnsi="宋体" w:cs="宋体"/>
                <w:color w:val="000000"/>
                <w:kern w:val="0"/>
                <w:sz w:val="18"/>
                <w:szCs w:val="18"/>
              </w:rPr>
              <w:t>电力</w:t>
            </w:r>
          </w:p>
        </w:tc>
        <w:tc>
          <w:tcPr>
            <w:tcW w:w="418" w:type="pct"/>
            <w:noWrap/>
            <w:vAlign w:val="bottom"/>
          </w:tcPr>
          <w:p w14:paraId="04556166">
            <w:pPr>
              <w:widowControl/>
              <w:jc w:val="center"/>
              <w:rPr>
                <w:rFonts w:ascii="宋体" w:cs="宋体"/>
                <w:color w:val="000000"/>
                <w:kern w:val="0"/>
                <w:sz w:val="18"/>
                <w:szCs w:val="18"/>
              </w:rPr>
            </w:pPr>
          </w:p>
        </w:tc>
        <w:tc>
          <w:tcPr>
            <w:tcW w:w="419" w:type="pct"/>
            <w:noWrap/>
            <w:vAlign w:val="bottom"/>
          </w:tcPr>
          <w:p w14:paraId="5A862FF0">
            <w:pPr>
              <w:widowControl/>
              <w:jc w:val="center"/>
              <w:rPr>
                <w:rFonts w:ascii="宋体" w:cs="宋体"/>
                <w:color w:val="000000"/>
                <w:kern w:val="0"/>
                <w:sz w:val="18"/>
                <w:szCs w:val="18"/>
              </w:rPr>
            </w:pPr>
          </w:p>
        </w:tc>
        <w:tc>
          <w:tcPr>
            <w:tcW w:w="418" w:type="pct"/>
            <w:vAlign w:val="bottom"/>
          </w:tcPr>
          <w:p w14:paraId="68E9F8A1">
            <w:pPr>
              <w:widowControl/>
              <w:jc w:val="center"/>
              <w:rPr>
                <w:rFonts w:ascii="宋体" w:cs="宋体"/>
                <w:color w:val="000000"/>
                <w:kern w:val="0"/>
                <w:sz w:val="18"/>
                <w:szCs w:val="18"/>
              </w:rPr>
            </w:pPr>
          </w:p>
        </w:tc>
        <w:tc>
          <w:tcPr>
            <w:tcW w:w="669" w:type="pct"/>
            <w:noWrap/>
            <w:vAlign w:val="bottom"/>
          </w:tcPr>
          <w:p w14:paraId="72F42EA6">
            <w:pPr>
              <w:widowControl/>
              <w:jc w:val="center"/>
              <w:rPr>
                <w:rFonts w:ascii="宋体" w:cs="宋体"/>
                <w:color w:val="000000"/>
                <w:kern w:val="0"/>
                <w:sz w:val="18"/>
                <w:szCs w:val="18"/>
              </w:rPr>
            </w:pPr>
          </w:p>
        </w:tc>
        <w:tc>
          <w:tcPr>
            <w:tcW w:w="1004" w:type="pct"/>
            <w:vAlign w:val="bottom"/>
          </w:tcPr>
          <w:p w14:paraId="1CAE814E">
            <w:pPr>
              <w:ind w:firstLine="360"/>
              <w:jc w:val="center"/>
              <w:rPr>
                <w:rFonts w:ascii="宋体" w:cs="宋体"/>
                <w:color w:val="000000"/>
                <w:kern w:val="0"/>
                <w:sz w:val="18"/>
                <w:szCs w:val="18"/>
              </w:rPr>
            </w:pPr>
          </w:p>
        </w:tc>
      </w:tr>
      <w:tr w14:paraId="7A21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tcPr>
          <w:p w14:paraId="2D2DA3E3">
            <w:pPr>
              <w:widowControl/>
              <w:jc w:val="left"/>
              <w:rPr>
                <w:rFonts w:ascii="宋体" w:cs="宋体"/>
                <w:color w:val="000000"/>
                <w:kern w:val="0"/>
                <w:sz w:val="18"/>
                <w:szCs w:val="18"/>
              </w:rPr>
            </w:pPr>
            <w:r>
              <w:rPr>
                <w:rFonts w:hint="eastAsia" w:ascii="宋体" w:hAnsi="宋体" w:cs="宋体"/>
                <w:color w:val="000000"/>
                <w:kern w:val="0"/>
                <w:sz w:val="18"/>
                <w:szCs w:val="18"/>
              </w:rPr>
              <w:t>耗能工质</w:t>
            </w:r>
          </w:p>
        </w:tc>
        <w:tc>
          <w:tcPr>
            <w:tcW w:w="418" w:type="pct"/>
            <w:noWrap/>
          </w:tcPr>
          <w:p w14:paraId="4AF512E8">
            <w:pPr>
              <w:widowControl/>
              <w:jc w:val="center"/>
              <w:rPr>
                <w:rFonts w:ascii="宋体" w:cs="宋体"/>
                <w:color w:val="000000"/>
                <w:kern w:val="0"/>
                <w:sz w:val="18"/>
                <w:szCs w:val="18"/>
              </w:rPr>
            </w:pPr>
          </w:p>
        </w:tc>
        <w:tc>
          <w:tcPr>
            <w:tcW w:w="419" w:type="pct"/>
            <w:noWrap/>
          </w:tcPr>
          <w:p w14:paraId="36E32726">
            <w:pPr>
              <w:widowControl/>
              <w:jc w:val="center"/>
              <w:rPr>
                <w:rFonts w:ascii="宋体" w:cs="宋体"/>
                <w:color w:val="000000"/>
                <w:kern w:val="0"/>
                <w:sz w:val="18"/>
                <w:szCs w:val="18"/>
              </w:rPr>
            </w:pPr>
          </w:p>
        </w:tc>
        <w:tc>
          <w:tcPr>
            <w:tcW w:w="418" w:type="pct"/>
          </w:tcPr>
          <w:p w14:paraId="4361A09D">
            <w:pPr>
              <w:widowControl/>
              <w:jc w:val="center"/>
              <w:rPr>
                <w:rFonts w:ascii="宋体" w:cs="宋体"/>
                <w:color w:val="000000"/>
                <w:kern w:val="0"/>
                <w:sz w:val="18"/>
                <w:szCs w:val="18"/>
              </w:rPr>
            </w:pPr>
          </w:p>
        </w:tc>
        <w:tc>
          <w:tcPr>
            <w:tcW w:w="669" w:type="pct"/>
            <w:noWrap/>
          </w:tcPr>
          <w:p w14:paraId="135B8FA3">
            <w:pPr>
              <w:widowControl/>
              <w:jc w:val="center"/>
              <w:rPr>
                <w:rFonts w:ascii="宋体" w:cs="宋体"/>
                <w:color w:val="000000"/>
                <w:kern w:val="0"/>
                <w:sz w:val="18"/>
                <w:szCs w:val="18"/>
              </w:rPr>
            </w:pPr>
          </w:p>
        </w:tc>
        <w:tc>
          <w:tcPr>
            <w:tcW w:w="1004" w:type="pct"/>
          </w:tcPr>
          <w:p w14:paraId="3AA22992">
            <w:pPr>
              <w:ind w:firstLine="360"/>
              <w:jc w:val="center"/>
              <w:rPr>
                <w:rFonts w:ascii="宋体" w:cs="宋体"/>
                <w:color w:val="000000"/>
                <w:kern w:val="0"/>
                <w:sz w:val="18"/>
                <w:szCs w:val="18"/>
              </w:rPr>
            </w:pPr>
          </w:p>
        </w:tc>
      </w:tr>
      <w:tr w14:paraId="6F1C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75FF77EB">
            <w:pPr>
              <w:widowControl/>
              <w:jc w:val="left"/>
              <w:rPr>
                <w:rFonts w:ascii="宋体" w:cs="宋体"/>
                <w:color w:val="000000"/>
                <w:kern w:val="0"/>
                <w:sz w:val="18"/>
                <w:szCs w:val="18"/>
              </w:rPr>
            </w:pPr>
            <w:r>
              <w:rPr>
                <w:rFonts w:hint="eastAsia" w:ascii="宋体" w:hAnsi="宋体" w:cs="宋体"/>
                <w:color w:val="000000"/>
                <w:kern w:val="0"/>
                <w:sz w:val="18"/>
                <w:szCs w:val="18"/>
              </w:rPr>
              <w:t>热力</w:t>
            </w:r>
          </w:p>
        </w:tc>
        <w:tc>
          <w:tcPr>
            <w:tcW w:w="418" w:type="pct"/>
            <w:noWrap/>
            <w:vAlign w:val="bottom"/>
          </w:tcPr>
          <w:p w14:paraId="64A86157">
            <w:pPr>
              <w:widowControl/>
              <w:jc w:val="center"/>
              <w:rPr>
                <w:rFonts w:ascii="宋体" w:cs="宋体"/>
                <w:color w:val="000000"/>
                <w:kern w:val="0"/>
                <w:sz w:val="18"/>
                <w:szCs w:val="18"/>
              </w:rPr>
            </w:pPr>
          </w:p>
        </w:tc>
        <w:tc>
          <w:tcPr>
            <w:tcW w:w="419" w:type="pct"/>
            <w:noWrap/>
            <w:vAlign w:val="bottom"/>
          </w:tcPr>
          <w:p w14:paraId="2AAB20E5">
            <w:pPr>
              <w:widowControl/>
              <w:jc w:val="center"/>
              <w:rPr>
                <w:rFonts w:ascii="宋体" w:cs="宋体"/>
                <w:color w:val="000000"/>
                <w:kern w:val="0"/>
                <w:sz w:val="18"/>
                <w:szCs w:val="18"/>
              </w:rPr>
            </w:pPr>
          </w:p>
        </w:tc>
        <w:tc>
          <w:tcPr>
            <w:tcW w:w="418" w:type="pct"/>
            <w:vAlign w:val="bottom"/>
          </w:tcPr>
          <w:p w14:paraId="0219C650">
            <w:pPr>
              <w:widowControl/>
              <w:jc w:val="center"/>
              <w:rPr>
                <w:rFonts w:ascii="宋体" w:cs="宋体"/>
                <w:color w:val="000000"/>
                <w:kern w:val="0"/>
                <w:sz w:val="18"/>
                <w:szCs w:val="18"/>
              </w:rPr>
            </w:pPr>
          </w:p>
        </w:tc>
        <w:tc>
          <w:tcPr>
            <w:tcW w:w="669" w:type="pct"/>
            <w:noWrap/>
            <w:vAlign w:val="bottom"/>
          </w:tcPr>
          <w:p w14:paraId="31D9ABBA">
            <w:pPr>
              <w:widowControl/>
              <w:jc w:val="center"/>
              <w:rPr>
                <w:rFonts w:ascii="宋体" w:cs="宋体"/>
                <w:color w:val="000000"/>
                <w:kern w:val="0"/>
                <w:sz w:val="18"/>
                <w:szCs w:val="18"/>
              </w:rPr>
            </w:pPr>
          </w:p>
        </w:tc>
        <w:tc>
          <w:tcPr>
            <w:tcW w:w="1004" w:type="pct"/>
            <w:vAlign w:val="bottom"/>
          </w:tcPr>
          <w:p w14:paraId="069DCF0D">
            <w:pPr>
              <w:ind w:firstLine="360"/>
              <w:jc w:val="center"/>
              <w:rPr>
                <w:rFonts w:ascii="宋体" w:cs="宋体"/>
                <w:color w:val="000000"/>
                <w:kern w:val="0"/>
                <w:sz w:val="18"/>
                <w:szCs w:val="18"/>
              </w:rPr>
            </w:pPr>
          </w:p>
        </w:tc>
      </w:tr>
      <w:tr w14:paraId="203F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3EF0C048">
            <w:pPr>
              <w:widowControl/>
              <w:jc w:val="left"/>
              <w:rPr>
                <w:rFonts w:ascii="宋体" w:cs="宋体"/>
                <w:color w:val="000000"/>
                <w:kern w:val="0"/>
                <w:sz w:val="18"/>
                <w:szCs w:val="18"/>
              </w:rPr>
            </w:pPr>
            <w:r>
              <w:rPr>
                <w:rFonts w:hint="eastAsia" w:ascii="宋体" w:hAnsi="宋体" w:cs="宋体"/>
                <w:color w:val="000000"/>
                <w:kern w:val="0"/>
                <w:sz w:val="18"/>
                <w:szCs w:val="18"/>
              </w:rPr>
              <w:t>第三方服务（如有）</w:t>
            </w:r>
          </w:p>
        </w:tc>
        <w:tc>
          <w:tcPr>
            <w:tcW w:w="418" w:type="pct"/>
            <w:noWrap/>
            <w:vAlign w:val="bottom"/>
          </w:tcPr>
          <w:p w14:paraId="350D50D1">
            <w:pPr>
              <w:widowControl/>
              <w:jc w:val="center"/>
              <w:rPr>
                <w:rFonts w:ascii="宋体" w:cs="宋体"/>
                <w:color w:val="000000"/>
                <w:kern w:val="0"/>
                <w:sz w:val="18"/>
                <w:szCs w:val="18"/>
              </w:rPr>
            </w:pPr>
          </w:p>
        </w:tc>
        <w:tc>
          <w:tcPr>
            <w:tcW w:w="419" w:type="pct"/>
            <w:noWrap/>
            <w:vAlign w:val="bottom"/>
          </w:tcPr>
          <w:p w14:paraId="5AE2206A">
            <w:pPr>
              <w:widowControl/>
              <w:jc w:val="center"/>
              <w:rPr>
                <w:rFonts w:ascii="宋体" w:cs="宋体"/>
                <w:color w:val="000000"/>
                <w:kern w:val="0"/>
                <w:sz w:val="18"/>
                <w:szCs w:val="18"/>
              </w:rPr>
            </w:pPr>
          </w:p>
        </w:tc>
        <w:tc>
          <w:tcPr>
            <w:tcW w:w="418" w:type="pct"/>
            <w:vAlign w:val="bottom"/>
          </w:tcPr>
          <w:p w14:paraId="30026F15">
            <w:pPr>
              <w:widowControl/>
              <w:jc w:val="center"/>
              <w:rPr>
                <w:rFonts w:ascii="宋体" w:cs="宋体"/>
                <w:color w:val="000000"/>
                <w:kern w:val="0"/>
                <w:sz w:val="18"/>
                <w:szCs w:val="18"/>
              </w:rPr>
            </w:pPr>
          </w:p>
        </w:tc>
        <w:tc>
          <w:tcPr>
            <w:tcW w:w="669" w:type="pct"/>
            <w:noWrap/>
            <w:vAlign w:val="bottom"/>
          </w:tcPr>
          <w:p w14:paraId="686C33AC">
            <w:pPr>
              <w:widowControl/>
              <w:jc w:val="center"/>
              <w:rPr>
                <w:rFonts w:ascii="宋体" w:cs="宋体"/>
                <w:color w:val="000000"/>
                <w:kern w:val="0"/>
                <w:sz w:val="18"/>
                <w:szCs w:val="18"/>
              </w:rPr>
            </w:pPr>
          </w:p>
        </w:tc>
        <w:tc>
          <w:tcPr>
            <w:tcW w:w="1004" w:type="pct"/>
            <w:vAlign w:val="bottom"/>
          </w:tcPr>
          <w:p w14:paraId="1A072C6C">
            <w:pPr>
              <w:ind w:firstLine="360"/>
              <w:jc w:val="center"/>
              <w:rPr>
                <w:rFonts w:ascii="宋体" w:cs="宋体"/>
                <w:color w:val="000000"/>
                <w:kern w:val="0"/>
                <w:sz w:val="18"/>
                <w:szCs w:val="18"/>
              </w:rPr>
            </w:pPr>
          </w:p>
        </w:tc>
      </w:tr>
      <w:tr w14:paraId="7464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0D1545F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18" w:type="pct"/>
            <w:noWrap/>
            <w:vAlign w:val="bottom"/>
          </w:tcPr>
          <w:p w14:paraId="042B0C80">
            <w:pPr>
              <w:widowControl/>
              <w:jc w:val="center"/>
              <w:rPr>
                <w:rFonts w:ascii="宋体" w:cs="宋体"/>
                <w:color w:val="000000"/>
                <w:kern w:val="0"/>
                <w:sz w:val="18"/>
                <w:szCs w:val="18"/>
              </w:rPr>
            </w:pPr>
          </w:p>
        </w:tc>
        <w:tc>
          <w:tcPr>
            <w:tcW w:w="419" w:type="pct"/>
            <w:noWrap/>
            <w:vAlign w:val="bottom"/>
          </w:tcPr>
          <w:p w14:paraId="028B3B35">
            <w:pPr>
              <w:widowControl/>
              <w:jc w:val="center"/>
              <w:rPr>
                <w:rFonts w:ascii="宋体" w:cs="宋体"/>
                <w:color w:val="000000"/>
                <w:kern w:val="0"/>
                <w:sz w:val="18"/>
                <w:szCs w:val="18"/>
              </w:rPr>
            </w:pPr>
          </w:p>
        </w:tc>
        <w:tc>
          <w:tcPr>
            <w:tcW w:w="418" w:type="pct"/>
            <w:vAlign w:val="bottom"/>
          </w:tcPr>
          <w:p w14:paraId="326B1647">
            <w:pPr>
              <w:widowControl/>
              <w:jc w:val="center"/>
              <w:rPr>
                <w:rFonts w:ascii="宋体" w:cs="宋体"/>
                <w:color w:val="000000"/>
                <w:kern w:val="0"/>
                <w:sz w:val="18"/>
                <w:szCs w:val="18"/>
              </w:rPr>
            </w:pPr>
          </w:p>
        </w:tc>
        <w:tc>
          <w:tcPr>
            <w:tcW w:w="669" w:type="pct"/>
            <w:noWrap/>
            <w:vAlign w:val="bottom"/>
          </w:tcPr>
          <w:p w14:paraId="51427A36">
            <w:pPr>
              <w:widowControl/>
              <w:jc w:val="center"/>
              <w:rPr>
                <w:rFonts w:ascii="宋体" w:cs="宋体"/>
                <w:color w:val="000000"/>
                <w:kern w:val="0"/>
                <w:sz w:val="18"/>
                <w:szCs w:val="18"/>
              </w:rPr>
            </w:pPr>
          </w:p>
        </w:tc>
        <w:tc>
          <w:tcPr>
            <w:tcW w:w="1004" w:type="pct"/>
            <w:vAlign w:val="bottom"/>
          </w:tcPr>
          <w:p w14:paraId="7E5740FB">
            <w:pPr>
              <w:ind w:firstLine="360"/>
              <w:jc w:val="center"/>
              <w:rPr>
                <w:rFonts w:ascii="宋体" w:cs="宋体"/>
                <w:color w:val="000000"/>
                <w:kern w:val="0"/>
                <w:sz w:val="18"/>
                <w:szCs w:val="18"/>
              </w:rPr>
            </w:pPr>
          </w:p>
        </w:tc>
      </w:tr>
      <w:tr w14:paraId="0740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4E1BD49B">
            <w:pPr>
              <w:widowControl/>
              <w:jc w:val="left"/>
              <w:rPr>
                <w:rFonts w:ascii="宋体" w:cs="宋体"/>
                <w:b/>
                <w:color w:val="000000"/>
                <w:kern w:val="0"/>
                <w:sz w:val="18"/>
                <w:szCs w:val="18"/>
              </w:rPr>
            </w:pPr>
            <w:r>
              <w:rPr>
                <w:rFonts w:hint="eastAsia" w:ascii="宋体" w:hAnsi="宋体" w:cs="宋体"/>
                <w:b/>
                <w:color w:val="000000"/>
                <w:kern w:val="0"/>
                <w:sz w:val="18"/>
                <w:szCs w:val="18"/>
              </w:rPr>
              <w:t>输出</w:t>
            </w:r>
          </w:p>
        </w:tc>
        <w:tc>
          <w:tcPr>
            <w:tcW w:w="418" w:type="pct"/>
            <w:noWrap/>
            <w:vAlign w:val="bottom"/>
          </w:tcPr>
          <w:p w14:paraId="1CB82603">
            <w:pPr>
              <w:widowControl/>
              <w:jc w:val="center"/>
              <w:rPr>
                <w:rFonts w:ascii="宋体" w:cs="宋体"/>
                <w:b/>
                <w:color w:val="000000"/>
                <w:kern w:val="0"/>
                <w:sz w:val="18"/>
                <w:szCs w:val="18"/>
              </w:rPr>
            </w:pPr>
            <w:r>
              <w:rPr>
                <w:rFonts w:hint="eastAsia" w:ascii="宋体" w:hAnsi="宋体" w:cs="宋体"/>
                <w:b/>
                <w:color w:val="000000"/>
                <w:kern w:val="0"/>
                <w:sz w:val="18"/>
                <w:szCs w:val="18"/>
              </w:rPr>
              <w:t>单位</w:t>
            </w:r>
          </w:p>
        </w:tc>
        <w:tc>
          <w:tcPr>
            <w:tcW w:w="419" w:type="pct"/>
            <w:noWrap/>
            <w:vAlign w:val="bottom"/>
          </w:tcPr>
          <w:p w14:paraId="5F97038D">
            <w:pPr>
              <w:widowControl/>
              <w:jc w:val="center"/>
              <w:rPr>
                <w:rFonts w:ascii="宋体" w:cs="宋体"/>
                <w:b/>
                <w:color w:val="000000"/>
                <w:kern w:val="0"/>
                <w:sz w:val="18"/>
                <w:szCs w:val="18"/>
              </w:rPr>
            </w:pPr>
            <w:r>
              <w:rPr>
                <w:rFonts w:hint="eastAsia" w:ascii="宋体" w:hAnsi="宋体" w:cs="宋体"/>
                <w:b/>
                <w:color w:val="000000"/>
                <w:kern w:val="0"/>
                <w:sz w:val="18"/>
                <w:szCs w:val="18"/>
              </w:rPr>
              <w:t>数量</w:t>
            </w:r>
          </w:p>
        </w:tc>
        <w:tc>
          <w:tcPr>
            <w:tcW w:w="418" w:type="pct"/>
            <w:vAlign w:val="bottom"/>
          </w:tcPr>
          <w:p w14:paraId="3F70167C">
            <w:pPr>
              <w:widowControl/>
              <w:jc w:val="center"/>
              <w:rPr>
                <w:rFonts w:ascii="宋体" w:cs="宋体"/>
                <w:b/>
                <w:color w:val="000000"/>
                <w:kern w:val="0"/>
                <w:sz w:val="18"/>
                <w:szCs w:val="18"/>
              </w:rPr>
            </w:pPr>
            <w:r>
              <w:rPr>
                <w:rFonts w:hint="eastAsia" w:ascii="宋体" w:hAnsi="宋体" w:cs="宋体"/>
                <w:b/>
                <w:color w:val="000000"/>
                <w:kern w:val="0"/>
                <w:sz w:val="18"/>
                <w:szCs w:val="18"/>
              </w:rPr>
              <w:t>运距</w:t>
            </w:r>
          </w:p>
        </w:tc>
        <w:tc>
          <w:tcPr>
            <w:tcW w:w="669" w:type="pct"/>
            <w:noWrap/>
            <w:vAlign w:val="bottom"/>
          </w:tcPr>
          <w:p w14:paraId="4A1B59DB">
            <w:pPr>
              <w:widowControl/>
              <w:jc w:val="center"/>
              <w:rPr>
                <w:rFonts w:ascii="宋体" w:cs="宋体"/>
                <w:b/>
                <w:color w:val="000000"/>
                <w:kern w:val="0"/>
                <w:sz w:val="18"/>
                <w:szCs w:val="18"/>
              </w:rPr>
            </w:pPr>
            <w:r>
              <w:rPr>
                <w:rFonts w:hint="eastAsia" w:ascii="宋体" w:hAnsi="宋体" w:cs="宋体"/>
                <w:b/>
                <w:color w:val="000000"/>
                <w:kern w:val="0"/>
                <w:sz w:val="18"/>
                <w:szCs w:val="18"/>
              </w:rPr>
              <w:t>运输方式</w:t>
            </w:r>
          </w:p>
        </w:tc>
        <w:tc>
          <w:tcPr>
            <w:tcW w:w="1004" w:type="pct"/>
            <w:vAlign w:val="bottom"/>
          </w:tcPr>
          <w:p w14:paraId="1652F2FD">
            <w:pPr>
              <w:rPr>
                <w:rFonts w:ascii="宋体" w:cs="宋体"/>
                <w:b/>
                <w:color w:val="000000"/>
                <w:kern w:val="0"/>
                <w:sz w:val="18"/>
                <w:szCs w:val="18"/>
              </w:rPr>
            </w:pPr>
            <w:r>
              <w:rPr>
                <w:rFonts w:hint="eastAsia" w:ascii="宋体" w:hAnsi="宋体" w:cs="宋体"/>
                <w:b/>
                <w:color w:val="000000"/>
                <w:kern w:val="0"/>
                <w:sz w:val="18"/>
                <w:szCs w:val="18"/>
              </w:rPr>
              <w:t>规格特征</w:t>
            </w:r>
          </w:p>
        </w:tc>
      </w:tr>
      <w:tr w14:paraId="635B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53292088">
            <w:pPr>
              <w:widowControl/>
              <w:jc w:val="left"/>
              <w:rPr>
                <w:rFonts w:ascii="宋体" w:cs="宋体"/>
                <w:color w:val="000000"/>
                <w:kern w:val="0"/>
                <w:sz w:val="18"/>
                <w:szCs w:val="18"/>
              </w:rPr>
            </w:pP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精矿</w:t>
            </w:r>
          </w:p>
        </w:tc>
        <w:tc>
          <w:tcPr>
            <w:tcW w:w="418" w:type="pct"/>
            <w:noWrap/>
            <w:vAlign w:val="bottom"/>
          </w:tcPr>
          <w:p w14:paraId="6BD1D94B">
            <w:pPr>
              <w:widowControl/>
              <w:jc w:val="center"/>
              <w:rPr>
                <w:rFonts w:ascii="宋体" w:cs="宋体"/>
                <w:color w:val="000000"/>
                <w:kern w:val="0"/>
                <w:sz w:val="18"/>
                <w:szCs w:val="18"/>
              </w:rPr>
            </w:pPr>
          </w:p>
        </w:tc>
        <w:tc>
          <w:tcPr>
            <w:tcW w:w="419" w:type="pct"/>
            <w:noWrap/>
            <w:vAlign w:val="bottom"/>
          </w:tcPr>
          <w:p w14:paraId="6C8A14EB">
            <w:pPr>
              <w:widowControl/>
              <w:jc w:val="center"/>
              <w:rPr>
                <w:rFonts w:ascii="宋体" w:cs="宋体"/>
                <w:color w:val="000000"/>
                <w:kern w:val="0"/>
                <w:sz w:val="18"/>
                <w:szCs w:val="18"/>
              </w:rPr>
            </w:pPr>
          </w:p>
        </w:tc>
        <w:tc>
          <w:tcPr>
            <w:tcW w:w="418" w:type="pct"/>
            <w:vAlign w:val="bottom"/>
          </w:tcPr>
          <w:p w14:paraId="0851732F">
            <w:pPr>
              <w:widowControl/>
              <w:jc w:val="center"/>
              <w:rPr>
                <w:rFonts w:ascii="宋体" w:cs="宋体"/>
                <w:color w:val="000000"/>
                <w:kern w:val="0"/>
                <w:sz w:val="18"/>
                <w:szCs w:val="18"/>
              </w:rPr>
            </w:pPr>
          </w:p>
        </w:tc>
        <w:tc>
          <w:tcPr>
            <w:tcW w:w="669" w:type="pct"/>
            <w:noWrap/>
            <w:vAlign w:val="bottom"/>
          </w:tcPr>
          <w:p w14:paraId="37BC96A2">
            <w:pPr>
              <w:widowControl/>
              <w:jc w:val="center"/>
              <w:rPr>
                <w:rFonts w:ascii="宋体" w:cs="宋体"/>
                <w:color w:val="000000"/>
                <w:kern w:val="0"/>
                <w:sz w:val="18"/>
                <w:szCs w:val="18"/>
              </w:rPr>
            </w:pPr>
          </w:p>
        </w:tc>
        <w:tc>
          <w:tcPr>
            <w:tcW w:w="1004" w:type="pct"/>
            <w:vAlign w:val="bottom"/>
          </w:tcPr>
          <w:p w14:paraId="58EBA668">
            <w:pPr>
              <w:ind w:firstLine="360"/>
              <w:jc w:val="center"/>
              <w:rPr>
                <w:rFonts w:ascii="宋体" w:cs="宋体"/>
                <w:color w:val="000000"/>
                <w:kern w:val="0"/>
                <w:sz w:val="18"/>
                <w:szCs w:val="18"/>
              </w:rPr>
            </w:pPr>
          </w:p>
        </w:tc>
      </w:tr>
      <w:tr w14:paraId="7E4E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54606D95">
            <w:pPr>
              <w:widowControl/>
              <w:jc w:val="left"/>
              <w:rPr>
                <w:rFonts w:ascii="宋体" w:cs="宋体"/>
                <w:color w:val="000000"/>
                <w:kern w:val="0"/>
                <w:sz w:val="18"/>
                <w:szCs w:val="18"/>
              </w:rPr>
            </w:pPr>
            <w:r>
              <w:rPr>
                <w:rFonts w:hint="eastAsia" w:ascii="宋体" w:hAnsi="宋体" w:cs="宋体"/>
                <w:color w:val="000000"/>
                <w:kern w:val="0"/>
                <w:sz w:val="18"/>
                <w:szCs w:val="18"/>
              </w:rPr>
              <w:t>共生产品</w:t>
            </w:r>
          </w:p>
        </w:tc>
        <w:tc>
          <w:tcPr>
            <w:tcW w:w="418" w:type="pct"/>
            <w:noWrap/>
            <w:vAlign w:val="bottom"/>
          </w:tcPr>
          <w:p w14:paraId="1258E1F2">
            <w:pPr>
              <w:widowControl/>
              <w:jc w:val="center"/>
              <w:rPr>
                <w:rFonts w:ascii="宋体" w:cs="宋体"/>
                <w:color w:val="000000"/>
                <w:kern w:val="0"/>
                <w:sz w:val="18"/>
                <w:szCs w:val="18"/>
              </w:rPr>
            </w:pPr>
          </w:p>
        </w:tc>
        <w:tc>
          <w:tcPr>
            <w:tcW w:w="419" w:type="pct"/>
            <w:noWrap/>
            <w:vAlign w:val="bottom"/>
          </w:tcPr>
          <w:p w14:paraId="76E0BB35">
            <w:pPr>
              <w:widowControl/>
              <w:jc w:val="center"/>
              <w:rPr>
                <w:rFonts w:ascii="宋体" w:cs="宋体"/>
                <w:color w:val="000000"/>
                <w:kern w:val="0"/>
                <w:sz w:val="18"/>
                <w:szCs w:val="18"/>
              </w:rPr>
            </w:pPr>
          </w:p>
        </w:tc>
        <w:tc>
          <w:tcPr>
            <w:tcW w:w="418" w:type="pct"/>
            <w:vAlign w:val="bottom"/>
          </w:tcPr>
          <w:p w14:paraId="267AC63C">
            <w:pPr>
              <w:widowControl/>
              <w:jc w:val="center"/>
              <w:rPr>
                <w:rFonts w:ascii="宋体" w:cs="宋体"/>
                <w:color w:val="000000"/>
                <w:kern w:val="0"/>
                <w:sz w:val="18"/>
                <w:szCs w:val="18"/>
              </w:rPr>
            </w:pPr>
          </w:p>
        </w:tc>
        <w:tc>
          <w:tcPr>
            <w:tcW w:w="669" w:type="pct"/>
            <w:noWrap/>
            <w:vAlign w:val="bottom"/>
          </w:tcPr>
          <w:p w14:paraId="4F13A784">
            <w:pPr>
              <w:widowControl/>
              <w:jc w:val="center"/>
              <w:rPr>
                <w:rFonts w:ascii="宋体" w:cs="宋体"/>
                <w:color w:val="000000"/>
                <w:kern w:val="0"/>
                <w:sz w:val="18"/>
                <w:szCs w:val="18"/>
              </w:rPr>
            </w:pPr>
          </w:p>
        </w:tc>
        <w:tc>
          <w:tcPr>
            <w:tcW w:w="1004" w:type="pct"/>
            <w:vAlign w:val="bottom"/>
          </w:tcPr>
          <w:p w14:paraId="400E43E0">
            <w:pPr>
              <w:widowControl/>
              <w:jc w:val="center"/>
              <w:rPr>
                <w:rFonts w:ascii="宋体" w:cs="宋体"/>
                <w:color w:val="000000"/>
                <w:kern w:val="0"/>
                <w:sz w:val="18"/>
                <w:szCs w:val="18"/>
              </w:rPr>
            </w:pPr>
          </w:p>
        </w:tc>
      </w:tr>
      <w:tr w14:paraId="4D05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2F7A7E46">
            <w:pPr>
              <w:widowControl/>
              <w:jc w:val="left"/>
              <w:rPr>
                <w:rFonts w:ascii="宋体" w:cs="宋体"/>
                <w:color w:val="000000"/>
                <w:kern w:val="0"/>
                <w:sz w:val="18"/>
                <w:szCs w:val="18"/>
              </w:rPr>
            </w:pPr>
            <w:r>
              <w:rPr>
                <w:rFonts w:hint="eastAsia" w:ascii="宋体" w:hAnsi="宋体" w:cs="宋体"/>
                <w:color w:val="000000"/>
                <w:kern w:val="0"/>
                <w:sz w:val="18"/>
                <w:szCs w:val="18"/>
              </w:rPr>
              <w:t>尾矿</w:t>
            </w:r>
          </w:p>
        </w:tc>
        <w:tc>
          <w:tcPr>
            <w:tcW w:w="418" w:type="pct"/>
            <w:noWrap/>
            <w:vAlign w:val="bottom"/>
          </w:tcPr>
          <w:p w14:paraId="094B0B97">
            <w:pPr>
              <w:widowControl/>
              <w:jc w:val="center"/>
              <w:rPr>
                <w:rFonts w:ascii="宋体" w:cs="宋体"/>
                <w:color w:val="000000"/>
                <w:kern w:val="0"/>
                <w:sz w:val="18"/>
                <w:szCs w:val="18"/>
              </w:rPr>
            </w:pPr>
          </w:p>
        </w:tc>
        <w:tc>
          <w:tcPr>
            <w:tcW w:w="419" w:type="pct"/>
            <w:noWrap/>
            <w:vAlign w:val="bottom"/>
          </w:tcPr>
          <w:p w14:paraId="1F085043">
            <w:pPr>
              <w:widowControl/>
              <w:jc w:val="center"/>
              <w:rPr>
                <w:rFonts w:ascii="宋体" w:cs="宋体"/>
                <w:color w:val="000000"/>
                <w:kern w:val="0"/>
                <w:sz w:val="18"/>
                <w:szCs w:val="18"/>
              </w:rPr>
            </w:pPr>
          </w:p>
        </w:tc>
        <w:tc>
          <w:tcPr>
            <w:tcW w:w="418" w:type="pct"/>
            <w:vAlign w:val="bottom"/>
          </w:tcPr>
          <w:p w14:paraId="1CFBDADB">
            <w:pPr>
              <w:widowControl/>
              <w:jc w:val="center"/>
              <w:rPr>
                <w:rFonts w:ascii="宋体" w:cs="宋体"/>
                <w:color w:val="000000"/>
                <w:kern w:val="0"/>
                <w:sz w:val="18"/>
                <w:szCs w:val="18"/>
              </w:rPr>
            </w:pPr>
          </w:p>
        </w:tc>
        <w:tc>
          <w:tcPr>
            <w:tcW w:w="669" w:type="pct"/>
            <w:noWrap/>
            <w:vAlign w:val="bottom"/>
          </w:tcPr>
          <w:p w14:paraId="0507C619">
            <w:pPr>
              <w:widowControl/>
              <w:jc w:val="center"/>
              <w:rPr>
                <w:rFonts w:ascii="宋体" w:cs="宋体"/>
                <w:color w:val="000000"/>
                <w:kern w:val="0"/>
                <w:sz w:val="18"/>
                <w:szCs w:val="18"/>
              </w:rPr>
            </w:pPr>
          </w:p>
        </w:tc>
        <w:tc>
          <w:tcPr>
            <w:tcW w:w="1004" w:type="pct"/>
            <w:vAlign w:val="bottom"/>
          </w:tcPr>
          <w:p w14:paraId="16476BF3">
            <w:pPr>
              <w:widowControl/>
              <w:jc w:val="center"/>
              <w:rPr>
                <w:rFonts w:ascii="宋体" w:cs="宋体"/>
                <w:color w:val="000000"/>
                <w:kern w:val="0"/>
                <w:sz w:val="18"/>
                <w:szCs w:val="18"/>
              </w:rPr>
            </w:pPr>
          </w:p>
        </w:tc>
      </w:tr>
      <w:tr w14:paraId="2333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482E7537">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418" w:type="pct"/>
            <w:noWrap/>
            <w:vAlign w:val="bottom"/>
          </w:tcPr>
          <w:p w14:paraId="39538C88">
            <w:pPr>
              <w:widowControl/>
              <w:jc w:val="center"/>
              <w:rPr>
                <w:rFonts w:ascii="宋体" w:cs="宋体"/>
                <w:color w:val="000000"/>
                <w:kern w:val="0"/>
                <w:sz w:val="18"/>
                <w:szCs w:val="18"/>
              </w:rPr>
            </w:pPr>
          </w:p>
        </w:tc>
        <w:tc>
          <w:tcPr>
            <w:tcW w:w="419" w:type="pct"/>
            <w:noWrap/>
            <w:vAlign w:val="bottom"/>
          </w:tcPr>
          <w:p w14:paraId="5543172B">
            <w:pPr>
              <w:widowControl/>
              <w:jc w:val="center"/>
              <w:rPr>
                <w:rFonts w:ascii="宋体" w:cs="宋体"/>
                <w:color w:val="000000"/>
                <w:kern w:val="0"/>
                <w:sz w:val="18"/>
                <w:szCs w:val="18"/>
              </w:rPr>
            </w:pPr>
          </w:p>
        </w:tc>
        <w:tc>
          <w:tcPr>
            <w:tcW w:w="418" w:type="pct"/>
            <w:vAlign w:val="bottom"/>
          </w:tcPr>
          <w:p w14:paraId="09DCBDB1">
            <w:pPr>
              <w:widowControl/>
              <w:jc w:val="center"/>
              <w:rPr>
                <w:rFonts w:ascii="宋体" w:cs="宋体"/>
                <w:color w:val="000000"/>
                <w:kern w:val="0"/>
                <w:sz w:val="18"/>
                <w:szCs w:val="18"/>
              </w:rPr>
            </w:pPr>
          </w:p>
        </w:tc>
        <w:tc>
          <w:tcPr>
            <w:tcW w:w="669" w:type="pct"/>
            <w:noWrap/>
            <w:vAlign w:val="bottom"/>
          </w:tcPr>
          <w:p w14:paraId="7465E672">
            <w:pPr>
              <w:widowControl/>
              <w:jc w:val="center"/>
              <w:rPr>
                <w:rFonts w:ascii="宋体" w:cs="宋体"/>
                <w:color w:val="000000"/>
                <w:kern w:val="0"/>
                <w:sz w:val="18"/>
                <w:szCs w:val="18"/>
              </w:rPr>
            </w:pPr>
          </w:p>
        </w:tc>
        <w:tc>
          <w:tcPr>
            <w:tcW w:w="1004" w:type="pct"/>
            <w:vAlign w:val="bottom"/>
          </w:tcPr>
          <w:p w14:paraId="044697A2">
            <w:pPr>
              <w:widowControl/>
              <w:jc w:val="center"/>
              <w:rPr>
                <w:rFonts w:ascii="宋体" w:cs="宋体"/>
                <w:color w:val="000000"/>
                <w:kern w:val="0"/>
                <w:sz w:val="18"/>
                <w:szCs w:val="18"/>
              </w:rPr>
            </w:pPr>
          </w:p>
        </w:tc>
      </w:tr>
      <w:tr w14:paraId="3B28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72" w:type="pct"/>
            <w:noWrap/>
            <w:vAlign w:val="bottom"/>
          </w:tcPr>
          <w:p w14:paraId="09BC1E5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温室气体直接排放</w:t>
            </w:r>
          </w:p>
        </w:tc>
        <w:tc>
          <w:tcPr>
            <w:tcW w:w="418" w:type="pct"/>
            <w:noWrap/>
            <w:vAlign w:val="bottom"/>
          </w:tcPr>
          <w:p w14:paraId="10E4E911">
            <w:pPr>
              <w:widowControl/>
              <w:jc w:val="center"/>
              <w:rPr>
                <w:rFonts w:ascii="宋体" w:cs="宋体"/>
                <w:color w:val="000000"/>
                <w:kern w:val="0"/>
                <w:sz w:val="18"/>
                <w:szCs w:val="18"/>
              </w:rPr>
            </w:pPr>
          </w:p>
        </w:tc>
        <w:tc>
          <w:tcPr>
            <w:tcW w:w="419" w:type="pct"/>
            <w:noWrap/>
            <w:vAlign w:val="bottom"/>
          </w:tcPr>
          <w:p w14:paraId="38CDF583">
            <w:pPr>
              <w:widowControl/>
              <w:jc w:val="center"/>
              <w:rPr>
                <w:rFonts w:ascii="宋体" w:cs="宋体"/>
                <w:color w:val="000000"/>
                <w:kern w:val="0"/>
                <w:sz w:val="18"/>
                <w:szCs w:val="18"/>
              </w:rPr>
            </w:pPr>
          </w:p>
        </w:tc>
        <w:tc>
          <w:tcPr>
            <w:tcW w:w="418" w:type="pct"/>
            <w:vAlign w:val="bottom"/>
          </w:tcPr>
          <w:p w14:paraId="50506F3E">
            <w:pPr>
              <w:widowControl/>
              <w:jc w:val="center"/>
              <w:rPr>
                <w:rFonts w:ascii="宋体" w:cs="宋体"/>
                <w:color w:val="000000"/>
                <w:kern w:val="0"/>
                <w:sz w:val="18"/>
                <w:szCs w:val="18"/>
              </w:rPr>
            </w:pPr>
          </w:p>
        </w:tc>
        <w:tc>
          <w:tcPr>
            <w:tcW w:w="669" w:type="pct"/>
            <w:noWrap/>
            <w:vAlign w:val="bottom"/>
          </w:tcPr>
          <w:p w14:paraId="38C87065">
            <w:pPr>
              <w:widowControl/>
              <w:jc w:val="center"/>
              <w:rPr>
                <w:rFonts w:ascii="宋体" w:cs="宋体"/>
                <w:color w:val="000000"/>
                <w:kern w:val="0"/>
                <w:sz w:val="18"/>
                <w:szCs w:val="18"/>
              </w:rPr>
            </w:pPr>
          </w:p>
        </w:tc>
        <w:tc>
          <w:tcPr>
            <w:tcW w:w="1004" w:type="pct"/>
            <w:vAlign w:val="bottom"/>
          </w:tcPr>
          <w:p w14:paraId="7C8CA87B">
            <w:pPr>
              <w:widowControl/>
              <w:jc w:val="center"/>
              <w:rPr>
                <w:rFonts w:ascii="宋体" w:cs="宋体"/>
                <w:color w:val="000000"/>
                <w:kern w:val="0"/>
                <w:sz w:val="18"/>
                <w:szCs w:val="18"/>
              </w:rPr>
            </w:pPr>
          </w:p>
        </w:tc>
      </w:tr>
      <w:tr w14:paraId="7B5A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00" w:type="pct"/>
            <w:gridSpan w:val="6"/>
            <w:noWrap/>
            <w:vAlign w:val="bottom"/>
          </w:tcPr>
          <w:p w14:paraId="14F95B4C">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1</w:t>
            </w:r>
            <w:r>
              <w:rPr>
                <w:rFonts w:hint="eastAsia" w:ascii="宋体" w:hAnsi="宋体" w:cs="宋体"/>
                <w:color w:val="000000"/>
                <w:kern w:val="0"/>
                <w:sz w:val="18"/>
                <w:szCs w:val="18"/>
              </w:rPr>
              <w:t>：此数据收集表中的数据是指规定时间段内所有未分配的输入和输出；</w:t>
            </w:r>
          </w:p>
          <w:p w14:paraId="3D302722">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2</w:t>
            </w:r>
            <w:r>
              <w:rPr>
                <w:rFonts w:hint="eastAsia" w:ascii="宋体" w:hAnsi="宋体" w:cs="宋体"/>
                <w:color w:val="000000"/>
                <w:kern w:val="0"/>
                <w:sz w:val="18"/>
                <w:szCs w:val="18"/>
              </w:rPr>
              <w:t>：燃料和热力应注意换算为热量单位，因为排放通常与热量相关。</w:t>
            </w:r>
          </w:p>
        </w:tc>
      </w:tr>
    </w:tbl>
    <w:p w14:paraId="4D047C9E">
      <w:pPr>
        <w:pStyle w:val="61"/>
        <w:spacing w:line="360" w:lineRule="auto"/>
        <w:ind w:left="5250" w:firstLine="0" w:firstLineChars="0"/>
        <w:jc w:val="center"/>
        <w:rPr>
          <w:rFonts w:hint="eastAsia" w:ascii="黑体" w:hAnsi="黑体" w:eastAsia="黑体" w:cs="黑体"/>
          <w:szCs w:val="21"/>
        </w:rPr>
      </w:pPr>
    </w:p>
    <w:p w14:paraId="402D8CF2">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 xml:space="preserve">C.3  </w:t>
      </w:r>
      <w:r>
        <w:rPr>
          <w:rFonts w:hint="eastAsia" w:ascii="黑体" w:hAnsi="黑体" w:eastAsia="黑体"/>
        </w:rPr>
        <w:t>现场特征数据收集范例（冶炼单元</w:t>
      </w:r>
      <w:r>
        <w:rPr>
          <w:rFonts w:ascii="黑体" w:hAnsi="黑体" w:eastAsia="黑体"/>
        </w:rPr>
        <w:t>-</w:t>
      </w:r>
      <w:r>
        <w:rPr>
          <w:rFonts w:hint="eastAsia" w:ascii="黑体" w:hAnsi="黑体" w:eastAsia="黑体"/>
        </w:rPr>
        <w:t>火法工艺）</w:t>
      </w:r>
    </w:p>
    <w:tbl>
      <w:tblPr>
        <w:tblStyle w:val="22"/>
        <w:tblpPr w:leftFromText="180" w:rightFromText="180" w:vertAnchor="text" w:horzAnchor="margin" w:tblpY="84"/>
        <w:tblW w:w="5113" w:type="pct"/>
        <w:tblInd w:w="0" w:type="dxa"/>
        <w:tblLayout w:type="autofit"/>
        <w:tblCellMar>
          <w:top w:w="0" w:type="dxa"/>
          <w:left w:w="0" w:type="dxa"/>
          <w:bottom w:w="0" w:type="dxa"/>
          <w:right w:w="0" w:type="dxa"/>
        </w:tblCellMar>
      </w:tblPr>
      <w:tblGrid>
        <w:gridCol w:w="3308"/>
        <w:gridCol w:w="520"/>
        <w:gridCol w:w="709"/>
        <w:gridCol w:w="864"/>
        <w:gridCol w:w="1009"/>
        <w:gridCol w:w="2094"/>
      </w:tblGrid>
      <w:tr w14:paraId="545572C2">
        <w:tblPrEx>
          <w:tblCellMar>
            <w:top w:w="0" w:type="dxa"/>
            <w:left w:w="0" w:type="dxa"/>
            <w:bottom w:w="0" w:type="dxa"/>
            <w:right w:w="0" w:type="dxa"/>
          </w:tblCellMar>
        </w:tblPrEx>
        <w:trPr>
          <w:trHeight w:val="276" w:hRule="atLeast"/>
        </w:trPr>
        <w:tc>
          <w:tcPr>
            <w:tcW w:w="5000" w:type="pct"/>
            <w:gridSpan w:val="6"/>
            <w:tcBorders>
              <w:top w:val="single" w:color="auto" w:sz="4" w:space="0"/>
              <w:left w:val="single" w:color="auto" w:sz="4" w:space="0"/>
              <w:bottom w:val="nil"/>
              <w:right w:val="single" w:color="000000" w:sz="4" w:space="0"/>
            </w:tcBorders>
            <w:noWrap/>
            <w:vAlign w:val="bottom"/>
          </w:tcPr>
          <w:p w14:paraId="2E84E7B2">
            <w:pPr>
              <w:widowControl/>
              <w:jc w:val="left"/>
              <w:rPr>
                <w:rFonts w:ascii="宋体" w:cs="宋体"/>
                <w:color w:val="000000"/>
                <w:kern w:val="0"/>
                <w:sz w:val="18"/>
                <w:szCs w:val="18"/>
              </w:rPr>
            </w:pPr>
            <w:r>
              <w:rPr>
                <w:rFonts w:hint="eastAsia" w:ascii="宋体" w:hAnsi="宋体" w:cs="宋体"/>
                <w:color w:val="000000"/>
                <w:kern w:val="0"/>
                <w:sz w:val="18"/>
                <w:szCs w:val="18"/>
              </w:rPr>
              <w:t>单元过程及统计口径描述：</w:t>
            </w:r>
          </w:p>
          <w:p w14:paraId="3BB971F4">
            <w:pPr>
              <w:widowControl/>
              <w:jc w:val="left"/>
              <w:rPr>
                <w:rFonts w:ascii="宋体" w:cs="宋体"/>
                <w:color w:val="000000"/>
                <w:kern w:val="0"/>
                <w:sz w:val="18"/>
                <w:szCs w:val="18"/>
              </w:rPr>
            </w:pPr>
            <w:r>
              <w:rPr>
                <w:rFonts w:hint="eastAsia" w:ascii="宋体" w:hAnsi="宋体" w:cs="宋体"/>
                <w:color w:val="000000"/>
                <w:kern w:val="0"/>
                <w:sz w:val="18"/>
                <w:szCs w:val="18"/>
              </w:rPr>
              <w:t>时间段：起始时间</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r>
              <w:rPr>
                <w:rFonts w:ascii="宋体" w:hAnsi="宋体" w:cs="宋体"/>
                <w:color w:val="000000"/>
                <w:kern w:val="0"/>
                <w:sz w:val="18"/>
                <w:szCs w:val="18"/>
              </w:rPr>
              <w:t xml:space="preserve">   </w:t>
            </w:r>
            <w:r>
              <w:rPr>
                <w:rFonts w:hint="eastAsia" w:ascii="宋体" w:hAnsi="宋体" w:cs="宋体"/>
                <w:color w:val="000000"/>
                <w:kern w:val="0"/>
                <w:sz w:val="18"/>
                <w:szCs w:val="18"/>
              </w:rPr>
              <w:t>终止时间</w:t>
            </w:r>
            <w:r>
              <w:rPr>
                <w:rFonts w:ascii="宋体" w:hAnsi="宋体" w:cs="宋体"/>
                <w:color w:val="000000"/>
                <w:kern w:val="0"/>
                <w:sz w:val="18"/>
                <w:szCs w:val="18"/>
              </w:rPr>
              <w:t xml:space="preserve">   </w:t>
            </w:r>
            <w:r>
              <w:rPr>
                <w:rFonts w:hint="eastAsia" w:ascii="宋体" w:hAnsi="宋体" w:cs="宋体"/>
                <w:color w:val="000000"/>
                <w:kern w:val="0"/>
                <w:sz w:val="18"/>
                <w:szCs w:val="18"/>
              </w:rPr>
              <w:t>年</w:t>
            </w:r>
            <w:r>
              <w:rPr>
                <w:rFonts w:ascii="宋体" w:hAnsi="宋体" w:cs="宋体"/>
                <w:color w:val="000000"/>
                <w:kern w:val="0"/>
                <w:sz w:val="18"/>
                <w:szCs w:val="18"/>
              </w:rPr>
              <w:t xml:space="preserve">   </w:t>
            </w:r>
            <w:r>
              <w:rPr>
                <w:rFonts w:hint="eastAsia" w:ascii="宋体" w:hAnsi="宋体" w:cs="宋体"/>
                <w:color w:val="000000"/>
                <w:kern w:val="0"/>
                <w:sz w:val="18"/>
                <w:szCs w:val="18"/>
              </w:rPr>
              <w:t>月</w:t>
            </w:r>
            <w:r>
              <w:rPr>
                <w:rFonts w:ascii="宋体" w:hAnsi="宋体" w:cs="宋体"/>
                <w:color w:val="000000"/>
                <w:kern w:val="0"/>
                <w:sz w:val="18"/>
                <w:szCs w:val="18"/>
              </w:rPr>
              <w:t xml:space="preserve">  </w:t>
            </w:r>
            <w:r>
              <w:rPr>
                <w:rFonts w:hint="eastAsia" w:ascii="宋体" w:hAnsi="宋体" w:cs="宋体"/>
                <w:color w:val="000000"/>
                <w:kern w:val="0"/>
                <w:sz w:val="18"/>
                <w:szCs w:val="18"/>
              </w:rPr>
              <w:t>日</w:t>
            </w:r>
          </w:p>
        </w:tc>
      </w:tr>
      <w:tr w14:paraId="0E961C57">
        <w:tblPrEx>
          <w:tblCellMar>
            <w:top w:w="0" w:type="dxa"/>
            <w:left w:w="0" w:type="dxa"/>
            <w:bottom w:w="0" w:type="dxa"/>
            <w:right w:w="0" w:type="dxa"/>
          </w:tblCellMar>
        </w:tblPrEx>
        <w:trPr>
          <w:trHeight w:val="276" w:hRule="atLeast"/>
        </w:trPr>
        <w:tc>
          <w:tcPr>
            <w:tcW w:w="5000" w:type="pct"/>
            <w:gridSpan w:val="6"/>
            <w:tcBorders>
              <w:top w:val="nil"/>
              <w:left w:val="single" w:color="auto" w:sz="4" w:space="0"/>
              <w:bottom w:val="single" w:color="auto" w:sz="4" w:space="0"/>
              <w:right w:val="single" w:color="000000" w:sz="4" w:space="0"/>
            </w:tcBorders>
            <w:noWrap/>
            <w:vAlign w:val="bottom"/>
          </w:tcPr>
          <w:p w14:paraId="6D206380">
            <w:pPr>
              <w:pStyle w:val="69"/>
              <w:ind w:firstLine="0" w:firstLineChars="0"/>
              <w:rPr>
                <w:rFonts w:ascii="宋体"/>
                <w:sz w:val="18"/>
                <w:szCs w:val="18"/>
              </w:rPr>
            </w:pPr>
            <w:r>
              <w:rPr>
                <w:rFonts w:hint="eastAsia" w:ascii="宋体" w:hAnsi="宋体"/>
                <w:sz w:val="18"/>
                <w:szCs w:val="18"/>
              </w:rPr>
              <w:t>制表人：</w:t>
            </w:r>
            <w:r>
              <w:rPr>
                <w:rFonts w:ascii="宋体" w:hAnsi="宋体"/>
                <w:sz w:val="18"/>
                <w:szCs w:val="18"/>
              </w:rPr>
              <w:t xml:space="preserve">                         </w:t>
            </w:r>
            <w:r>
              <w:rPr>
                <w:rFonts w:hint="eastAsia" w:ascii="宋体" w:hAnsi="宋体"/>
                <w:sz w:val="18"/>
                <w:szCs w:val="18"/>
              </w:rPr>
              <w:t>制表日期：</w:t>
            </w:r>
          </w:p>
        </w:tc>
      </w:tr>
      <w:tr w14:paraId="62B2324B">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2FC9EC61">
            <w:pPr>
              <w:widowControl/>
              <w:jc w:val="left"/>
              <w:rPr>
                <w:rFonts w:ascii="宋体" w:cs="宋体"/>
                <w:b/>
                <w:color w:val="000000"/>
                <w:kern w:val="0"/>
                <w:sz w:val="18"/>
                <w:szCs w:val="18"/>
              </w:rPr>
            </w:pPr>
            <w:r>
              <w:rPr>
                <w:rFonts w:hint="eastAsia" w:ascii="宋体" w:hAnsi="宋体" w:cs="宋体"/>
                <w:b/>
                <w:color w:val="000000"/>
                <w:kern w:val="0"/>
                <w:sz w:val="18"/>
                <w:szCs w:val="18"/>
              </w:rPr>
              <w:t>输入</w:t>
            </w:r>
          </w:p>
        </w:tc>
        <w:tc>
          <w:tcPr>
            <w:tcW w:w="306" w:type="pct"/>
            <w:tcBorders>
              <w:top w:val="nil"/>
              <w:left w:val="nil"/>
              <w:bottom w:val="single" w:color="auto" w:sz="4" w:space="0"/>
              <w:right w:val="single" w:color="auto" w:sz="4" w:space="0"/>
            </w:tcBorders>
            <w:noWrap/>
            <w:vAlign w:val="bottom"/>
          </w:tcPr>
          <w:p w14:paraId="707E169C">
            <w:pPr>
              <w:widowControl/>
              <w:jc w:val="center"/>
              <w:rPr>
                <w:rFonts w:ascii="宋体" w:cs="宋体"/>
                <w:b/>
                <w:color w:val="000000"/>
                <w:kern w:val="0"/>
                <w:sz w:val="18"/>
                <w:szCs w:val="18"/>
              </w:rPr>
            </w:pPr>
            <w:r>
              <w:rPr>
                <w:rFonts w:hint="eastAsia" w:ascii="宋体" w:hAnsi="宋体" w:cs="宋体"/>
                <w:b/>
                <w:color w:val="000000"/>
                <w:kern w:val="0"/>
                <w:sz w:val="18"/>
                <w:szCs w:val="18"/>
              </w:rPr>
              <w:t>单位</w:t>
            </w:r>
          </w:p>
        </w:tc>
        <w:tc>
          <w:tcPr>
            <w:tcW w:w="417" w:type="pct"/>
            <w:tcBorders>
              <w:top w:val="nil"/>
              <w:left w:val="nil"/>
              <w:bottom w:val="single" w:color="auto" w:sz="4" w:space="0"/>
              <w:right w:val="single" w:color="auto" w:sz="4" w:space="0"/>
            </w:tcBorders>
            <w:noWrap/>
            <w:vAlign w:val="bottom"/>
          </w:tcPr>
          <w:p w14:paraId="3036428D">
            <w:pPr>
              <w:widowControl/>
              <w:jc w:val="center"/>
              <w:rPr>
                <w:rFonts w:ascii="宋体" w:cs="宋体"/>
                <w:b/>
                <w:color w:val="000000"/>
                <w:kern w:val="0"/>
                <w:sz w:val="18"/>
                <w:szCs w:val="18"/>
              </w:rPr>
            </w:pPr>
            <w:r>
              <w:rPr>
                <w:rFonts w:hint="eastAsia" w:ascii="宋体" w:hAnsi="宋体" w:cs="宋体"/>
                <w:b/>
                <w:color w:val="000000"/>
                <w:kern w:val="0"/>
                <w:sz w:val="18"/>
                <w:szCs w:val="18"/>
              </w:rPr>
              <w:t>数量</w:t>
            </w:r>
          </w:p>
        </w:tc>
        <w:tc>
          <w:tcPr>
            <w:tcW w:w="508" w:type="pct"/>
            <w:tcBorders>
              <w:top w:val="nil"/>
              <w:left w:val="nil"/>
              <w:bottom w:val="single" w:color="auto" w:sz="4" w:space="0"/>
              <w:right w:val="single" w:color="auto" w:sz="4" w:space="0"/>
            </w:tcBorders>
            <w:noWrap/>
            <w:vAlign w:val="bottom"/>
          </w:tcPr>
          <w:p w14:paraId="2CA3FA02">
            <w:pPr>
              <w:widowControl/>
              <w:jc w:val="center"/>
              <w:rPr>
                <w:rFonts w:ascii="宋体" w:cs="宋体"/>
                <w:b/>
                <w:color w:val="000000"/>
                <w:kern w:val="0"/>
                <w:sz w:val="18"/>
                <w:szCs w:val="18"/>
              </w:rPr>
            </w:pPr>
            <w:r>
              <w:rPr>
                <w:rFonts w:hint="eastAsia" w:ascii="宋体" w:hAnsi="宋体" w:cs="宋体"/>
                <w:b/>
                <w:color w:val="000000"/>
                <w:kern w:val="0"/>
                <w:sz w:val="18"/>
                <w:szCs w:val="18"/>
              </w:rPr>
              <w:t>运距</w:t>
            </w:r>
          </w:p>
        </w:tc>
        <w:tc>
          <w:tcPr>
            <w:tcW w:w="593" w:type="pct"/>
            <w:tcBorders>
              <w:top w:val="nil"/>
              <w:left w:val="nil"/>
              <w:bottom w:val="single" w:color="auto" w:sz="4" w:space="0"/>
              <w:right w:val="single" w:color="auto" w:sz="4" w:space="0"/>
            </w:tcBorders>
            <w:vAlign w:val="bottom"/>
          </w:tcPr>
          <w:p w14:paraId="29BAEFF3">
            <w:pPr>
              <w:widowControl/>
              <w:jc w:val="center"/>
              <w:rPr>
                <w:rFonts w:ascii="宋体" w:cs="宋体"/>
                <w:b/>
                <w:color w:val="000000"/>
                <w:kern w:val="0"/>
                <w:sz w:val="18"/>
                <w:szCs w:val="18"/>
              </w:rPr>
            </w:pPr>
            <w:r>
              <w:rPr>
                <w:rFonts w:hint="eastAsia" w:ascii="宋体" w:hAnsi="宋体" w:cs="宋体"/>
                <w:b/>
                <w:color w:val="000000"/>
                <w:kern w:val="0"/>
                <w:sz w:val="18"/>
                <w:szCs w:val="18"/>
              </w:rPr>
              <w:t>运输方式</w:t>
            </w:r>
          </w:p>
        </w:tc>
        <w:tc>
          <w:tcPr>
            <w:tcW w:w="1231" w:type="pct"/>
            <w:tcBorders>
              <w:top w:val="nil"/>
              <w:left w:val="nil"/>
              <w:bottom w:val="single" w:color="auto" w:sz="4" w:space="0"/>
              <w:right w:val="single" w:color="auto" w:sz="4" w:space="0"/>
            </w:tcBorders>
            <w:vAlign w:val="bottom"/>
          </w:tcPr>
          <w:p w14:paraId="03941339">
            <w:pPr>
              <w:widowControl/>
              <w:jc w:val="center"/>
              <w:rPr>
                <w:rFonts w:ascii="宋体" w:cs="宋体"/>
                <w:b/>
                <w:color w:val="000000"/>
                <w:kern w:val="0"/>
                <w:sz w:val="18"/>
                <w:szCs w:val="18"/>
              </w:rPr>
            </w:pPr>
            <w:r>
              <w:rPr>
                <w:rFonts w:hint="eastAsia" w:ascii="宋体" w:hAnsi="宋体" w:cs="宋体"/>
                <w:b/>
                <w:color w:val="000000"/>
                <w:kern w:val="0"/>
                <w:sz w:val="18"/>
                <w:szCs w:val="18"/>
              </w:rPr>
              <w:t>规格特征</w:t>
            </w:r>
            <w:r>
              <w:rPr>
                <w:rFonts w:ascii="宋体" w:hAnsi="宋体" w:cs="宋体"/>
                <w:b/>
                <w:color w:val="000000"/>
                <w:kern w:val="0"/>
                <w:sz w:val="18"/>
                <w:szCs w:val="18"/>
              </w:rPr>
              <w:t>/</w:t>
            </w:r>
            <w:r>
              <w:rPr>
                <w:rFonts w:hint="eastAsia" w:ascii="宋体" w:hAnsi="宋体" w:cs="宋体"/>
                <w:b/>
                <w:color w:val="000000"/>
                <w:kern w:val="0"/>
                <w:sz w:val="18"/>
                <w:szCs w:val="18"/>
              </w:rPr>
              <w:t>来源</w:t>
            </w:r>
          </w:p>
        </w:tc>
      </w:tr>
      <w:tr w14:paraId="5A3DF0CE">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940571D">
            <w:pPr>
              <w:widowControl/>
              <w:jc w:val="left"/>
              <w:rPr>
                <w:rFonts w:ascii="宋体" w:cs="宋体"/>
                <w:color w:val="000000"/>
                <w:kern w:val="0"/>
                <w:sz w:val="18"/>
                <w:szCs w:val="18"/>
              </w:rPr>
            </w:pP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精矿</w:t>
            </w:r>
          </w:p>
        </w:tc>
        <w:tc>
          <w:tcPr>
            <w:tcW w:w="306" w:type="pct"/>
            <w:tcBorders>
              <w:top w:val="nil"/>
              <w:left w:val="nil"/>
              <w:bottom w:val="single" w:color="auto" w:sz="4" w:space="0"/>
              <w:right w:val="single" w:color="auto" w:sz="4" w:space="0"/>
            </w:tcBorders>
            <w:noWrap/>
            <w:vAlign w:val="bottom"/>
          </w:tcPr>
          <w:p w14:paraId="645AD4A4">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0B9C8101">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0E0DCCA6">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4270A225">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760934DD">
            <w:pPr>
              <w:widowControl/>
              <w:jc w:val="center"/>
              <w:rPr>
                <w:rFonts w:ascii="宋体" w:cs="宋体"/>
                <w:color w:val="000000"/>
                <w:kern w:val="0"/>
                <w:sz w:val="18"/>
                <w:szCs w:val="18"/>
              </w:rPr>
            </w:pPr>
          </w:p>
        </w:tc>
      </w:tr>
      <w:tr w14:paraId="6FEF2AD4">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154BE5AE">
            <w:pPr>
              <w:widowControl/>
              <w:jc w:val="left"/>
              <w:rPr>
                <w:rFonts w:ascii="宋体" w:cs="宋体"/>
                <w:color w:val="000000"/>
                <w:kern w:val="0"/>
                <w:sz w:val="18"/>
                <w:szCs w:val="18"/>
              </w:rPr>
            </w:pPr>
            <w:r>
              <w:rPr>
                <w:rFonts w:hint="eastAsia" w:ascii="宋体" w:hAnsi="宋体" w:cs="宋体"/>
                <w:color w:val="000000"/>
                <w:kern w:val="0"/>
                <w:sz w:val="18"/>
                <w:szCs w:val="18"/>
              </w:rPr>
              <w:t>其他含</w:t>
            </w:r>
            <w:r>
              <w:rPr>
                <w:rFonts w:hint="eastAsia" w:ascii="宋体" w:hAnsi="宋体" w:cs="宋体"/>
                <w:color w:val="000000"/>
                <w:kern w:val="0"/>
                <w:sz w:val="18"/>
                <w:szCs w:val="18"/>
                <w:lang w:eastAsia="zh-CN"/>
              </w:rPr>
              <w:t>锡</w:t>
            </w:r>
            <w:r>
              <w:rPr>
                <w:rFonts w:hint="eastAsia" w:ascii="宋体" w:hAnsi="宋体" w:cs="宋体"/>
                <w:color w:val="000000"/>
                <w:kern w:val="0"/>
                <w:sz w:val="18"/>
                <w:szCs w:val="18"/>
              </w:rPr>
              <w:t>物料</w:t>
            </w:r>
          </w:p>
        </w:tc>
        <w:tc>
          <w:tcPr>
            <w:tcW w:w="306" w:type="pct"/>
            <w:tcBorders>
              <w:top w:val="nil"/>
              <w:left w:val="nil"/>
              <w:bottom w:val="single" w:color="auto" w:sz="4" w:space="0"/>
              <w:right w:val="single" w:color="auto" w:sz="4" w:space="0"/>
            </w:tcBorders>
            <w:noWrap/>
            <w:vAlign w:val="bottom"/>
          </w:tcPr>
          <w:p w14:paraId="1BB70BB2">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58486A14">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6D1A66DE">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28E9382E">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161CF4FC">
            <w:pPr>
              <w:widowControl/>
              <w:jc w:val="center"/>
              <w:rPr>
                <w:rFonts w:ascii="宋体" w:cs="宋体"/>
                <w:color w:val="000000"/>
                <w:kern w:val="0"/>
                <w:sz w:val="18"/>
                <w:szCs w:val="18"/>
              </w:rPr>
            </w:pPr>
          </w:p>
        </w:tc>
      </w:tr>
      <w:tr w14:paraId="71360894">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454B0B90">
            <w:pPr>
              <w:widowControl/>
              <w:jc w:val="left"/>
              <w:rPr>
                <w:rFonts w:ascii="宋体" w:cs="宋体"/>
                <w:color w:val="000000"/>
                <w:kern w:val="0"/>
                <w:sz w:val="18"/>
                <w:szCs w:val="18"/>
              </w:rPr>
            </w:pPr>
            <w:r>
              <w:rPr>
                <w:rFonts w:hint="eastAsia" w:ascii="宋体" w:cs="宋体"/>
                <w:color w:val="000000"/>
                <w:kern w:val="0"/>
                <w:sz w:val="18"/>
                <w:szCs w:val="18"/>
              </w:rPr>
              <w:t>石英砂</w:t>
            </w:r>
          </w:p>
        </w:tc>
        <w:tc>
          <w:tcPr>
            <w:tcW w:w="306" w:type="pct"/>
            <w:tcBorders>
              <w:top w:val="nil"/>
              <w:left w:val="nil"/>
              <w:bottom w:val="single" w:color="auto" w:sz="4" w:space="0"/>
              <w:right w:val="single" w:color="auto" w:sz="4" w:space="0"/>
            </w:tcBorders>
            <w:noWrap/>
            <w:vAlign w:val="bottom"/>
          </w:tcPr>
          <w:p w14:paraId="6B077996">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18D06D60">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0F00B559">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2939D706">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2AFAC3CB">
            <w:pPr>
              <w:widowControl/>
              <w:jc w:val="center"/>
              <w:rPr>
                <w:rFonts w:ascii="宋体" w:cs="宋体"/>
                <w:color w:val="000000"/>
                <w:kern w:val="0"/>
                <w:sz w:val="18"/>
                <w:szCs w:val="18"/>
              </w:rPr>
            </w:pPr>
          </w:p>
        </w:tc>
      </w:tr>
      <w:tr w14:paraId="1B1EC299">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40F3FAB2">
            <w:pPr>
              <w:widowControl/>
              <w:jc w:val="left"/>
              <w:rPr>
                <w:rFonts w:ascii="宋体" w:cs="宋体"/>
                <w:color w:val="000000"/>
                <w:kern w:val="0"/>
                <w:sz w:val="18"/>
                <w:szCs w:val="18"/>
              </w:rPr>
            </w:pPr>
            <w:r>
              <w:rPr>
                <w:rFonts w:hint="eastAsia" w:ascii="宋体" w:hAnsi="宋体" w:cs="宋体"/>
                <w:color w:val="000000"/>
                <w:kern w:val="0"/>
                <w:sz w:val="18"/>
                <w:szCs w:val="18"/>
              </w:rPr>
              <w:t>石灰石</w:t>
            </w:r>
          </w:p>
        </w:tc>
        <w:tc>
          <w:tcPr>
            <w:tcW w:w="306" w:type="pct"/>
            <w:tcBorders>
              <w:top w:val="nil"/>
              <w:left w:val="nil"/>
              <w:bottom w:val="single" w:color="auto" w:sz="4" w:space="0"/>
              <w:right w:val="single" w:color="auto" w:sz="4" w:space="0"/>
            </w:tcBorders>
            <w:noWrap/>
            <w:vAlign w:val="bottom"/>
          </w:tcPr>
          <w:p w14:paraId="6AE54BEA">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799E3442">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4547C9AD">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6E10DBDE">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17CFD4AE">
            <w:pPr>
              <w:widowControl/>
              <w:jc w:val="center"/>
              <w:rPr>
                <w:rFonts w:ascii="宋体" w:cs="宋体"/>
                <w:color w:val="000000"/>
                <w:kern w:val="0"/>
                <w:sz w:val="18"/>
                <w:szCs w:val="18"/>
              </w:rPr>
            </w:pPr>
          </w:p>
        </w:tc>
      </w:tr>
      <w:tr w14:paraId="2635953B">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061C2195">
            <w:pPr>
              <w:widowControl/>
              <w:jc w:val="left"/>
              <w:rPr>
                <w:rFonts w:ascii="宋体" w:cs="宋体"/>
                <w:color w:val="000000"/>
                <w:kern w:val="0"/>
                <w:sz w:val="18"/>
                <w:szCs w:val="18"/>
              </w:rPr>
            </w:pPr>
            <w:r>
              <w:rPr>
                <w:rFonts w:hint="eastAsia" w:ascii="宋体" w:hAnsi="宋体" w:cs="宋体"/>
                <w:color w:val="000000"/>
                <w:kern w:val="0"/>
                <w:sz w:val="18"/>
                <w:szCs w:val="18"/>
              </w:rPr>
              <w:t>耐火材料</w:t>
            </w:r>
          </w:p>
        </w:tc>
        <w:tc>
          <w:tcPr>
            <w:tcW w:w="306" w:type="pct"/>
            <w:tcBorders>
              <w:top w:val="nil"/>
              <w:left w:val="nil"/>
              <w:bottom w:val="single" w:color="auto" w:sz="4" w:space="0"/>
              <w:right w:val="single" w:color="auto" w:sz="4" w:space="0"/>
            </w:tcBorders>
            <w:noWrap/>
            <w:vAlign w:val="bottom"/>
          </w:tcPr>
          <w:p w14:paraId="0040F4E0">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56FEDB23">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0A29BC8A">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7E32AE6E">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795AA9EB">
            <w:pPr>
              <w:widowControl/>
              <w:jc w:val="center"/>
              <w:rPr>
                <w:rFonts w:ascii="宋体" w:cs="宋体"/>
                <w:color w:val="000000"/>
                <w:kern w:val="0"/>
                <w:sz w:val="18"/>
                <w:szCs w:val="18"/>
              </w:rPr>
            </w:pPr>
          </w:p>
        </w:tc>
      </w:tr>
      <w:tr w14:paraId="45A18A7D">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8EB71E7">
            <w:pPr>
              <w:widowControl/>
              <w:jc w:val="left"/>
              <w:rPr>
                <w:rFonts w:ascii="宋体" w:cs="宋体"/>
                <w:color w:val="000000"/>
                <w:kern w:val="0"/>
                <w:sz w:val="18"/>
                <w:szCs w:val="18"/>
              </w:rPr>
            </w:pPr>
            <w:r>
              <w:rPr>
                <w:rFonts w:hint="eastAsia" w:ascii="宋体" w:hAnsi="宋体" w:cs="宋体"/>
                <w:color w:val="000000"/>
                <w:kern w:val="0"/>
                <w:sz w:val="18"/>
                <w:szCs w:val="18"/>
              </w:rPr>
              <w:t>药剂</w:t>
            </w:r>
          </w:p>
        </w:tc>
        <w:tc>
          <w:tcPr>
            <w:tcW w:w="306" w:type="pct"/>
            <w:tcBorders>
              <w:top w:val="nil"/>
              <w:left w:val="nil"/>
              <w:bottom w:val="single" w:color="auto" w:sz="4" w:space="0"/>
              <w:right w:val="single" w:color="auto" w:sz="4" w:space="0"/>
            </w:tcBorders>
            <w:noWrap/>
            <w:vAlign w:val="bottom"/>
          </w:tcPr>
          <w:p w14:paraId="2B7DAC19">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0F3FF441">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238A2BCB">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06BEDDD8">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63516BCD">
            <w:pPr>
              <w:widowControl/>
              <w:jc w:val="center"/>
              <w:rPr>
                <w:rFonts w:ascii="宋体" w:cs="宋体"/>
                <w:color w:val="000000"/>
                <w:kern w:val="0"/>
                <w:sz w:val="18"/>
                <w:szCs w:val="18"/>
              </w:rPr>
            </w:pPr>
          </w:p>
        </w:tc>
      </w:tr>
      <w:tr w14:paraId="5EBEDEDF">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14AB047">
            <w:pPr>
              <w:widowControl/>
              <w:jc w:val="left"/>
              <w:rPr>
                <w:rFonts w:ascii="宋体" w:cs="宋体"/>
                <w:color w:val="000000"/>
                <w:kern w:val="0"/>
                <w:sz w:val="18"/>
                <w:szCs w:val="18"/>
              </w:rPr>
            </w:pPr>
            <w:r>
              <w:rPr>
                <w:rFonts w:hint="eastAsia" w:ascii="宋体" w:hAnsi="宋体" w:cs="宋体"/>
                <w:color w:val="000000"/>
                <w:kern w:val="0"/>
                <w:sz w:val="18"/>
                <w:szCs w:val="18"/>
              </w:rPr>
              <w:t>燃料（如：煤、柴油、天然气）</w:t>
            </w:r>
          </w:p>
        </w:tc>
        <w:tc>
          <w:tcPr>
            <w:tcW w:w="306" w:type="pct"/>
            <w:tcBorders>
              <w:top w:val="nil"/>
              <w:left w:val="nil"/>
              <w:bottom w:val="single" w:color="auto" w:sz="4" w:space="0"/>
              <w:right w:val="single" w:color="auto" w:sz="4" w:space="0"/>
            </w:tcBorders>
            <w:noWrap/>
            <w:vAlign w:val="bottom"/>
          </w:tcPr>
          <w:p w14:paraId="09598FF4">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4BF4364B">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72D3ACFD">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3DA06CA2">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4E744D1B">
            <w:pPr>
              <w:widowControl/>
              <w:jc w:val="center"/>
              <w:rPr>
                <w:rFonts w:ascii="宋体" w:cs="宋体"/>
                <w:color w:val="000000"/>
                <w:kern w:val="0"/>
                <w:sz w:val="18"/>
                <w:szCs w:val="18"/>
              </w:rPr>
            </w:pPr>
          </w:p>
        </w:tc>
      </w:tr>
      <w:tr w14:paraId="507CB1CB">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5B78F796">
            <w:pPr>
              <w:widowControl/>
              <w:jc w:val="left"/>
              <w:rPr>
                <w:rFonts w:ascii="宋体" w:cs="宋体"/>
                <w:color w:val="000000"/>
                <w:kern w:val="0"/>
                <w:sz w:val="18"/>
                <w:szCs w:val="18"/>
              </w:rPr>
            </w:pPr>
            <w:r>
              <w:rPr>
                <w:rFonts w:hint="eastAsia" w:ascii="宋体" w:hAnsi="宋体" w:cs="宋体"/>
                <w:color w:val="000000"/>
                <w:kern w:val="0"/>
                <w:sz w:val="18"/>
                <w:szCs w:val="18"/>
              </w:rPr>
              <w:t>还原剂（如：焦炭、天然气）</w:t>
            </w:r>
          </w:p>
        </w:tc>
        <w:tc>
          <w:tcPr>
            <w:tcW w:w="306" w:type="pct"/>
            <w:tcBorders>
              <w:top w:val="nil"/>
              <w:left w:val="nil"/>
              <w:bottom w:val="single" w:color="auto" w:sz="4" w:space="0"/>
              <w:right w:val="single" w:color="auto" w:sz="4" w:space="0"/>
            </w:tcBorders>
            <w:noWrap/>
            <w:vAlign w:val="bottom"/>
          </w:tcPr>
          <w:p w14:paraId="4ABF28E2">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22903574">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115F6455">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1398C568">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66D9E6EB">
            <w:pPr>
              <w:widowControl/>
              <w:jc w:val="center"/>
              <w:rPr>
                <w:rFonts w:ascii="宋体" w:cs="宋体"/>
                <w:color w:val="000000"/>
                <w:kern w:val="0"/>
                <w:sz w:val="18"/>
                <w:szCs w:val="18"/>
              </w:rPr>
            </w:pPr>
          </w:p>
        </w:tc>
      </w:tr>
      <w:tr w14:paraId="61802B94">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5ABD8C37">
            <w:pPr>
              <w:widowControl/>
              <w:jc w:val="left"/>
              <w:rPr>
                <w:rFonts w:ascii="宋体" w:cs="宋体"/>
                <w:color w:val="000000"/>
                <w:kern w:val="0"/>
                <w:sz w:val="18"/>
                <w:szCs w:val="18"/>
              </w:rPr>
            </w:pPr>
            <w:r>
              <w:rPr>
                <w:rFonts w:hint="eastAsia" w:ascii="宋体" w:hAnsi="宋体" w:cs="宋体"/>
                <w:color w:val="000000"/>
                <w:kern w:val="0"/>
                <w:sz w:val="18"/>
                <w:szCs w:val="18"/>
              </w:rPr>
              <w:t>电力</w:t>
            </w:r>
          </w:p>
        </w:tc>
        <w:tc>
          <w:tcPr>
            <w:tcW w:w="306" w:type="pct"/>
            <w:tcBorders>
              <w:top w:val="nil"/>
              <w:left w:val="nil"/>
              <w:bottom w:val="single" w:color="auto" w:sz="4" w:space="0"/>
              <w:right w:val="single" w:color="auto" w:sz="4" w:space="0"/>
            </w:tcBorders>
            <w:noWrap/>
            <w:vAlign w:val="bottom"/>
          </w:tcPr>
          <w:p w14:paraId="34B90128">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386E39F1">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77B1A74B">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756BD2CB">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44829AF9">
            <w:pPr>
              <w:widowControl/>
              <w:jc w:val="center"/>
              <w:rPr>
                <w:rFonts w:ascii="宋体" w:cs="宋体"/>
                <w:color w:val="000000"/>
                <w:kern w:val="0"/>
                <w:sz w:val="18"/>
                <w:szCs w:val="18"/>
              </w:rPr>
            </w:pPr>
          </w:p>
        </w:tc>
      </w:tr>
      <w:tr w14:paraId="04ABC008">
        <w:tblPrEx>
          <w:tblCellMar>
            <w:top w:w="0" w:type="dxa"/>
            <w:left w:w="0" w:type="dxa"/>
            <w:bottom w:w="0" w:type="dxa"/>
            <w:right w:w="0" w:type="dxa"/>
          </w:tblCellMar>
        </w:tblPrEx>
        <w:trPr>
          <w:trHeight w:val="276" w:hRule="atLeast"/>
        </w:trPr>
        <w:tc>
          <w:tcPr>
            <w:tcW w:w="1945" w:type="pct"/>
            <w:tcBorders>
              <w:top w:val="single" w:color="auto" w:sz="4" w:space="0"/>
              <w:left w:val="single" w:color="auto" w:sz="4" w:space="0"/>
              <w:bottom w:val="single" w:color="auto" w:sz="4" w:space="0"/>
              <w:right w:val="single" w:color="auto" w:sz="4" w:space="0"/>
            </w:tcBorders>
            <w:noWrap/>
          </w:tcPr>
          <w:p w14:paraId="0D14C6E7">
            <w:pPr>
              <w:widowControl/>
              <w:jc w:val="left"/>
              <w:rPr>
                <w:rFonts w:ascii="宋体" w:cs="宋体"/>
                <w:color w:val="000000"/>
                <w:kern w:val="0"/>
                <w:sz w:val="18"/>
                <w:szCs w:val="18"/>
              </w:rPr>
            </w:pPr>
            <w:r>
              <w:rPr>
                <w:rFonts w:hint="eastAsia" w:ascii="宋体" w:hAnsi="宋体" w:cs="宋体"/>
                <w:color w:val="000000"/>
                <w:kern w:val="0"/>
                <w:sz w:val="18"/>
                <w:szCs w:val="18"/>
              </w:rPr>
              <w:t>耗能工质</w:t>
            </w:r>
          </w:p>
        </w:tc>
        <w:tc>
          <w:tcPr>
            <w:tcW w:w="306" w:type="pct"/>
            <w:tcBorders>
              <w:top w:val="single" w:color="auto" w:sz="4" w:space="0"/>
              <w:left w:val="single" w:color="auto" w:sz="4" w:space="0"/>
              <w:bottom w:val="single" w:color="auto" w:sz="4" w:space="0"/>
              <w:right w:val="single" w:color="auto" w:sz="4" w:space="0"/>
            </w:tcBorders>
            <w:noWrap/>
          </w:tcPr>
          <w:p w14:paraId="711F423D">
            <w:pPr>
              <w:widowControl/>
              <w:jc w:val="center"/>
              <w:rPr>
                <w:rFonts w:ascii="宋体" w:cs="宋体"/>
                <w:color w:val="000000"/>
                <w:kern w:val="0"/>
                <w:sz w:val="18"/>
                <w:szCs w:val="18"/>
              </w:rPr>
            </w:pPr>
          </w:p>
        </w:tc>
        <w:tc>
          <w:tcPr>
            <w:tcW w:w="417" w:type="pct"/>
            <w:tcBorders>
              <w:top w:val="single" w:color="auto" w:sz="4" w:space="0"/>
              <w:left w:val="single" w:color="auto" w:sz="4" w:space="0"/>
              <w:bottom w:val="single" w:color="auto" w:sz="4" w:space="0"/>
              <w:right w:val="single" w:color="auto" w:sz="4" w:space="0"/>
            </w:tcBorders>
            <w:noWrap/>
          </w:tcPr>
          <w:p w14:paraId="573D1273">
            <w:pPr>
              <w:widowControl/>
              <w:jc w:val="center"/>
              <w:rPr>
                <w:rFonts w:ascii="宋体" w:cs="宋体"/>
                <w:color w:val="000000"/>
                <w:kern w:val="0"/>
                <w:sz w:val="18"/>
                <w:szCs w:val="18"/>
              </w:rPr>
            </w:pPr>
          </w:p>
        </w:tc>
        <w:tc>
          <w:tcPr>
            <w:tcW w:w="508" w:type="pct"/>
            <w:tcBorders>
              <w:top w:val="single" w:color="auto" w:sz="4" w:space="0"/>
              <w:left w:val="single" w:color="auto" w:sz="4" w:space="0"/>
              <w:bottom w:val="single" w:color="auto" w:sz="4" w:space="0"/>
              <w:right w:val="single" w:color="auto" w:sz="4" w:space="0"/>
            </w:tcBorders>
            <w:noWrap/>
          </w:tcPr>
          <w:p w14:paraId="5CF99C05">
            <w:pPr>
              <w:widowControl/>
              <w:jc w:val="center"/>
              <w:rPr>
                <w:rFonts w:ascii="宋体" w:cs="宋体"/>
                <w:color w:val="000000"/>
                <w:kern w:val="0"/>
                <w:sz w:val="18"/>
                <w:szCs w:val="18"/>
              </w:rPr>
            </w:pPr>
          </w:p>
        </w:tc>
        <w:tc>
          <w:tcPr>
            <w:tcW w:w="593" w:type="pct"/>
            <w:tcBorders>
              <w:top w:val="single" w:color="auto" w:sz="4" w:space="0"/>
              <w:left w:val="single" w:color="auto" w:sz="4" w:space="0"/>
              <w:bottom w:val="single" w:color="auto" w:sz="4" w:space="0"/>
              <w:right w:val="single" w:color="auto" w:sz="4" w:space="0"/>
            </w:tcBorders>
          </w:tcPr>
          <w:p w14:paraId="6EE34846">
            <w:pPr>
              <w:widowControl/>
              <w:jc w:val="center"/>
              <w:rPr>
                <w:rFonts w:ascii="宋体" w:cs="宋体"/>
                <w:color w:val="000000"/>
                <w:kern w:val="0"/>
                <w:sz w:val="18"/>
                <w:szCs w:val="18"/>
              </w:rPr>
            </w:pPr>
          </w:p>
        </w:tc>
        <w:tc>
          <w:tcPr>
            <w:tcW w:w="1231" w:type="pct"/>
            <w:tcBorders>
              <w:top w:val="single" w:color="auto" w:sz="4" w:space="0"/>
              <w:left w:val="single" w:color="auto" w:sz="4" w:space="0"/>
              <w:bottom w:val="single" w:color="auto" w:sz="4" w:space="0"/>
              <w:right w:val="single" w:color="auto" w:sz="4" w:space="0"/>
            </w:tcBorders>
          </w:tcPr>
          <w:p w14:paraId="2058AB2E">
            <w:pPr>
              <w:widowControl/>
              <w:jc w:val="center"/>
              <w:rPr>
                <w:rFonts w:ascii="宋体" w:cs="宋体"/>
                <w:color w:val="000000"/>
                <w:kern w:val="0"/>
                <w:sz w:val="18"/>
                <w:szCs w:val="18"/>
              </w:rPr>
            </w:pPr>
          </w:p>
        </w:tc>
      </w:tr>
      <w:tr w14:paraId="1AC7B946">
        <w:tblPrEx>
          <w:tblCellMar>
            <w:top w:w="0" w:type="dxa"/>
            <w:left w:w="0" w:type="dxa"/>
            <w:bottom w:w="0" w:type="dxa"/>
            <w:right w:w="0" w:type="dxa"/>
          </w:tblCellMar>
        </w:tblPrEx>
        <w:trPr>
          <w:trHeight w:val="276" w:hRule="atLeast"/>
        </w:trPr>
        <w:tc>
          <w:tcPr>
            <w:tcW w:w="1945" w:type="pct"/>
            <w:tcBorders>
              <w:top w:val="single" w:color="auto" w:sz="4" w:space="0"/>
              <w:left w:val="single" w:color="auto" w:sz="4" w:space="0"/>
              <w:bottom w:val="single" w:color="auto" w:sz="4" w:space="0"/>
              <w:right w:val="single" w:color="auto" w:sz="4" w:space="0"/>
            </w:tcBorders>
            <w:noWrap/>
            <w:vAlign w:val="bottom"/>
          </w:tcPr>
          <w:p w14:paraId="4BF2AED9">
            <w:pPr>
              <w:widowControl/>
              <w:jc w:val="left"/>
              <w:rPr>
                <w:rFonts w:ascii="宋体" w:cs="宋体"/>
                <w:color w:val="000000"/>
                <w:kern w:val="0"/>
                <w:sz w:val="18"/>
                <w:szCs w:val="18"/>
              </w:rPr>
            </w:pPr>
            <w:r>
              <w:rPr>
                <w:rFonts w:hint="eastAsia" w:ascii="宋体" w:hAnsi="宋体" w:cs="宋体"/>
                <w:color w:val="000000"/>
                <w:kern w:val="0"/>
                <w:sz w:val="18"/>
                <w:szCs w:val="18"/>
              </w:rPr>
              <w:t>热力</w:t>
            </w:r>
          </w:p>
        </w:tc>
        <w:tc>
          <w:tcPr>
            <w:tcW w:w="306" w:type="pct"/>
            <w:tcBorders>
              <w:top w:val="single" w:color="auto" w:sz="4" w:space="0"/>
              <w:left w:val="nil"/>
              <w:bottom w:val="single" w:color="auto" w:sz="4" w:space="0"/>
              <w:right w:val="single" w:color="auto" w:sz="4" w:space="0"/>
            </w:tcBorders>
            <w:noWrap/>
            <w:vAlign w:val="bottom"/>
          </w:tcPr>
          <w:p w14:paraId="382AA0A9">
            <w:pPr>
              <w:widowControl/>
              <w:jc w:val="center"/>
              <w:rPr>
                <w:rFonts w:ascii="宋体" w:cs="宋体"/>
                <w:color w:val="000000"/>
                <w:kern w:val="0"/>
                <w:sz w:val="18"/>
                <w:szCs w:val="18"/>
              </w:rPr>
            </w:pPr>
          </w:p>
        </w:tc>
        <w:tc>
          <w:tcPr>
            <w:tcW w:w="417" w:type="pct"/>
            <w:tcBorders>
              <w:top w:val="single" w:color="auto" w:sz="4" w:space="0"/>
              <w:left w:val="nil"/>
              <w:bottom w:val="single" w:color="auto" w:sz="4" w:space="0"/>
              <w:right w:val="single" w:color="auto" w:sz="4" w:space="0"/>
            </w:tcBorders>
            <w:noWrap/>
            <w:vAlign w:val="bottom"/>
          </w:tcPr>
          <w:p w14:paraId="56624777">
            <w:pPr>
              <w:widowControl/>
              <w:jc w:val="center"/>
              <w:rPr>
                <w:rFonts w:ascii="宋体" w:cs="宋体"/>
                <w:color w:val="000000"/>
                <w:kern w:val="0"/>
                <w:sz w:val="18"/>
                <w:szCs w:val="18"/>
              </w:rPr>
            </w:pPr>
          </w:p>
        </w:tc>
        <w:tc>
          <w:tcPr>
            <w:tcW w:w="508" w:type="pct"/>
            <w:tcBorders>
              <w:top w:val="single" w:color="auto" w:sz="4" w:space="0"/>
              <w:left w:val="nil"/>
              <w:bottom w:val="single" w:color="auto" w:sz="4" w:space="0"/>
              <w:right w:val="single" w:color="auto" w:sz="4" w:space="0"/>
            </w:tcBorders>
            <w:noWrap/>
            <w:vAlign w:val="bottom"/>
          </w:tcPr>
          <w:p w14:paraId="135C726E">
            <w:pPr>
              <w:widowControl/>
              <w:jc w:val="center"/>
              <w:rPr>
                <w:rFonts w:ascii="宋体" w:cs="宋体"/>
                <w:color w:val="000000"/>
                <w:kern w:val="0"/>
                <w:sz w:val="18"/>
                <w:szCs w:val="18"/>
              </w:rPr>
            </w:pPr>
          </w:p>
        </w:tc>
        <w:tc>
          <w:tcPr>
            <w:tcW w:w="593" w:type="pct"/>
            <w:tcBorders>
              <w:top w:val="single" w:color="auto" w:sz="4" w:space="0"/>
              <w:left w:val="nil"/>
              <w:bottom w:val="single" w:color="auto" w:sz="4" w:space="0"/>
              <w:right w:val="single" w:color="auto" w:sz="4" w:space="0"/>
            </w:tcBorders>
            <w:vAlign w:val="bottom"/>
          </w:tcPr>
          <w:p w14:paraId="5C9EA367">
            <w:pPr>
              <w:widowControl/>
              <w:jc w:val="center"/>
              <w:rPr>
                <w:rFonts w:ascii="宋体" w:cs="宋体"/>
                <w:color w:val="000000"/>
                <w:kern w:val="0"/>
                <w:sz w:val="18"/>
                <w:szCs w:val="18"/>
              </w:rPr>
            </w:pPr>
          </w:p>
        </w:tc>
        <w:tc>
          <w:tcPr>
            <w:tcW w:w="1231" w:type="pct"/>
            <w:tcBorders>
              <w:top w:val="single" w:color="auto" w:sz="4" w:space="0"/>
              <w:left w:val="nil"/>
              <w:bottom w:val="single" w:color="auto" w:sz="4" w:space="0"/>
              <w:right w:val="single" w:color="auto" w:sz="4" w:space="0"/>
            </w:tcBorders>
            <w:vAlign w:val="bottom"/>
          </w:tcPr>
          <w:p w14:paraId="4CEF7E29">
            <w:pPr>
              <w:widowControl/>
              <w:jc w:val="center"/>
              <w:rPr>
                <w:rFonts w:ascii="宋体" w:cs="宋体"/>
                <w:color w:val="000000"/>
                <w:kern w:val="0"/>
                <w:sz w:val="18"/>
                <w:szCs w:val="18"/>
              </w:rPr>
            </w:pPr>
          </w:p>
        </w:tc>
      </w:tr>
      <w:tr w14:paraId="2C3AAF3F">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7B1B65C1">
            <w:pPr>
              <w:widowControl/>
              <w:jc w:val="left"/>
              <w:rPr>
                <w:rFonts w:ascii="宋体" w:cs="宋体"/>
                <w:color w:val="000000"/>
                <w:kern w:val="0"/>
                <w:sz w:val="18"/>
                <w:szCs w:val="18"/>
              </w:rPr>
            </w:pPr>
            <w:r>
              <w:rPr>
                <w:rFonts w:hint="eastAsia" w:ascii="宋体" w:hAnsi="宋体" w:cs="宋体"/>
                <w:color w:val="000000"/>
                <w:kern w:val="0"/>
                <w:sz w:val="18"/>
                <w:szCs w:val="18"/>
              </w:rPr>
              <w:t>氧气</w:t>
            </w:r>
          </w:p>
        </w:tc>
        <w:tc>
          <w:tcPr>
            <w:tcW w:w="306" w:type="pct"/>
            <w:tcBorders>
              <w:top w:val="nil"/>
              <w:left w:val="nil"/>
              <w:bottom w:val="single" w:color="auto" w:sz="4" w:space="0"/>
              <w:right w:val="single" w:color="auto" w:sz="4" w:space="0"/>
            </w:tcBorders>
            <w:noWrap/>
            <w:vAlign w:val="bottom"/>
          </w:tcPr>
          <w:p w14:paraId="651B8736">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6C1F043F">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7CF2D8B9">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0B712A85">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0F78E6CB">
            <w:pPr>
              <w:widowControl/>
              <w:jc w:val="center"/>
              <w:rPr>
                <w:rFonts w:ascii="宋体" w:cs="宋体"/>
                <w:color w:val="000000"/>
                <w:kern w:val="0"/>
                <w:sz w:val="18"/>
                <w:szCs w:val="18"/>
              </w:rPr>
            </w:pPr>
          </w:p>
        </w:tc>
      </w:tr>
      <w:tr w14:paraId="3E5C3701">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261D1E3">
            <w:pPr>
              <w:widowControl/>
              <w:jc w:val="left"/>
              <w:rPr>
                <w:rFonts w:ascii="宋体" w:cs="宋体"/>
                <w:color w:val="000000"/>
                <w:kern w:val="0"/>
                <w:sz w:val="18"/>
                <w:szCs w:val="18"/>
              </w:rPr>
            </w:pPr>
            <w:r>
              <w:rPr>
                <w:rFonts w:hint="eastAsia" w:ascii="宋体" w:hAnsi="宋体" w:cs="宋体"/>
                <w:color w:val="000000"/>
                <w:kern w:val="0"/>
                <w:sz w:val="18"/>
                <w:szCs w:val="18"/>
              </w:rPr>
              <w:t>第三方服务（如有）</w:t>
            </w:r>
          </w:p>
        </w:tc>
        <w:tc>
          <w:tcPr>
            <w:tcW w:w="306" w:type="pct"/>
            <w:tcBorders>
              <w:top w:val="nil"/>
              <w:left w:val="nil"/>
              <w:bottom w:val="single" w:color="auto" w:sz="4" w:space="0"/>
              <w:right w:val="single" w:color="auto" w:sz="4" w:space="0"/>
            </w:tcBorders>
            <w:noWrap/>
            <w:vAlign w:val="bottom"/>
          </w:tcPr>
          <w:p w14:paraId="5DBDCEAD">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55AE9B30">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26846033">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3F6B3D40">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101986FC">
            <w:pPr>
              <w:widowControl/>
              <w:jc w:val="center"/>
              <w:rPr>
                <w:rFonts w:ascii="宋体" w:cs="宋体"/>
                <w:color w:val="000000"/>
                <w:kern w:val="0"/>
                <w:sz w:val="18"/>
                <w:szCs w:val="18"/>
              </w:rPr>
            </w:pPr>
          </w:p>
        </w:tc>
      </w:tr>
      <w:tr w14:paraId="3E036660">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7A2ADD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306" w:type="pct"/>
            <w:tcBorders>
              <w:top w:val="nil"/>
              <w:left w:val="nil"/>
              <w:bottom w:val="single" w:color="auto" w:sz="4" w:space="0"/>
              <w:right w:val="single" w:color="auto" w:sz="4" w:space="0"/>
            </w:tcBorders>
            <w:noWrap/>
            <w:vAlign w:val="bottom"/>
          </w:tcPr>
          <w:p w14:paraId="66F43B91">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429E0C6E">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444FC13C">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42B4FC81">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3447B54F">
            <w:pPr>
              <w:widowControl/>
              <w:jc w:val="center"/>
              <w:rPr>
                <w:rFonts w:ascii="宋体" w:cs="宋体"/>
                <w:color w:val="000000"/>
                <w:kern w:val="0"/>
                <w:sz w:val="18"/>
                <w:szCs w:val="18"/>
              </w:rPr>
            </w:pPr>
          </w:p>
        </w:tc>
      </w:tr>
      <w:tr w14:paraId="36D1BFE8">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72B709D0">
            <w:pPr>
              <w:widowControl/>
              <w:jc w:val="left"/>
              <w:rPr>
                <w:rFonts w:ascii="宋体" w:cs="宋体"/>
                <w:b/>
                <w:color w:val="000000"/>
                <w:kern w:val="0"/>
                <w:sz w:val="18"/>
                <w:szCs w:val="18"/>
              </w:rPr>
            </w:pPr>
            <w:r>
              <w:rPr>
                <w:rFonts w:hint="eastAsia" w:ascii="宋体" w:hAnsi="宋体" w:cs="宋体"/>
                <w:b/>
                <w:color w:val="000000"/>
                <w:kern w:val="0"/>
                <w:sz w:val="18"/>
                <w:szCs w:val="18"/>
              </w:rPr>
              <w:t>输出</w:t>
            </w:r>
          </w:p>
        </w:tc>
        <w:tc>
          <w:tcPr>
            <w:tcW w:w="306" w:type="pct"/>
            <w:tcBorders>
              <w:top w:val="nil"/>
              <w:left w:val="nil"/>
              <w:bottom w:val="single" w:color="auto" w:sz="4" w:space="0"/>
              <w:right w:val="single" w:color="auto" w:sz="4" w:space="0"/>
            </w:tcBorders>
            <w:noWrap/>
            <w:vAlign w:val="bottom"/>
          </w:tcPr>
          <w:p w14:paraId="73005257">
            <w:pPr>
              <w:widowControl/>
              <w:jc w:val="center"/>
              <w:rPr>
                <w:rFonts w:ascii="宋体" w:cs="宋体"/>
                <w:b/>
                <w:color w:val="000000"/>
                <w:kern w:val="0"/>
                <w:sz w:val="18"/>
                <w:szCs w:val="18"/>
              </w:rPr>
            </w:pPr>
            <w:r>
              <w:rPr>
                <w:rFonts w:hint="eastAsia" w:ascii="宋体" w:hAnsi="宋体" w:cs="宋体"/>
                <w:b/>
                <w:color w:val="000000"/>
                <w:kern w:val="0"/>
                <w:sz w:val="18"/>
                <w:szCs w:val="18"/>
              </w:rPr>
              <w:t>单位</w:t>
            </w:r>
          </w:p>
        </w:tc>
        <w:tc>
          <w:tcPr>
            <w:tcW w:w="417" w:type="pct"/>
            <w:tcBorders>
              <w:top w:val="nil"/>
              <w:left w:val="nil"/>
              <w:bottom w:val="single" w:color="auto" w:sz="4" w:space="0"/>
              <w:right w:val="single" w:color="auto" w:sz="4" w:space="0"/>
            </w:tcBorders>
            <w:noWrap/>
            <w:vAlign w:val="bottom"/>
          </w:tcPr>
          <w:p w14:paraId="6E63D574">
            <w:pPr>
              <w:widowControl/>
              <w:jc w:val="center"/>
              <w:rPr>
                <w:rFonts w:ascii="宋体" w:cs="宋体"/>
                <w:b/>
                <w:color w:val="000000"/>
                <w:kern w:val="0"/>
                <w:sz w:val="18"/>
                <w:szCs w:val="18"/>
              </w:rPr>
            </w:pPr>
            <w:r>
              <w:rPr>
                <w:rFonts w:hint="eastAsia" w:ascii="宋体" w:hAnsi="宋体" w:cs="宋体"/>
                <w:b/>
                <w:color w:val="000000"/>
                <w:kern w:val="0"/>
                <w:sz w:val="18"/>
                <w:szCs w:val="18"/>
              </w:rPr>
              <w:t>数量</w:t>
            </w:r>
          </w:p>
        </w:tc>
        <w:tc>
          <w:tcPr>
            <w:tcW w:w="508" w:type="pct"/>
            <w:tcBorders>
              <w:top w:val="nil"/>
              <w:left w:val="nil"/>
              <w:bottom w:val="single" w:color="auto" w:sz="4" w:space="0"/>
              <w:right w:val="single" w:color="auto" w:sz="4" w:space="0"/>
            </w:tcBorders>
            <w:noWrap/>
            <w:vAlign w:val="bottom"/>
          </w:tcPr>
          <w:p w14:paraId="0700BB1B">
            <w:pPr>
              <w:widowControl/>
              <w:jc w:val="center"/>
              <w:rPr>
                <w:rFonts w:ascii="宋体" w:cs="宋体"/>
                <w:b/>
                <w:color w:val="000000"/>
                <w:kern w:val="0"/>
                <w:sz w:val="18"/>
                <w:szCs w:val="18"/>
              </w:rPr>
            </w:pPr>
            <w:r>
              <w:rPr>
                <w:rFonts w:hint="eastAsia" w:ascii="宋体" w:hAnsi="宋体" w:cs="宋体"/>
                <w:b/>
                <w:color w:val="000000"/>
                <w:kern w:val="0"/>
                <w:sz w:val="18"/>
                <w:szCs w:val="18"/>
              </w:rPr>
              <w:t>运距</w:t>
            </w:r>
          </w:p>
        </w:tc>
        <w:tc>
          <w:tcPr>
            <w:tcW w:w="593" w:type="pct"/>
            <w:tcBorders>
              <w:top w:val="nil"/>
              <w:left w:val="nil"/>
              <w:bottom w:val="single" w:color="auto" w:sz="4" w:space="0"/>
              <w:right w:val="single" w:color="auto" w:sz="4" w:space="0"/>
            </w:tcBorders>
            <w:vAlign w:val="bottom"/>
          </w:tcPr>
          <w:p w14:paraId="4216A6F1">
            <w:pPr>
              <w:widowControl/>
              <w:jc w:val="center"/>
              <w:rPr>
                <w:rFonts w:ascii="宋体" w:cs="宋体"/>
                <w:b/>
                <w:color w:val="000000"/>
                <w:kern w:val="0"/>
                <w:sz w:val="18"/>
                <w:szCs w:val="18"/>
              </w:rPr>
            </w:pPr>
            <w:r>
              <w:rPr>
                <w:rFonts w:hint="eastAsia" w:ascii="宋体" w:hAnsi="宋体" w:cs="宋体"/>
                <w:b/>
                <w:color w:val="000000"/>
                <w:kern w:val="0"/>
                <w:sz w:val="18"/>
                <w:szCs w:val="18"/>
              </w:rPr>
              <w:t>运输方式</w:t>
            </w:r>
          </w:p>
        </w:tc>
        <w:tc>
          <w:tcPr>
            <w:tcW w:w="1231" w:type="pct"/>
            <w:tcBorders>
              <w:top w:val="nil"/>
              <w:left w:val="nil"/>
              <w:bottom w:val="single" w:color="auto" w:sz="4" w:space="0"/>
              <w:right w:val="single" w:color="auto" w:sz="4" w:space="0"/>
            </w:tcBorders>
            <w:vAlign w:val="bottom"/>
          </w:tcPr>
          <w:p w14:paraId="7A0F44DD">
            <w:pPr>
              <w:widowControl/>
              <w:jc w:val="center"/>
              <w:rPr>
                <w:rFonts w:ascii="宋体" w:cs="宋体"/>
                <w:b/>
                <w:color w:val="000000"/>
                <w:kern w:val="0"/>
                <w:sz w:val="18"/>
                <w:szCs w:val="18"/>
              </w:rPr>
            </w:pPr>
            <w:r>
              <w:rPr>
                <w:rFonts w:hint="eastAsia" w:ascii="宋体" w:hAnsi="宋体" w:cs="宋体"/>
                <w:b/>
                <w:color w:val="000000"/>
                <w:kern w:val="0"/>
                <w:sz w:val="18"/>
                <w:szCs w:val="18"/>
              </w:rPr>
              <w:t>规格特征</w:t>
            </w:r>
            <w:r>
              <w:rPr>
                <w:rFonts w:ascii="宋体" w:hAnsi="宋体" w:cs="宋体"/>
                <w:b/>
                <w:color w:val="000000"/>
                <w:kern w:val="0"/>
                <w:sz w:val="18"/>
                <w:szCs w:val="18"/>
              </w:rPr>
              <w:t>/</w:t>
            </w:r>
            <w:r>
              <w:rPr>
                <w:rFonts w:hint="eastAsia" w:ascii="宋体" w:hAnsi="宋体" w:cs="宋体"/>
                <w:b/>
                <w:color w:val="000000"/>
                <w:kern w:val="0"/>
                <w:sz w:val="18"/>
                <w:szCs w:val="18"/>
              </w:rPr>
              <w:t>去向</w:t>
            </w:r>
          </w:p>
        </w:tc>
      </w:tr>
      <w:tr w14:paraId="23CC9017">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27BBF73B">
            <w:pPr>
              <w:widowControl/>
              <w:jc w:val="left"/>
              <w:rPr>
                <w:rFonts w:ascii="宋体" w:cs="宋体"/>
                <w:color w:val="000000"/>
                <w:kern w:val="0"/>
                <w:sz w:val="18"/>
                <w:szCs w:val="18"/>
              </w:rPr>
            </w:pPr>
            <w:r>
              <w:rPr>
                <w:rFonts w:hint="eastAsia" w:ascii="宋体" w:cs="宋体"/>
                <w:color w:val="000000"/>
                <w:kern w:val="0"/>
                <w:sz w:val="18"/>
                <w:szCs w:val="18"/>
                <w:lang w:eastAsia="zh-CN"/>
              </w:rPr>
              <w:t>锡</w:t>
            </w:r>
            <w:r>
              <w:rPr>
                <w:rFonts w:hint="eastAsia" w:ascii="宋体" w:cs="宋体"/>
                <w:color w:val="000000"/>
                <w:kern w:val="0"/>
                <w:sz w:val="18"/>
                <w:szCs w:val="18"/>
              </w:rPr>
              <w:t>锭</w:t>
            </w:r>
          </w:p>
        </w:tc>
        <w:tc>
          <w:tcPr>
            <w:tcW w:w="306" w:type="pct"/>
            <w:tcBorders>
              <w:top w:val="nil"/>
              <w:left w:val="nil"/>
              <w:bottom w:val="single" w:color="auto" w:sz="4" w:space="0"/>
              <w:right w:val="single" w:color="auto" w:sz="4" w:space="0"/>
            </w:tcBorders>
            <w:noWrap/>
            <w:vAlign w:val="bottom"/>
          </w:tcPr>
          <w:p w14:paraId="71086500">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6A17B7A5">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2AED1E84">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65B8852B">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72D9ACF1">
            <w:pPr>
              <w:widowControl/>
              <w:jc w:val="center"/>
              <w:rPr>
                <w:rFonts w:ascii="宋体" w:cs="宋体"/>
                <w:color w:val="000000"/>
                <w:kern w:val="0"/>
                <w:sz w:val="18"/>
                <w:szCs w:val="18"/>
              </w:rPr>
            </w:pPr>
          </w:p>
        </w:tc>
      </w:tr>
      <w:tr w14:paraId="67306534">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79C0839D">
            <w:pPr>
              <w:widowControl/>
              <w:jc w:val="left"/>
              <w:rPr>
                <w:rFonts w:ascii="宋体" w:cs="宋体"/>
                <w:color w:val="000000"/>
                <w:kern w:val="0"/>
                <w:sz w:val="18"/>
                <w:szCs w:val="18"/>
              </w:rPr>
            </w:pPr>
            <w:r>
              <w:rPr>
                <w:rFonts w:hint="eastAsia" w:ascii="宋体" w:hAnsi="宋体" w:cs="宋体"/>
                <w:color w:val="000000"/>
                <w:kern w:val="0"/>
                <w:sz w:val="18"/>
                <w:szCs w:val="18"/>
              </w:rPr>
              <w:t>共生产品</w:t>
            </w:r>
          </w:p>
        </w:tc>
        <w:tc>
          <w:tcPr>
            <w:tcW w:w="306" w:type="pct"/>
            <w:tcBorders>
              <w:top w:val="nil"/>
              <w:left w:val="nil"/>
              <w:bottom w:val="single" w:color="auto" w:sz="4" w:space="0"/>
              <w:right w:val="single" w:color="auto" w:sz="4" w:space="0"/>
            </w:tcBorders>
            <w:noWrap/>
            <w:vAlign w:val="bottom"/>
          </w:tcPr>
          <w:p w14:paraId="69862641">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5A766E25">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0C6C55D0">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3324D445">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26F02E63">
            <w:pPr>
              <w:widowControl/>
              <w:jc w:val="center"/>
              <w:rPr>
                <w:rFonts w:ascii="宋体" w:cs="宋体"/>
                <w:color w:val="000000"/>
                <w:kern w:val="0"/>
                <w:sz w:val="18"/>
                <w:szCs w:val="18"/>
              </w:rPr>
            </w:pPr>
          </w:p>
        </w:tc>
      </w:tr>
      <w:tr w14:paraId="4CD5B1EB">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46A7628B">
            <w:pPr>
              <w:widowControl/>
              <w:jc w:val="left"/>
              <w:rPr>
                <w:rFonts w:ascii="宋体" w:cs="宋体"/>
                <w:color w:val="000000"/>
                <w:kern w:val="0"/>
                <w:sz w:val="18"/>
                <w:szCs w:val="18"/>
              </w:rPr>
            </w:pPr>
            <w:r>
              <w:rPr>
                <w:rFonts w:hint="eastAsia" w:ascii="宋体" w:hAnsi="宋体" w:cs="宋体"/>
                <w:color w:val="000000"/>
                <w:kern w:val="0"/>
                <w:sz w:val="18"/>
                <w:szCs w:val="18"/>
              </w:rPr>
              <w:t>废弃物</w:t>
            </w:r>
          </w:p>
        </w:tc>
        <w:tc>
          <w:tcPr>
            <w:tcW w:w="306" w:type="pct"/>
            <w:tcBorders>
              <w:top w:val="nil"/>
              <w:left w:val="nil"/>
              <w:bottom w:val="single" w:color="auto" w:sz="4" w:space="0"/>
              <w:right w:val="single" w:color="auto" w:sz="4" w:space="0"/>
            </w:tcBorders>
            <w:noWrap/>
            <w:vAlign w:val="bottom"/>
          </w:tcPr>
          <w:p w14:paraId="1E7C427E">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200FA701">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138692EE">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2CBF6577">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45A45821">
            <w:pPr>
              <w:widowControl/>
              <w:jc w:val="center"/>
              <w:rPr>
                <w:rFonts w:ascii="宋体" w:cs="宋体"/>
                <w:color w:val="000000"/>
                <w:kern w:val="0"/>
                <w:sz w:val="18"/>
                <w:szCs w:val="18"/>
              </w:rPr>
            </w:pPr>
          </w:p>
        </w:tc>
      </w:tr>
      <w:tr w14:paraId="6948190B">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3D176C99">
            <w:pPr>
              <w:widowControl/>
              <w:jc w:val="left"/>
              <w:rPr>
                <w:rFonts w:ascii="宋体" w:cs="宋体"/>
                <w:color w:val="000000"/>
                <w:kern w:val="0"/>
                <w:sz w:val="18"/>
                <w:szCs w:val="18"/>
              </w:rPr>
            </w:pPr>
            <w:r>
              <w:rPr>
                <w:rFonts w:hint="eastAsia" w:ascii="宋体" w:hAnsi="宋体" w:cs="宋体"/>
                <w:color w:val="000000"/>
                <w:kern w:val="0"/>
                <w:sz w:val="18"/>
                <w:szCs w:val="18"/>
              </w:rPr>
              <w:t>渣选尾矿</w:t>
            </w:r>
          </w:p>
        </w:tc>
        <w:tc>
          <w:tcPr>
            <w:tcW w:w="306" w:type="pct"/>
            <w:tcBorders>
              <w:top w:val="nil"/>
              <w:left w:val="nil"/>
              <w:bottom w:val="single" w:color="auto" w:sz="4" w:space="0"/>
              <w:right w:val="single" w:color="auto" w:sz="4" w:space="0"/>
            </w:tcBorders>
            <w:noWrap/>
            <w:vAlign w:val="bottom"/>
          </w:tcPr>
          <w:p w14:paraId="46ADF675">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1AD4CE48">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70FA6995">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51B179A1">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2094031C">
            <w:pPr>
              <w:widowControl/>
              <w:jc w:val="center"/>
              <w:rPr>
                <w:rFonts w:ascii="宋体" w:cs="宋体"/>
                <w:color w:val="000000"/>
                <w:kern w:val="0"/>
                <w:sz w:val="18"/>
                <w:szCs w:val="18"/>
              </w:rPr>
            </w:pPr>
          </w:p>
        </w:tc>
      </w:tr>
      <w:tr w14:paraId="62BAEE33">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24F93DC6">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306" w:type="pct"/>
            <w:tcBorders>
              <w:top w:val="nil"/>
              <w:left w:val="nil"/>
              <w:bottom w:val="single" w:color="auto" w:sz="4" w:space="0"/>
              <w:right w:val="single" w:color="auto" w:sz="4" w:space="0"/>
            </w:tcBorders>
            <w:noWrap/>
            <w:vAlign w:val="bottom"/>
          </w:tcPr>
          <w:p w14:paraId="08C397B2">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529F3512">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40C3D03A">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33180EFF">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3D0422E1">
            <w:pPr>
              <w:widowControl/>
              <w:jc w:val="center"/>
              <w:rPr>
                <w:rFonts w:ascii="宋体" w:cs="宋体"/>
                <w:color w:val="000000"/>
                <w:kern w:val="0"/>
                <w:sz w:val="18"/>
                <w:szCs w:val="18"/>
              </w:rPr>
            </w:pPr>
          </w:p>
        </w:tc>
      </w:tr>
      <w:tr w14:paraId="2AF1F40F">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3C79E2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温室气体直接排放</w:t>
            </w:r>
          </w:p>
        </w:tc>
        <w:tc>
          <w:tcPr>
            <w:tcW w:w="306" w:type="pct"/>
            <w:tcBorders>
              <w:top w:val="nil"/>
              <w:left w:val="nil"/>
              <w:bottom w:val="single" w:color="auto" w:sz="4" w:space="0"/>
              <w:right w:val="single" w:color="auto" w:sz="4" w:space="0"/>
            </w:tcBorders>
            <w:noWrap/>
            <w:vAlign w:val="bottom"/>
          </w:tcPr>
          <w:p w14:paraId="2AFC3E1C">
            <w:pPr>
              <w:widowControl/>
              <w:jc w:val="center"/>
              <w:rPr>
                <w:rFonts w:asci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29E77CA8">
            <w:pPr>
              <w:widowControl/>
              <w:jc w:val="center"/>
              <w:rPr>
                <w:rFonts w:asci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30A6139F">
            <w:pPr>
              <w:widowControl/>
              <w:jc w:val="center"/>
              <w:rPr>
                <w:rFonts w:asci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6E4B8563">
            <w:pPr>
              <w:widowControl/>
              <w:jc w:val="center"/>
              <w:rPr>
                <w:rFonts w:asci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624923DE">
            <w:pPr>
              <w:widowControl/>
              <w:jc w:val="center"/>
              <w:rPr>
                <w:rFonts w:ascii="宋体" w:cs="宋体"/>
                <w:color w:val="000000"/>
                <w:kern w:val="0"/>
                <w:sz w:val="18"/>
                <w:szCs w:val="18"/>
              </w:rPr>
            </w:pPr>
          </w:p>
        </w:tc>
      </w:tr>
      <w:tr w14:paraId="5A4A6C96">
        <w:tblPrEx>
          <w:tblCellMar>
            <w:top w:w="0" w:type="dxa"/>
            <w:left w:w="0" w:type="dxa"/>
            <w:bottom w:w="0" w:type="dxa"/>
            <w:right w:w="0" w:type="dxa"/>
          </w:tblCellMar>
        </w:tblPrEx>
        <w:trPr>
          <w:trHeight w:val="276" w:hRule="atLeast"/>
        </w:trPr>
        <w:tc>
          <w:tcPr>
            <w:tcW w:w="5000" w:type="pct"/>
            <w:gridSpan w:val="6"/>
            <w:tcBorders>
              <w:top w:val="single" w:color="auto" w:sz="4" w:space="0"/>
              <w:left w:val="single" w:color="auto" w:sz="4" w:space="0"/>
              <w:bottom w:val="single" w:color="auto" w:sz="4" w:space="0"/>
              <w:right w:val="single" w:color="000000" w:sz="4" w:space="0"/>
            </w:tcBorders>
            <w:noWrap/>
            <w:vAlign w:val="bottom"/>
          </w:tcPr>
          <w:p w14:paraId="3850F9E9">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1</w:t>
            </w:r>
            <w:r>
              <w:rPr>
                <w:rFonts w:hint="eastAsia" w:ascii="宋体" w:hAnsi="宋体" w:cs="宋体"/>
                <w:color w:val="000000"/>
                <w:kern w:val="0"/>
                <w:sz w:val="18"/>
                <w:szCs w:val="18"/>
              </w:rPr>
              <w:t>：此数据收集表中的数据是指规定时间段内所有未分配的输入和输出；</w:t>
            </w:r>
          </w:p>
          <w:p w14:paraId="15904241">
            <w:pPr>
              <w:widowControl/>
              <w:jc w:val="left"/>
              <w:rPr>
                <w:rFonts w:ascii="宋体" w:cs="宋体"/>
                <w:color w:val="000000"/>
                <w:kern w:val="0"/>
                <w:sz w:val="18"/>
                <w:szCs w:val="18"/>
              </w:rPr>
            </w:pPr>
            <w:r>
              <w:rPr>
                <w:rFonts w:hint="eastAsia" w:ascii="宋体" w:hAnsi="宋体" w:cs="宋体"/>
                <w:color w:val="000000"/>
                <w:kern w:val="0"/>
                <w:sz w:val="18"/>
                <w:szCs w:val="18"/>
              </w:rPr>
              <w:t>注</w:t>
            </w:r>
            <w:r>
              <w:rPr>
                <w:rFonts w:ascii="宋体" w:hAnsi="宋体" w:cs="宋体"/>
                <w:color w:val="000000"/>
                <w:kern w:val="0"/>
                <w:sz w:val="18"/>
                <w:szCs w:val="18"/>
              </w:rPr>
              <w:t>2</w:t>
            </w:r>
            <w:r>
              <w:rPr>
                <w:rFonts w:hint="eastAsia" w:ascii="宋体" w:hAnsi="宋体" w:cs="宋体"/>
                <w:color w:val="000000"/>
                <w:kern w:val="0"/>
                <w:sz w:val="18"/>
                <w:szCs w:val="18"/>
              </w:rPr>
              <w:t>：燃料和热力应注意换算为热量单位，因为排放通常与热量相关。</w:t>
            </w:r>
          </w:p>
        </w:tc>
      </w:tr>
    </w:tbl>
    <w:p w14:paraId="092E480D">
      <w:pPr>
        <w:pStyle w:val="61"/>
        <w:spacing w:line="360" w:lineRule="auto"/>
        <w:ind w:firstLine="0" w:firstLineChars="0"/>
        <w:jc w:val="center"/>
        <w:rPr>
          <w:rFonts w:hint="eastAsia" w:ascii="黑体" w:hAnsi="黑体" w:eastAsia="黑体" w:cs="黑体"/>
          <w:szCs w:val="21"/>
        </w:rPr>
      </w:pPr>
    </w:p>
    <w:p w14:paraId="374C6C63">
      <w:pPr>
        <w:pStyle w:val="61"/>
        <w:spacing w:line="360" w:lineRule="auto"/>
        <w:ind w:firstLine="0" w:firstLineChars="0"/>
        <w:jc w:val="center"/>
        <w:rPr>
          <w:rFonts w:hint="eastAsia" w:ascii="黑体" w:hAnsi="黑体" w:eastAsia="黑体" w:cs="黑体"/>
          <w:szCs w:val="21"/>
        </w:rPr>
      </w:pPr>
    </w:p>
    <w:p w14:paraId="30632674">
      <w:pPr>
        <w:pStyle w:val="61"/>
        <w:spacing w:line="360" w:lineRule="auto"/>
        <w:ind w:firstLine="0" w:firstLineChars="0"/>
        <w:jc w:val="center"/>
        <w:rPr>
          <w:rFonts w:hint="eastAsia" w:ascii="黑体" w:hAnsi="黑体" w:eastAsia="黑体" w:cs="黑体"/>
          <w:szCs w:val="21"/>
        </w:rPr>
      </w:pPr>
    </w:p>
    <w:p w14:paraId="168559A4">
      <w:pPr>
        <w:pStyle w:val="61"/>
        <w:ind w:firstLine="0" w:firstLineChars="0"/>
        <w:jc w:val="center"/>
        <w:rPr>
          <w:rFonts w:hint="eastAsia" w:ascii="黑体" w:hAnsi="黑体" w:eastAsia="黑体"/>
        </w:rPr>
      </w:pPr>
    </w:p>
    <w:p w14:paraId="1A9DBF88">
      <w:pPr>
        <w:pStyle w:val="61"/>
        <w:ind w:firstLine="0" w:firstLineChars="0"/>
        <w:jc w:val="center"/>
        <w:rPr>
          <w:rFonts w:hint="eastAsia" w:ascii="黑体" w:hAnsi="黑体" w:eastAsia="黑体"/>
        </w:rPr>
      </w:pPr>
      <w:r>
        <w:rPr>
          <w:rFonts w:hint="eastAsia" w:ascii="黑体" w:hAnsi="黑体" w:eastAsia="黑体"/>
        </w:rPr>
        <w:t>表C.4  现场特征数据收集范例（消费后</w:t>
      </w:r>
      <w:r>
        <w:rPr>
          <w:rFonts w:hint="eastAsia" w:ascii="黑体" w:hAnsi="黑体" w:eastAsia="黑体"/>
          <w:lang w:eastAsia="zh-CN"/>
        </w:rPr>
        <w:t>回收锡原料</w:t>
      </w:r>
      <w:r>
        <w:rPr>
          <w:rFonts w:hint="eastAsia" w:ascii="黑体" w:hAnsi="黑体" w:eastAsia="黑体"/>
        </w:rPr>
        <w:t>的回收）</w:t>
      </w:r>
    </w:p>
    <w:tbl>
      <w:tblPr>
        <w:tblStyle w:val="22"/>
        <w:tblpPr w:leftFromText="180" w:rightFromText="180" w:vertAnchor="text" w:horzAnchor="margin" w:tblpY="84"/>
        <w:tblW w:w="5113" w:type="pct"/>
        <w:tblInd w:w="0" w:type="dxa"/>
        <w:tblLayout w:type="autofit"/>
        <w:tblCellMar>
          <w:top w:w="0" w:type="dxa"/>
          <w:left w:w="0" w:type="dxa"/>
          <w:bottom w:w="0" w:type="dxa"/>
          <w:right w:w="0" w:type="dxa"/>
        </w:tblCellMar>
      </w:tblPr>
      <w:tblGrid>
        <w:gridCol w:w="3308"/>
        <w:gridCol w:w="520"/>
        <w:gridCol w:w="709"/>
        <w:gridCol w:w="864"/>
        <w:gridCol w:w="1009"/>
        <w:gridCol w:w="2094"/>
      </w:tblGrid>
      <w:tr w14:paraId="1CE291B2">
        <w:tblPrEx>
          <w:tblCellMar>
            <w:top w:w="0" w:type="dxa"/>
            <w:left w:w="0" w:type="dxa"/>
            <w:bottom w:w="0" w:type="dxa"/>
            <w:right w:w="0" w:type="dxa"/>
          </w:tblCellMar>
        </w:tblPrEx>
        <w:trPr>
          <w:trHeight w:val="276" w:hRule="atLeast"/>
        </w:trPr>
        <w:tc>
          <w:tcPr>
            <w:tcW w:w="5000" w:type="pct"/>
            <w:gridSpan w:val="6"/>
            <w:tcBorders>
              <w:top w:val="single" w:color="auto" w:sz="4" w:space="0"/>
              <w:left w:val="single" w:color="auto" w:sz="4" w:space="0"/>
              <w:bottom w:val="nil"/>
              <w:right w:val="single" w:color="000000" w:sz="4" w:space="0"/>
            </w:tcBorders>
            <w:noWrap/>
            <w:vAlign w:val="bottom"/>
          </w:tcPr>
          <w:p w14:paraId="30C995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单元过程及统计口径描述：</w:t>
            </w:r>
          </w:p>
          <w:p w14:paraId="4083D72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时间段：起始时间   年  月   日；   终止时间   年   月  日</w:t>
            </w:r>
          </w:p>
        </w:tc>
      </w:tr>
      <w:tr w14:paraId="75FAC86F">
        <w:tblPrEx>
          <w:tblCellMar>
            <w:top w:w="0" w:type="dxa"/>
            <w:left w:w="0" w:type="dxa"/>
            <w:bottom w:w="0" w:type="dxa"/>
            <w:right w:w="0" w:type="dxa"/>
          </w:tblCellMar>
        </w:tblPrEx>
        <w:trPr>
          <w:trHeight w:val="276" w:hRule="atLeast"/>
        </w:trPr>
        <w:tc>
          <w:tcPr>
            <w:tcW w:w="5000" w:type="pct"/>
            <w:gridSpan w:val="6"/>
            <w:tcBorders>
              <w:top w:val="nil"/>
              <w:left w:val="single" w:color="auto" w:sz="4" w:space="0"/>
              <w:bottom w:val="single" w:color="auto" w:sz="4" w:space="0"/>
              <w:right w:val="single" w:color="000000" w:sz="4" w:space="0"/>
            </w:tcBorders>
            <w:noWrap/>
            <w:vAlign w:val="bottom"/>
          </w:tcPr>
          <w:p w14:paraId="3AFC23EB">
            <w:pPr>
              <w:pStyle w:val="20"/>
              <w:rPr>
                <w:rFonts w:hint="eastAsia" w:cs="Times New Roman"/>
                <w:sz w:val="18"/>
                <w:szCs w:val="18"/>
              </w:rPr>
            </w:pPr>
            <w:r>
              <w:rPr>
                <w:rFonts w:hint="eastAsia" w:cs="Times New Roman"/>
                <w:sz w:val="18"/>
                <w:szCs w:val="18"/>
              </w:rPr>
              <w:t>制表人：                         制表日期：</w:t>
            </w:r>
          </w:p>
        </w:tc>
      </w:tr>
      <w:tr w14:paraId="55E08D83">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30E830E7">
            <w:pPr>
              <w:widowControl/>
              <w:jc w:val="left"/>
              <w:rPr>
                <w:rFonts w:hint="eastAsia" w:ascii="宋体" w:hAnsi="宋体" w:cs="宋体"/>
                <w:b/>
                <w:color w:val="000000"/>
                <w:kern w:val="0"/>
                <w:sz w:val="18"/>
                <w:szCs w:val="18"/>
              </w:rPr>
            </w:pPr>
            <w:r>
              <w:rPr>
                <w:rFonts w:hint="eastAsia" w:ascii="宋体" w:hAnsi="宋体" w:cs="宋体"/>
                <w:b/>
                <w:color w:val="000000"/>
                <w:kern w:val="0"/>
                <w:sz w:val="18"/>
                <w:szCs w:val="18"/>
              </w:rPr>
              <w:t>输入</w:t>
            </w:r>
          </w:p>
        </w:tc>
        <w:tc>
          <w:tcPr>
            <w:tcW w:w="306" w:type="pct"/>
            <w:tcBorders>
              <w:top w:val="nil"/>
              <w:left w:val="nil"/>
              <w:bottom w:val="single" w:color="auto" w:sz="4" w:space="0"/>
              <w:right w:val="single" w:color="auto" w:sz="4" w:space="0"/>
            </w:tcBorders>
            <w:noWrap/>
            <w:vAlign w:val="bottom"/>
          </w:tcPr>
          <w:p w14:paraId="56A8DB05">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单位</w:t>
            </w:r>
          </w:p>
        </w:tc>
        <w:tc>
          <w:tcPr>
            <w:tcW w:w="417" w:type="pct"/>
            <w:tcBorders>
              <w:top w:val="nil"/>
              <w:left w:val="nil"/>
              <w:bottom w:val="single" w:color="auto" w:sz="4" w:space="0"/>
              <w:right w:val="single" w:color="auto" w:sz="4" w:space="0"/>
            </w:tcBorders>
            <w:noWrap/>
            <w:vAlign w:val="bottom"/>
          </w:tcPr>
          <w:p w14:paraId="26E72523">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数量</w:t>
            </w:r>
          </w:p>
        </w:tc>
        <w:tc>
          <w:tcPr>
            <w:tcW w:w="508" w:type="pct"/>
            <w:tcBorders>
              <w:top w:val="nil"/>
              <w:left w:val="nil"/>
              <w:bottom w:val="single" w:color="auto" w:sz="4" w:space="0"/>
              <w:right w:val="single" w:color="auto" w:sz="4" w:space="0"/>
            </w:tcBorders>
            <w:noWrap/>
            <w:vAlign w:val="bottom"/>
          </w:tcPr>
          <w:p w14:paraId="0C886CC9">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运距</w:t>
            </w:r>
          </w:p>
        </w:tc>
        <w:tc>
          <w:tcPr>
            <w:tcW w:w="593" w:type="pct"/>
            <w:tcBorders>
              <w:top w:val="nil"/>
              <w:left w:val="nil"/>
              <w:bottom w:val="single" w:color="auto" w:sz="4" w:space="0"/>
              <w:right w:val="single" w:color="auto" w:sz="4" w:space="0"/>
            </w:tcBorders>
            <w:vAlign w:val="bottom"/>
          </w:tcPr>
          <w:p w14:paraId="68C20FEB">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运输方式</w:t>
            </w:r>
          </w:p>
        </w:tc>
        <w:tc>
          <w:tcPr>
            <w:tcW w:w="1231" w:type="pct"/>
            <w:tcBorders>
              <w:top w:val="nil"/>
              <w:left w:val="nil"/>
              <w:bottom w:val="single" w:color="auto" w:sz="4" w:space="0"/>
              <w:right w:val="single" w:color="auto" w:sz="4" w:space="0"/>
            </w:tcBorders>
            <w:vAlign w:val="bottom"/>
          </w:tcPr>
          <w:p w14:paraId="77E98D59">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规格特征/来源</w:t>
            </w:r>
          </w:p>
        </w:tc>
      </w:tr>
      <w:tr w14:paraId="7C82DDAA">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22A1AFEF">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含锡零部件</w:t>
            </w:r>
          </w:p>
        </w:tc>
        <w:tc>
          <w:tcPr>
            <w:tcW w:w="306" w:type="pct"/>
            <w:tcBorders>
              <w:top w:val="nil"/>
              <w:left w:val="nil"/>
              <w:bottom w:val="single" w:color="auto" w:sz="4" w:space="0"/>
              <w:right w:val="single" w:color="auto" w:sz="4" w:space="0"/>
            </w:tcBorders>
            <w:noWrap/>
            <w:vAlign w:val="bottom"/>
          </w:tcPr>
          <w:p w14:paraId="2FE73965">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54919B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8" w:type="pct"/>
            <w:tcBorders>
              <w:top w:val="nil"/>
              <w:left w:val="nil"/>
              <w:bottom w:val="single" w:color="auto" w:sz="4" w:space="0"/>
              <w:right w:val="single" w:color="auto" w:sz="4" w:space="0"/>
            </w:tcBorders>
            <w:noWrap/>
            <w:vAlign w:val="bottom"/>
          </w:tcPr>
          <w:p w14:paraId="7112E5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93" w:type="pct"/>
            <w:tcBorders>
              <w:top w:val="nil"/>
              <w:left w:val="nil"/>
              <w:bottom w:val="single" w:color="auto" w:sz="4" w:space="0"/>
              <w:right w:val="single" w:color="auto" w:sz="4" w:space="0"/>
            </w:tcBorders>
            <w:vAlign w:val="bottom"/>
          </w:tcPr>
          <w:p w14:paraId="7CFE645C">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465D1887">
            <w:pPr>
              <w:widowControl/>
              <w:jc w:val="center"/>
              <w:rPr>
                <w:rFonts w:hint="eastAsia" w:ascii="宋体" w:hAnsi="宋体" w:cs="宋体"/>
                <w:color w:val="000000"/>
                <w:kern w:val="0"/>
                <w:sz w:val="18"/>
                <w:szCs w:val="18"/>
              </w:rPr>
            </w:pPr>
          </w:p>
        </w:tc>
      </w:tr>
      <w:tr w14:paraId="56012EF0">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437EAEC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辅材、药剂</w:t>
            </w:r>
          </w:p>
        </w:tc>
        <w:tc>
          <w:tcPr>
            <w:tcW w:w="306" w:type="pct"/>
            <w:tcBorders>
              <w:top w:val="nil"/>
              <w:left w:val="nil"/>
              <w:bottom w:val="single" w:color="auto" w:sz="4" w:space="0"/>
              <w:right w:val="single" w:color="auto" w:sz="4" w:space="0"/>
            </w:tcBorders>
            <w:noWrap/>
            <w:vAlign w:val="bottom"/>
          </w:tcPr>
          <w:p w14:paraId="6E04EBFA">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4DDDB9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w:t>
            </w:r>
          </w:p>
        </w:tc>
        <w:tc>
          <w:tcPr>
            <w:tcW w:w="508" w:type="pct"/>
            <w:tcBorders>
              <w:top w:val="nil"/>
              <w:left w:val="nil"/>
              <w:bottom w:val="single" w:color="auto" w:sz="4" w:space="0"/>
              <w:right w:val="single" w:color="auto" w:sz="4" w:space="0"/>
            </w:tcBorders>
            <w:noWrap/>
            <w:vAlign w:val="bottom"/>
          </w:tcPr>
          <w:p w14:paraId="4E15C7CB">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349E856C">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40714F6F">
            <w:pPr>
              <w:widowControl/>
              <w:jc w:val="center"/>
              <w:rPr>
                <w:rFonts w:hint="eastAsia" w:ascii="宋体" w:hAnsi="宋体" w:cs="宋体"/>
                <w:color w:val="000000"/>
                <w:kern w:val="0"/>
                <w:sz w:val="18"/>
                <w:szCs w:val="18"/>
              </w:rPr>
            </w:pPr>
          </w:p>
        </w:tc>
      </w:tr>
      <w:tr w14:paraId="36B44B49">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0672905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燃料（如：煤、柴油、天然气）</w:t>
            </w:r>
          </w:p>
        </w:tc>
        <w:tc>
          <w:tcPr>
            <w:tcW w:w="306" w:type="pct"/>
            <w:tcBorders>
              <w:top w:val="nil"/>
              <w:left w:val="nil"/>
              <w:bottom w:val="single" w:color="auto" w:sz="4" w:space="0"/>
              <w:right w:val="single" w:color="auto" w:sz="4" w:space="0"/>
            </w:tcBorders>
            <w:noWrap/>
            <w:vAlign w:val="bottom"/>
          </w:tcPr>
          <w:p w14:paraId="7417592D">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3EC506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8" w:type="pct"/>
            <w:tcBorders>
              <w:top w:val="nil"/>
              <w:left w:val="nil"/>
              <w:bottom w:val="single" w:color="auto" w:sz="4" w:space="0"/>
              <w:right w:val="single" w:color="auto" w:sz="4" w:space="0"/>
            </w:tcBorders>
            <w:noWrap/>
            <w:vAlign w:val="bottom"/>
          </w:tcPr>
          <w:p w14:paraId="27A32F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93" w:type="pct"/>
            <w:tcBorders>
              <w:top w:val="nil"/>
              <w:left w:val="nil"/>
              <w:bottom w:val="single" w:color="auto" w:sz="4" w:space="0"/>
              <w:right w:val="single" w:color="auto" w:sz="4" w:space="0"/>
            </w:tcBorders>
            <w:vAlign w:val="bottom"/>
          </w:tcPr>
          <w:p w14:paraId="3A738E0A">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7E1CECC5">
            <w:pPr>
              <w:widowControl/>
              <w:jc w:val="center"/>
              <w:rPr>
                <w:rFonts w:hint="eastAsia" w:ascii="宋体" w:hAnsi="宋体" w:cs="宋体"/>
                <w:color w:val="000000"/>
                <w:kern w:val="0"/>
                <w:sz w:val="18"/>
                <w:szCs w:val="18"/>
              </w:rPr>
            </w:pPr>
          </w:p>
        </w:tc>
      </w:tr>
      <w:tr w14:paraId="1CC1F750">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3DB903F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电力</w:t>
            </w:r>
          </w:p>
        </w:tc>
        <w:tc>
          <w:tcPr>
            <w:tcW w:w="306" w:type="pct"/>
            <w:tcBorders>
              <w:top w:val="nil"/>
              <w:left w:val="nil"/>
              <w:bottom w:val="single" w:color="auto" w:sz="4" w:space="0"/>
              <w:right w:val="single" w:color="auto" w:sz="4" w:space="0"/>
            </w:tcBorders>
            <w:noWrap/>
            <w:vAlign w:val="bottom"/>
          </w:tcPr>
          <w:p w14:paraId="7DD9E967">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2BDC09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8" w:type="pct"/>
            <w:tcBorders>
              <w:top w:val="nil"/>
              <w:left w:val="nil"/>
              <w:bottom w:val="single" w:color="auto" w:sz="4" w:space="0"/>
              <w:right w:val="single" w:color="auto" w:sz="4" w:space="0"/>
            </w:tcBorders>
            <w:noWrap/>
            <w:vAlign w:val="bottom"/>
          </w:tcPr>
          <w:p w14:paraId="3377BB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93" w:type="pct"/>
            <w:tcBorders>
              <w:top w:val="nil"/>
              <w:left w:val="nil"/>
              <w:bottom w:val="single" w:color="auto" w:sz="4" w:space="0"/>
              <w:right w:val="single" w:color="auto" w:sz="4" w:space="0"/>
            </w:tcBorders>
            <w:vAlign w:val="bottom"/>
          </w:tcPr>
          <w:p w14:paraId="136F441D">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2E94C7CE">
            <w:pPr>
              <w:widowControl/>
              <w:jc w:val="center"/>
              <w:rPr>
                <w:rFonts w:hint="eastAsia" w:ascii="宋体" w:hAnsi="宋体" w:cs="宋体"/>
                <w:color w:val="000000"/>
                <w:kern w:val="0"/>
                <w:sz w:val="18"/>
                <w:szCs w:val="18"/>
              </w:rPr>
            </w:pPr>
          </w:p>
        </w:tc>
      </w:tr>
      <w:tr w14:paraId="1BEF3D12">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58398AD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耗能工质</w:t>
            </w:r>
          </w:p>
        </w:tc>
        <w:tc>
          <w:tcPr>
            <w:tcW w:w="306" w:type="pct"/>
            <w:tcBorders>
              <w:top w:val="nil"/>
              <w:left w:val="nil"/>
              <w:bottom w:val="single" w:color="auto" w:sz="4" w:space="0"/>
              <w:right w:val="single" w:color="auto" w:sz="4" w:space="0"/>
            </w:tcBorders>
            <w:noWrap/>
            <w:vAlign w:val="bottom"/>
          </w:tcPr>
          <w:p w14:paraId="3290E8BF">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7C3DC485">
            <w:pPr>
              <w:widowControl/>
              <w:jc w:val="center"/>
              <w:rPr>
                <w:rFonts w:hint="eastAsia" w:ascii="宋体" w:hAns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68A91A0D">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3A5948C1">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0E48DA66">
            <w:pPr>
              <w:widowControl/>
              <w:jc w:val="center"/>
              <w:rPr>
                <w:rFonts w:hint="eastAsia" w:ascii="宋体" w:hAnsi="宋体" w:cs="宋体"/>
                <w:color w:val="000000"/>
                <w:kern w:val="0"/>
                <w:sz w:val="18"/>
                <w:szCs w:val="18"/>
              </w:rPr>
            </w:pPr>
          </w:p>
        </w:tc>
      </w:tr>
      <w:tr w14:paraId="50126B89">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44068FF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热力</w:t>
            </w:r>
          </w:p>
        </w:tc>
        <w:tc>
          <w:tcPr>
            <w:tcW w:w="306" w:type="pct"/>
            <w:tcBorders>
              <w:top w:val="nil"/>
              <w:left w:val="nil"/>
              <w:bottom w:val="single" w:color="auto" w:sz="4" w:space="0"/>
              <w:right w:val="single" w:color="auto" w:sz="4" w:space="0"/>
            </w:tcBorders>
            <w:noWrap/>
            <w:vAlign w:val="bottom"/>
          </w:tcPr>
          <w:p w14:paraId="4ACEBC72">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78202B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8" w:type="pct"/>
            <w:tcBorders>
              <w:top w:val="nil"/>
              <w:left w:val="nil"/>
              <w:bottom w:val="single" w:color="auto" w:sz="4" w:space="0"/>
              <w:right w:val="single" w:color="auto" w:sz="4" w:space="0"/>
            </w:tcBorders>
            <w:noWrap/>
            <w:vAlign w:val="bottom"/>
          </w:tcPr>
          <w:p w14:paraId="053539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93" w:type="pct"/>
            <w:tcBorders>
              <w:top w:val="nil"/>
              <w:left w:val="nil"/>
              <w:bottom w:val="single" w:color="auto" w:sz="4" w:space="0"/>
              <w:right w:val="single" w:color="auto" w:sz="4" w:space="0"/>
            </w:tcBorders>
            <w:vAlign w:val="bottom"/>
          </w:tcPr>
          <w:p w14:paraId="65E49CD5">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0E61915E">
            <w:pPr>
              <w:widowControl/>
              <w:jc w:val="center"/>
              <w:rPr>
                <w:rFonts w:hint="eastAsia" w:ascii="宋体" w:hAnsi="宋体" w:cs="宋体"/>
                <w:color w:val="000000"/>
                <w:kern w:val="0"/>
                <w:sz w:val="18"/>
                <w:szCs w:val="18"/>
              </w:rPr>
            </w:pPr>
          </w:p>
        </w:tc>
      </w:tr>
      <w:tr w14:paraId="2FA02748">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DB43CE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第三方服务（如有）</w:t>
            </w:r>
          </w:p>
        </w:tc>
        <w:tc>
          <w:tcPr>
            <w:tcW w:w="306" w:type="pct"/>
            <w:tcBorders>
              <w:top w:val="nil"/>
              <w:left w:val="nil"/>
              <w:bottom w:val="single" w:color="auto" w:sz="4" w:space="0"/>
              <w:right w:val="single" w:color="auto" w:sz="4" w:space="0"/>
            </w:tcBorders>
            <w:noWrap/>
            <w:vAlign w:val="bottom"/>
          </w:tcPr>
          <w:p w14:paraId="369298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417" w:type="pct"/>
            <w:tcBorders>
              <w:top w:val="nil"/>
              <w:left w:val="nil"/>
              <w:bottom w:val="single" w:color="auto" w:sz="4" w:space="0"/>
              <w:right w:val="single" w:color="auto" w:sz="4" w:space="0"/>
            </w:tcBorders>
            <w:noWrap/>
            <w:vAlign w:val="bottom"/>
          </w:tcPr>
          <w:p w14:paraId="30F82E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8" w:type="pct"/>
            <w:tcBorders>
              <w:top w:val="nil"/>
              <w:left w:val="nil"/>
              <w:bottom w:val="single" w:color="auto" w:sz="4" w:space="0"/>
              <w:right w:val="single" w:color="auto" w:sz="4" w:space="0"/>
            </w:tcBorders>
            <w:noWrap/>
            <w:vAlign w:val="bottom"/>
          </w:tcPr>
          <w:p w14:paraId="3C27E4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93" w:type="pct"/>
            <w:tcBorders>
              <w:top w:val="nil"/>
              <w:left w:val="nil"/>
              <w:bottom w:val="single" w:color="auto" w:sz="4" w:space="0"/>
              <w:right w:val="single" w:color="auto" w:sz="4" w:space="0"/>
            </w:tcBorders>
            <w:vAlign w:val="bottom"/>
          </w:tcPr>
          <w:p w14:paraId="617902DE">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7A6FD736">
            <w:pPr>
              <w:widowControl/>
              <w:jc w:val="center"/>
              <w:rPr>
                <w:rFonts w:hint="eastAsia" w:ascii="宋体" w:hAnsi="宋体" w:cs="宋体"/>
                <w:color w:val="000000"/>
                <w:kern w:val="0"/>
                <w:sz w:val="18"/>
                <w:szCs w:val="18"/>
              </w:rPr>
            </w:pPr>
          </w:p>
        </w:tc>
      </w:tr>
      <w:tr w14:paraId="312C6680">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5099966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306" w:type="pct"/>
            <w:tcBorders>
              <w:top w:val="nil"/>
              <w:left w:val="nil"/>
              <w:bottom w:val="single" w:color="auto" w:sz="4" w:space="0"/>
              <w:right w:val="single" w:color="auto" w:sz="4" w:space="0"/>
            </w:tcBorders>
            <w:noWrap/>
            <w:vAlign w:val="bottom"/>
          </w:tcPr>
          <w:p w14:paraId="2F2AF9E1">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1EC10322">
            <w:pPr>
              <w:widowControl/>
              <w:jc w:val="center"/>
              <w:rPr>
                <w:rFonts w:hint="eastAsia" w:ascii="宋体" w:hAns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6DA1F362">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7902F41A">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015B933E">
            <w:pPr>
              <w:widowControl/>
              <w:jc w:val="center"/>
              <w:rPr>
                <w:rFonts w:hint="eastAsia" w:ascii="宋体" w:hAnsi="宋体" w:cs="宋体"/>
                <w:color w:val="000000"/>
                <w:kern w:val="0"/>
                <w:sz w:val="18"/>
                <w:szCs w:val="18"/>
              </w:rPr>
            </w:pPr>
          </w:p>
        </w:tc>
      </w:tr>
      <w:tr w14:paraId="106CC094">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2E0FC7F4">
            <w:pPr>
              <w:widowControl/>
              <w:jc w:val="left"/>
              <w:rPr>
                <w:rFonts w:hint="eastAsia" w:ascii="宋体" w:hAnsi="宋体" w:cs="宋体"/>
                <w:b/>
                <w:color w:val="000000"/>
                <w:kern w:val="0"/>
                <w:sz w:val="18"/>
                <w:szCs w:val="18"/>
              </w:rPr>
            </w:pPr>
            <w:r>
              <w:rPr>
                <w:rFonts w:hint="eastAsia" w:ascii="宋体" w:hAnsi="宋体" w:cs="宋体"/>
                <w:b/>
                <w:color w:val="000000"/>
                <w:kern w:val="0"/>
                <w:sz w:val="18"/>
                <w:szCs w:val="18"/>
              </w:rPr>
              <w:t>输出</w:t>
            </w:r>
          </w:p>
        </w:tc>
        <w:tc>
          <w:tcPr>
            <w:tcW w:w="306" w:type="pct"/>
            <w:tcBorders>
              <w:top w:val="nil"/>
              <w:left w:val="nil"/>
              <w:bottom w:val="single" w:color="auto" w:sz="4" w:space="0"/>
              <w:right w:val="single" w:color="auto" w:sz="4" w:space="0"/>
            </w:tcBorders>
            <w:noWrap/>
            <w:vAlign w:val="bottom"/>
          </w:tcPr>
          <w:p w14:paraId="2E76AA77">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单位</w:t>
            </w:r>
          </w:p>
        </w:tc>
        <w:tc>
          <w:tcPr>
            <w:tcW w:w="417" w:type="pct"/>
            <w:tcBorders>
              <w:top w:val="nil"/>
              <w:left w:val="nil"/>
              <w:bottom w:val="single" w:color="auto" w:sz="4" w:space="0"/>
              <w:right w:val="single" w:color="auto" w:sz="4" w:space="0"/>
            </w:tcBorders>
            <w:noWrap/>
            <w:vAlign w:val="bottom"/>
          </w:tcPr>
          <w:p w14:paraId="1976745E">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数量</w:t>
            </w:r>
          </w:p>
        </w:tc>
        <w:tc>
          <w:tcPr>
            <w:tcW w:w="508" w:type="pct"/>
            <w:tcBorders>
              <w:top w:val="nil"/>
              <w:left w:val="nil"/>
              <w:bottom w:val="single" w:color="auto" w:sz="4" w:space="0"/>
              <w:right w:val="single" w:color="auto" w:sz="4" w:space="0"/>
            </w:tcBorders>
            <w:noWrap/>
            <w:vAlign w:val="bottom"/>
          </w:tcPr>
          <w:p w14:paraId="705B0B85">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运距</w:t>
            </w:r>
          </w:p>
        </w:tc>
        <w:tc>
          <w:tcPr>
            <w:tcW w:w="593" w:type="pct"/>
            <w:tcBorders>
              <w:top w:val="nil"/>
              <w:left w:val="nil"/>
              <w:bottom w:val="single" w:color="auto" w:sz="4" w:space="0"/>
              <w:right w:val="single" w:color="auto" w:sz="4" w:space="0"/>
            </w:tcBorders>
            <w:vAlign w:val="bottom"/>
          </w:tcPr>
          <w:p w14:paraId="6FD5D131">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运输方式</w:t>
            </w:r>
          </w:p>
        </w:tc>
        <w:tc>
          <w:tcPr>
            <w:tcW w:w="1231" w:type="pct"/>
            <w:tcBorders>
              <w:top w:val="nil"/>
              <w:left w:val="nil"/>
              <w:bottom w:val="single" w:color="auto" w:sz="4" w:space="0"/>
              <w:right w:val="single" w:color="auto" w:sz="4" w:space="0"/>
            </w:tcBorders>
            <w:vAlign w:val="bottom"/>
          </w:tcPr>
          <w:p w14:paraId="78C749F2">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规格特征/去向</w:t>
            </w:r>
          </w:p>
        </w:tc>
      </w:tr>
      <w:tr w14:paraId="3006ADCA">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3724A464">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含锡原料</w:t>
            </w:r>
          </w:p>
        </w:tc>
        <w:tc>
          <w:tcPr>
            <w:tcW w:w="306" w:type="pct"/>
            <w:tcBorders>
              <w:top w:val="nil"/>
              <w:left w:val="nil"/>
              <w:bottom w:val="single" w:color="auto" w:sz="4" w:space="0"/>
              <w:right w:val="single" w:color="auto" w:sz="4" w:space="0"/>
            </w:tcBorders>
            <w:noWrap/>
            <w:vAlign w:val="bottom"/>
          </w:tcPr>
          <w:p w14:paraId="13C353C4">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47714B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08" w:type="pct"/>
            <w:tcBorders>
              <w:top w:val="nil"/>
              <w:left w:val="nil"/>
              <w:bottom w:val="single" w:color="auto" w:sz="4" w:space="0"/>
              <w:right w:val="single" w:color="auto" w:sz="4" w:space="0"/>
            </w:tcBorders>
            <w:noWrap/>
            <w:vAlign w:val="bottom"/>
          </w:tcPr>
          <w:p w14:paraId="607BFA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93" w:type="pct"/>
            <w:tcBorders>
              <w:top w:val="nil"/>
              <w:left w:val="nil"/>
              <w:bottom w:val="single" w:color="auto" w:sz="4" w:space="0"/>
              <w:right w:val="single" w:color="auto" w:sz="4" w:space="0"/>
            </w:tcBorders>
            <w:vAlign w:val="bottom"/>
          </w:tcPr>
          <w:p w14:paraId="0F3F39D1">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0799BD7A">
            <w:pPr>
              <w:widowControl/>
              <w:jc w:val="center"/>
              <w:rPr>
                <w:rFonts w:hint="eastAsia" w:ascii="宋体" w:hAnsi="宋体" w:cs="宋体"/>
                <w:color w:val="000000"/>
                <w:kern w:val="0"/>
                <w:sz w:val="18"/>
                <w:szCs w:val="18"/>
              </w:rPr>
            </w:pPr>
          </w:p>
        </w:tc>
      </w:tr>
      <w:tr w14:paraId="18AFB4FE">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0B45E8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共生产品</w:t>
            </w:r>
          </w:p>
        </w:tc>
        <w:tc>
          <w:tcPr>
            <w:tcW w:w="306" w:type="pct"/>
            <w:tcBorders>
              <w:top w:val="nil"/>
              <w:left w:val="nil"/>
              <w:bottom w:val="single" w:color="auto" w:sz="4" w:space="0"/>
              <w:right w:val="single" w:color="auto" w:sz="4" w:space="0"/>
            </w:tcBorders>
            <w:noWrap/>
            <w:vAlign w:val="bottom"/>
          </w:tcPr>
          <w:p w14:paraId="13EC2FEE">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66F76BEA">
            <w:pPr>
              <w:widowControl/>
              <w:jc w:val="center"/>
              <w:rPr>
                <w:rFonts w:hint="eastAsia" w:ascii="宋体" w:hAns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3CF3E186">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731FB2A2">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2214F2B4">
            <w:pPr>
              <w:widowControl/>
              <w:jc w:val="center"/>
              <w:rPr>
                <w:rFonts w:hint="eastAsia" w:ascii="宋体" w:hAnsi="宋体" w:cs="宋体"/>
                <w:color w:val="000000"/>
                <w:kern w:val="0"/>
                <w:sz w:val="18"/>
                <w:szCs w:val="18"/>
              </w:rPr>
            </w:pPr>
          </w:p>
        </w:tc>
      </w:tr>
      <w:tr w14:paraId="59CCE477">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27BF205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废弃物</w:t>
            </w:r>
          </w:p>
        </w:tc>
        <w:tc>
          <w:tcPr>
            <w:tcW w:w="306" w:type="pct"/>
            <w:tcBorders>
              <w:top w:val="nil"/>
              <w:left w:val="nil"/>
              <w:bottom w:val="single" w:color="auto" w:sz="4" w:space="0"/>
              <w:right w:val="single" w:color="auto" w:sz="4" w:space="0"/>
            </w:tcBorders>
            <w:noWrap/>
            <w:vAlign w:val="bottom"/>
          </w:tcPr>
          <w:p w14:paraId="6A482F39">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6E488F72">
            <w:pPr>
              <w:widowControl/>
              <w:jc w:val="center"/>
              <w:rPr>
                <w:rFonts w:hint="eastAsia" w:ascii="宋体" w:hAns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70B3FE46">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442EB8FE">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4F7BC1F6">
            <w:pPr>
              <w:widowControl/>
              <w:jc w:val="center"/>
              <w:rPr>
                <w:rFonts w:hint="eastAsia" w:ascii="宋体" w:hAnsi="宋体" w:cs="宋体"/>
                <w:color w:val="000000"/>
                <w:kern w:val="0"/>
                <w:sz w:val="18"/>
                <w:szCs w:val="18"/>
              </w:rPr>
            </w:pPr>
          </w:p>
        </w:tc>
      </w:tr>
      <w:tr w14:paraId="131A7BA1">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668D0DC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306" w:type="pct"/>
            <w:tcBorders>
              <w:top w:val="nil"/>
              <w:left w:val="nil"/>
              <w:bottom w:val="single" w:color="auto" w:sz="4" w:space="0"/>
              <w:right w:val="single" w:color="auto" w:sz="4" w:space="0"/>
            </w:tcBorders>
            <w:noWrap/>
            <w:vAlign w:val="bottom"/>
          </w:tcPr>
          <w:p w14:paraId="4C55C4A3">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1165700B">
            <w:pPr>
              <w:widowControl/>
              <w:jc w:val="center"/>
              <w:rPr>
                <w:rFonts w:hint="eastAsia" w:ascii="宋体" w:hAns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7B880CC4">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2D5EB2F1">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25038538">
            <w:pPr>
              <w:widowControl/>
              <w:jc w:val="center"/>
              <w:rPr>
                <w:rFonts w:hint="eastAsia" w:ascii="宋体" w:hAnsi="宋体" w:cs="宋体"/>
                <w:color w:val="000000"/>
                <w:kern w:val="0"/>
                <w:sz w:val="18"/>
                <w:szCs w:val="18"/>
              </w:rPr>
            </w:pPr>
          </w:p>
        </w:tc>
      </w:tr>
      <w:tr w14:paraId="2B28D764">
        <w:tblPrEx>
          <w:tblCellMar>
            <w:top w:w="0" w:type="dxa"/>
            <w:left w:w="0" w:type="dxa"/>
            <w:bottom w:w="0" w:type="dxa"/>
            <w:right w:w="0" w:type="dxa"/>
          </w:tblCellMar>
        </w:tblPrEx>
        <w:trPr>
          <w:trHeight w:val="276" w:hRule="atLeast"/>
        </w:trPr>
        <w:tc>
          <w:tcPr>
            <w:tcW w:w="1945" w:type="pct"/>
            <w:tcBorders>
              <w:top w:val="nil"/>
              <w:left w:val="single" w:color="auto" w:sz="4" w:space="0"/>
              <w:bottom w:val="single" w:color="auto" w:sz="4" w:space="0"/>
              <w:right w:val="single" w:color="auto" w:sz="4" w:space="0"/>
            </w:tcBorders>
            <w:noWrap/>
            <w:vAlign w:val="bottom"/>
          </w:tcPr>
          <w:p w14:paraId="3CC711F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温室气体直接排放</w:t>
            </w:r>
          </w:p>
        </w:tc>
        <w:tc>
          <w:tcPr>
            <w:tcW w:w="306" w:type="pct"/>
            <w:tcBorders>
              <w:top w:val="nil"/>
              <w:left w:val="nil"/>
              <w:bottom w:val="single" w:color="auto" w:sz="4" w:space="0"/>
              <w:right w:val="single" w:color="auto" w:sz="4" w:space="0"/>
            </w:tcBorders>
            <w:noWrap/>
            <w:vAlign w:val="bottom"/>
          </w:tcPr>
          <w:p w14:paraId="3C07F14A">
            <w:pPr>
              <w:widowControl/>
              <w:jc w:val="center"/>
              <w:rPr>
                <w:rFonts w:hint="eastAsia" w:ascii="宋体" w:hAnsi="宋体" w:cs="宋体"/>
                <w:color w:val="000000"/>
                <w:kern w:val="0"/>
                <w:sz w:val="18"/>
                <w:szCs w:val="18"/>
              </w:rPr>
            </w:pPr>
          </w:p>
        </w:tc>
        <w:tc>
          <w:tcPr>
            <w:tcW w:w="417" w:type="pct"/>
            <w:tcBorders>
              <w:top w:val="nil"/>
              <w:left w:val="nil"/>
              <w:bottom w:val="single" w:color="auto" w:sz="4" w:space="0"/>
              <w:right w:val="single" w:color="auto" w:sz="4" w:space="0"/>
            </w:tcBorders>
            <w:noWrap/>
            <w:vAlign w:val="bottom"/>
          </w:tcPr>
          <w:p w14:paraId="17C07A34">
            <w:pPr>
              <w:widowControl/>
              <w:jc w:val="center"/>
              <w:rPr>
                <w:rFonts w:hint="eastAsia" w:ascii="宋体" w:hAnsi="宋体" w:cs="宋体"/>
                <w:color w:val="000000"/>
                <w:kern w:val="0"/>
                <w:sz w:val="18"/>
                <w:szCs w:val="18"/>
              </w:rPr>
            </w:pPr>
          </w:p>
        </w:tc>
        <w:tc>
          <w:tcPr>
            <w:tcW w:w="508" w:type="pct"/>
            <w:tcBorders>
              <w:top w:val="nil"/>
              <w:left w:val="nil"/>
              <w:bottom w:val="single" w:color="auto" w:sz="4" w:space="0"/>
              <w:right w:val="single" w:color="auto" w:sz="4" w:space="0"/>
            </w:tcBorders>
            <w:noWrap/>
            <w:vAlign w:val="bottom"/>
          </w:tcPr>
          <w:p w14:paraId="4E1CD9F5">
            <w:pPr>
              <w:widowControl/>
              <w:jc w:val="center"/>
              <w:rPr>
                <w:rFonts w:hint="eastAsia" w:ascii="宋体" w:hAnsi="宋体" w:cs="宋体"/>
                <w:color w:val="000000"/>
                <w:kern w:val="0"/>
                <w:sz w:val="18"/>
                <w:szCs w:val="18"/>
              </w:rPr>
            </w:pPr>
          </w:p>
        </w:tc>
        <w:tc>
          <w:tcPr>
            <w:tcW w:w="593" w:type="pct"/>
            <w:tcBorders>
              <w:top w:val="nil"/>
              <w:left w:val="nil"/>
              <w:bottom w:val="single" w:color="auto" w:sz="4" w:space="0"/>
              <w:right w:val="single" w:color="auto" w:sz="4" w:space="0"/>
            </w:tcBorders>
            <w:vAlign w:val="bottom"/>
          </w:tcPr>
          <w:p w14:paraId="43E26744">
            <w:pPr>
              <w:widowControl/>
              <w:jc w:val="center"/>
              <w:rPr>
                <w:rFonts w:hint="eastAsia" w:ascii="宋体" w:hAnsi="宋体" w:cs="宋体"/>
                <w:color w:val="000000"/>
                <w:kern w:val="0"/>
                <w:sz w:val="18"/>
                <w:szCs w:val="18"/>
              </w:rPr>
            </w:pPr>
          </w:p>
        </w:tc>
        <w:tc>
          <w:tcPr>
            <w:tcW w:w="1231" w:type="pct"/>
            <w:tcBorders>
              <w:top w:val="nil"/>
              <w:left w:val="nil"/>
              <w:bottom w:val="single" w:color="auto" w:sz="4" w:space="0"/>
              <w:right w:val="single" w:color="auto" w:sz="4" w:space="0"/>
            </w:tcBorders>
            <w:vAlign w:val="bottom"/>
          </w:tcPr>
          <w:p w14:paraId="5FA07EAF">
            <w:pPr>
              <w:widowControl/>
              <w:jc w:val="center"/>
              <w:rPr>
                <w:rFonts w:hint="eastAsia" w:ascii="宋体" w:hAnsi="宋体" w:cs="宋体"/>
                <w:color w:val="000000"/>
                <w:kern w:val="0"/>
                <w:sz w:val="18"/>
                <w:szCs w:val="18"/>
              </w:rPr>
            </w:pPr>
          </w:p>
        </w:tc>
      </w:tr>
      <w:tr w14:paraId="507DFA98">
        <w:tblPrEx>
          <w:tblCellMar>
            <w:top w:w="0" w:type="dxa"/>
            <w:left w:w="0" w:type="dxa"/>
            <w:bottom w:w="0" w:type="dxa"/>
            <w:right w:w="0" w:type="dxa"/>
          </w:tblCellMar>
        </w:tblPrEx>
        <w:trPr>
          <w:trHeight w:val="276" w:hRule="atLeast"/>
        </w:trPr>
        <w:tc>
          <w:tcPr>
            <w:tcW w:w="5000" w:type="pct"/>
            <w:gridSpan w:val="6"/>
            <w:tcBorders>
              <w:top w:val="single" w:color="auto" w:sz="4" w:space="0"/>
              <w:left w:val="single" w:color="auto" w:sz="4" w:space="0"/>
              <w:bottom w:val="single" w:color="auto" w:sz="4" w:space="0"/>
              <w:right w:val="single" w:color="000000" w:sz="4" w:space="0"/>
            </w:tcBorders>
            <w:noWrap/>
            <w:vAlign w:val="bottom"/>
          </w:tcPr>
          <w:p w14:paraId="7A05917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注1：此数据收集表中的数据是指规定时间段内所有未分配的输入和输出；</w:t>
            </w:r>
          </w:p>
          <w:p w14:paraId="42ABB6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注2：燃料和热力应注意换算为热量单位，因为排放通常与热量相关。</w:t>
            </w:r>
          </w:p>
        </w:tc>
      </w:tr>
    </w:tbl>
    <w:p w14:paraId="63CA98B4">
      <w:pPr>
        <w:pStyle w:val="61"/>
        <w:spacing w:line="360" w:lineRule="auto"/>
        <w:ind w:firstLine="0" w:firstLineChars="0"/>
        <w:jc w:val="center"/>
        <w:rPr>
          <w:rFonts w:hint="eastAsia" w:ascii="黑体" w:hAnsi="黑体" w:eastAsia="黑体" w:cs="黑体"/>
          <w:szCs w:val="21"/>
        </w:rPr>
      </w:pPr>
    </w:p>
    <w:p w14:paraId="5E71E2CD">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C.</w:t>
      </w:r>
      <w:r>
        <w:rPr>
          <w:rFonts w:hint="eastAsia" w:ascii="黑体" w:hAnsi="黑体" w:eastAsia="黑体"/>
        </w:rPr>
        <w:t>5</w:t>
      </w:r>
      <w:r>
        <w:rPr>
          <w:rFonts w:ascii="黑体" w:hAnsi="黑体" w:eastAsia="黑体"/>
        </w:rPr>
        <w:t xml:space="preserve">  </w:t>
      </w:r>
      <w:r>
        <w:rPr>
          <w:rFonts w:hint="eastAsia" w:ascii="黑体" w:hAnsi="黑体" w:eastAsia="黑体"/>
        </w:rPr>
        <w:t>背景数据收集范例</w:t>
      </w:r>
      <w:r>
        <w:rPr>
          <w:rFonts w:ascii="黑体" w:hAnsi="黑体" w:eastAsia="黑体"/>
        </w:rPr>
        <w:t>1-</w:t>
      </w:r>
      <w:r>
        <w:rPr>
          <w:rFonts w:hint="eastAsia" w:ascii="黑体" w:hAnsi="黑体" w:eastAsia="黑体"/>
        </w:rPr>
        <w:t>外购商品（方法</w:t>
      </w:r>
      <w:r>
        <w:rPr>
          <w:rFonts w:ascii="黑体" w:hAnsi="黑体" w:eastAsia="黑体"/>
        </w:rPr>
        <w:t>1</w:t>
      </w:r>
      <w:r>
        <w:rPr>
          <w:rFonts w:hint="eastAsia" w:ascii="黑体" w:hAnsi="黑体" w:eastAsia="黑体"/>
        </w:rPr>
        <w:t>）</w:t>
      </w:r>
    </w:p>
    <w:tbl>
      <w:tblPr>
        <w:tblStyle w:val="22"/>
        <w:tblW w:w="5000" w:type="pct"/>
        <w:tblInd w:w="0" w:type="dxa"/>
        <w:tblLayout w:type="fixed"/>
        <w:tblCellMar>
          <w:top w:w="0" w:type="dxa"/>
          <w:left w:w="0" w:type="dxa"/>
          <w:bottom w:w="0" w:type="dxa"/>
          <w:right w:w="0" w:type="dxa"/>
        </w:tblCellMar>
      </w:tblPr>
      <w:tblGrid>
        <w:gridCol w:w="1398"/>
        <w:gridCol w:w="1236"/>
        <w:gridCol w:w="988"/>
        <w:gridCol w:w="1194"/>
        <w:gridCol w:w="2488"/>
        <w:gridCol w:w="1011"/>
      </w:tblGrid>
      <w:tr w14:paraId="3FB5B139">
        <w:tblPrEx>
          <w:tblCellMar>
            <w:top w:w="0" w:type="dxa"/>
            <w:left w:w="0" w:type="dxa"/>
            <w:bottom w:w="0" w:type="dxa"/>
            <w:right w:w="0" w:type="dxa"/>
          </w:tblCellMar>
        </w:tblPrEx>
        <w:trPr>
          <w:trHeight w:val="358" w:hRule="atLeast"/>
        </w:trPr>
        <w:tc>
          <w:tcPr>
            <w:tcW w:w="841" w:type="pct"/>
            <w:tcBorders>
              <w:top w:val="single" w:color="auto" w:sz="4" w:space="0"/>
              <w:left w:val="single" w:color="auto" w:sz="4" w:space="0"/>
              <w:right w:val="single" w:color="auto" w:sz="4" w:space="0"/>
            </w:tcBorders>
            <w:noWrap/>
            <w:vAlign w:val="center"/>
          </w:tcPr>
          <w:p w14:paraId="5216B693">
            <w:pPr>
              <w:widowControl/>
              <w:jc w:val="center"/>
              <w:rPr>
                <w:rFonts w:ascii="宋体" w:cs="宋体"/>
                <w:color w:val="000000"/>
                <w:kern w:val="0"/>
                <w:sz w:val="18"/>
                <w:szCs w:val="18"/>
              </w:rPr>
            </w:pPr>
            <w:r>
              <w:rPr>
                <w:rFonts w:hint="eastAsia" w:ascii="宋体" w:hAnsi="宋体" w:cs="宋体"/>
                <w:color w:val="000000"/>
                <w:kern w:val="0"/>
                <w:sz w:val="18"/>
                <w:szCs w:val="18"/>
              </w:rPr>
              <w:t>外购商品</w:t>
            </w:r>
          </w:p>
        </w:tc>
        <w:tc>
          <w:tcPr>
            <w:tcW w:w="743" w:type="pct"/>
            <w:tcBorders>
              <w:top w:val="single" w:color="auto" w:sz="4" w:space="0"/>
              <w:left w:val="nil"/>
              <w:right w:val="single" w:color="auto" w:sz="4" w:space="0"/>
            </w:tcBorders>
            <w:vAlign w:val="center"/>
          </w:tcPr>
          <w:p w14:paraId="4C671904">
            <w:pPr>
              <w:widowControl/>
              <w:jc w:val="center"/>
              <w:rPr>
                <w:rFonts w:ascii="宋体" w:cs="宋体"/>
                <w:color w:val="000000"/>
                <w:kern w:val="0"/>
                <w:sz w:val="18"/>
                <w:szCs w:val="18"/>
              </w:rPr>
            </w:pPr>
            <w:r>
              <w:rPr>
                <w:rFonts w:hint="eastAsia" w:ascii="宋体" w:hAnsi="宋体" w:cs="宋体"/>
                <w:color w:val="000000"/>
                <w:kern w:val="0"/>
                <w:sz w:val="18"/>
                <w:szCs w:val="18"/>
              </w:rPr>
              <w:t>规格等级</w:t>
            </w:r>
          </w:p>
        </w:tc>
        <w:tc>
          <w:tcPr>
            <w:tcW w:w="594" w:type="pct"/>
            <w:tcBorders>
              <w:top w:val="single" w:color="auto" w:sz="4" w:space="0"/>
              <w:left w:val="single" w:color="auto" w:sz="4" w:space="0"/>
              <w:right w:val="single" w:color="auto" w:sz="4" w:space="0"/>
            </w:tcBorders>
            <w:noWrap/>
            <w:vAlign w:val="center"/>
          </w:tcPr>
          <w:p w14:paraId="2A3792B5">
            <w:pPr>
              <w:widowControl/>
              <w:jc w:val="center"/>
              <w:rPr>
                <w:rFonts w:ascii="宋体" w:cs="宋体"/>
                <w:color w:val="000000"/>
                <w:kern w:val="0"/>
                <w:sz w:val="18"/>
                <w:szCs w:val="18"/>
              </w:rPr>
            </w:pPr>
            <w:r>
              <w:rPr>
                <w:rFonts w:hint="eastAsia" w:ascii="宋体" w:hAnsi="宋体" w:cs="宋体"/>
                <w:color w:val="000000"/>
                <w:kern w:val="0"/>
                <w:sz w:val="18"/>
                <w:szCs w:val="18"/>
              </w:rPr>
              <w:t>声明单位</w:t>
            </w:r>
          </w:p>
        </w:tc>
        <w:tc>
          <w:tcPr>
            <w:tcW w:w="718" w:type="pct"/>
            <w:tcBorders>
              <w:top w:val="single" w:color="auto" w:sz="4" w:space="0"/>
              <w:left w:val="nil"/>
              <w:right w:val="single" w:color="auto" w:sz="4" w:space="0"/>
            </w:tcBorders>
            <w:noWrap/>
            <w:vAlign w:val="center"/>
          </w:tcPr>
          <w:p w14:paraId="0A255ED2">
            <w:pPr>
              <w:widowControl/>
              <w:jc w:val="center"/>
              <w:rPr>
                <w:rFonts w:ascii="宋体" w:cs="宋体"/>
                <w:color w:val="000000"/>
                <w:kern w:val="0"/>
                <w:sz w:val="18"/>
                <w:szCs w:val="18"/>
              </w:rPr>
            </w:pPr>
            <w:r>
              <w:rPr>
                <w:rFonts w:hint="eastAsia" w:ascii="宋体" w:hAnsi="宋体" w:cs="宋体"/>
                <w:color w:val="000000"/>
                <w:kern w:val="0"/>
                <w:sz w:val="18"/>
                <w:szCs w:val="18"/>
              </w:rPr>
              <w:t>排放因子</w:t>
            </w:r>
          </w:p>
        </w:tc>
        <w:tc>
          <w:tcPr>
            <w:tcW w:w="1496" w:type="pct"/>
            <w:tcBorders>
              <w:top w:val="single" w:color="auto" w:sz="4" w:space="0"/>
              <w:left w:val="nil"/>
              <w:right w:val="single" w:color="auto" w:sz="4" w:space="0"/>
            </w:tcBorders>
            <w:noWrap/>
            <w:vAlign w:val="center"/>
          </w:tcPr>
          <w:p w14:paraId="023E6D91">
            <w:pPr>
              <w:widowControl/>
              <w:jc w:val="center"/>
              <w:rPr>
                <w:rFonts w:ascii="宋体" w:cs="宋体"/>
                <w:color w:val="000000"/>
                <w:kern w:val="0"/>
                <w:sz w:val="18"/>
                <w:szCs w:val="18"/>
              </w:rPr>
            </w:pPr>
            <w:r>
              <w:rPr>
                <w:rFonts w:hint="eastAsia" w:ascii="宋体" w:hAnsi="宋体" w:cs="宋体"/>
                <w:color w:val="000000"/>
                <w:kern w:val="0"/>
                <w:sz w:val="18"/>
                <w:szCs w:val="18"/>
              </w:rPr>
              <w:t>数据来源</w:t>
            </w:r>
          </w:p>
        </w:tc>
        <w:tc>
          <w:tcPr>
            <w:tcW w:w="608" w:type="pct"/>
            <w:tcBorders>
              <w:top w:val="single" w:color="auto" w:sz="4" w:space="0"/>
              <w:left w:val="nil"/>
              <w:right w:val="single" w:color="auto" w:sz="4" w:space="0"/>
            </w:tcBorders>
            <w:noWrap/>
            <w:vAlign w:val="center"/>
          </w:tcPr>
          <w:p w14:paraId="2FFE0940">
            <w:pPr>
              <w:widowControl/>
              <w:jc w:val="center"/>
              <w:rPr>
                <w:rFonts w:ascii="宋体" w:cs="宋体"/>
                <w:color w:val="000000"/>
                <w:kern w:val="0"/>
                <w:sz w:val="18"/>
                <w:szCs w:val="18"/>
              </w:rPr>
            </w:pPr>
            <w:r>
              <w:rPr>
                <w:rFonts w:hint="eastAsia" w:ascii="宋体" w:hAnsi="宋体" w:cs="宋体"/>
                <w:color w:val="000000"/>
                <w:kern w:val="0"/>
                <w:sz w:val="18"/>
                <w:szCs w:val="18"/>
              </w:rPr>
              <w:t>数据时间</w:t>
            </w:r>
          </w:p>
        </w:tc>
      </w:tr>
      <w:tr w14:paraId="3C2D974B">
        <w:tblPrEx>
          <w:tblCellMar>
            <w:top w:w="0" w:type="dxa"/>
            <w:left w:w="0" w:type="dxa"/>
            <w:bottom w:w="0" w:type="dxa"/>
            <w:right w:w="0" w:type="dxa"/>
          </w:tblCellMar>
        </w:tblPrEx>
        <w:trPr>
          <w:trHeight w:val="276" w:hRule="atLeast"/>
        </w:trPr>
        <w:tc>
          <w:tcPr>
            <w:tcW w:w="841" w:type="pct"/>
            <w:tcBorders>
              <w:top w:val="single" w:color="auto" w:sz="4" w:space="0"/>
              <w:left w:val="single" w:color="auto" w:sz="4" w:space="0"/>
              <w:bottom w:val="single" w:color="auto" w:sz="4" w:space="0"/>
              <w:right w:val="single" w:color="auto" w:sz="4" w:space="0"/>
            </w:tcBorders>
            <w:noWrap/>
            <w:vAlign w:val="bottom"/>
          </w:tcPr>
          <w:p w14:paraId="385CA170">
            <w:pPr>
              <w:widowControl/>
              <w:jc w:val="left"/>
              <w:rPr>
                <w:rFonts w:ascii="宋体" w:cs="宋体"/>
                <w:color w:val="000000"/>
                <w:kern w:val="0"/>
                <w:sz w:val="18"/>
                <w:szCs w:val="18"/>
              </w:rPr>
            </w:pPr>
            <w:r>
              <w:rPr>
                <w:rFonts w:hint="eastAsia" w:ascii="宋体" w:hAnsi="宋体" w:cs="宋体"/>
                <w:color w:val="000000"/>
                <w:kern w:val="0"/>
                <w:sz w:val="18"/>
                <w:szCs w:val="18"/>
              </w:rPr>
              <w:t>炸药</w:t>
            </w:r>
          </w:p>
        </w:tc>
        <w:tc>
          <w:tcPr>
            <w:tcW w:w="743" w:type="pct"/>
            <w:tcBorders>
              <w:top w:val="single" w:color="auto" w:sz="4" w:space="0"/>
              <w:left w:val="nil"/>
              <w:bottom w:val="single" w:color="auto" w:sz="4" w:space="0"/>
              <w:right w:val="single" w:color="auto" w:sz="4" w:space="0"/>
            </w:tcBorders>
          </w:tcPr>
          <w:p w14:paraId="54AA1556">
            <w:pPr>
              <w:widowControl/>
              <w:jc w:val="center"/>
              <w:rPr>
                <w:rFonts w:ascii="宋体" w:cs="宋体"/>
                <w:color w:val="000000"/>
                <w:kern w:val="0"/>
                <w:sz w:val="18"/>
                <w:szCs w:val="18"/>
              </w:rPr>
            </w:pPr>
          </w:p>
        </w:tc>
        <w:tc>
          <w:tcPr>
            <w:tcW w:w="594" w:type="pct"/>
            <w:tcBorders>
              <w:top w:val="single" w:color="auto" w:sz="4" w:space="0"/>
              <w:left w:val="single" w:color="auto" w:sz="4" w:space="0"/>
              <w:bottom w:val="single" w:color="auto" w:sz="4" w:space="0"/>
              <w:right w:val="single" w:color="auto" w:sz="4" w:space="0"/>
            </w:tcBorders>
            <w:noWrap/>
            <w:vAlign w:val="bottom"/>
          </w:tcPr>
          <w:p w14:paraId="1C01614E">
            <w:pPr>
              <w:widowControl/>
              <w:jc w:val="center"/>
              <w:rPr>
                <w:rFonts w:ascii="宋体" w:cs="宋体"/>
                <w:color w:val="000000"/>
                <w:kern w:val="0"/>
                <w:sz w:val="18"/>
                <w:szCs w:val="18"/>
              </w:rPr>
            </w:pPr>
          </w:p>
        </w:tc>
        <w:tc>
          <w:tcPr>
            <w:tcW w:w="718" w:type="pct"/>
            <w:tcBorders>
              <w:top w:val="single" w:color="auto" w:sz="4" w:space="0"/>
              <w:left w:val="nil"/>
              <w:bottom w:val="single" w:color="auto" w:sz="4" w:space="0"/>
              <w:right w:val="single" w:color="auto" w:sz="4" w:space="0"/>
            </w:tcBorders>
            <w:noWrap/>
            <w:vAlign w:val="bottom"/>
          </w:tcPr>
          <w:p w14:paraId="7BFEB7BD">
            <w:pPr>
              <w:widowControl/>
              <w:jc w:val="center"/>
              <w:rPr>
                <w:rFonts w:ascii="宋体" w:cs="宋体"/>
                <w:color w:val="000000"/>
                <w:kern w:val="0"/>
                <w:sz w:val="18"/>
                <w:szCs w:val="18"/>
              </w:rPr>
            </w:pPr>
          </w:p>
        </w:tc>
        <w:tc>
          <w:tcPr>
            <w:tcW w:w="1496" w:type="pct"/>
            <w:tcBorders>
              <w:top w:val="single" w:color="auto" w:sz="4" w:space="0"/>
              <w:left w:val="nil"/>
              <w:bottom w:val="single" w:color="auto" w:sz="4" w:space="0"/>
              <w:right w:val="single" w:color="auto" w:sz="4" w:space="0"/>
            </w:tcBorders>
            <w:noWrap/>
            <w:vAlign w:val="bottom"/>
          </w:tcPr>
          <w:p w14:paraId="08D4F2BC">
            <w:pPr>
              <w:widowControl/>
              <w:jc w:val="center"/>
              <w:rPr>
                <w:rFonts w:ascii="宋体" w:cs="宋体"/>
                <w:color w:val="000000"/>
                <w:kern w:val="0"/>
                <w:sz w:val="18"/>
                <w:szCs w:val="18"/>
              </w:rPr>
            </w:pPr>
            <w:r>
              <w:rPr>
                <w:rFonts w:hint="eastAsia" w:ascii="宋体" w:hAnsi="宋体" w:cs="宋体"/>
                <w:color w:val="000000"/>
                <w:kern w:val="0"/>
                <w:sz w:val="18"/>
                <w:szCs w:val="18"/>
              </w:rPr>
              <w:t>如：供应商</w:t>
            </w:r>
          </w:p>
        </w:tc>
        <w:tc>
          <w:tcPr>
            <w:tcW w:w="608" w:type="pct"/>
            <w:tcBorders>
              <w:top w:val="single" w:color="auto" w:sz="4" w:space="0"/>
              <w:left w:val="nil"/>
              <w:bottom w:val="single" w:color="auto" w:sz="4" w:space="0"/>
              <w:right w:val="single" w:color="auto" w:sz="4" w:space="0"/>
            </w:tcBorders>
            <w:noWrap/>
            <w:vAlign w:val="bottom"/>
          </w:tcPr>
          <w:p w14:paraId="6C70BDC8">
            <w:pPr>
              <w:widowControl/>
              <w:jc w:val="center"/>
              <w:rPr>
                <w:rFonts w:ascii="宋体" w:cs="宋体"/>
                <w:color w:val="000000"/>
                <w:kern w:val="0"/>
                <w:sz w:val="18"/>
                <w:szCs w:val="18"/>
              </w:rPr>
            </w:pPr>
          </w:p>
        </w:tc>
      </w:tr>
      <w:tr w14:paraId="5BBFF822">
        <w:tblPrEx>
          <w:tblCellMar>
            <w:top w:w="0" w:type="dxa"/>
            <w:left w:w="0" w:type="dxa"/>
            <w:bottom w:w="0" w:type="dxa"/>
            <w:right w:w="0" w:type="dxa"/>
          </w:tblCellMar>
        </w:tblPrEx>
        <w:trPr>
          <w:trHeight w:val="276" w:hRule="atLeast"/>
        </w:trPr>
        <w:tc>
          <w:tcPr>
            <w:tcW w:w="841" w:type="pct"/>
            <w:tcBorders>
              <w:top w:val="nil"/>
              <w:left w:val="single" w:color="auto" w:sz="4" w:space="0"/>
              <w:bottom w:val="single" w:color="auto" w:sz="4" w:space="0"/>
              <w:right w:val="single" w:color="auto" w:sz="4" w:space="0"/>
            </w:tcBorders>
            <w:noWrap/>
            <w:vAlign w:val="bottom"/>
          </w:tcPr>
          <w:p w14:paraId="3C11F8FB">
            <w:pPr>
              <w:widowControl/>
              <w:jc w:val="left"/>
              <w:rPr>
                <w:rFonts w:ascii="宋体" w:cs="宋体"/>
                <w:color w:val="000000"/>
                <w:kern w:val="0"/>
                <w:sz w:val="18"/>
                <w:szCs w:val="18"/>
              </w:rPr>
            </w:pPr>
            <w:r>
              <w:rPr>
                <w:rFonts w:hint="eastAsia" w:ascii="宋体" w:hAnsi="宋体" w:cs="宋体"/>
                <w:color w:val="000000"/>
                <w:kern w:val="0"/>
                <w:sz w:val="18"/>
                <w:szCs w:val="18"/>
              </w:rPr>
              <w:t>精矿</w:t>
            </w:r>
          </w:p>
        </w:tc>
        <w:tc>
          <w:tcPr>
            <w:tcW w:w="743" w:type="pct"/>
            <w:tcBorders>
              <w:top w:val="single" w:color="auto" w:sz="4" w:space="0"/>
              <w:left w:val="nil"/>
              <w:bottom w:val="single" w:color="auto" w:sz="4" w:space="0"/>
              <w:right w:val="single" w:color="auto" w:sz="4" w:space="0"/>
            </w:tcBorders>
          </w:tcPr>
          <w:p w14:paraId="18897BC5">
            <w:pPr>
              <w:widowControl/>
              <w:jc w:val="center"/>
              <w:rPr>
                <w:rFonts w:ascii="宋体" w:cs="宋体"/>
                <w:color w:val="000000"/>
                <w:kern w:val="0"/>
                <w:sz w:val="18"/>
                <w:szCs w:val="18"/>
              </w:rPr>
            </w:pPr>
          </w:p>
        </w:tc>
        <w:tc>
          <w:tcPr>
            <w:tcW w:w="594" w:type="pct"/>
            <w:tcBorders>
              <w:top w:val="nil"/>
              <w:left w:val="single" w:color="auto" w:sz="4" w:space="0"/>
              <w:bottom w:val="single" w:color="auto" w:sz="4" w:space="0"/>
              <w:right w:val="single" w:color="auto" w:sz="4" w:space="0"/>
            </w:tcBorders>
            <w:noWrap/>
            <w:vAlign w:val="bottom"/>
          </w:tcPr>
          <w:p w14:paraId="6D5DEC16">
            <w:pPr>
              <w:widowControl/>
              <w:jc w:val="center"/>
              <w:rPr>
                <w:rFonts w:hint="eastAsia" w:ascii="宋体" w:hAnsi="宋体" w:cs="宋体"/>
                <w:color w:val="000000"/>
                <w:kern w:val="0"/>
                <w:sz w:val="18"/>
                <w:szCs w:val="18"/>
              </w:rPr>
            </w:pPr>
          </w:p>
        </w:tc>
        <w:tc>
          <w:tcPr>
            <w:tcW w:w="718" w:type="pct"/>
            <w:tcBorders>
              <w:top w:val="nil"/>
              <w:left w:val="nil"/>
              <w:bottom w:val="single" w:color="auto" w:sz="4" w:space="0"/>
              <w:right w:val="single" w:color="auto" w:sz="4" w:space="0"/>
            </w:tcBorders>
            <w:noWrap/>
            <w:vAlign w:val="bottom"/>
          </w:tcPr>
          <w:p w14:paraId="4736F8AF">
            <w:pPr>
              <w:widowControl/>
              <w:jc w:val="center"/>
              <w:rPr>
                <w:rFonts w:ascii="宋体" w:cs="宋体"/>
                <w:color w:val="000000"/>
                <w:kern w:val="0"/>
                <w:sz w:val="18"/>
                <w:szCs w:val="18"/>
              </w:rPr>
            </w:pPr>
          </w:p>
        </w:tc>
        <w:tc>
          <w:tcPr>
            <w:tcW w:w="1496" w:type="pct"/>
            <w:tcBorders>
              <w:top w:val="nil"/>
              <w:left w:val="nil"/>
              <w:bottom w:val="single" w:color="auto" w:sz="4" w:space="0"/>
              <w:right w:val="single" w:color="auto" w:sz="4" w:space="0"/>
            </w:tcBorders>
            <w:noWrap/>
            <w:vAlign w:val="bottom"/>
          </w:tcPr>
          <w:p w14:paraId="4D7546C4">
            <w:pPr>
              <w:widowControl/>
              <w:jc w:val="center"/>
              <w:rPr>
                <w:rFonts w:ascii="宋体" w:cs="宋体"/>
                <w:color w:val="000000"/>
                <w:kern w:val="0"/>
                <w:sz w:val="18"/>
                <w:szCs w:val="18"/>
              </w:rPr>
            </w:pPr>
            <w:r>
              <w:rPr>
                <w:rFonts w:hint="eastAsia" w:ascii="宋体" w:hAnsi="宋体" w:cs="宋体"/>
                <w:color w:val="000000"/>
                <w:kern w:val="0"/>
                <w:sz w:val="18"/>
                <w:szCs w:val="18"/>
              </w:rPr>
              <w:t>如：供应商</w:t>
            </w:r>
          </w:p>
        </w:tc>
        <w:tc>
          <w:tcPr>
            <w:tcW w:w="608" w:type="pct"/>
            <w:tcBorders>
              <w:top w:val="nil"/>
              <w:left w:val="nil"/>
              <w:bottom w:val="single" w:color="auto" w:sz="4" w:space="0"/>
              <w:right w:val="single" w:color="auto" w:sz="4" w:space="0"/>
            </w:tcBorders>
            <w:noWrap/>
            <w:vAlign w:val="bottom"/>
          </w:tcPr>
          <w:p w14:paraId="27289A9B">
            <w:pPr>
              <w:widowControl/>
              <w:jc w:val="left"/>
              <w:rPr>
                <w:rFonts w:ascii="宋体" w:cs="宋体"/>
                <w:color w:val="000000"/>
                <w:kern w:val="0"/>
                <w:sz w:val="18"/>
                <w:szCs w:val="18"/>
              </w:rPr>
            </w:pPr>
          </w:p>
        </w:tc>
      </w:tr>
      <w:tr w14:paraId="7BD8BB44">
        <w:tblPrEx>
          <w:tblCellMar>
            <w:top w:w="0" w:type="dxa"/>
            <w:left w:w="0" w:type="dxa"/>
            <w:bottom w:w="0" w:type="dxa"/>
            <w:right w:w="0" w:type="dxa"/>
          </w:tblCellMar>
        </w:tblPrEx>
        <w:trPr>
          <w:trHeight w:val="276" w:hRule="atLeast"/>
        </w:trPr>
        <w:tc>
          <w:tcPr>
            <w:tcW w:w="841" w:type="pct"/>
            <w:tcBorders>
              <w:top w:val="nil"/>
              <w:left w:val="single" w:color="auto" w:sz="4" w:space="0"/>
              <w:bottom w:val="single" w:color="auto" w:sz="4" w:space="0"/>
              <w:right w:val="single" w:color="auto" w:sz="4" w:space="0"/>
            </w:tcBorders>
            <w:noWrap/>
            <w:vAlign w:val="bottom"/>
          </w:tcPr>
          <w:p w14:paraId="54ECC0BE">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消费前</w:t>
            </w:r>
            <w:r>
              <w:rPr>
                <w:rFonts w:hint="eastAsia" w:ascii="宋体" w:hAnsi="宋体" w:cs="宋体"/>
                <w:color w:val="000000"/>
                <w:kern w:val="0"/>
                <w:sz w:val="18"/>
                <w:szCs w:val="18"/>
                <w:lang w:eastAsia="zh-CN"/>
              </w:rPr>
              <w:t>回收锡原料</w:t>
            </w:r>
          </w:p>
        </w:tc>
        <w:tc>
          <w:tcPr>
            <w:tcW w:w="743" w:type="pct"/>
            <w:tcBorders>
              <w:top w:val="single" w:color="auto" w:sz="4" w:space="0"/>
              <w:left w:val="nil"/>
              <w:bottom w:val="single" w:color="auto" w:sz="4" w:space="0"/>
              <w:right w:val="single" w:color="auto" w:sz="4" w:space="0"/>
            </w:tcBorders>
          </w:tcPr>
          <w:p w14:paraId="19AB0ED2">
            <w:pPr>
              <w:widowControl/>
              <w:jc w:val="center"/>
              <w:rPr>
                <w:rFonts w:ascii="宋体" w:cs="宋体"/>
                <w:color w:val="000000"/>
                <w:kern w:val="0"/>
                <w:sz w:val="18"/>
                <w:szCs w:val="18"/>
              </w:rPr>
            </w:pPr>
          </w:p>
        </w:tc>
        <w:tc>
          <w:tcPr>
            <w:tcW w:w="594" w:type="pct"/>
            <w:tcBorders>
              <w:top w:val="nil"/>
              <w:left w:val="single" w:color="auto" w:sz="4" w:space="0"/>
              <w:bottom w:val="single" w:color="auto" w:sz="4" w:space="0"/>
              <w:right w:val="single" w:color="auto" w:sz="4" w:space="0"/>
            </w:tcBorders>
            <w:noWrap/>
            <w:vAlign w:val="bottom"/>
          </w:tcPr>
          <w:p w14:paraId="526440F1">
            <w:pPr>
              <w:widowControl/>
              <w:jc w:val="center"/>
              <w:rPr>
                <w:rFonts w:hint="eastAsia" w:ascii="宋体" w:hAnsi="宋体" w:cs="宋体"/>
                <w:color w:val="000000"/>
                <w:kern w:val="0"/>
                <w:sz w:val="18"/>
                <w:szCs w:val="18"/>
              </w:rPr>
            </w:pPr>
          </w:p>
        </w:tc>
        <w:tc>
          <w:tcPr>
            <w:tcW w:w="718" w:type="pct"/>
            <w:tcBorders>
              <w:top w:val="nil"/>
              <w:left w:val="nil"/>
              <w:bottom w:val="single" w:color="auto" w:sz="4" w:space="0"/>
              <w:right w:val="single" w:color="auto" w:sz="4" w:space="0"/>
            </w:tcBorders>
            <w:noWrap/>
            <w:vAlign w:val="bottom"/>
          </w:tcPr>
          <w:p w14:paraId="6B1C2F4C">
            <w:pPr>
              <w:widowControl/>
              <w:jc w:val="center"/>
              <w:rPr>
                <w:rFonts w:ascii="宋体" w:cs="宋体"/>
                <w:color w:val="000000"/>
                <w:kern w:val="0"/>
                <w:sz w:val="18"/>
                <w:szCs w:val="18"/>
              </w:rPr>
            </w:pPr>
          </w:p>
        </w:tc>
        <w:tc>
          <w:tcPr>
            <w:tcW w:w="1496" w:type="pct"/>
            <w:tcBorders>
              <w:top w:val="nil"/>
              <w:left w:val="nil"/>
              <w:bottom w:val="single" w:color="auto" w:sz="4" w:space="0"/>
              <w:right w:val="single" w:color="auto" w:sz="4" w:space="0"/>
            </w:tcBorders>
            <w:noWrap/>
            <w:vAlign w:val="bottom"/>
          </w:tcPr>
          <w:p w14:paraId="05C832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如：供应商</w:t>
            </w:r>
          </w:p>
        </w:tc>
        <w:tc>
          <w:tcPr>
            <w:tcW w:w="608" w:type="pct"/>
            <w:tcBorders>
              <w:top w:val="nil"/>
              <w:left w:val="nil"/>
              <w:bottom w:val="single" w:color="auto" w:sz="4" w:space="0"/>
              <w:right w:val="single" w:color="auto" w:sz="4" w:space="0"/>
            </w:tcBorders>
            <w:noWrap/>
            <w:vAlign w:val="bottom"/>
          </w:tcPr>
          <w:p w14:paraId="6C405A65">
            <w:pPr>
              <w:widowControl/>
              <w:jc w:val="left"/>
              <w:rPr>
                <w:rFonts w:ascii="宋体" w:cs="宋体"/>
                <w:color w:val="000000"/>
                <w:kern w:val="0"/>
                <w:sz w:val="18"/>
                <w:szCs w:val="18"/>
              </w:rPr>
            </w:pPr>
          </w:p>
        </w:tc>
      </w:tr>
      <w:tr w14:paraId="2FC63350">
        <w:tblPrEx>
          <w:tblCellMar>
            <w:top w:w="0" w:type="dxa"/>
            <w:left w:w="0" w:type="dxa"/>
            <w:bottom w:w="0" w:type="dxa"/>
            <w:right w:w="0" w:type="dxa"/>
          </w:tblCellMar>
        </w:tblPrEx>
        <w:trPr>
          <w:trHeight w:val="276" w:hRule="atLeast"/>
        </w:trPr>
        <w:tc>
          <w:tcPr>
            <w:tcW w:w="841" w:type="pct"/>
            <w:tcBorders>
              <w:top w:val="nil"/>
              <w:left w:val="single" w:color="auto" w:sz="4" w:space="0"/>
              <w:bottom w:val="single" w:color="auto" w:sz="4" w:space="0"/>
              <w:right w:val="single" w:color="auto" w:sz="4" w:space="0"/>
            </w:tcBorders>
            <w:noWrap/>
            <w:vAlign w:val="bottom"/>
          </w:tcPr>
          <w:p w14:paraId="6E9F29A8">
            <w:pPr>
              <w:widowControl/>
              <w:jc w:val="left"/>
              <w:rPr>
                <w:rFonts w:ascii="宋体" w:cs="宋体"/>
                <w:color w:val="000000"/>
                <w:kern w:val="0"/>
                <w:sz w:val="18"/>
                <w:szCs w:val="18"/>
              </w:rPr>
            </w:pPr>
            <w:r>
              <w:rPr>
                <w:rFonts w:hint="eastAsia" w:ascii="宋体" w:hAnsi="宋体" w:cs="宋体"/>
                <w:color w:val="000000"/>
                <w:kern w:val="0"/>
                <w:sz w:val="18"/>
                <w:szCs w:val="18"/>
              </w:rPr>
              <w:t>石灰石</w:t>
            </w:r>
          </w:p>
        </w:tc>
        <w:tc>
          <w:tcPr>
            <w:tcW w:w="743" w:type="pct"/>
            <w:tcBorders>
              <w:top w:val="single" w:color="auto" w:sz="4" w:space="0"/>
              <w:left w:val="nil"/>
              <w:bottom w:val="single" w:color="auto" w:sz="4" w:space="0"/>
              <w:right w:val="single" w:color="auto" w:sz="4" w:space="0"/>
            </w:tcBorders>
          </w:tcPr>
          <w:p w14:paraId="6B0E1527">
            <w:pPr>
              <w:widowControl/>
              <w:jc w:val="center"/>
              <w:rPr>
                <w:rFonts w:ascii="宋体" w:cs="宋体"/>
                <w:color w:val="000000"/>
                <w:kern w:val="0"/>
                <w:sz w:val="18"/>
                <w:szCs w:val="18"/>
              </w:rPr>
            </w:pPr>
          </w:p>
        </w:tc>
        <w:tc>
          <w:tcPr>
            <w:tcW w:w="594" w:type="pct"/>
            <w:tcBorders>
              <w:top w:val="nil"/>
              <w:left w:val="single" w:color="auto" w:sz="4" w:space="0"/>
              <w:bottom w:val="single" w:color="auto" w:sz="4" w:space="0"/>
              <w:right w:val="single" w:color="auto" w:sz="4" w:space="0"/>
            </w:tcBorders>
            <w:noWrap/>
            <w:vAlign w:val="bottom"/>
          </w:tcPr>
          <w:p w14:paraId="164E7494">
            <w:pPr>
              <w:widowControl/>
              <w:jc w:val="center"/>
              <w:rPr>
                <w:rFonts w:hint="eastAsia" w:ascii="宋体" w:hAnsi="宋体" w:cs="宋体"/>
                <w:color w:val="000000"/>
                <w:kern w:val="0"/>
                <w:sz w:val="18"/>
                <w:szCs w:val="18"/>
              </w:rPr>
            </w:pPr>
          </w:p>
        </w:tc>
        <w:tc>
          <w:tcPr>
            <w:tcW w:w="718" w:type="pct"/>
            <w:tcBorders>
              <w:top w:val="nil"/>
              <w:left w:val="nil"/>
              <w:bottom w:val="single" w:color="auto" w:sz="4" w:space="0"/>
              <w:right w:val="single" w:color="auto" w:sz="4" w:space="0"/>
            </w:tcBorders>
            <w:noWrap/>
            <w:vAlign w:val="bottom"/>
          </w:tcPr>
          <w:p w14:paraId="5ADB0B89">
            <w:pPr>
              <w:widowControl/>
              <w:jc w:val="center"/>
              <w:rPr>
                <w:rFonts w:ascii="宋体" w:cs="宋体"/>
                <w:color w:val="000000"/>
                <w:kern w:val="0"/>
                <w:sz w:val="18"/>
                <w:szCs w:val="18"/>
              </w:rPr>
            </w:pPr>
          </w:p>
        </w:tc>
        <w:tc>
          <w:tcPr>
            <w:tcW w:w="1496" w:type="pct"/>
            <w:tcBorders>
              <w:top w:val="nil"/>
              <w:left w:val="nil"/>
              <w:bottom w:val="single" w:color="auto" w:sz="4" w:space="0"/>
              <w:right w:val="single" w:color="auto" w:sz="4" w:space="0"/>
            </w:tcBorders>
            <w:noWrap/>
            <w:vAlign w:val="bottom"/>
          </w:tcPr>
          <w:p w14:paraId="2D072F5F">
            <w:pPr>
              <w:widowControl/>
              <w:jc w:val="center"/>
              <w:rPr>
                <w:rFonts w:ascii="宋体" w:cs="宋体"/>
                <w:color w:val="000000"/>
                <w:kern w:val="0"/>
                <w:sz w:val="18"/>
                <w:szCs w:val="18"/>
              </w:rPr>
            </w:pPr>
            <w:r>
              <w:rPr>
                <w:rFonts w:hint="eastAsia" w:ascii="宋体" w:hAnsi="宋体" w:cs="宋体"/>
                <w:color w:val="000000"/>
                <w:kern w:val="0"/>
                <w:sz w:val="18"/>
                <w:szCs w:val="18"/>
              </w:rPr>
              <w:t>如：国家生命周期数据库</w:t>
            </w:r>
          </w:p>
        </w:tc>
        <w:tc>
          <w:tcPr>
            <w:tcW w:w="608" w:type="pct"/>
            <w:tcBorders>
              <w:top w:val="nil"/>
              <w:left w:val="nil"/>
              <w:bottom w:val="single" w:color="auto" w:sz="4" w:space="0"/>
              <w:right w:val="single" w:color="auto" w:sz="4" w:space="0"/>
            </w:tcBorders>
            <w:noWrap/>
            <w:vAlign w:val="bottom"/>
          </w:tcPr>
          <w:p w14:paraId="07B116D9">
            <w:pPr>
              <w:widowControl/>
              <w:jc w:val="left"/>
              <w:rPr>
                <w:rFonts w:ascii="宋体" w:cs="宋体"/>
                <w:color w:val="000000"/>
                <w:kern w:val="0"/>
                <w:sz w:val="18"/>
                <w:szCs w:val="18"/>
              </w:rPr>
            </w:pPr>
          </w:p>
        </w:tc>
      </w:tr>
      <w:tr w14:paraId="5B78AC32">
        <w:tblPrEx>
          <w:tblCellMar>
            <w:top w:w="0" w:type="dxa"/>
            <w:left w:w="0" w:type="dxa"/>
            <w:bottom w:w="0" w:type="dxa"/>
            <w:right w:w="0" w:type="dxa"/>
          </w:tblCellMar>
        </w:tblPrEx>
        <w:trPr>
          <w:trHeight w:val="276" w:hRule="atLeast"/>
        </w:trPr>
        <w:tc>
          <w:tcPr>
            <w:tcW w:w="841" w:type="pct"/>
            <w:tcBorders>
              <w:top w:val="nil"/>
              <w:left w:val="single" w:color="auto" w:sz="4" w:space="0"/>
              <w:bottom w:val="single" w:color="auto" w:sz="4" w:space="0"/>
              <w:right w:val="single" w:color="auto" w:sz="4" w:space="0"/>
            </w:tcBorders>
            <w:noWrap/>
            <w:vAlign w:val="bottom"/>
          </w:tcPr>
          <w:p w14:paraId="61AB4B8B">
            <w:pPr>
              <w:widowControl/>
              <w:jc w:val="left"/>
              <w:rPr>
                <w:rFonts w:ascii="宋体" w:cs="宋体"/>
                <w:color w:val="000000"/>
                <w:kern w:val="0"/>
                <w:sz w:val="18"/>
                <w:szCs w:val="18"/>
              </w:rPr>
            </w:pPr>
            <w:r>
              <w:rPr>
                <w:rFonts w:hint="eastAsia" w:ascii="宋体" w:cs="宋体"/>
                <w:color w:val="000000"/>
                <w:kern w:val="0"/>
                <w:sz w:val="18"/>
                <w:szCs w:val="18"/>
              </w:rPr>
              <w:t>药剂1</w:t>
            </w:r>
          </w:p>
        </w:tc>
        <w:tc>
          <w:tcPr>
            <w:tcW w:w="743" w:type="pct"/>
            <w:tcBorders>
              <w:top w:val="single" w:color="auto" w:sz="4" w:space="0"/>
              <w:left w:val="nil"/>
              <w:bottom w:val="single" w:color="auto" w:sz="4" w:space="0"/>
              <w:right w:val="single" w:color="auto" w:sz="4" w:space="0"/>
            </w:tcBorders>
          </w:tcPr>
          <w:p w14:paraId="037DF847">
            <w:pPr>
              <w:widowControl/>
              <w:jc w:val="center"/>
              <w:rPr>
                <w:rFonts w:ascii="宋体" w:cs="宋体"/>
                <w:color w:val="000000"/>
                <w:kern w:val="0"/>
                <w:sz w:val="18"/>
                <w:szCs w:val="18"/>
              </w:rPr>
            </w:pPr>
          </w:p>
        </w:tc>
        <w:tc>
          <w:tcPr>
            <w:tcW w:w="594" w:type="pct"/>
            <w:tcBorders>
              <w:top w:val="nil"/>
              <w:left w:val="single" w:color="auto" w:sz="4" w:space="0"/>
              <w:bottom w:val="single" w:color="auto" w:sz="4" w:space="0"/>
              <w:right w:val="single" w:color="auto" w:sz="4" w:space="0"/>
            </w:tcBorders>
            <w:noWrap/>
            <w:vAlign w:val="bottom"/>
          </w:tcPr>
          <w:p w14:paraId="12AA7B09">
            <w:pPr>
              <w:widowControl/>
              <w:jc w:val="center"/>
              <w:rPr>
                <w:rFonts w:hint="eastAsia" w:ascii="宋体" w:hAnsi="宋体" w:cs="宋体"/>
                <w:color w:val="000000"/>
                <w:kern w:val="0"/>
                <w:sz w:val="18"/>
                <w:szCs w:val="18"/>
              </w:rPr>
            </w:pPr>
          </w:p>
        </w:tc>
        <w:tc>
          <w:tcPr>
            <w:tcW w:w="718" w:type="pct"/>
            <w:tcBorders>
              <w:top w:val="nil"/>
              <w:left w:val="nil"/>
              <w:bottom w:val="single" w:color="auto" w:sz="4" w:space="0"/>
              <w:right w:val="single" w:color="auto" w:sz="4" w:space="0"/>
            </w:tcBorders>
            <w:noWrap/>
            <w:vAlign w:val="bottom"/>
          </w:tcPr>
          <w:p w14:paraId="313EC76F">
            <w:pPr>
              <w:widowControl/>
              <w:jc w:val="center"/>
              <w:rPr>
                <w:rFonts w:ascii="宋体" w:cs="宋体"/>
                <w:color w:val="000000"/>
                <w:kern w:val="0"/>
                <w:sz w:val="18"/>
                <w:szCs w:val="18"/>
              </w:rPr>
            </w:pPr>
          </w:p>
        </w:tc>
        <w:tc>
          <w:tcPr>
            <w:tcW w:w="1496" w:type="pct"/>
            <w:tcBorders>
              <w:top w:val="nil"/>
              <w:left w:val="nil"/>
              <w:bottom w:val="single" w:color="auto" w:sz="4" w:space="0"/>
              <w:right w:val="single" w:color="auto" w:sz="4" w:space="0"/>
            </w:tcBorders>
            <w:noWrap/>
            <w:vAlign w:val="bottom"/>
          </w:tcPr>
          <w:p w14:paraId="521B7FC8">
            <w:pPr>
              <w:widowControl/>
              <w:jc w:val="center"/>
              <w:rPr>
                <w:rFonts w:ascii="宋体" w:cs="宋体"/>
                <w:color w:val="000000"/>
                <w:kern w:val="0"/>
                <w:sz w:val="18"/>
                <w:szCs w:val="18"/>
              </w:rPr>
            </w:pPr>
            <w:r>
              <w:rPr>
                <w:rFonts w:hint="eastAsia" w:ascii="宋体" w:hAnsi="宋体" w:cs="宋体"/>
                <w:color w:val="000000"/>
                <w:kern w:val="0"/>
                <w:sz w:val="18"/>
                <w:szCs w:val="18"/>
              </w:rPr>
              <w:t>如：某商业数据库</w:t>
            </w:r>
          </w:p>
        </w:tc>
        <w:tc>
          <w:tcPr>
            <w:tcW w:w="608" w:type="pct"/>
            <w:tcBorders>
              <w:top w:val="nil"/>
              <w:left w:val="nil"/>
              <w:bottom w:val="single" w:color="auto" w:sz="4" w:space="0"/>
              <w:right w:val="single" w:color="auto" w:sz="4" w:space="0"/>
            </w:tcBorders>
            <w:noWrap/>
            <w:vAlign w:val="bottom"/>
          </w:tcPr>
          <w:p w14:paraId="0401FDF7">
            <w:pPr>
              <w:widowControl/>
              <w:jc w:val="left"/>
              <w:rPr>
                <w:rFonts w:ascii="宋体" w:cs="宋体"/>
                <w:color w:val="000000"/>
                <w:kern w:val="0"/>
                <w:sz w:val="18"/>
                <w:szCs w:val="18"/>
              </w:rPr>
            </w:pPr>
          </w:p>
        </w:tc>
      </w:tr>
      <w:tr w14:paraId="16DD2D9E">
        <w:tblPrEx>
          <w:tblCellMar>
            <w:top w:w="0" w:type="dxa"/>
            <w:left w:w="0" w:type="dxa"/>
            <w:bottom w:w="0" w:type="dxa"/>
            <w:right w:w="0" w:type="dxa"/>
          </w:tblCellMar>
        </w:tblPrEx>
        <w:trPr>
          <w:trHeight w:val="276" w:hRule="atLeast"/>
        </w:trPr>
        <w:tc>
          <w:tcPr>
            <w:tcW w:w="841" w:type="pct"/>
            <w:tcBorders>
              <w:top w:val="nil"/>
              <w:left w:val="single" w:color="auto" w:sz="4" w:space="0"/>
              <w:bottom w:val="single" w:color="auto" w:sz="4" w:space="0"/>
              <w:right w:val="single" w:color="auto" w:sz="4" w:space="0"/>
            </w:tcBorders>
            <w:noWrap/>
            <w:vAlign w:val="bottom"/>
          </w:tcPr>
          <w:p w14:paraId="3F72CE3C">
            <w:pPr>
              <w:widowControl/>
              <w:ind w:right="720"/>
              <w:rPr>
                <w:rFonts w:ascii="宋体" w:cs="宋体"/>
                <w:color w:val="000000"/>
                <w:kern w:val="0"/>
                <w:sz w:val="18"/>
                <w:szCs w:val="18"/>
              </w:rPr>
            </w:pPr>
            <w:r>
              <w:rPr>
                <w:rFonts w:hint="eastAsia" w:ascii="宋体" w:cs="宋体"/>
                <w:color w:val="000000"/>
                <w:kern w:val="0"/>
                <w:sz w:val="18"/>
                <w:szCs w:val="18"/>
              </w:rPr>
              <w:t>药剂2</w:t>
            </w:r>
          </w:p>
        </w:tc>
        <w:tc>
          <w:tcPr>
            <w:tcW w:w="743" w:type="pct"/>
            <w:tcBorders>
              <w:top w:val="single" w:color="auto" w:sz="4" w:space="0"/>
              <w:left w:val="nil"/>
              <w:bottom w:val="single" w:color="auto" w:sz="4" w:space="0"/>
              <w:right w:val="single" w:color="auto" w:sz="4" w:space="0"/>
            </w:tcBorders>
          </w:tcPr>
          <w:p w14:paraId="325EA5FF">
            <w:pPr>
              <w:widowControl/>
              <w:jc w:val="center"/>
              <w:rPr>
                <w:rFonts w:ascii="宋体" w:cs="宋体"/>
                <w:color w:val="000000"/>
                <w:kern w:val="0"/>
                <w:sz w:val="18"/>
                <w:szCs w:val="18"/>
              </w:rPr>
            </w:pPr>
          </w:p>
        </w:tc>
        <w:tc>
          <w:tcPr>
            <w:tcW w:w="594" w:type="pct"/>
            <w:tcBorders>
              <w:top w:val="nil"/>
              <w:left w:val="single" w:color="auto" w:sz="4" w:space="0"/>
              <w:bottom w:val="single" w:color="auto" w:sz="4" w:space="0"/>
              <w:right w:val="single" w:color="auto" w:sz="4" w:space="0"/>
            </w:tcBorders>
            <w:noWrap/>
            <w:vAlign w:val="bottom"/>
          </w:tcPr>
          <w:p w14:paraId="7412E513">
            <w:pPr>
              <w:widowControl/>
              <w:jc w:val="center"/>
              <w:rPr>
                <w:rFonts w:hint="eastAsia" w:ascii="宋体" w:hAnsi="宋体" w:cs="宋体"/>
                <w:color w:val="000000"/>
                <w:kern w:val="0"/>
                <w:sz w:val="18"/>
                <w:szCs w:val="18"/>
              </w:rPr>
            </w:pPr>
          </w:p>
        </w:tc>
        <w:tc>
          <w:tcPr>
            <w:tcW w:w="718" w:type="pct"/>
            <w:tcBorders>
              <w:top w:val="nil"/>
              <w:left w:val="nil"/>
              <w:bottom w:val="single" w:color="auto" w:sz="4" w:space="0"/>
              <w:right w:val="single" w:color="auto" w:sz="4" w:space="0"/>
            </w:tcBorders>
            <w:noWrap/>
            <w:vAlign w:val="bottom"/>
          </w:tcPr>
          <w:p w14:paraId="13EB0802">
            <w:pPr>
              <w:widowControl/>
              <w:jc w:val="center"/>
              <w:rPr>
                <w:rFonts w:ascii="宋体" w:cs="宋体"/>
                <w:color w:val="000000"/>
                <w:kern w:val="0"/>
                <w:sz w:val="18"/>
                <w:szCs w:val="18"/>
              </w:rPr>
            </w:pPr>
          </w:p>
        </w:tc>
        <w:tc>
          <w:tcPr>
            <w:tcW w:w="1496" w:type="pct"/>
            <w:tcBorders>
              <w:top w:val="nil"/>
              <w:left w:val="nil"/>
              <w:bottom w:val="single" w:color="auto" w:sz="4" w:space="0"/>
              <w:right w:val="single" w:color="auto" w:sz="4" w:space="0"/>
            </w:tcBorders>
            <w:noWrap/>
            <w:vAlign w:val="bottom"/>
          </w:tcPr>
          <w:p w14:paraId="0149B602">
            <w:pPr>
              <w:widowControl/>
              <w:jc w:val="center"/>
              <w:rPr>
                <w:rFonts w:ascii="宋体" w:cs="宋体"/>
                <w:color w:val="000000"/>
                <w:kern w:val="0"/>
                <w:sz w:val="18"/>
                <w:szCs w:val="18"/>
              </w:rPr>
            </w:pPr>
            <w:r>
              <w:rPr>
                <w:rFonts w:hint="eastAsia" w:ascii="宋体" w:hAnsi="宋体" w:cs="宋体"/>
                <w:color w:val="000000"/>
                <w:kern w:val="0"/>
                <w:sz w:val="18"/>
                <w:szCs w:val="18"/>
              </w:rPr>
              <w:t>如：某文献</w:t>
            </w:r>
          </w:p>
        </w:tc>
        <w:tc>
          <w:tcPr>
            <w:tcW w:w="608" w:type="pct"/>
            <w:tcBorders>
              <w:top w:val="nil"/>
              <w:left w:val="nil"/>
              <w:bottom w:val="single" w:color="auto" w:sz="4" w:space="0"/>
              <w:right w:val="single" w:color="auto" w:sz="4" w:space="0"/>
            </w:tcBorders>
            <w:noWrap/>
            <w:vAlign w:val="bottom"/>
          </w:tcPr>
          <w:p w14:paraId="03D82A58">
            <w:pPr>
              <w:widowControl/>
              <w:jc w:val="left"/>
              <w:rPr>
                <w:rFonts w:ascii="宋体" w:cs="宋体"/>
                <w:color w:val="000000"/>
                <w:kern w:val="0"/>
                <w:sz w:val="18"/>
                <w:szCs w:val="18"/>
              </w:rPr>
            </w:pPr>
          </w:p>
        </w:tc>
      </w:tr>
      <w:tr w14:paraId="17EA4A95">
        <w:tblPrEx>
          <w:tblCellMar>
            <w:top w:w="0" w:type="dxa"/>
            <w:left w:w="0" w:type="dxa"/>
            <w:bottom w:w="0" w:type="dxa"/>
            <w:right w:w="0" w:type="dxa"/>
          </w:tblCellMar>
        </w:tblPrEx>
        <w:trPr>
          <w:trHeight w:val="276" w:hRule="atLeast"/>
        </w:trPr>
        <w:tc>
          <w:tcPr>
            <w:tcW w:w="841" w:type="pct"/>
            <w:tcBorders>
              <w:top w:val="nil"/>
              <w:left w:val="single" w:color="auto" w:sz="4" w:space="0"/>
              <w:bottom w:val="single" w:color="auto" w:sz="4" w:space="0"/>
              <w:right w:val="single" w:color="auto" w:sz="4" w:space="0"/>
            </w:tcBorders>
            <w:noWrap/>
            <w:vAlign w:val="bottom"/>
          </w:tcPr>
          <w:p w14:paraId="3E2BB57D">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743" w:type="pct"/>
            <w:tcBorders>
              <w:top w:val="single" w:color="auto" w:sz="4" w:space="0"/>
              <w:left w:val="nil"/>
              <w:bottom w:val="single" w:color="auto" w:sz="4" w:space="0"/>
              <w:right w:val="single" w:color="auto" w:sz="4" w:space="0"/>
            </w:tcBorders>
          </w:tcPr>
          <w:p w14:paraId="2DDE41A0">
            <w:pPr>
              <w:widowControl/>
              <w:jc w:val="center"/>
              <w:rPr>
                <w:rFonts w:ascii="宋体" w:cs="宋体"/>
                <w:color w:val="000000"/>
                <w:kern w:val="0"/>
                <w:sz w:val="18"/>
                <w:szCs w:val="18"/>
              </w:rPr>
            </w:pPr>
          </w:p>
        </w:tc>
        <w:tc>
          <w:tcPr>
            <w:tcW w:w="594" w:type="pct"/>
            <w:tcBorders>
              <w:top w:val="nil"/>
              <w:left w:val="single" w:color="auto" w:sz="4" w:space="0"/>
              <w:bottom w:val="single" w:color="auto" w:sz="4" w:space="0"/>
              <w:right w:val="single" w:color="auto" w:sz="4" w:space="0"/>
            </w:tcBorders>
            <w:noWrap/>
            <w:vAlign w:val="bottom"/>
          </w:tcPr>
          <w:p w14:paraId="4288728A">
            <w:pPr>
              <w:widowControl/>
              <w:jc w:val="center"/>
              <w:rPr>
                <w:rFonts w:ascii="宋体" w:cs="宋体"/>
                <w:color w:val="000000"/>
                <w:kern w:val="0"/>
                <w:sz w:val="18"/>
                <w:szCs w:val="18"/>
              </w:rPr>
            </w:pPr>
          </w:p>
        </w:tc>
        <w:tc>
          <w:tcPr>
            <w:tcW w:w="718" w:type="pct"/>
            <w:tcBorders>
              <w:top w:val="nil"/>
              <w:left w:val="nil"/>
              <w:bottom w:val="single" w:color="auto" w:sz="4" w:space="0"/>
              <w:right w:val="single" w:color="auto" w:sz="4" w:space="0"/>
            </w:tcBorders>
            <w:noWrap/>
            <w:vAlign w:val="bottom"/>
          </w:tcPr>
          <w:p w14:paraId="079EE2B1">
            <w:pPr>
              <w:widowControl/>
              <w:jc w:val="center"/>
              <w:rPr>
                <w:rFonts w:ascii="宋体" w:cs="宋体"/>
                <w:color w:val="000000"/>
                <w:kern w:val="0"/>
                <w:sz w:val="18"/>
                <w:szCs w:val="18"/>
              </w:rPr>
            </w:pPr>
          </w:p>
        </w:tc>
        <w:tc>
          <w:tcPr>
            <w:tcW w:w="1496" w:type="pct"/>
            <w:tcBorders>
              <w:top w:val="nil"/>
              <w:left w:val="nil"/>
              <w:bottom w:val="single" w:color="auto" w:sz="4" w:space="0"/>
              <w:right w:val="single" w:color="auto" w:sz="4" w:space="0"/>
            </w:tcBorders>
            <w:noWrap/>
            <w:vAlign w:val="bottom"/>
          </w:tcPr>
          <w:p w14:paraId="2FEFFCAF">
            <w:pPr>
              <w:widowControl/>
              <w:jc w:val="center"/>
              <w:rPr>
                <w:rFonts w:ascii="宋体" w:cs="宋体"/>
                <w:color w:val="000000"/>
                <w:kern w:val="0"/>
                <w:sz w:val="18"/>
                <w:szCs w:val="18"/>
              </w:rPr>
            </w:pPr>
          </w:p>
        </w:tc>
        <w:tc>
          <w:tcPr>
            <w:tcW w:w="608" w:type="pct"/>
            <w:tcBorders>
              <w:top w:val="nil"/>
              <w:left w:val="nil"/>
              <w:bottom w:val="single" w:color="auto" w:sz="4" w:space="0"/>
              <w:right w:val="single" w:color="auto" w:sz="4" w:space="0"/>
            </w:tcBorders>
            <w:noWrap/>
            <w:vAlign w:val="bottom"/>
          </w:tcPr>
          <w:p w14:paraId="24BD942D">
            <w:pPr>
              <w:widowControl/>
              <w:jc w:val="left"/>
              <w:rPr>
                <w:rFonts w:ascii="宋体" w:cs="宋体"/>
                <w:color w:val="000000"/>
                <w:kern w:val="0"/>
                <w:sz w:val="18"/>
                <w:szCs w:val="18"/>
              </w:rPr>
            </w:pPr>
          </w:p>
        </w:tc>
      </w:tr>
    </w:tbl>
    <w:p w14:paraId="123BED81">
      <w:pPr>
        <w:pStyle w:val="61"/>
        <w:ind w:left="5250" w:firstLine="0" w:firstLineChars="0"/>
        <w:jc w:val="center"/>
        <w:rPr>
          <w:rFonts w:hint="eastAsia" w:ascii="黑体" w:hAnsi="黑体" w:eastAsia="黑体"/>
        </w:rPr>
      </w:pPr>
    </w:p>
    <w:p w14:paraId="20132A42">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C.</w:t>
      </w:r>
      <w:r>
        <w:rPr>
          <w:rFonts w:hint="eastAsia" w:ascii="黑体" w:hAnsi="黑体" w:eastAsia="黑体"/>
        </w:rPr>
        <w:t>6</w:t>
      </w:r>
      <w:r>
        <w:rPr>
          <w:rFonts w:ascii="黑体" w:hAnsi="黑体" w:eastAsia="黑体"/>
        </w:rPr>
        <w:t xml:space="preserve"> </w:t>
      </w:r>
      <w:r>
        <w:rPr>
          <w:rFonts w:hint="eastAsia" w:ascii="黑体" w:hAnsi="黑体" w:eastAsia="黑体"/>
        </w:rPr>
        <w:t>背景数据收集范例</w:t>
      </w:r>
      <w:r>
        <w:rPr>
          <w:rFonts w:ascii="黑体" w:hAnsi="黑体" w:eastAsia="黑体"/>
        </w:rPr>
        <w:t>2-</w:t>
      </w:r>
      <w:r>
        <w:rPr>
          <w:rFonts w:hint="eastAsia" w:ascii="黑体" w:hAnsi="黑体" w:eastAsia="黑体"/>
        </w:rPr>
        <w:t>某外购商品</w:t>
      </w:r>
      <w:r>
        <w:rPr>
          <w:rFonts w:ascii="黑体" w:hAnsi="黑体" w:eastAsia="黑体"/>
        </w:rPr>
        <w:t>X</w:t>
      </w:r>
      <w:r>
        <w:rPr>
          <w:rFonts w:hint="eastAsia" w:ascii="黑体" w:hAnsi="黑体" w:eastAsia="黑体"/>
        </w:rPr>
        <w:t>的生产（方法</w:t>
      </w:r>
      <w:r>
        <w:rPr>
          <w:rFonts w:ascii="黑体" w:hAnsi="黑体" w:eastAsia="黑体"/>
        </w:rPr>
        <w:t>2</w:t>
      </w:r>
      <w:r>
        <w:rPr>
          <w:rFonts w:hint="eastAsia" w:ascii="黑体" w:hAnsi="黑体" w:eastAsia="黑体"/>
        </w:rPr>
        <w:t>）</w:t>
      </w:r>
    </w:p>
    <w:tbl>
      <w:tblPr>
        <w:tblStyle w:val="22"/>
        <w:tblW w:w="5000" w:type="pct"/>
        <w:tblInd w:w="0" w:type="dxa"/>
        <w:tblLayout w:type="fixed"/>
        <w:tblCellMar>
          <w:top w:w="0" w:type="dxa"/>
          <w:left w:w="0" w:type="dxa"/>
          <w:bottom w:w="0" w:type="dxa"/>
          <w:right w:w="0" w:type="dxa"/>
        </w:tblCellMar>
      </w:tblPr>
      <w:tblGrid>
        <w:gridCol w:w="2176"/>
        <w:gridCol w:w="803"/>
        <w:gridCol w:w="994"/>
        <w:gridCol w:w="1617"/>
        <w:gridCol w:w="1994"/>
        <w:gridCol w:w="732"/>
      </w:tblGrid>
      <w:tr w14:paraId="5327DE7D">
        <w:tblPrEx>
          <w:tblCellMar>
            <w:top w:w="0" w:type="dxa"/>
            <w:left w:w="0" w:type="dxa"/>
            <w:bottom w:w="0" w:type="dxa"/>
            <w:right w:w="0" w:type="dxa"/>
          </w:tblCellMar>
        </w:tblPrEx>
        <w:trPr>
          <w:trHeight w:val="279" w:hRule="atLeast"/>
        </w:trPr>
        <w:tc>
          <w:tcPr>
            <w:tcW w:w="1308" w:type="pct"/>
            <w:tcBorders>
              <w:top w:val="single" w:color="auto" w:sz="4" w:space="0"/>
              <w:left w:val="single" w:color="auto" w:sz="4" w:space="0"/>
              <w:bottom w:val="single" w:color="auto" w:sz="4" w:space="0"/>
              <w:right w:val="single" w:color="auto" w:sz="4" w:space="0"/>
            </w:tcBorders>
            <w:noWrap/>
            <w:vAlign w:val="bottom"/>
          </w:tcPr>
          <w:p w14:paraId="1A48E8E4">
            <w:pPr>
              <w:widowControl/>
              <w:jc w:val="left"/>
              <w:rPr>
                <w:rFonts w:ascii="宋体" w:cs="宋体"/>
                <w:color w:val="000000"/>
                <w:kern w:val="0"/>
                <w:sz w:val="18"/>
                <w:szCs w:val="18"/>
              </w:rPr>
            </w:pPr>
            <w:r>
              <w:rPr>
                <w:rFonts w:hint="eastAsia" w:ascii="宋体" w:hAnsi="宋体" w:cs="宋体"/>
                <w:color w:val="000000"/>
                <w:kern w:val="0"/>
                <w:sz w:val="18"/>
                <w:szCs w:val="18"/>
              </w:rPr>
              <w:t>活动水平数据</w:t>
            </w:r>
          </w:p>
        </w:tc>
        <w:tc>
          <w:tcPr>
            <w:tcW w:w="483" w:type="pct"/>
            <w:tcBorders>
              <w:top w:val="single" w:color="auto" w:sz="4" w:space="0"/>
              <w:left w:val="nil"/>
              <w:bottom w:val="single" w:color="auto" w:sz="4" w:space="0"/>
              <w:right w:val="single" w:color="auto" w:sz="4" w:space="0"/>
            </w:tcBorders>
          </w:tcPr>
          <w:p w14:paraId="7A1B2E2B">
            <w:pPr>
              <w:widowControl/>
              <w:jc w:val="center"/>
              <w:rPr>
                <w:rFonts w:ascii="宋体" w:cs="宋体"/>
                <w:color w:val="000000"/>
                <w:kern w:val="0"/>
                <w:sz w:val="18"/>
                <w:szCs w:val="18"/>
              </w:rPr>
            </w:pPr>
            <w:r>
              <w:rPr>
                <w:rFonts w:hint="eastAsia" w:ascii="宋体" w:hAnsi="宋体" w:cs="宋体"/>
                <w:color w:val="000000"/>
                <w:kern w:val="0"/>
                <w:sz w:val="18"/>
                <w:szCs w:val="18"/>
              </w:rPr>
              <w:t>规格等级</w:t>
            </w:r>
          </w:p>
        </w:tc>
        <w:tc>
          <w:tcPr>
            <w:tcW w:w="598" w:type="pct"/>
            <w:tcBorders>
              <w:top w:val="single" w:color="auto" w:sz="4" w:space="0"/>
              <w:left w:val="single" w:color="auto" w:sz="4" w:space="0"/>
              <w:bottom w:val="single" w:color="auto" w:sz="4" w:space="0"/>
              <w:right w:val="single" w:color="auto" w:sz="4" w:space="0"/>
            </w:tcBorders>
            <w:noWrap/>
            <w:vAlign w:val="bottom"/>
          </w:tcPr>
          <w:p w14:paraId="7FC7226D">
            <w:pPr>
              <w:widowControl/>
              <w:jc w:val="center"/>
              <w:rPr>
                <w:rFonts w:ascii="宋体" w:cs="宋体"/>
                <w:color w:val="000000"/>
                <w:kern w:val="0"/>
                <w:sz w:val="18"/>
                <w:szCs w:val="18"/>
              </w:rPr>
            </w:pPr>
            <w:r>
              <w:rPr>
                <w:rFonts w:hint="eastAsia" w:ascii="宋体" w:hAnsi="宋体" w:cs="宋体"/>
                <w:color w:val="000000"/>
                <w:kern w:val="0"/>
                <w:sz w:val="18"/>
                <w:szCs w:val="18"/>
              </w:rPr>
              <w:t>单位</w:t>
            </w:r>
          </w:p>
        </w:tc>
        <w:tc>
          <w:tcPr>
            <w:tcW w:w="972" w:type="pct"/>
            <w:tcBorders>
              <w:top w:val="single" w:color="auto" w:sz="4" w:space="0"/>
              <w:left w:val="nil"/>
              <w:bottom w:val="single" w:color="auto" w:sz="4" w:space="0"/>
              <w:right w:val="single" w:color="auto" w:sz="4" w:space="0"/>
            </w:tcBorders>
            <w:noWrap/>
            <w:vAlign w:val="bottom"/>
          </w:tcPr>
          <w:p w14:paraId="1580A4B7">
            <w:pPr>
              <w:widowControl/>
              <w:jc w:val="center"/>
              <w:rPr>
                <w:rFonts w:ascii="宋体" w:cs="宋体"/>
                <w:color w:val="000000"/>
                <w:kern w:val="0"/>
                <w:sz w:val="18"/>
                <w:szCs w:val="18"/>
              </w:rPr>
            </w:pPr>
            <w:r>
              <w:rPr>
                <w:rFonts w:hint="eastAsia" w:ascii="宋体" w:hAnsi="宋体" w:cs="宋体"/>
                <w:color w:val="000000"/>
                <w:kern w:val="0"/>
                <w:sz w:val="18"/>
                <w:szCs w:val="18"/>
              </w:rPr>
              <w:t>每声明单位消耗量</w:t>
            </w:r>
          </w:p>
        </w:tc>
        <w:tc>
          <w:tcPr>
            <w:tcW w:w="1199" w:type="pct"/>
            <w:tcBorders>
              <w:top w:val="single" w:color="auto" w:sz="4" w:space="0"/>
              <w:left w:val="nil"/>
              <w:bottom w:val="single" w:color="auto" w:sz="4" w:space="0"/>
              <w:right w:val="single" w:color="auto" w:sz="4" w:space="0"/>
            </w:tcBorders>
            <w:noWrap/>
            <w:vAlign w:val="bottom"/>
          </w:tcPr>
          <w:p w14:paraId="033BB05D">
            <w:pPr>
              <w:widowControl/>
              <w:jc w:val="center"/>
              <w:rPr>
                <w:rFonts w:ascii="宋体" w:cs="宋体"/>
                <w:color w:val="000000"/>
                <w:kern w:val="0"/>
                <w:sz w:val="18"/>
                <w:szCs w:val="18"/>
              </w:rPr>
            </w:pPr>
            <w:r>
              <w:rPr>
                <w:rFonts w:hint="eastAsia" w:ascii="宋体" w:hAnsi="宋体" w:cs="宋体"/>
                <w:color w:val="000000"/>
                <w:kern w:val="0"/>
                <w:sz w:val="18"/>
                <w:szCs w:val="18"/>
              </w:rPr>
              <w:t>数据来源</w:t>
            </w:r>
          </w:p>
        </w:tc>
        <w:tc>
          <w:tcPr>
            <w:tcW w:w="440" w:type="pct"/>
            <w:tcBorders>
              <w:top w:val="single" w:color="auto" w:sz="4" w:space="0"/>
              <w:left w:val="nil"/>
              <w:bottom w:val="single" w:color="auto" w:sz="4" w:space="0"/>
              <w:right w:val="single" w:color="auto" w:sz="4" w:space="0"/>
            </w:tcBorders>
            <w:noWrap/>
            <w:vAlign w:val="bottom"/>
          </w:tcPr>
          <w:p w14:paraId="23E995E3">
            <w:pPr>
              <w:widowControl/>
              <w:jc w:val="center"/>
              <w:rPr>
                <w:rFonts w:ascii="宋体" w:cs="宋体"/>
                <w:color w:val="000000"/>
                <w:kern w:val="0"/>
                <w:sz w:val="18"/>
                <w:szCs w:val="18"/>
              </w:rPr>
            </w:pPr>
            <w:r>
              <w:rPr>
                <w:rFonts w:hint="eastAsia" w:ascii="宋体" w:hAnsi="宋体" w:cs="宋体"/>
                <w:color w:val="000000"/>
                <w:kern w:val="0"/>
                <w:sz w:val="18"/>
                <w:szCs w:val="18"/>
              </w:rPr>
              <w:t>数据时间</w:t>
            </w:r>
          </w:p>
        </w:tc>
      </w:tr>
      <w:tr w14:paraId="595E141B">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3B8F34A8">
            <w:pPr>
              <w:widowControl/>
              <w:jc w:val="left"/>
              <w:rPr>
                <w:rFonts w:ascii="宋体" w:cs="宋体"/>
                <w:color w:val="000000"/>
                <w:kern w:val="0"/>
                <w:sz w:val="18"/>
                <w:szCs w:val="18"/>
              </w:rPr>
            </w:pPr>
            <w:r>
              <w:rPr>
                <w:rFonts w:hint="eastAsia" w:ascii="宋体" w:hAnsi="宋体" w:cs="宋体"/>
                <w:color w:val="000000"/>
                <w:kern w:val="0"/>
                <w:sz w:val="18"/>
                <w:szCs w:val="18"/>
              </w:rPr>
              <w:t>原材料</w:t>
            </w:r>
            <w:r>
              <w:rPr>
                <w:rFonts w:ascii="宋体" w:hAnsi="宋体" w:cs="宋体"/>
                <w:color w:val="000000"/>
                <w:kern w:val="0"/>
                <w:sz w:val="18"/>
                <w:szCs w:val="18"/>
              </w:rPr>
              <w:t>A</w:t>
            </w:r>
          </w:p>
        </w:tc>
        <w:tc>
          <w:tcPr>
            <w:tcW w:w="483" w:type="pct"/>
            <w:tcBorders>
              <w:top w:val="single" w:color="auto" w:sz="4" w:space="0"/>
              <w:left w:val="nil"/>
              <w:bottom w:val="single" w:color="auto" w:sz="4" w:space="0"/>
              <w:right w:val="single" w:color="auto" w:sz="4" w:space="0"/>
            </w:tcBorders>
          </w:tcPr>
          <w:p w14:paraId="7FE3E34D">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6493EBBE">
            <w:pPr>
              <w:widowControl/>
              <w:jc w:val="center"/>
              <w:rPr>
                <w:rFonts w:hint="eastAsia" w:ascii="宋体" w:hAns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19C7D216">
            <w:pPr>
              <w:widowControl/>
              <w:jc w:val="center"/>
              <w:rPr>
                <w:rFonts w:asci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21D34559">
            <w:pPr>
              <w:widowControl/>
              <w:jc w:val="center"/>
              <w:rPr>
                <w:rFonts w:ascii="宋体" w:cs="宋体"/>
                <w:color w:val="000000"/>
                <w:kern w:val="0"/>
                <w:sz w:val="18"/>
                <w:szCs w:val="18"/>
              </w:rPr>
            </w:pPr>
            <w:r>
              <w:rPr>
                <w:rFonts w:hint="eastAsia" w:ascii="宋体" w:hAnsi="宋体" w:cs="宋体"/>
                <w:color w:val="000000"/>
                <w:kern w:val="0"/>
                <w:sz w:val="18"/>
                <w:szCs w:val="18"/>
              </w:rPr>
              <w:t>如：供应商</w:t>
            </w:r>
          </w:p>
        </w:tc>
        <w:tc>
          <w:tcPr>
            <w:tcW w:w="440" w:type="pct"/>
            <w:tcBorders>
              <w:top w:val="nil"/>
              <w:left w:val="nil"/>
              <w:bottom w:val="single" w:color="auto" w:sz="4" w:space="0"/>
              <w:right w:val="single" w:color="auto" w:sz="4" w:space="0"/>
            </w:tcBorders>
            <w:noWrap/>
            <w:vAlign w:val="bottom"/>
          </w:tcPr>
          <w:p w14:paraId="41183961">
            <w:pPr>
              <w:widowControl/>
              <w:jc w:val="left"/>
              <w:rPr>
                <w:rFonts w:ascii="宋体" w:cs="宋体"/>
                <w:color w:val="000000"/>
                <w:kern w:val="0"/>
                <w:sz w:val="18"/>
                <w:szCs w:val="18"/>
              </w:rPr>
            </w:pPr>
          </w:p>
        </w:tc>
      </w:tr>
      <w:tr w14:paraId="6F299610">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09362FCC">
            <w:pPr>
              <w:widowControl/>
              <w:jc w:val="left"/>
              <w:rPr>
                <w:rFonts w:ascii="宋体" w:cs="宋体"/>
                <w:color w:val="000000"/>
                <w:kern w:val="0"/>
                <w:sz w:val="18"/>
                <w:szCs w:val="18"/>
              </w:rPr>
            </w:pPr>
            <w:r>
              <w:rPr>
                <w:rFonts w:hint="eastAsia" w:ascii="宋体" w:hAnsi="宋体" w:cs="宋体"/>
                <w:color w:val="000000"/>
                <w:kern w:val="0"/>
                <w:sz w:val="18"/>
                <w:szCs w:val="18"/>
              </w:rPr>
              <w:t>燃料</w:t>
            </w:r>
            <w:r>
              <w:rPr>
                <w:rFonts w:ascii="宋体" w:hAnsi="宋体" w:cs="宋体"/>
                <w:color w:val="000000"/>
                <w:kern w:val="0"/>
                <w:sz w:val="18"/>
                <w:szCs w:val="18"/>
              </w:rPr>
              <w:t>B</w:t>
            </w:r>
            <w:r>
              <w:rPr>
                <w:rFonts w:hint="eastAsia" w:ascii="宋体" w:hAnsi="宋体" w:cs="宋体"/>
                <w:color w:val="000000"/>
                <w:kern w:val="0"/>
                <w:sz w:val="18"/>
                <w:szCs w:val="18"/>
              </w:rPr>
              <w:t>（如柴油）</w:t>
            </w:r>
          </w:p>
        </w:tc>
        <w:tc>
          <w:tcPr>
            <w:tcW w:w="483" w:type="pct"/>
            <w:tcBorders>
              <w:top w:val="single" w:color="auto" w:sz="4" w:space="0"/>
              <w:left w:val="nil"/>
              <w:bottom w:val="single" w:color="auto" w:sz="4" w:space="0"/>
              <w:right w:val="single" w:color="auto" w:sz="4" w:space="0"/>
            </w:tcBorders>
          </w:tcPr>
          <w:p w14:paraId="7ED44C5E">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3182B93F">
            <w:pPr>
              <w:widowControl/>
              <w:jc w:val="center"/>
              <w:rPr>
                <w:rFonts w:hint="eastAsia" w:ascii="宋体" w:hAns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7F096C8A">
            <w:pPr>
              <w:widowControl/>
              <w:jc w:val="center"/>
              <w:rPr>
                <w:rFonts w:asci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2795F55A">
            <w:pPr>
              <w:widowControl/>
              <w:jc w:val="center"/>
              <w:rPr>
                <w:rFonts w:ascii="宋体" w:cs="宋体"/>
                <w:color w:val="000000"/>
                <w:kern w:val="0"/>
                <w:sz w:val="18"/>
                <w:szCs w:val="18"/>
              </w:rPr>
            </w:pPr>
            <w:r>
              <w:rPr>
                <w:rFonts w:hint="eastAsia" w:ascii="宋体" w:hAnsi="宋体" w:cs="宋体"/>
                <w:color w:val="000000"/>
                <w:kern w:val="0"/>
                <w:sz w:val="18"/>
                <w:szCs w:val="18"/>
              </w:rPr>
              <w:t>如：国家生命周期数据库</w:t>
            </w:r>
          </w:p>
        </w:tc>
        <w:tc>
          <w:tcPr>
            <w:tcW w:w="440" w:type="pct"/>
            <w:tcBorders>
              <w:top w:val="nil"/>
              <w:left w:val="nil"/>
              <w:bottom w:val="single" w:color="auto" w:sz="4" w:space="0"/>
              <w:right w:val="single" w:color="auto" w:sz="4" w:space="0"/>
            </w:tcBorders>
            <w:noWrap/>
            <w:vAlign w:val="bottom"/>
          </w:tcPr>
          <w:p w14:paraId="3EF2440E">
            <w:pPr>
              <w:widowControl/>
              <w:jc w:val="left"/>
              <w:rPr>
                <w:rFonts w:ascii="宋体" w:cs="宋体"/>
                <w:color w:val="000000"/>
                <w:kern w:val="0"/>
                <w:sz w:val="18"/>
                <w:szCs w:val="18"/>
              </w:rPr>
            </w:pPr>
          </w:p>
        </w:tc>
      </w:tr>
      <w:tr w14:paraId="0DFD490F">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296EE0DF">
            <w:pPr>
              <w:widowControl/>
              <w:jc w:val="left"/>
              <w:rPr>
                <w:rFonts w:ascii="宋体" w:cs="宋体"/>
                <w:color w:val="000000"/>
                <w:kern w:val="0"/>
                <w:sz w:val="18"/>
                <w:szCs w:val="18"/>
              </w:rPr>
            </w:pPr>
            <w:r>
              <w:rPr>
                <w:rFonts w:hint="eastAsia" w:ascii="宋体" w:hAnsi="宋体" w:cs="宋体"/>
                <w:color w:val="000000"/>
                <w:kern w:val="0"/>
                <w:sz w:val="18"/>
                <w:szCs w:val="18"/>
              </w:rPr>
              <w:t>电力</w:t>
            </w:r>
          </w:p>
        </w:tc>
        <w:tc>
          <w:tcPr>
            <w:tcW w:w="483" w:type="pct"/>
            <w:tcBorders>
              <w:top w:val="single" w:color="auto" w:sz="4" w:space="0"/>
              <w:left w:val="nil"/>
              <w:bottom w:val="single" w:color="auto" w:sz="4" w:space="0"/>
              <w:right w:val="single" w:color="auto" w:sz="4" w:space="0"/>
            </w:tcBorders>
          </w:tcPr>
          <w:p w14:paraId="1DB584A2">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57AE087A">
            <w:pPr>
              <w:widowControl/>
              <w:jc w:val="center"/>
              <w:rPr>
                <w:rFonts w:asci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4A88110D">
            <w:pPr>
              <w:widowControl/>
              <w:jc w:val="center"/>
              <w:rPr>
                <w:rFonts w:asci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61030CAB">
            <w:pPr>
              <w:widowControl/>
              <w:jc w:val="center"/>
              <w:rPr>
                <w:rFonts w:ascii="宋体" w:cs="宋体"/>
                <w:color w:val="000000"/>
                <w:kern w:val="0"/>
                <w:sz w:val="18"/>
                <w:szCs w:val="18"/>
              </w:rPr>
            </w:pPr>
            <w:r>
              <w:rPr>
                <w:rFonts w:hint="eastAsia" w:ascii="宋体" w:hAnsi="宋体" w:cs="宋体"/>
                <w:color w:val="000000"/>
                <w:kern w:val="0"/>
                <w:sz w:val="18"/>
                <w:szCs w:val="18"/>
              </w:rPr>
              <w:t>如：某商业数据库</w:t>
            </w:r>
          </w:p>
        </w:tc>
        <w:tc>
          <w:tcPr>
            <w:tcW w:w="440" w:type="pct"/>
            <w:tcBorders>
              <w:top w:val="nil"/>
              <w:left w:val="nil"/>
              <w:bottom w:val="single" w:color="auto" w:sz="4" w:space="0"/>
              <w:right w:val="single" w:color="auto" w:sz="4" w:space="0"/>
            </w:tcBorders>
            <w:noWrap/>
            <w:vAlign w:val="bottom"/>
          </w:tcPr>
          <w:p w14:paraId="4D09DA01">
            <w:pPr>
              <w:widowControl/>
              <w:jc w:val="left"/>
              <w:rPr>
                <w:rFonts w:ascii="宋体" w:cs="宋体"/>
                <w:color w:val="000000"/>
                <w:kern w:val="0"/>
                <w:sz w:val="18"/>
                <w:szCs w:val="18"/>
              </w:rPr>
            </w:pPr>
          </w:p>
        </w:tc>
      </w:tr>
      <w:tr w14:paraId="7DE05D37">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48E87F1E">
            <w:pPr>
              <w:widowControl/>
              <w:ind w:right="720"/>
              <w:rPr>
                <w:rFonts w:ascii="宋体" w:cs="宋体"/>
                <w:color w:val="000000"/>
                <w:kern w:val="0"/>
                <w:sz w:val="18"/>
                <w:szCs w:val="18"/>
              </w:rPr>
            </w:pPr>
            <w:r>
              <w:rPr>
                <w:rFonts w:hint="eastAsia" w:ascii="宋体" w:hAnsi="宋体" w:cs="宋体"/>
                <w:color w:val="000000"/>
                <w:kern w:val="0"/>
                <w:sz w:val="18"/>
                <w:szCs w:val="18"/>
              </w:rPr>
              <w:t>废弃物</w:t>
            </w:r>
          </w:p>
        </w:tc>
        <w:tc>
          <w:tcPr>
            <w:tcW w:w="483" w:type="pct"/>
            <w:tcBorders>
              <w:top w:val="single" w:color="auto" w:sz="4" w:space="0"/>
              <w:left w:val="nil"/>
              <w:bottom w:val="single" w:color="auto" w:sz="4" w:space="0"/>
              <w:right w:val="single" w:color="auto" w:sz="4" w:space="0"/>
            </w:tcBorders>
          </w:tcPr>
          <w:p w14:paraId="1A61845B">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2A1F6476">
            <w:pPr>
              <w:widowControl/>
              <w:jc w:val="center"/>
              <w:rPr>
                <w:rFonts w:hint="eastAsia" w:ascii="宋体" w:hAns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115DCEB3">
            <w:pPr>
              <w:widowControl/>
              <w:jc w:val="center"/>
              <w:rPr>
                <w:rFonts w:asci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56CF559C">
            <w:pPr>
              <w:widowControl/>
              <w:jc w:val="center"/>
              <w:rPr>
                <w:rFonts w:ascii="宋体" w:cs="宋体"/>
                <w:color w:val="000000"/>
                <w:kern w:val="0"/>
                <w:sz w:val="18"/>
                <w:szCs w:val="18"/>
              </w:rPr>
            </w:pPr>
            <w:r>
              <w:rPr>
                <w:rFonts w:hint="eastAsia" w:ascii="宋体" w:hAnsi="宋体" w:cs="宋体"/>
                <w:color w:val="000000"/>
                <w:kern w:val="0"/>
                <w:sz w:val="18"/>
                <w:szCs w:val="18"/>
              </w:rPr>
              <w:t>如：某文献</w:t>
            </w:r>
          </w:p>
        </w:tc>
        <w:tc>
          <w:tcPr>
            <w:tcW w:w="440" w:type="pct"/>
            <w:tcBorders>
              <w:top w:val="nil"/>
              <w:left w:val="nil"/>
              <w:bottom w:val="single" w:color="auto" w:sz="4" w:space="0"/>
              <w:right w:val="single" w:color="auto" w:sz="4" w:space="0"/>
            </w:tcBorders>
            <w:noWrap/>
            <w:vAlign w:val="bottom"/>
          </w:tcPr>
          <w:p w14:paraId="6B141E6E">
            <w:pPr>
              <w:widowControl/>
              <w:jc w:val="left"/>
              <w:rPr>
                <w:rFonts w:ascii="宋体" w:cs="宋体"/>
                <w:color w:val="000000"/>
                <w:kern w:val="0"/>
                <w:sz w:val="18"/>
                <w:szCs w:val="18"/>
              </w:rPr>
            </w:pPr>
          </w:p>
        </w:tc>
      </w:tr>
      <w:tr w14:paraId="24139F10">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2364FF8B">
            <w:pPr>
              <w:widowControl/>
              <w:ind w:right="720"/>
              <w:rPr>
                <w:rFonts w:ascii="宋体" w:cs="宋体"/>
                <w:color w:val="000000"/>
                <w:kern w:val="0"/>
                <w:sz w:val="18"/>
                <w:szCs w:val="18"/>
              </w:rPr>
            </w:pPr>
            <w:r>
              <w:rPr>
                <w:rFonts w:hint="eastAsia" w:ascii="宋体" w:hAnsi="宋体" w:cs="宋体"/>
                <w:color w:val="000000"/>
                <w:kern w:val="0"/>
                <w:sz w:val="18"/>
                <w:szCs w:val="18"/>
              </w:rPr>
              <w:t>排放因子参数</w:t>
            </w:r>
          </w:p>
        </w:tc>
        <w:tc>
          <w:tcPr>
            <w:tcW w:w="483" w:type="pct"/>
            <w:tcBorders>
              <w:top w:val="single" w:color="auto" w:sz="4" w:space="0"/>
              <w:left w:val="nil"/>
              <w:bottom w:val="single" w:color="auto" w:sz="4" w:space="0"/>
              <w:right w:val="single" w:color="auto" w:sz="4" w:space="0"/>
            </w:tcBorders>
          </w:tcPr>
          <w:p w14:paraId="74AC3502">
            <w:pPr>
              <w:widowControl/>
              <w:jc w:val="center"/>
              <w:rPr>
                <w:rFonts w:ascii="宋体" w:cs="宋体"/>
                <w:color w:val="000000"/>
                <w:kern w:val="0"/>
                <w:sz w:val="18"/>
                <w:szCs w:val="18"/>
              </w:rPr>
            </w:pPr>
            <w:r>
              <w:rPr>
                <w:rFonts w:hint="eastAsia" w:ascii="宋体" w:hAnsi="宋体" w:cs="宋体"/>
                <w:color w:val="000000"/>
                <w:kern w:val="0"/>
                <w:sz w:val="18"/>
                <w:szCs w:val="18"/>
              </w:rPr>
              <w:t>规格等级</w:t>
            </w:r>
          </w:p>
        </w:tc>
        <w:tc>
          <w:tcPr>
            <w:tcW w:w="598" w:type="pct"/>
            <w:tcBorders>
              <w:top w:val="nil"/>
              <w:left w:val="single" w:color="auto" w:sz="4" w:space="0"/>
              <w:bottom w:val="single" w:color="auto" w:sz="4" w:space="0"/>
              <w:right w:val="single" w:color="auto" w:sz="4" w:space="0"/>
            </w:tcBorders>
            <w:noWrap/>
            <w:vAlign w:val="bottom"/>
          </w:tcPr>
          <w:p w14:paraId="0D7A92CD">
            <w:pPr>
              <w:widowControl/>
              <w:jc w:val="center"/>
              <w:rPr>
                <w:rFonts w:ascii="宋体" w:cs="宋体"/>
                <w:color w:val="000000"/>
                <w:kern w:val="0"/>
                <w:sz w:val="18"/>
                <w:szCs w:val="18"/>
              </w:rPr>
            </w:pPr>
            <w:r>
              <w:rPr>
                <w:rFonts w:hint="eastAsia" w:ascii="宋体" w:hAnsi="宋体" w:cs="宋体"/>
                <w:color w:val="000000"/>
                <w:kern w:val="0"/>
                <w:sz w:val="18"/>
                <w:szCs w:val="18"/>
              </w:rPr>
              <w:t>声明单位</w:t>
            </w:r>
          </w:p>
        </w:tc>
        <w:tc>
          <w:tcPr>
            <w:tcW w:w="972" w:type="pct"/>
            <w:tcBorders>
              <w:top w:val="nil"/>
              <w:left w:val="nil"/>
              <w:bottom w:val="single" w:color="auto" w:sz="4" w:space="0"/>
              <w:right w:val="single" w:color="auto" w:sz="4" w:space="0"/>
            </w:tcBorders>
            <w:noWrap/>
            <w:vAlign w:val="bottom"/>
          </w:tcPr>
          <w:p w14:paraId="325E8CBA">
            <w:pPr>
              <w:widowControl/>
              <w:jc w:val="center"/>
              <w:rPr>
                <w:rFonts w:ascii="宋体" w:cs="宋体"/>
                <w:color w:val="000000"/>
                <w:kern w:val="0"/>
                <w:sz w:val="18"/>
                <w:szCs w:val="18"/>
              </w:rPr>
            </w:pPr>
            <w:r>
              <w:rPr>
                <w:rFonts w:hint="eastAsia" w:ascii="宋体" w:hAnsi="宋体" w:cs="宋体"/>
                <w:color w:val="000000"/>
                <w:kern w:val="0"/>
                <w:sz w:val="18"/>
                <w:szCs w:val="18"/>
              </w:rPr>
              <w:t>排放因子</w:t>
            </w:r>
          </w:p>
        </w:tc>
        <w:tc>
          <w:tcPr>
            <w:tcW w:w="1199" w:type="pct"/>
            <w:tcBorders>
              <w:top w:val="nil"/>
              <w:left w:val="nil"/>
              <w:bottom w:val="single" w:color="auto" w:sz="4" w:space="0"/>
              <w:right w:val="single" w:color="auto" w:sz="4" w:space="0"/>
            </w:tcBorders>
            <w:noWrap/>
            <w:vAlign w:val="bottom"/>
          </w:tcPr>
          <w:p w14:paraId="704995A2">
            <w:pPr>
              <w:widowControl/>
              <w:jc w:val="center"/>
              <w:rPr>
                <w:rFonts w:ascii="宋体" w:cs="宋体"/>
                <w:color w:val="000000"/>
                <w:kern w:val="0"/>
                <w:sz w:val="18"/>
                <w:szCs w:val="18"/>
              </w:rPr>
            </w:pPr>
            <w:r>
              <w:rPr>
                <w:rFonts w:hint="eastAsia" w:ascii="宋体" w:hAnsi="宋体" w:cs="宋体"/>
                <w:color w:val="000000"/>
                <w:kern w:val="0"/>
                <w:sz w:val="18"/>
                <w:szCs w:val="18"/>
              </w:rPr>
              <w:t>数据来源</w:t>
            </w:r>
          </w:p>
        </w:tc>
        <w:tc>
          <w:tcPr>
            <w:tcW w:w="440" w:type="pct"/>
            <w:tcBorders>
              <w:top w:val="nil"/>
              <w:left w:val="nil"/>
              <w:bottom w:val="single" w:color="auto" w:sz="4" w:space="0"/>
              <w:right w:val="single" w:color="auto" w:sz="4" w:space="0"/>
            </w:tcBorders>
            <w:noWrap/>
            <w:vAlign w:val="bottom"/>
          </w:tcPr>
          <w:p w14:paraId="51FE4E6D">
            <w:pPr>
              <w:widowControl/>
              <w:jc w:val="center"/>
              <w:rPr>
                <w:rFonts w:ascii="宋体" w:cs="宋体"/>
                <w:color w:val="000000"/>
                <w:kern w:val="0"/>
                <w:sz w:val="18"/>
                <w:szCs w:val="18"/>
              </w:rPr>
            </w:pPr>
            <w:r>
              <w:rPr>
                <w:rFonts w:hint="eastAsia" w:ascii="宋体" w:hAnsi="宋体" w:cs="宋体"/>
                <w:color w:val="000000"/>
                <w:kern w:val="0"/>
                <w:sz w:val="18"/>
                <w:szCs w:val="18"/>
              </w:rPr>
              <w:t>数据时间</w:t>
            </w:r>
          </w:p>
        </w:tc>
      </w:tr>
      <w:tr w14:paraId="32EF1D30">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1FC9FF22">
            <w:pPr>
              <w:widowControl/>
              <w:jc w:val="left"/>
              <w:rPr>
                <w:rFonts w:ascii="宋体" w:cs="宋体"/>
                <w:color w:val="000000"/>
                <w:kern w:val="0"/>
                <w:sz w:val="18"/>
                <w:szCs w:val="18"/>
              </w:rPr>
            </w:pPr>
            <w:r>
              <w:rPr>
                <w:rFonts w:hint="eastAsia" w:ascii="宋体" w:hAnsi="宋体" w:cs="宋体"/>
                <w:color w:val="000000"/>
                <w:kern w:val="0"/>
                <w:sz w:val="18"/>
                <w:szCs w:val="18"/>
              </w:rPr>
              <w:t>原材料</w:t>
            </w:r>
            <w:r>
              <w:rPr>
                <w:rFonts w:ascii="宋体" w:hAnsi="宋体" w:cs="宋体"/>
                <w:color w:val="000000"/>
                <w:kern w:val="0"/>
                <w:sz w:val="18"/>
                <w:szCs w:val="18"/>
              </w:rPr>
              <w:t>A</w:t>
            </w:r>
          </w:p>
        </w:tc>
        <w:tc>
          <w:tcPr>
            <w:tcW w:w="483" w:type="pct"/>
            <w:tcBorders>
              <w:top w:val="single" w:color="auto" w:sz="4" w:space="0"/>
              <w:left w:val="nil"/>
              <w:bottom w:val="single" w:color="auto" w:sz="4" w:space="0"/>
              <w:right w:val="single" w:color="auto" w:sz="4" w:space="0"/>
            </w:tcBorders>
          </w:tcPr>
          <w:p w14:paraId="234D786C">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6E117C22">
            <w:pPr>
              <w:widowControl/>
              <w:jc w:val="center"/>
              <w:rPr>
                <w:rFonts w:asci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2FD40755">
            <w:pPr>
              <w:widowControl/>
              <w:jc w:val="center"/>
              <w:rPr>
                <w:rFonts w:asci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742A1FC4">
            <w:pPr>
              <w:widowControl/>
              <w:jc w:val="center"/>
              <w:rPr>
                <w:rFonts w:ascii="宋体" w:cs="宋体"/>
                <w:color w:val="000000"/>
                <w:kern w:val="0"/>
                <w:sz w:val="18"/>
                <w:szCs w:val="18"/>
              </w:rPr>
            </w:pPr>
            <w:r>
              <w:rPr>
                <w:rFonts w:hint="eastAsia" w:ascii="宋体" w:hAnsi="宋体" w:cs="宋体"/>
                <w:color w:val="000000"/>
                <w:kern w:val="0"/>
                <w:sz w:val="18"/>
                <w:szCs w:val="18"/>
              </w:rPr>
              <w:t>如：供应商</w:t>
            </w:r>
          </w:p>
        </w:tc>
        <w:tc>
          <w:tcPr>
            <w:tcW w:w="440" w:type="pct"/>
            <w:tcBorders>
              <w:top w:val="nil"/>
              <w:left w:val="nil"/>
              <w:bottom w:val="single" w:color="auto" w:sz="4" w:space="0"/>
              <w:right w:val="single" w:color="auto" w:sz="4" w:space="0"/>
            </w:tcBorders>
            <w:noWrap/>
            <w:vAlign w:val="bottom"/>
          </w:tcPr>
          <w:p w14:paraId="0F11A4E2">
            <w:pPr>
              <w:widowControl/>
              <w:jc w:val="left"/>
              <w:rPr>
                <w:rFonts w:ascii="宋体" w:cs="宋体"/>
                <w:color w:val="000000"/>
                <w:kern w:val="0"/>
                <w:sz w:val="18"/>
                <w:szCs w:val="18"/>
              </w:rPr>
            </w:pPr>
          </w:p>
        </w:tc>
      </w:tr>
      <w:tr w14:paraId="7B4B4728">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1A3F7EED">
            <w:pPr>
              <w:widowControl/>
              <w:jc w:val="left"/>
              <w:rPr>
                <w:rFonts w:ascii="宋体" w:cs="宋体"/>
                <w:color w:val="000000"/>
                <w:kern w:val="0"/>
                <w:sz w:val="18"/>
                <w:szCs w:val="18"/>
              </w:rPr>
            </w:pPr>
            <w:r>
              <w:rPr>
                <w:rFonts w:hint="eastAsia" w:ascii="宋体" w:hAnsi="宋体" w:cs="宋体"/>
                <w:color w:val="000000"/>
                <w:kern w:val="0"/>
                <w:sz w:val="18"/>
                <w:szCs w:val="18"/>
              </w:rPr>
              <w:t>燃料</w:t>
            </w:r>
            <w:r>
              <w:rPr>
                <w:rFonts w:ascii="宋体" w:hAnsi="宋体" w:cs="宋体"/>
                <w:color w:val="000000"/>
                <w:kern w:val="0"/>
                <w:sz w:val="18"/>
                <w:szCs w:val="18"/>
              </w:rPr>
              <w:t>B</w:t>
            </w:r>
            <w:r>
              <w:rPr>
                <w:rFonts w:hint="eastAsia" w:ascii="宋体" w:hAnsi="宋体" w:cs="宋体"/>
                <w:color w:val="000000"/>
                <w:kern w:val="0"/>
                <w:sz w:val="18"/>
                <w:szCs w:val="18"/>
              </w:rPr>
              <w:t>（如柴油）</w:t>
            </w:r>
          </w:p>
        </w:tc>
        <w:tc>
          <w:tcPr>
            <w:tcW w:w="483" w:type="pct"/>
            <w:tcBorders>
              <w:top w:val="single" w:color="auto" w:sz="4" w:space="0"/>
              <w:left w:val="nil"/>
              <w:bottom w:val="single" w:color="auto" w:sz="4" w:space="0"/>
              <w:right w:val="single" w:color="auto" w:sz="4" w:space="0"/>
            </w:tcBorders>
          </w:tcPr>
          <w:p w14:paraId="10F4FE53">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21CD80C8">
            <w:pPr>
              <w:widowControl/>
              <w:jc w:val="center"/>
              <w:rPr>
                <w:rFonts w:asci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63D24F32">
            <w:pPr>
              <w:widowControl/>
              <w:jc w:val="center"/>
              <w:rPr>
                <w:rFonts w:asci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16352980">
            <w:pPr>
              <w:widowControl/>
              <w:jc w:val="center"/>
              <w:rPr>
                <w:rFonts w:ascii="宋体" w:cs="宋体"/>
                <w:color w:val="000000"/>
                <w:kern w:val="0"/>
                <w:sz w:val="18"/>
                <w:szCs w:val="18"/>
              </w:rPr>
            </w:pPr>
            <w:r>
              <w:rPr>
                <w:rFonts w:hint="eastAsia" w:ascii="宋体" w:hAnsi="宋体" w:cs="宋体"/>
                <w:color w:val="000000"/>
                <w:kern w:val="0"/>
                <w:sz w:val="18"/>
                <w:szCs w:val="18"/>
              </w:rPr>
              <w:t>如：国家生命周期数据库</w:t>
            </w:r>
          </w:p>
        </w:tc>
        <w:tc>
          <w:tcPr>
            <w:tcW w:w="440" w:type="pct"/>
            <w:tcBorders>
              <w:top w:val="nil"/>
              <w:left w:val="nil"/>
              <w:bottom w:val="single" w:color="auto" w:sz="4" w:space="0"/>
              <w:right w:val="single" w:color="auto" w:sz="4" w:space="0"/>
            </w:tcBorders>
            <w:noWrap/>
            <w:vAlign w:val="bottom"/>
          </w:tcPr>
          <w:p w14:paraId="1085E267">
            <w:pPr>
              <w:widowControl/>
              <w:jc w:val="left"/>
              <w:rPr>
                <w:rFonts w:ascii="宋体" w:cs="宋体"/>
                <w:color w:val="000000"/>
                <w:kern w:val="0"/>
                <w:sz w:val="18"/>
                <w:szCs w:val="18"/>
              </w:rPr>
            </w:pPr>
          </w:p>
        </w:tc>
      </w:tr>
      <w:tr w14:paraId="4230A490">
        <w:tblPrEx>
          <w:tblCellMar>
            <w:top w:w="0" w:type="dxa"/>
            <w:left w:w="0" w:type="dxa"/>
            <w:bottom w:w="0" w:type="dxa"/>
            <w:right w:w="0" w:type="dxa"/>
          </w:tblCellMar>
        </w:tblPrEx>
        <w:trPr>
          <w:trHeight w:val="279" w:hRule="atLeast"/>
        </w:trPr>
        <w:tc>
          <w:tcPr>
            <w:tcW w:w="1308" w:type="pct"/>
            <w:tcBorders>
              <w:top w:val="single" w:color="auto" w:sz="4" w:space="0"/>
              <w:left w:val="single" w:color="auto" w:sz="4" w:space="0"/>
              <w:bottom w:val="single" w:color="auto" w:sz="4" w:space="0"/>
              <w:right w:val="single" w:color="auto" w:sz="4" w:space="0"/>
            </w:tcBorders>
            <w:noWrap/>
            <w:vAlign w:val="bottom"/>
          </w:tcPr>
          <w:p w14:paraId="11F5BD26">
            <w:pPr>
              <w:widowControl/>
              <w:jc w:val="left"/>
              <w:rPr>
                <w:rFonts w:ascii="宋体" w:cs="宋体"/>
                <w:color w:val="000000"/>
                <w:kern w:val="0"/>
                <w:sz w:val="18"/>
                <w:szCs w:val="18"/>
              </w:rPr>
            </w:pPr>
            <w:r>
              <w:rPr>
                <w:rFonts w:hint="eastAsia" w:ascii="宋体" w:hAnsi="宋体" w:cs="宋体"/>
                <w:color w:val="000000"/>
                <w:kern w:val="0"/>
                <w:sz w:val="18"/>
                <w:szCs w:val="18"/>
              </w:rPr>
              <w:t>电力</w:t>
            </w:r>
          </w:p>
        </w:tc>
        <w:tc>
          <w:tcPr>
            <w:tcW w:w="483" w:type="pct"/>
            <w:tcBorders>
              <w:top w:val="single" w:color="auto" w:sz="4" w:space="0"/>
              <w:left w:val="nil"/>
              <w:bottom w:val="single" w:color="auto" w:sz="4" w:space="0"/>
              <w:right w:val="single" w:color="auto" w:sz="4" w:space="0"/>
            </w:tcBorders>
          </w:tcPr>
          <w:p w14:paraId="1B6618C6">
            <w:pPr>
              <w:widowControl/>
              <w:jc w:val="center"/>
              <w:rPr>
                <w:rFonts w:ascii="宋体" w:cs="宋体"/>
                <w:color w:val="000000"/>
                <w:kern w:val="0"/>
                <w:sz w:val="18"/>
                <w:szCs w:val="18"/>
              </w:rPr>
            </w:pPr>
          </w:p>
        </w:tc>
        <w:tc>
          <w:tcPr>
            <w:tcW w:w="598" w:type="pct"/>
            <w:tcBorders>
              <w:top w:val="single" w:color="auto" w:sz="4" w:space="0"/>
              <w:left w:val="single" w:color="auto" w:sz="4" w:space="0"/>
              <w:bottom w:val="single" w:color="auto" w:sz="4" w:space="0"/>
              <w:right w:val="single" w:color="auto" w:sz="4" w:space="0"/>
            </w:tcBorders>
            <w:noWrap/>
            <w:vAlign w:val="bottom"/>
          </w:tcPr>
          <w:p w14:paraId="36D11FB9">
            <w:pPr>
              <w:widowControl/>
              <w:jc w:val="center"/>
              <w:rPr>
                <w:rFonts w:ascii="宋体" w:cs="宋体"/>
                <w:color w:val="000000"/>
                <w:kern w:val="0"/>
                <w:sz w:val="18"/>
                <w:szCs w:val="18"/>
              </w:rPr>
            </w:pPr>
          </w:p>
        </w:tc>
        <w:tc>
          <w:tcPr>
            <w:tcW w:w="972" w:type="pct"/>
            <w:tcBorders>
              <w:top w:val="single" w:color="auto" w:sz="4" w:space="0"/>
              <w:left w:val="nil"/>
              <w:bottom w:val="single" w:color="auto" w:sz="4" w:space="0"/>
              <w:right w:val="single" w:color="auto" w:sz="4" w:space="0"/>
            </w:tcBorders>
            <w:noWrap/>
            <w:vAlign w:val="bottom"/>
          </w:tcPr>
          <w:p w14:paraId="0FBAD41A">
            <w:pPr>
              <w:widowControl/>
              <w:jc w:val="center"/>
              <w:rPr>
                <w:rFonts w:ascii="宋体" w:cs="宋体"/>
                <w:color w:val="000000"/>
                <w:kern w:val="0"/>
                <w:sz w:val="18"/>
                <w:szCs w:val="18"/>
              </w:rPr>
            </w:pPr>
          </w:p>
        </w:tc>
        <w:tc>
          <w:tcPr>
            <w:tcW w:w="1199" w:type="pct"/>
            <w:tcBorders>
              <w:top w:val="single" w:color="auto" w:sz="4" w:space="0"/>
              <w:left w:val="nil"/>
              <w:bottom w:val="single" w:color="auto" w:sz="4" w:space="0"/>
              <w:right w:val="single" w:color="auto" w:sz="4" w:space="0"/>
            </w:tcBorders>
            <w:noWrap/>
            <w:vAlign w:val="bottom"/>
          </w:tcPr>
          <w:p w14:paraId="0D679F66">
            <w:pPr>
              <w:widowControl/>
              <w:jc w:val="center"/>
              <w:rPr>
                <w:rFonts w:ascii="宋体" w:cs="宋体"/>
                <w:color w:val="000000"/>
                <w:kern w:val="0"/>
                <w:sz w:val="18"/>
                <w:szCs w:val="18"/>
              </w:rPr>
            </w:pPr>
            <w:r>
              <w:rPr>
                <w:rFonts w:hint="eastAsia" w:ascii="宋体" w:hAnsi="宋体" w:cs="宋体"/>
                <w:color w:val="000000"/>
                <w:kern w:val="0"/>
                <w:sz w:val="18"/>
                <w:szCs w:val="18"/>
              </w:rPr>
              <w:t>如：某商业数据库</w:t>
            </w:r>
          </w:p>
        </w:tc>
        <w:tc>
          <w:tcPr>
            <w:tcW w:w="440" w:type="pct"/>
            <w:tcBorders>
              <w:top w:val="single" w:color="auto" w:sz="4" w:space="0"/>
              <w:left w:val="nil"/>
              <w:bottom w:val="single" w:color="auto" w:sz="4" w:space="0"/>
              <w:right w:val="single" w:color="auto" w:sz="4" w:space="0"/>
            </w:tcBorders>
            <w:noWrap/>
            <w:vAlign w:val="bottom"/>
          </w:tcPr>
          <w:p w14:paraId="5B5AB723">
            <w:pPr>
              <w:widowControl/>
              <w:jc w:val="left"/>
              <w:rPr>
                <w:rFonts w:ascii="宋体" w:cs="宋体"/>
                <w:color w:val="000000"/>
                <w:kern w:val="0"/>
                <w:sz w:val="18"/>
                <w:szCs w:val="18"/>
              </w:rPr>
            </w:pPr>
          </w:p>
        </w:tc>
      </w:tr>
      <w:tr w14:paraId="595B6F99">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5F2602E6">
            <w:pPr>
              <w:widowControl/>
              <w:ind w:right="720"/>
              <w:rPr>
                <w:rFonts w:ascii="宋体" w:cs="宋体"/>
                <w:color w:val="000000"/>
                <w:kern w:val="0"/>
                <w:sz w:val="18"/>
                <w:szCs w:val="18"/>
              </w:rPr>
            </w:pPr>
            <w:r>
              <w:rPr>
                <w:rFonts w:hint="eastAsia" w:ascii="宋体" w:hAnsi="宋体" w:cs="宋体"/>
                <w:color w:val="000000"/>
                <w:kern w:val="0"/>
                <w:sz w:val="18"/>
                <w:szCs w:val="18"/>
              </w:rPr>
              <w:t>废弃物</w:t>
            </w:r>
          </w:p>
        </w:tc>
        <w:tc>
          <w:tcPr>
            <w:tcW w:w="483" w:type="pct"/>
            <w:tcBorders>
              <w:top w:val="single" w:color="auto" w:sz="4" w:space="0"/>
              <w:left w:val="nil"/>
              <w:bottom w:val="single" w:color="auto" w:sz="4" w:space="0"/>
              <w:right w:val="single" w:color="auto" w:sz="4" w:space="0"/>
            </w:tcBorders>
          </w:tcPr>
          <w:p w14:paraId="504A228C">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471C2B67">
            <w:pPr>
              <w:widowControl/>
              <w:jc w:val="center"/>
              <w:rPr>
                <w:rFonts w:hint="eastAsia" w:ascii="宋体" w:hAns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1EB9E064">
            <w:pPr>
              <w:widowControl/>
              <w:jc w:val="center"/>
              <w:rPr>
                <w:rFonts w:hint="eastAsia" w:ascii="宋体" w:hAns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5BE22B3A">
            <w:pPr>
              <w:widowControl/>
              <w:jc w:val="center"/>
              <w:rPr>
                <w:rFonts w:ascii="宋体" w:cs="宋体"/>
                <w:color w:val="000000"/>
                <w:kern w:val="0"/>
                <w:sz w:val="18"/>
                <w:szCs w:val="18"/>
              </w:rPr>
            </w:pPr>
            <w:r>
              <w:rPr>
                <w:rFonts w:hint="eastAsia" w:ascii="宋体" w:hAnsi="宋体" w:cs="宋体"/>
                <w:color w:val="000000"/>
                <w:kern w:val="0"/>
                <w:sz w:val="18"/>
                <w:szCs w:val="18"/>
              </w:rPr>
              <w:t>如：某文献</w:t>
            </w:r>
          </w:p>
        </w:tc>
        <w:tc>
          <w:tcPr>
            <w:tcW w:w="440" w:type="pct"/>
            <w:tcBorders>
              <w:top w:val="nil"/>
              <w:left w:val="nil"/>
              <w:bottom w:val="single" w:color="auto" w:sz="4" w:space="0"/>
              <w:right w:val="single" w:color="auto" w:sz="4" w:space="0"/>
            </w:tcBorders>
            <w:noWrap/>
            <w:vAlign w:val="bottom"/>
          </w:tcPr>
          <w:p w14:paraId="0EA1342E">
            <w:pPr>
              <w:widowControl/>
              <w:jc w:val="left"/>
              <w:rPr>
                <w:rFonts w:ascii="宋体" w:cs="宋体"/>
                <w:color w:val="000000"/>
                <w:kern w:val="0"/>
                <w:sz w:val="18"/>
                <w:szCs w:val="18"/>
              </w:rPr>
            </w:pPr>
          </w:p>
        </w:tc>
      </w:tr>
      <w:tr w14:paraId="298B4794">
        <w:tblPrEx>
          <w:tblCellMar>
            <w:top w:w="0" w:type="dxa"/>
            <w:left w:w="0" w:type="dxa"/>
            <w:bottom w:w="0" w:type="dxa"/>
            <w:right w:w="0" w:type="dxa"/>
          </w:tblCellMar>
        </w:tblPrEx>
        <w:trPr>
          <w:trHeight w:val="279" w:hRule="atLeast"/>
        </w:trPr>
        <w:tc>
          <w:tcPr>
            <w:tcW w:w="1308" w:type="pct"/>
            <w:tcBorders>
              <w:top w:val="nil"/>
              <w:left w:val="single" w:color="auto" w:sz="4" w:space="0"/>
              <w:bottom w:val="single" w:color="auto" w:sz="4" w:space="0"/>
              <w:right w:val="single" w:color="auto" w:sz="4" w:space="0"/>
            </w:tcBorders>
            <w:noWrap/>
            <w:vAlign w:val="bottom"/>
          </w:tcPr>
          <w:p w14:paraId="4F960CCE">
            <w:pPr>
              <w:widowControl/>
              <w:ind w:right="720"/>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483" w:type="pct"/>
            <w:tcBorders>
              <w:top w:val="single" w:color="auto" w:sz="4" w:space="0"/>
              <w:left w:val="nil"/>
              <w:bottom w:val="single" w:color="auto" w:sz="4" w:space="0"/>
              <w:right w:val="single" w:color="auto" w:sz="4" w:space="0"/>
            </w:tcBorders>
          </w:tcPr>
          <w:p w14:paraId="4A7622C3">
            <w:pPr>
              <w:widowControl/>
              <w:jc w:val="center"/>
              <w:rPr>
                <w:rFonts w:ascii="宋体" w:cs="宋体"/>
                <w:color w:val="000000"/>
                <w:kern w:val="0"/>
                <w:sz w:val="18"/>
                <w:szCs w:val="18"/>
              </w:rPr>
            </w:pPr>
          </w:p>
        </w:tc>
        <w:tc>
          <w:tcPr>
            <w:tcW w:w="598" w:type="pct"/>
            <w:tcBorders>
              <w:top w:val="nil"/>
              <w:left w:val="single" w:color="auto" w:sz="4" w:space="0"/>
              <w:bottom w:val="single" w:color="auto" w:sz="4" w:space="0"/>
              <w:right w:val="single" w:color="auto" w:sz="4" w:space="0"/>
            </w:tcBorders>
            <w:noWrap/>
            <w:vAlign w:val="bottom"/>
          </w:tcPr>
          <w:p w14:paraId="31206A35">
            <w:pPr>
              <w:widowControl/>
              <w:jc w:val="center"/>
              <w:rPr>
                <w:rFonts w:hint="eastAsia" w:ascii="宋体" w:hAnsi="宋体" w:cs="宋体"/>
                <w:color w:val="000000"/>
                <w:kern w:val="0"/>
                <w:sz w:val="18"/>
                <w:szCs w:val="18"/>
              </w:rPr>
            </w:pPr>
          </w:p>
        </w:tc>
        <w:tc>
          <w:tcPr>
            <w:tcW w:w="972" w:type="pct"/>
            <w:tcBorders>
              <w:top w:val="nil"/>
              <w:left w:val="nil"/>
              <w:bottom w:val="single" w:color="auto" w:sz="4" w:space="0"/>
              <w:right w:val="single" w:color="auto" w:sz="4" w:space="0"/>
            </w:tcBorders>
            <w:noWrap/>
            <w:vAlign w:val="bottom"/>
          </w:tcPr>
          <w:p w14:paraId="43974527">
            <w:pPr>
              <w:widowControl/>
              <w:jc w:val="center"/>
              <w:rPr>
                <w:rFonts w:hint="eastAsia" w:ascii="宋体" w:hAnsi="宋体" w:cs="宋体"/>
                <w:color w:val="000000"/>
                <w:kern w:val="0"/>
                <w:sz w:val="18"/>
                <w:szCs w:val="18"/>
              </w:rPr>
            </w:pPr>
          </w:p>
        </w:tc>
        <w:tc>
          <w:tcPr>
            <w:tcW w:w="1199" w:type="pct"/>
            <w:tcBorders>
              <w:top w:val="nil"/>
              <w:left w:val="nil"/>
              <w:bottom w:val="single" w:color="auto" w:sz="4" w:space="0"/>
              <w:right w:val="single" w:color="auto" w:sz="4" w:space="0"/>
            </w:tcBorders>
            <w:noWrap/>
            <w:vAlign w:val="bottom"/>
          </w:tcPr>
          <w:p w14:paraId="1D44B11A">
            <w:pPr>
              <w:widowControl/>
              <w:jc w:val="center"/>
              <w:rPr>
                <w:rFonts w:hint="eastAsia" w:ascii="宋体" w:hAnsi="宋体" w:cs="宋体"/>
                <w:color w:val="000000"/>
                <w:kern w:val="0"/>
                <w:sz w:val="18"/>
                <w:szCs w:val="18"/>
              </w:rPr>
            </w:pPr>
          </w:p>
        </w:tc>
        <w:tc>
          <w:tcPr>
            <w:tcW w:w="440" w:type="pct"/>
            <w:tcBorders>
              <w:top w:val="nil"/>
              <w:left w:val="nil"/>
              <w:bottom w:val="single" w:color="auto" w:sz="4" w:space="0"/>
              <w:right w:val="single" w:color="auto" w:sz="4" w:space="0"/>
            </w:tcBorders>
            <w:noWrap/>
            <w:vAlign w:val="bottom"/>
          </w:tcPr>
          <w:p w14:paraId="6F4AF44E">
            <w:pPr>
              <w:widowControl/>
              <w:jc w:val="left"/>
              <w:rPr>
                <w:rFonts w:ascii="宋体" w:cs="宋体"/>
                <w:color w:val="000000"/>
                <w:kern w:val="0"/>
                <w:sz w:val="18"/>
                <w:szCs w:val="18"/>
              </w:rPr>
            </w:pPr>
          </w:p>
        </w:tc>
      </w:tr>
      <w:tr w14:paraId="7F778678">
        <w:tblPrEx>
          <w:tblCellMar>
            <w:top w:w="0" w:type="dxa"/>
            <w:left w:w="0" w:type="dxa"/>
            <w:bottom w:w="0" w:type="dxa"/>
            <w:right w:w="0" w:type="dxa"/>
          </w:tblCellMar>
        </w:tblPrEx>
        <w:trPr>
          <w:trHeight w:val="279" w:hRule="atLeast"/>
        </w:trPr>
        <w:tc>
          <w:tcPr>
            <w:tcW w:w="1308" w:type="pct"/>
            <w:tcBorders>
              <w:top w:val="single" w:color="auto" w:sz="4" w:space="0"/>
              <w:left w:val="single" w:color="auto" w:sz="4" w:space="0"/>
              <w:bottom w:val="single" w:color="auto" w:sz="4" w:space="0"/>
              <w:right w:val="single" w:color="auto" w:sz="4" w:space="0"/>
            </w:tcBorders>
            <w:noWrap/>
            <w:vAlign w:val="bottom"/>
          </w:tcPr>
          <w:p w14:paraId="23D524D7">
            <w:pPr>
              <w:widowControl/>
              <w:ind w:right="720"/>
              <w:rPr>
                <w:rFonts w:ascii="宋体" w:cs="宋体"/>
                <w:color w:val="000000"/>
                <w:kern w:val="0"/>
                <w:sz w:val="18"/>
                <w:szCs w:val="18"/>
              </w:rPr>
            </w:pPr>
            <w:r>
              <w:rPr>
                <w:rFonts w:hint="eastAsia" w:ascii="宋体" w:hAnsi="宋体" w:cs="宋体"/>
                <w:color w:val="000000"/>
                <w:kern w:val="0"/>
                <w:sz w:val="18"/>
                <w:szCs w:val="18"/>
              </w:rPr>
              <w:t>商品</w:t>
            </w:r>
            <w:r>
              <w:rPr>
                <w:rFonts w:ascii="宋体" w:hAnsi="宋体" w:cs="宋体"/>
                <w:color w:val="000000"/>
                <w:kern w:val="0"/>
                <w:sz w:val="18"/>
                <w:szCs w:val="18"/>
              </w:rPr>
              <w:t>X</w:t>
            </w:r>
            <w:r>
              <w:rPr>
                <w:rFonts w:hint="eastAsia" w:ascii="宋体" w:hAnsi="宋体" w:cs="宋体"/>
                <w:color w:val="000000"/>
                <w:kern w:val="0"/>
                <w:sz w:val="18"/>
                <w:szCs w:val="18"/>
              </w:rPr>
              <w:t>碳足迹合计</w:t>
            </w:r>
          </w:p>
        </w:tc>
        <w:tc>
          <w:tcPr>
            <w:tcW w:w="3692" w:type="pct"/>
            <w:gridSpan w:val="5"/>
            <w:tcBorders>
              <w:top w:val="single" w:color="auto" w:sz="4" w:space="0"/>
              <w:left w:val="nil"/>
              <w:bottom w:val="single" w:color="auto" w:sz="4" w:space="0"/>
              <w:right w:val="single" w:color="auto" w:sz="4" w:space="0"/>
            </w:tcBorders>
          </w:tcPr>
          <w:p w14:paraId="42F300EE">
            <w:pPr>
              <w:widowControl/>
              <w:jc w:val="left"/>
              <w:rPr>
                <w:rFonts w:ascii="宋体" w:cs="宋体"/>
                <w:color w:val="000000"/>
                <w:kern w:val="0"/>
                <w:sz w:val="18"/>
                <w:szCs w:val="18"/>
              </w:rPr>
            </w:pPr>
            <w:r>
              <w:rPr>
                <w:rFonts w:ascii="宋体" w:hAnsi="宋体" w:cs="宋体"/>
                <w:color w:val="000000"/>
                <w:kern w:val="0"/>
                <w:sz w:val="18"/>
                <w:szCs w:val="18"/>
              </w:rPr>
              <w:t xml:space="preserve">                            kgCO</w:t>
            </w:r>
            <w:r>
              <w:rPr>
                <w:rFonts w:ascii="宋体" w:hAnsi="宋体" w:cs="宋体"/>
                <w:color w:val="000000"/>
                <w:kern w:val="0"/>
                <w:sz w:val="18"/>
                <w:szCs w:val="18"/>
                <w:vertAlign w:val="subscript"/>
              </w:rPr>
              <w:t>2</w:t>
            </w:r>
            <w:r>
              <w:rPr>
                <w:rFonts w:ascii="宋体" w:hAnsi="宋体" w:cs="宋体"/>
                <w:color w:val="000000"/>
                <w:kern w:val="0"/>
                <w:sz w:val="18"/>
                <w:szCs w:val="18"/>
              </w:rPr>
              <w:t>/</w:t>
            </w:r>
            <w:r>
              <w:rPr>
                <w:rFonts w:hint="eastAsia" w:ascii="宋体" w:hAnsi="宋体" w:cs="宋体"/>
                <w:color w:val="000000"/>
                <w:kern w:val="0"/>
                <w:sz w:val="18"/>
                <w:szCs w:val="18"/>
              </w:rPr>
              <w:t>功能单位</w:t>
            </w:r>
          </w:p>
        </w:tc>
      </w:tr>
    </w:tbl>
    <w:p w14:paraId="276EABE5">
      <w:pPr>
        <w:pStyle w:val="61"/>
        <w:spacing w:line="360" w:lineRule="auto"/>
        <w:ind w:left="5250" w:firstLine="0" w:firstLineChars="0"/>
        <w:jc w:val="center"/>
        <w:rPr>
          <w:rFonts w:hint="eastAsia" w:ascii="黑体" w:hAnsi="黑体" w:eastAsia="黑体" w:cs="黑体"/>
          <w:szCs w:val="21"/>
        </w:rPr>
      </w:pPr>
    </w:p>
    <w:p w14:paraId="5BC5453C">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C.</w:t>
      </w:r>
      <w:r>
        <w:rPr>
          <w:rFonts w:hint="eastAsia" w:ascii="黑体" w:hAnsi="黑体" w:eastAsia="黑体"/>
        </w:rPr>
        <w:t>7</w:t>
      </w:r>
      <w:r>
        <w:rPr>
          <w:rFonts w:ascii="黑体" w:hAnsi="黑体" w:eastAsia="黑体"/>
        </w:rPr>
        <w:t xml:space="preserve">  </w:t>
      </w:r>
      <w:r>
        <w:rPr>
          <w:rFonts w:hint="eastAsia" w:ascii="黑体" w:hAnsi="黑体" w:eastAsia="黑体"/>
        </w:rPr>
        <w:t>背景数据收集范例</w:t>
      </w:r>
      <w:r>
        <w:rPr>
          <w:rFonts w:ascii="黑体" w:hAnsi="黑体" w:eastAsia="黑体"/>
        </w:rPr>
        <w:t>3-</w:t>
      </w:r>
      <w:r>
        <w:rPr>
          <w:rFonts w:hint="eastAsia" w:ascii="黑体" w:hAnsi="黑体" w:eastAsia="黑体"/>
        </w:rPr>
        <w:t>外购服务</w:t>
      </w:r>
    </w:p>
    <w:tbl>
      <w:tblPr>
        <w:tblStyle w:val="22"/>
        <w:tblW w:w="5000" w:type="pct"/>
        <w:tblInd w:w="0" w:type="dxa"/>
        <w:tblLayout w:type="autofit"/>
        <w:tblCellMar>
          <w:top w:w="0" w:type="dxa"/>
          <w:left w:w="0" w:type="dxa"/>
          <w:bottom w:w="0" w:type="dxa"/>
          <w:right w:w="0" w:type="dxa"/>
        </w:tblCellMar>
      </w:tblPr>
      <w:tblGrid>
        <w:gridCol w:w="1067"/>
        <w:gridCol w:w="890"/>
        <w:gridCol w:w="1180"/>
        <w:gridCol w:w="1574"/>
        <w:gridCol w:w="1140"/>
        <w:gridCol w:w="1344"/>
        <w:gridCol w:w="390"/>
        <w:gridCol w:w="731"/>
      </w:tblGrid>
      <w:tr w14:paraId="753EA465">
        <w:tblPrEx>
          <w:tblCellMar>
            <w:top w:w="0" w:type="dxa"/>
            <w:left w:w="0" w:type="dxa"/>
            <w:bottom w:w="0" w:type="dxa"/>
            <w:right w:w="0" w:type="dxa"/>
          </w:tblCellMar>
        </w:tblPrEx>
        <w:trPr>
          <w:trHeight w:val="276" w:hRule="atLeast"/>
        </w:trPr>
        <w:tc>
          <w:tcPr>
            <w:tcW w:w="651" w:type="pct"/>
            <w:vMerge w:val="restart"/>
            <w:tcBorders>
              <w:top w:val="single" w:color="auto" w:sz="4" w:space="0"/>
              <w:left w:val="single" w:color="auto" w:sz="4" w:space="0"/>
              <w:bottom w:val="single" w:color="000000" w:sz="4" w:space="0"/>
              <w:right w:val="single" w:color="auto" w:sz="4" w:space="0"/>
            </w:tcBorders>
            <w:noWrap/>
            <w:vAlign w:val="center"/>
          </w:tcPr>
          <w:p w14:paraId="39FDEEDB">
            <w:pPr>
              <w:widowControl/>
              <w:jc w:val="center"/>
              <w:rPr>
                <w:rFonts w:ascii="宋体" w:cs="宋体"/>
                <w:color w:val="000000"/>
                <w:kern w:val="0"/>
                <w:sz w:val="18"/>
                <w:szCs w:val="18"/>
              </w:rPr>
            </w:pPr>
            <w:r>
              <w:rPr>
                <w:rFonts w:hint="eastAsia" w:ascii="宋体" w:hAnsi="宋体" w:cs="宋体"/>
                <w:color w:val="000000"/>
                <w:kern w:val="0"/>
                <w:sz w:val="18"/>
                <w:szCs w:val="18"/>
              </w:rPr>
              <w:t>服务项目</w:t>
            </w:r>
          </w:p>
        </w:tc>
        <w:tc>
          <w:tcPr>
            <w:tcW w:w="1264" w:type="pct"/>
            <w:gridSpan w:val="2"/>
            <w:tcBorders>
              <w:top w:val="single" w:color="auto" w:sz="4" w:space="0"/>
              <w:left w:val="nil"/>
              <w:bottom w:val="single" w:color="auto" w:sz="4" w:space="0"/>
              <w:right w:val="single" w:color="000000" w:sz="4" w:space="0"/>
            </w:tcBorders>
            <w:noWrap/>
            <w:vAlign w:val="center"/>
          </w:tcPr>
          <w:p w14:paraId="5DC11C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方法</w:t>
            </w:r>
            <w:r>
              <w:rPr>
                <w:rFonts w:ascii="宋体" w:hAnsi="宋体" w:cs="宋体"/>
                <w:color w:val="000000"/>
                <w:kern w:val="0"/>
                <w:sz w:val="18"/>
                <w:szCs w:val="18"/>
              </w:rPr>
              <w:t>1</w:t>
            </w:r>
          </w:p>
        </w:tc>
        <w:tc>
          <w:tcPr>
            <w:tcW w:w="2713" w:type="pct"/>
            <w:gridSpan w:val="4"/>
            <w:tcBorders>
              <w:top w:val="single" w:color="auto" w:sz="4" w:space="0"/>
              <w:left w:val="nil"/>
              <w:bottom w:val="nil"/>
              <w:right w:val="single" w:color="000000" w:sz="4" w:space="0"/>
            </w:tcBorders>
            <w:noWrap/>
            <w:vAlign w:val="center"/>
          </w:tcPr>
          <w:p w14:paraId="5461E0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方法</w:t>
            </w:r>
            <w:r>
              <w:rPr>
                <w:rFonts w:ascii="宋体" w:hAnsi="宋体" w:cs="宋体"/>
                <w:color w:val="000000"/>
                <w:kern w:val="0"/>
                <w:sz w:val="18"/>
                <w:szCs w:val="18"/>
              </w:rPr>
              <w:t>2</w:t>
            </w:r>
          </w:p>
        </w:tc>
        <w:tc>
          <w:tcPr>
            <w:tcW w:w="372" w:type="pct"/>
            <w:vMerge w:val="restart"/>
            <w:tcBorders>
              <w:top w:val="single" w:color="auto" w:sz="4" w:space="0"/>
              <w:left w:val="single" w:color="auto" w:sz="4" w:space="0"/>
              <w:bottom w:val="single" w:color="000000" w:sz="4" w:space="0"/>
              <w:right w:val="single" w:color="auto" w:sz="4" w:space="0"/>
            </w:tcBorders>
            <w:noWrap/>
            <w:vAlign w:val="center"/>
          </w:tcPr>
          <w:p w14:paraId="49F91F9D">
            <w:pPr>
              <w:widowControl/>
              <w:jc w:val="center"/>
              <w:rPr>
                <w:rFonts w:ascii="宋体" w:cs="宋体"/>
                <w:color w:val="000000"/>
                <w:kern w:val="0"/>
                <w:sz w:val="18"/>
                <w:szCs w:val="18"/>
              </w:rPr>
            </w:pPr>
            <w:r>
              <w:rPr>
                <w:rFonts w:hint="eastAsia" w:ascii="宋体" w:hAnsi="宋体" w:cs="宋体"/>
                <w:color w:val="000000"/>
                <w:kern w:val="0"/>
                <w:sz w:val="18"/>
                <w:szCs w:val="18"/>
              </w:rPr>
              <w:t>数据来源</w:t>
            </w:r>
          </w:p>
        </w:tc>
      </w:tr>
      <w:tr w14:paraId="32C85D75">
        <w:tblPrEx>
          <w:tblCellMar>
            <w:top w:w="0" w:type="dxa"/>
            <w:left w:w="0" w:type="dxa"/>
            <w:bottom w:w="0" w:type="dxa"/>
            <w:right w:w="0" w:type="dxa"/>
          </w:tblCellMar>
        </w:tblPrEx>
        <w:trPr>
          <w:trHeight w:val="276" w:hRule="atLeast"/>
        </w:trPr>
        <w:tc>
          <w:tcPr>
            <w:tcW w:w="651" w:type="pct"/>
            <w:vMerge w:val="continue"/>
            <w:tcBorders>
              <w:top w:val="single" w:color="auto" w:sz="4" w:space="0"/>
              <w:left w:val="single" w:color="auto" w:sz="4" w:space="0"/>
              <w:bottom w:val="single" w:color="000000" w:sz="4" w:space="0"/>
              <w:right w:val="single" w:color="auto" w:sz="4" w:space="0"/>
            </w:tcBorders>
            <w:vAlign w:val="center"/>
          </w:tcPr>
          <w:p w14:paraId="7F35B923">
            <w:pPr>
              <w:widowControl/>
              <w:jc w:val="left"/>
              <w:rPr>
                <w:rFonts w:ascii="宋体" w:cs="宋体"/>
                <w:color w:val="000000"/>
                <w:kern w:val="0"/>
                <w:sz w:val="18"/>
                <w:szCs w:val="18"/>
              </w:rPr>
            </w:pPr>
          </w:p>
        </w:tc>
        <w:tc>
          <w:tcPr>
            <w:tcW w:w="545" w:type="pct"/>
            <w:tcBorders>
              <w:top w:val="nil"/>
              <w:left w:val="nil"/>
              <w:bottom w:val="single" w:color="auto" w:sz="4" w:space="0"/>
              <w:right w:val="single" w:color="auto" w:sz="4" w:space="0"/>
            </w:tcBorders>
            <w:noWrap/>
            <w:vAlign w:val="bottom"/>
          </w:tcPr>
          <w:p w14:paraId="4B0C7D0F">
            <w:pPr>
              <w:widowControl/>
              <w:jc w:val="center"/>
              <w:rPr>
                <w:rFonts w:ascii="宋体" w:cs="宋体"/>
                <w:color w:val="000000"/>
                <w:kern w:val="0"/>
                <w:sz w:val="18"/>
                <w:szCs w:val="18"/>
              </w:rPr>
            </w:pPr>
            <w:r>
              <w:rPr>
                <w:rFonts w:hint="eastAsia" w:ascii="宋体" w:hAnsi="宋体" w:cs="宋体"/>
                <w:color w:val="000000"/>
                <w:kern w:val="0"/>
                <w:sz w:val="18"/>
                <w:szCs w:val="18"/>
              </w:rPr>
              <w:t>结算量</w:t>
            </w:r>
          </w:p>
        </w:tc>
        <w:tc>
          <w:tcPr>
            <w:tcW w:w="719" w:type="pct"/>
            <w:tcBorders>
              <w:top w:val="nil"/>
              <w:left w:val="nil"/>
              <w:bottom w:val="single" w:color="auto" w:sz="4" w:space="0"/>
              <w:right w:val="single" w:color="auto" w:sz="4" w:space="0"/>
            </w:tcBorders>
            <w:noWrap/>
            <w:vAlign w:val="bottom"/>
          </w:tcPr>
          <w:p w14:paraId="39268057">
            <w:pPr>
              <w:widowControl/>
              <w:jc w:val="center"/>
              <w:rPr>
                <w:rFonts w:ascii="宋体" w:cs="宋体"/>
                <w:color w:val="000000"/>
                <w:kern w:val="0"/>
                <w:sz w:val="18"/>
                <w:szCs w:val="18"/>
              </w:rPr>
            </w:pPr>
            <w:r>
              <w:rPr>
                <w:rFonts w:hint="eastAsia" w:ascii="宋体" w:hAnsi="宋体" w:cs="宋体"/>
                <w:color w:val="000000"/>
                <w:kern w:val="0"/>
                <w:sz w:val="18"/>
                <w:szCs w:val="18"/>
              </w:rPr>
              <w:t>排放因子</w:t>
            </w:r>
          </w:p>
        </w:tc>
        <w:tc>
          <w:tcPr>
            <w:tcW w:w="956" w:type="pct"/>
            <w:tcBorders>
              <w:top w:val="single" w:color="auto" w:sz="4" w:space="0"/>
              <w:left w:val="nil"/>
              <w:bottom w:val="single" w:color="auto" w:sz="4" w:space="0"/>
              <w:right w:val="single" w:color="auto" w:sz="4" w:space="0"/>
            </w:tcBorders>
            <w:noWrap/>
            <w:vAlign w:val="bottom"/>
          </w:tcPr>
          <w:p w14:paraId="151665EC">
            <w:pPr>
              <w:widowControl/>
              <w:jc w:val="center"/>
              <w:rPr>
                <w:rFonts w:ascii="宋体" w:cs="宋体"/>
                <w:color w:val="000000"/>
                <w:kern w:val="0"/>
                <w:sz w:val="18"/>
                <w:szCs w:val="18"/>
              </w:rPr>
            </w:pPr>
            <w:r>
              <w:rPr>
                <w:rFonts w:hint="eastAsia" w:ascii="宋体" w:hAnsi="宋体" w:cs="宋体"/>
                <w:color w:val="000000"/>
                <w:kern w:val="0"/>
                <w:sz w:val="18"/>
                <w:szCs w:val="18"/>
              </w:rPr>
              <w:t>直接排放</w:t>
            </w:r>
          </w:p>
        </w:tc>
        <w:tc>
          <w:tcPr>
            <w:tcW w:w="695" w:type="pct"/>
            <w:tcBorders>
              <w:top w:val="single" w:color="auto" w:sz="4" w:space="0"/>
              <w:left w:val="nil"/>
              <w:bottom w:val="single" w:color="auto" w:sz="4" w:space="0"/>
              <w:right w:val="single" w:color="auto" w:sz="4" w:space="0"/>
            </w:tcBorders>
            <w:noWrap/>
            <w:vAlign w:val="bottom"/>
          </w:tcPr>
          <w:p w14:paraId="1750B9D2">
            <w:pPr>
              <w:widowControl/>
              <w:jc w:val="center"/>
              <w:rPr>
                <w:rFonts w:ascii="宋体" w:cs="宋体"/>
                <w:color w:val="000000"/>
                <w:kern w:val="0"/>
                <w:sz w:val="18"/>
                <w:szCs w:val="18"/>
              </w:rPr>
            </w:pPr>
            <w:r>
              <w:rPr>
                <w:rFonts w:hint="eastAsia" w:ascii="宋体" w:hAnsi="宋体" w:cs="宋体"/>
                <w:color w:val="000000"/>
                <w:kern w:val="0"/>
                <w:sz w:val="18"/>
                <w:szCs w:val="18"/>
              </w:rPr>
              <w:t>电耗</w:t>
            </w:r>
          </w:p>
        </w:tc>
        <w:tc>
          <w:tcPr>
            <w:tcW w:w="818" w:type="pct"/>
            <w:tcBorders>
              <w:top w:val="single" w:color="auto" w:sz="4" w:space="0"/>
              <w:left w:val="nil"/>
              <w:bottom w:val="single" w:color="auto" w:sz="4" w:space="0"/>
              <w:right w:val="single" w:color="auto" w:sz="4" w:space="0"/>
            </w:tcBorders>
            <w:noWrap/>
            <w:vAlign w:val="bottom"/>
          </w:tcPr>
          <w:p w14:paraId="0EF571C7">
            <w:pPr>
              <w:widowControl/>
              <w:jc w:val="center"/>
              <w:rPr>
                <w:rFonts w:ascii="宋体" w:cs="宋体"/>
                <w:color w:val="000000"/>
                <w:kern w:val="0"/>
                <w:sz w:val="18"/>
                <w:szCs w:val="18"/>
              </w:rPr>
            </w:pPr>
            <w:r>
              <w:rPr>
                <w:rFonts w:hint="eastAsia" w:ascii="宋体" w:hAnsi="宋体" w:cs="宋体"/>
                <w:color w:val="000000"/>
                <w:kern w:val="0"/>
                <w:sz w:val="18"/>
                <w:szCs w:val="18"/>
              </w:rPr>
              <w:t>热力消耗</w:t>
            </w:r>
          </w:p>
        </w:tc>
        <w:tc>
          <w:tcPr>
            <w:tcW w:w="244" w:type="pct"/>
            <w:tcBorders>
              <w:top w:val="single" w:color="auto" w:sz="4" w:space="0"/>
              <w:left w:val="nil"/>
              <w:bottom w:val="single" w:color="auto" w:sz="4" w:space="0"/>
              <w:right w:val="single" w:color="auto" w:sz="4" w:space="0"/>
            </w:tcBorders>
            <w:noWrap/>
            <w:vAlign w:val="bottom"/>
          </w:tcPr>
          <w:p w14:paraId="791A9384">
            <w:pPr>
              <w:widowControl/>
              <w:jc w:val="center"/>
              <w:rPr>
                <w:rFonts w:ascii="宋体" w:cs="宋体"/>
                <w:color w:val="000000"/>
                <w:kern w:val="0"/>
                <w:sz w:val="18"/>
                <w:szCs w:val="18"/>
              </w:rPr>
            </w:pPr>
            <w:r>
              <w:rPr>
                <w:rFonts w:hint="eastAsia" w:ascii="宋体" w:hAnsi="宋体" w:cs="宋体"/>
                <w:color w:val="000000"/>
                <w:kern w:val="0"/>
                <w:sz w:val="18"/>
                <w:szCs w:val="18"/>
              </w:rPr>
              <w:t>其他</w:t>
            </w:r>
          </w:p>
        </w:tc>
        <w:tc>
          <w:tcPr>
            <w:tcW w:w="372" w:type="pct"/>
            <w:vMerge w:val="continue"/>
            <w:tcBorders>
              <w:top w:val="single" w:color="auto" w:sz="4" w:space="0"/>
              <w:left w:val="single" w:color="auto" w:sz="4" w:space="0"/>
              <w:bottom w:val="single" w:color="000000" w:sz="4" w:space="0"/>
              <w:right w:val="single" w:color="auto" w:sz="4" w:space="0"/>
            </w:tcBorders>
            <w:vAlign w:val="center"/>
          </w:tcPr>
          <w:p w14:paraId="0B9A1FF3">
            <w:pPr>
              <w:widowControl/>
              <w:jc w:val="left"/>
              <w:rPr>
                <w:rFonts w:ascii="宋体" w:cs="宋体"/>
                <w:color w:val="000000"/>
                <w:kern w:val="0"/>
                <w:sz w:val="18"/>
                <w:szCs w:val="18"/>
              </w:rPr>
            </w:pPr>
          </w:p>
        </w:tc>
      </w:tr>
      <w:tr w14:paraId="7BAC05FE">
        <w:tblPrEx>
          <w:tblCellMar>
            <w:top w:w="0" w:type="dxa"/>
            <w:left w:w="0" w:type="dxa"/>
            <w:bottom w:w="0" w:type="dxa"/>
            <w:right w:w="0" w:type="dxa"/>
          </w:tblCellMar>
        </w:tblPrEx>
        <w:trPr>
          <w:trHeight w:val="276" w:hRule="atLeast"/>
        </w:trPr>
        <w:tc>
          <w:tcPr>
            <w:tcW w:w="651" w:type="pct"/>
            <w:tcBorders>
              <w:top w:val="nil"/>
              <w:left w:val="single" w:color="auto" w:sz="4" w:space="0"/>
              <w:bottom w:val="single" w:color="auto" w:sz="4" w:space="0"/>
              <w:right w:val="single" w:color="auto" w:sz="4" w:space="0"/>
            </w:tcBorders>
            <w:noWrap/>
            <w:vAlign w:val="bottom"/>
          </w:tcPr>
          <w:p w14:paraId="4BB6237A">
            <w:pPr>
              <w:widowControl/>
              <w:jc w:val="left"/>
              <w:rPr>
                <w:rFonts w:ascii="宋体" w:cs="宋体"/>
                <w:color w:val="000000"/>
                <w:kern w:val="0"/>
                <w:sz w:val="18"/>
                <w:szCs w:val="18"/>
              </w:rPr>
            </w:pPr>
          </w:p>
        </w:tc>
        <w:tc>
          <w:tcPr>
            <w:tcW w:w="545" w:type="pct"/>
            <w:tcBorders>
              <w:top w:val="nil"/>
              <w:left w:val="nil"/>
              <w:bottom w:val="single" w:color="auto" w:sz="4" w:space="0"/>
              <w:right w:val="single" w:color="auto" w:sz="4" w:space="0"/>
            </w:tcBorders>
            <w:noWrap/>
            <w:vAlign w:val="bottom"/>
          </w:tcPr>
          <w:p w14:paraId="257BCE39">
            <w:pPr>
              <w:widowControl/>
              <w:jc w:val="center"/>
              <w:rPr>
                <w:rFonts w:ascii="宋体" w:cs="宋体"/>
                <w:color w:val="000000"/>
                <w:kern w:val="0"/>
                <w:sz w:val="18"/>
                <w:szCs w:val="18"/>
              </w:rPr>
            </w:pPr>
          </w:p>
        </w:tc>
        <w:tc>
          <w:tcPr>
            <w:tcW w:w="719" w:type="pct"/>
            <w:tcBorders>
              <w:top w:val="nil"/>
              <w:left w:val="nil"/>
              <w:bottom w:val="single" w:color="auto" w:sz="4" w:space="0"/>
              <w:right w:val="single" w:color="auto" w:sz="4" w:space="0"/>
            </w:tcBorders>
            <w:noWrap/>
            <w:vAlign w:val="bottom"/>
          </w:tcPr>
          <w:p w14:paraId="19A31E73">
            <w:pPr>
              <w:widowControl/>
              <w:jc w:val="center"/>
              <w:rPr>
                <w:rFonts w:ascii="宋体" w:cs="宋体"/>
                <w:color w:val="000000"/>
                <w:kern w:val="0"/>
                <w:sz w:val="18"/>
                <w:szCs w:val="18"/>
              </w:rPr>
            </w:pPr>
          </w:p>
        </w:tc>
        <w:tc>
          <w:tcPr>
            <w:tcW w:w="956" w:type="pct"/>
            <w:tcBorders>
              <w:top w:val="nil"/>
              <w:left w:val="nil"/>
              <w:bottom w:val="single" w:color="auto" w:sz="4" w:space="0"/>
              <w:right w:val="single" w:color="auto" w:sz="4" w:space="0"/>
            </w:tcBorders>
            <w:noWrap/>
            <w:vAlign w:val="bottom"/>
          </w:tcPr>
          <w:p w14:paraId="21D3EF08">
            <w:pPr>
              <w:widowControl/>
              <w:jc w:val="center"/>
              <w:rPr>
                <w:rFonts w:ascii="宋体" w:cs="宋体"/>
                <w:color w:val="000000"/>
                <w:kern w:val="0"/>
                <w:sz w:val="18"/>
                <w:szCs w:val="18"/>
              </w:rPr>
            </w:pPr>
          </w:p>
        </w:tc>
        <w:tc>
          <w:tcPr>
            <w:tcW w:w="695" w:type="pct"/>
            <w:tcBorders>
              <w:top w:val="nil"/>
              <w:left w:val="nil"/>
              <w:bottom w:val="single" w:color="auto" w:sz="4" w:space="0"/>
              <w:right w:val="single" w:color="auto" w:sz="4" w:space="0"/>
            </w:tcBorders>
            <w:noWrap/>
            <w:vAlign w:val="bottom"/>
          </w:tcPr>
          <w:p w14:paraId="5A85C3CC">
            <w:pPr>
              <w:widowControl/>
              <w:jc w:val="center"/>
              <w:rPr>
                <w:rFonts w:ascii="宋体" w:cs="宋体"/>
                <w:color w:val="000000"/>
                <w:kern w:val="0"/>
                <w:sz w:val="18"/>
                <w:szCs w:val="18"/>
              </w:rPr>
            </w:pPr>
          </w:p>
        </w:tc>
        <w:tc>
          <w:tcPr>
            <w:tcW w:w="818" w:type="pct"/>
            <w:tcBorders>
              <w:top w:val="nil"/>
              <w:left w:val="nil"/>
              <w:bottom w:val="single" w:color="auto" w:sz="4" w:space="0"/>
              <w:right w:val="single" w:color="auto" w:sz="4" w:space="0"/>
            </w:tcBorders>
            <w:noWrap/>
            <w:vAlign w:val="bottom"/>
          </w:tcPr>
          <w:p w14:paraId="58B5444C">
            <w:pPr>
              <w:widowControl/>
              <w:jc w:val="center"/>
              <w:rPr>
                <w:rFonts w:ascii="宋体" w:cs="宋体"/>
                <w:color w:val="000000"/>
                <w:kern w:val="0"/>
                <w:sz w:val="18"/>
                <w:szCs w:val="18"/>
              </w:rPr>
            </w:pPr>
          </w:p>
        </w:tc>
        <w:tc>
          <w:tcPr>
            <w:tcW w:w="244" w:type="pct"/>
            <w:tcBorders>
              <w:top w:val="nil"/>
              <w:left w:val="nil"/>
              <w:bottom w:val="single" w:color="auto" w:sz="4" w:space="0"/>
              <w:right w:val="single" w:color="auto" w:sz="4" w:space="0"/>
            </w:tcBorders>
            <w:noWrap/>
            <w:vAlign w:val="bottom"/>
          </w:tcPr>
          <w:p w14:paraId="3D09F39F">
            <w:pPr>
              <w:widowControl/>
              <w:jc w:val="center"/>
              <w:rPr>
                <w:rFonts w:ascii="宋体" w:cs="宋体"/>
                <w:color w:val="000000"/>
                <w:kern w:val="0"/>
                <w:sz w:val="18"/>
                <w:szCs w:val="18"/>
              </w:rPr>
            </w:pPr>
          </w:p>
        </w:tc>
        <w:tc>
          <w:tcPr>
            <w:tcW w:w="372" w:type="pct"/>
            <w:tcBorders>
              <w:top w:val="nil"/>
              <w:left w:val="nil"/>
              <w:bottom w:val="single" w:color="auto" w:sz="4" w:space="0"/>
              <w:right w:val="single" w:color="auto" w:sz="4" w:space="0"/>
            </w:tcBorders>
            <w:noWrap/>
            <w:vAlign w:val="bottom"/>
          </w:tcPr>
          <w:p w14:paraId="41D3F6B3">
            <w:pPr>
              <w:widowControl/>
              <w:jc w:val="center"/>
              <w:rPr>
                <w:rFonts w:ascii="宋体" w:cs="宋体"/>
                <w:color w:val="000000"/>
                <w:kern w:val="0"/>
                <w:sz w:val="18"/>
                <w:szCs w:val="18"/>
              </w:rPr>
            </w:pPr>
            <w:r>
              <w:rPr>
                <w:rFonts w:hint="eastAsia" w:ascii="宋体" w:hAnsi="宋体" w:cs="宋体"/>
                <w:color w:val="000000"/>
                <w:kern w:val="0"/>
                <w:sz w:val="18"/>
                <w:szCs w:val="18"/>
              </w:rPr>
              <w:t>供应商</w:t>
            </w:r>
          </w:p>
        </w:tc>
      </w:tr>
      <w:tr w14:paraId="73DE3518">
        <w:tblPrEx>
          <w:tblCellMar>
            <w:top w:w="0" w:type="dxa"/>
            <w:left w:w="0" w:type="dxa"/>
            <w:bottom w:w="0" w:type="dxa"/>
            <w:right w:w="0" w:type="dxa"/>
          </w:tblCellMar>
        </w:tblPrEx>
        <w:trPr>
          <w:trHeight w:val="276" w:hRule="atLeast"/>
        </w:trPr>
        <w:tc>
          <w:tcPr>
            <w:tcW w:w="651" w:type="pct"/>
            <w:tcBorders>
              <w:top w:val="nil"/>
              <w:left w:val="single" w:color="auto" w:sz="4" w:space="0"/>
              <w:bottom w:val="single" w:color="auto" w:sz="4" w:space="0"/>
              <w:right w:val="single" w:color="auto" w:sz="4" w:space="0"/>
            </w:tcBorders>
            <w:noWrap/>
            <w:vAlign w:val="bottom"/>
          </w:tcPr>
          <w:p w14:paraId="116EE0BB">
            <w:pPr>
              <w:widowControl/>
              <w:jc w:val="left"/>
              <w:rPr>
                <w:rFonts w:ascii="宋体" w:cs="宋体"/>
                <w:color w:val="000000"/>
                <w:kern w:val="0"/>
                <w:sz w:val="18"/>
                <w:szCs w:val="18"/>
              </w:rPr>
            </w:pPr>
          </w:p>
        </w:tc>
        <w:tc>
          <w:tcPr>
            <w:tcW w:w="545" w:type="pct"/>
            <w:tcBorders>
              <w:top w:val="nil"/>
              <w:left w:val="nil"/>
              <w:bottom w:val="single" w:color="auto" w:sz="4" w:space="0"/>
              <w:right w:val="single" w:color="auto" w:sz="4" w:space="0"/>
            </w:tcBorders>
            <w:noWrap/>
            <w:vAlign w:val="bottom"/>
          </w:tcPr>
          <w:p w14:paraId="65B0185C">
            <w:pPr>
              <w:widowControl/>
              <w:jc w:val="center"/>
              <w:rPr>
                <w:rFonts w:ascii="宋体" w:cs="宋体"/>
                <w:color w:val="000000"/>
                <w:kern w:val="0"/>
                <w:sz w:val="18"/>
                <w:szCs w:val="18"/>
              </w:rPr>
            </w:pPr>
          </w:p>
        </w:tc>
        <w:tc>
          <w:tcPr>
            <w:tcW w:w="719" w:type="pct"/>
            <w:tcBorders>
              <w:top w:val="nil"/>
              <w:left w:val="nil"/>
              <w:bottom w:val="single" w:color="auto" w:sz="4" w:space="0"/>
              <w:right w:val="single" w:color="auto" w:sz="4" w:space="0"/>
            </w:tcBorders>
            <w:noWrap/>
            <w:vAlign w:val="bottom"/>
          </w:tcPr>
          <w:p w14:paraId="2FA364A1">
            <w:pPr>
              <w:widowControl/>
              <w:jc w:val="center"/>
              <w:rPr>
                <w:rFonts w:ascii="宋体" w:cs="宋体"/>
                <w:color w:val="000000"/>
                <w:kern w:val="0"/>
                <w:sz w:val="18"/>
                <w:szCs w:val="18"/>
              </w:rPr>
            </w:pPr>
          </w:p>
        </w:tc>
        <w:tc>
          <w:tcPr>
            <w:tcW w:w="956" w:type="pct"/>
            <w:tcBorders>
              <w:top w:val="nil"/>
              <w:left w:val="nil"/>
              <w:bottom w:val="single" w:color="auto" w:sz="4" w:space="0"/>
              <w:right w:val="single" w:color="auto" w:sz="4" w:space="0"/>
            </w:tcBorders>
            <w:noWrap/>
            <w:vAlign w:val="bottom"/>
          </w:tcPr>
          <w:p w14:paraId="2A583AD9">
            <w:pPr>
              <w:widowControl/>
              <w:jc w:val="center"/>
              <w:rPr>
                <w:rFonts w:ascii="宋体" w:cs="宋体"/>
                <w:color w:val="000000"/>
                <w:kern w:val="0"/>
                <w:sz w:val="18"/>
                <w:szCs w:val="18"/>
              </w:rPr>
            </w:pPr>
          </w:p>
        </w:tc>
        <w:tc>
          <w:tcPr>
            <w:tcW w:w="695" w:type="pct"/>
            <w:tcBorders>
              <w:top w:val="nil"/>
              <w:left w:val="nil"/>
              <w:bottom w:val="single" w:color="auto" w:sz="4" w:space="0"/>
              <w:right w:val="single" w:color="auto" w:sz="4" w:space="0"/>
            </w:tcBorders>
            <w:noWrap/>
            <w:vAlign w:val="bottom"/>
          </w:tcPr>
          <w:p w14:paraId="15D65FD1">
            <w:pPr>
              <w:widowControl/>
              <w:jc w:val="center"/>
              <w:rPr>
                <w:rFonts w:ascii="宋体" w:cs="宋体"/>
                <w:color w:val="000000"/>
                <w:kern w:val="0"/>
                <w:sz w:val="18"/>
                <w:szCs w:val="18"/>
              </w:rPr>
            </w:pPr>
          </w:p>
        </w:tc>
        <w:tc>
          <w:tcPr>
            <w:tcW w:w="818" w:type="pct"/>
            <w:tcBorders>
              <w:top w:val="nil"/>
              <w:left w:val="nil"/>
              <w:bottom w:val="single" w:color="auto" w:sz="4" w:space="0"/>
              <w:right w:val="single" w:color="auto" w:sz="4" w:space="0"/>
            </w:tcBorders>
            <w:noWrap/>
            <w:vAlign w:val="bottom"/>
          </w:tcPr>
          <w:p w14:paraId="5C268541">
            <w:pPr>
              <w:widowControl/>
              <w:jc w:val="center"/>
              <w:rPr>
                <w:rFonts w:ascii="宋体" w:cs="宋体"/>
                <w:color w:val="000000"/>
                <w:kern w:val="0"/>
                <w:sz w:val="18"/>
                <w:szCs w:val="18"/>
              </w:rPr>
            </w:pPr>
          </w:p>
        </w:tc>
        <w:tc>
          <w:tcPr>
            <w:tcW w:w="244" w:type="pct"/>
            <w:tcBorders>
              <w:top w:val="nil"/>
              <w:left w:val="nil"/>
              <w:bottom w:val="single" w:color="auto" w:sz="4" w:space="0"/>
              <w:right w:val="single" w:color="auto" w:sz="4" w:space="0"/>
            </w:tcBorders>
            <w:noWrap/>
            <w:vAlign w:val="bottom"/>
          </w:tcPr>
          <w:p w14:paraId="4CD2EE85">
            <w:pPr>
              <w:widowControl/>
              <w:jc w:val="center"/>
              <w:rPr>
                <w:rFonts w:ascii="宋体" w:cs="宋体"/>
                <w:color w:val="000000"/>
                <w:kern w:val="0"/>
                <w:sz w:val="18"/>
                <w:szCs w:val="18"/>
              </w:rPr>
            </w:pPr>
          </w:p>
        </w:tc>
        <w:tc>
          <w:tcPr>
            <w:tcW w:w="372" w:type="pct"/>
            <w:tcBorders>
              <w:top w:val="nil"/>
              <w:left w:val="nil"/>
              <w:bottom w:val="single" w:color="auto" w:sz="4" w:space="0"/>
              <w:right w:val="single" w:color="auto" w:sz="4" w:space="0"/>
            </w:tcBorders>
            <w:noWrap/>
            <w:vAlign w:val="bottom"/>
          </w:tcPr>
          <w:p w14:paraId="53155156">
            <w:pPr>
              <w:widowControl/>
              <w:jc w:val="center"/>
              <w:rPr>
                <w:rFonts w:ascii="宋体" w:cs="宋体"/>
                <w:color w:val="000000"/>
                <w:kern w:val="0"/>
                <w:sz w:val="18"/>
                <w:szCs w:val="18"/>
              </w:rPr>
            </w:pPr>
          </w:p>
        </w:tc>
      </w:tr>
      <w:tr w14:paraId="18826FBE">
        <w:tblPrEx>
          <w:tblCellMar>
            <w:top w:w="0" w:type="dxa"/>
            <w:left w:w="0" w:type="dxa"/>
            <w:bottom w:w="0" w:type="dxa"/>
            <w:right w:w="0" w:type="dxa"/>
          </w:tblCellMar>
        </w:tblPrEx>
        <w:trPr>
          <w:trHeight w:val="276" w:hRule="atLeast"/>
        </w:trPr>
        <w:tc>
          <w:tcPr>
            <w:tcW w:w="651" w:type="pct"/>
            <w:tcBorders>
              <w:top w:val="nil"/>
              <w:left w:val="single" w:color="auto" w:sz="4" w:space="0"/>
              <w:bottom w:val="single" w:color="auto" w:sz="4" w:space="0"/>
              <w:right w:val="single" w:color="auto" w:sz="4" w:space="0"/>
            </w:tcBorders>
            <w:noWrap/>
            <w:vAlign w:val="bottom"/>
          </w:tcPr>
          <w:p w14:paraId="2EA7C64B">
            <w:pPr>
              <w:widowControl/>
              <w:jc w:val="left"/>
              <w:rPr>
                <w:rFonts w:ascii="宋体" w:cs="宋体"/>
                <w:color w:val="000000"/>
                <w:kern w:val="0"/>
                <w:sz w:val="18"/>
                <w:szCs w:val="18"/>
              </w:rPr>
            </w:pPr>
          </w:p>
        </w:tc>
        <w:tc>
          <w:tcPr>
            <w:tcW w:w="545" w:type="pct"/>
            <w:tcBorders>
              <w:top w:val="nil"/>
              <w:left w:val="nil"/>
              <w:bottom w:val="single" w:color="auto" w:sz="4" w:space="0"/>
              <w:right w:val="single" w:color="auto" w:sz="4" w:space="0"/>
            </w:tcBorders>
            <w:noWrap/>
            <w:vAlign w:val="bottom"/>
          </w:tcPr>
          <w:p w14:paraId="756EE65D">
            <w:pPr>
              <w:widowControl/>
              <w:jc w:val="center"/>
              <w:rPr>
                <w:rFonts w:ascii="宋体" w:cs="宋体"/>
                <w:color w:val="000000"/>
                <w:kern w:val="0"/>
                <w:sz w:val="18"/>
                <w:szCs w:val="18"/>
              </w:rPr>
            </w:pPr>
          </w:p>
        </w:tc>
        <w:tc>
          <w:tcPr>
            <w:tcW w:w="719" w:type="pct"/>
            <w:tcBorders>
              <w:top w:val="nil"/>
              <w:left w:val="nil"/>
              <w:bottom w:val="single" w:color="auto" w:sz="4" w:space="0"/>
              <w:right w:val="single" w:color="auto" w:sz="4" w:space="0"/>
            </w:tcBorders>
            <w:noWrap/>
            <w:vAlign w:val="bottom"/>
          </w:tcPr>
          <w:p w14:paraId="3A8863B0">
            <w:pPr>
              <w:widowControl/>
              <w:jc w:val="center"/>
              <w:rPr>
                <w:rFonts w:ascii="宋体" w:cs="宋体"/>
                <w:color w:val="000000"/>
                <w:kern w:val="0"/>
                <w:sz w:val="18"/>
                <w:szCs w:val="18"/>
              </w:rPr>
            </w:pPr>
          </w:p>
        </w:tc>
        <w:tc>
          <w:tcPr>
            <w:tcW w:w="956" w:type="pct"/>
            <w:tcBorders>
              <w:top w:val="nil"/>
              <w:left w:val="nil"/>
              <w:bottom w:val="single" w:color="auto" w:sz="4" w:space="0"/>
              <w:right w:val="single" w:color="auto" w:sz="4" w:space="0"/>
            </w:tcBorders>
            <w:noWrap/>
            <w:vAlign w:val="bottom"/>
          </w:tcPr>
          <w:p w14:paraId="1D6531FA">
            <w:pPr>
              <w:widowControl/>
              <w:jc w:val="center"/>
              <w:rPr>
                <w:rFonts w:ascii="宋体" w:cs="宋体"/>
                <w:color w:val="000000"/>
                <w:kern w:val="0"/>
                <w:sz w:val="18"/>
                <w:szCs w:val="18"/>
              </w:rPr>
            </w:pPr>
          </w:p>
        </w:tc>
        <w:tc>
          <w:tcPr>
            <w:tcW w:w="695" w:type="pct"/>
            <w:tcBorders>
              <w:top w:val="nil"/>
              <w:left w:val="nil"/>
              <w:bottom w:val="single" w:color="auto" w:sz="4" w:space="0"/>
              <w:right w:val="single" w:color="auto" w:sz="4" w:space="0"/>
            </w:tcBorders>
            <w:noWrap/>
            <w:vAlign w:val="bottom"/>
          </w:tcPr>
          <w:p w14:paraId="4E3B11E5">
            <w:pPr>
              <w:widowControl/>
              <w:jc w:val="center"/>
              <w:rPr>
                <w:rFonts w:ascii="宋体" w:cs="宋体"/>
                <w:color w:val="000000"/>
                <w:kern w:val="0"/>
                <w:sz w:val="18"/>
                <w:szCs w:val="18"/>
              </w:rPr>
            </w:pPr>
          </w:p>
        </w:tc>
        <w:tc>
          <w:tcPr>
            <w:tcW w:w="818" w:type="pct"/>
            <w:tcBorders>
              <w:top w:val="nil"/>
              <w:left w:val="nil"/>
              <w:bottom w:val="single" w:color="auto" w:sz="4" w:space="0"/>
              <w:right w:val="single" w:color="auto" w:sz="4" w:space="0"/>
            </w:tcBorders>
            <w:noWrap/>
            <w:vAlign w:val="bottom"/>
          </w:tcPr>
          <w:p w14:paraId="4B2A625F">
            <w:pPr>
              <w:widowControl/>
              <w:jc w:val="center"/>
              <w:rPr>
                <w:rFonts w:ascii="宋体" w:cs="宋体"/>
                <w:color w:val="000000"/>
                <w:kern w:val="0"/>
                <w:sz w:val="18"/>
                <w:szCs w:val="18"/>
              </w:rPr>
            </w:pPr>
          </w:p>
        </w:tc>
        <w:tc>
          <w:tcPr>
            <w:tcW w:w="244" w:type="pct"/>
            <w:tcBorders>
              <w:top w:val="nil"/>
              <w:left w:val="nil"/>
              <w:bottom w:val="single" w:color="auto" w:sz="4" w:space="0"/>
              <w:right w:val="single" w:color="auto" w:sz="4" w:space="0"/>
            </w:tcBorders>
            <w:noWrap/>
            <w:vAlign w:val="bottom"/>
          </w:tcPr>
          <w:p w14:paraId="340CAABB">
            <w:pPr>
              <w:widowControl/>
              <w:jc w:val="center"/>
              <w:rPr>
                <w:rFonts w:ascii="宋体" w:cs="宋体"/>
                <w:color w:val="000000"/>
                <w:kern w:val="0"/>
                <w:sz w:val="18"/>
                <w:szCs w:val="18"/>
              </w:rPr>
            </w:pPr>
          </w:p>
        </w:tc>
        <w:tc>
          <w:tcPr>
            <w:tcW w:w="372" w:type="pct"/>
            <w:tcBorders>
              <w:top w:val="nil"/>
              <w:left w:val="nil"/>
              <w:bottom w:val="single" w:color="auto" w:sz="4" w:space="0"/>
              <w:right w:val="single" w:color="auto" w:sz="4" w:space="0"/>
            </w:tcBorders>
            <w:noWrap/>
            <w:vAlign w:val="bottom"/>
          </w:tcPr>
          <w:p w14:paraId="64FEA811">
            <w:pPr>
              <w:widowControl/>
              <w:jc w:val="center"/>
              <w:rPr>
                <w:rFonts w:ascii="宋体" w:cs="宋体"/>
                <w:color w:val="000000"/>
                <w:kern w:val="0"/>
                <w:sz w:val="18"/>
                <w:szCs w:val="18"/>
              </w:rPr>
            </w:pPr>
          </w:p>
        </w:tc>
      </w:tr>
    </w:tbl>
    <w:p w14:paraId="5F057E26">
      <w:pPr>
        <w:pStyle w:val="61"/>
        <w:spacing w:line="360" w:lineRule="auto"/>
        <w:ind w:left="5250" w:firstLine="0" w:firstLineChars="0"/>
        <w:jc w:val="center"/>
        <w:rPr>
          <w:rFonts w:hint="eastAsia" w:ascii="黑体" w:hAnsi="黑体" w:eastAsia="黑体" w:cs="黑体"/>
          <w:szCs w:val="21"/>
        </w:rPr>
      </w:pPr>
    </w:p>
    <w:p w14:paraId="70C5657F">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C.</w:t>
      </w:r>
      <w:r>
        <w:rPr>
          <w:rFonts w:hint="eastAsia" w:ascii="黑体" w:hAnsi="黑体" w:eastAsia="黑体"/>
        </w:rPr>
        <w:t>8</w:t>
      </w:r>
      <w:r>
        <w:rPr>
          <w:rFonts w:ascii="黑体" w:hAnsi="黑体" w:eastAsia="黑体"/>
        </w:rPr>
        <w:t xml:space="preserve">  </w:t>
      </w:r>
      <w:r>
        <w:rPr>
          <w:rFonts w:hint="eastAsia" w:ascii="黑体" w:hAnsi="黑体" w:eastAsia="黑体"/>
        </w:rPr>
        <w:t>背景数据收集范例</w:t>
      </w:r>
      <w:r>
        <w:rPr>
          <w:rFonts w:ascii="黑体" w:hAnsi="黑体" w:eastAsia="黑体"/>
        </w:rPr>
        <w:t>4-</w:t>
      </w:r>
      <w:r>
        <w:rPr>
          <w:rFonts w:hint="eastAsia" w:ascii="黑体" w:hAnsi="黑体" w:eastAsia="黑体"/>
        </w:rPr>
        <w:t>运输（方法</w:t>
      </w:r>
      <w:r>
        <w:rPr>
          <w:rFonts w:ascii="黑体" w:hAnsi="黑体" w:eastAsia="黑体"/>
        </w:rPr>
        <w:t>1</w:t>
      </w:r>
      <w:r>
        <w:rPr>
          <w:rFonts w:hint="eastAsia" w:ascii="黑体" w:hAnsi="黑体" w:eastAsia="黑体"/>
        </w:rPr>
        <w:t>）</w:t>
      </w:r>
    </w:p>
    <w:tbl>
      <w:tblPr>
        <w:tblStyle w:val="22"/>
        <w:tblW w:w="5000" w:type="pct"/>
        <w:tblInd w:w="0" w:type="dxa"/>
        <w:tblLayout w:type="autofit"/>
        <w:tblCellMar>
          <w:top w:w="0" w:type="dxa"/>
          <w:left w:w="0" w:type="dxa"/>
          <w:bottom w:w="0" w:type="dxa"/>
          <w:right w:w="0" w:type="dxa"/>
        </w:tblCellMar>
      </w:tblPr>
      <w:tblGrid>
        <w:gridCol w:w="1111"/>
        <w:gridCol w:w="837"/>
        <w:gridCol w:w="1109"/>
        <w:gridCol w:w="835"/>
        <w:gridCol w:w="1658"/>
        <w:gridCol w:w="1658"/>
        <w:gridCol w:w="1108"/>
      </w:tblGrid>
      <w:tr w14:paraId="038D6EF1">
        <w:tblPrEx>
          <w:tblCellMar>
            <w:top w:w="0" w:type="dxa"/>
            <w:left w:w="0" w:type="dxa"/>
            <w:bottom w:w="0" w:type="dxa"/>
            <w:right w:w="0" w:type="dxa"/>
          </w:tblCellMar>
        </w:tblPrEx>
        <w:trPr>
          <w:trHeight w:val="276" w:hRule="atLeast"/>
        </w:trPr>
        <w:tc>
          <w:tcPr>
            <w:tcW w:w="668" w:type="pct"/>
            <w:tcBorders>
              <w:top w:val="single" w:color="auto" w:sz="4" w:space="0"/>
              <w:left w:val="single" w:color="auto" w:sz="4" w:space="0"/>
              <w:bottom w:val="single" w:color="auto" w:sz="4" w:space="0"/>
              <w:right w:val="single" w:color="auto" w:sz="4" w:space="0"/>
            </w:tcBorders>
            <w:noWrap/>
            <w:vAlign w:val="center"/>
          </w:tcPr>
          <w:p w14:paraId="5FD3B657">
            <w:pPr>
              <w:widowControl/>
              <w:jc w:val="center"/>
              <w:rPr>
                <w:rFonts w:ascii="宋体" w:cs="宋体"/>
                <w:color w:val="000000"/>
                <w:kern w:val="0"/>
                <w:sz w:val="18"/>
                <w:szCs w:val="18"/>
              </w:rPr>
            </w:pPr>
            <w:r>
              <w:rPr>
                <w:rFonts w:hint="eastAsia" w:ascii="宋体" w:hAnsi="宋体" w:cs="宋体"/>
                <w:color w:val="000000"/>
                <w:kern w:val="0"/>
                <w:sz w:val="18"/>
                <w:szCs w:val="18"/>
              </w:rPr>
              <w:t>商品名称</w:t>
            </w:r>
          </w:p>
        </w:tc>
        <w:tc>
          <w:tcPr>
            <w:tcW w:w="503" w:type="pct"/>
            <w:tcBorders>
              <w:top w:val="single" w:color="auto" w:sz="4" w:space="0"/>
              <w:left w:val="nil"/>
              <w:bottom w:val="single" w:color="auto" w:sz="4" w:space="0"/>
              <w:right w:val="single" w:color="auto" w:sz="4" w:space="0"/>
            </w:tcBorders>
            <w:noWrap/>
            <w:vAlign w:val="center"/>
          </w:tcPr>
          <w:p w14:paraId="22D1A16E">
            <w:pPr>
              <w:widowControl/>
              <w:jc w:val="center"/>
              <w:rPr>
                <w:rFonts w:ascii="宋体" w:cs="宋体"/>
                <w:color w:val="000000"/>
                <w:kern w:val="0"/>
                <w:sz w:val="18"/>
                <w:szCs w:val="18"/>
              </w:rPr>
            </w:pPr>
            <w:r>
              <w:rPr>
                <w:rFonts w:hint="eastAsia" w:ascii="宋体" w:hAnsi="宋体" w:cs="宋体"/>
                <w:color w:val="000000"/>
                <w:kern w:val="0"/>
                <w:sz w:val="18"/>
                <w:szCs w:val="18"/>
              </w:rPr>
              <w:t>运输量</w:t>
            </w:r>
          </w:p>
        </w:tc>
        <w:tc>
          <w:tcPr>
            <w:tcW w:w="667" w:type="pct"/>
            <w:tcBorders>
              <w:top w:val="single" w:color="auto" w:sz="4" w:space="0"/>
              <w:left w:val="nil"/>
              <w:bottom w:val="single" w:color="auto" w:sz="4" w:space="0"/>
              <w:right w:val="single" w:color="auto" w:sz="4" w:space="0"/>
            </w:tcBorders>
            <w:noWrap/>
            <w:vAlign w:val="center"/>
          </w:tcPr>
          <w:p w14:paraId="5F2AB414">
            <w:pPr>
              <w:widowControl/>
              <w:jc w:val="center"/>
              <w:rPr>
                <w:rFonts w:ascii="宋体" w:cs="宋体"/>
                <w:color w:val="000000"/>
                <w:kern w:val="0"/>
                <w:sz w:val="18"/>
                <w:szCs w:val="18"/>
              </w:rPr>
            </w:pPr>
            <w:r>
              <w:rPr>
                <w:rFonts w:hint="eastAsia" w:ascii="宋体" w:hAnsi="宋体" w:cs="宋体"/>
                <w:color w:val="000000"/>
                <w:kern w:val="0"/>
                <w:sz w:val="18"/>
                <w:szCs w:val="18"/>
              </w:rPr>
              <w:t>运输燃料</w:t>
            </w:r>
          </w:p>
        </w:tc>
        <w:tc>
          <w:tcPr>
            <w:tcW w:w="502" w:type="pct"/>
            <w:tcBorders>
              <w:top w:val="single" w:color="auto" w:sz="4" w:space="0"/>
              <w:left w:val="nil"/>
              <w:bottom w:val="single" w:color="auto" w:sz="4" w:space="0"/>
              <w:right w:val="single" w:color="auto" w:sz="4" w:space="0"/>
            </w:tcBorders>
            <w:noWrap/>
            <w:vAlign w:val="center"/>
          </w:tcPr>
          <w:p w14:paraId="5742D1A8">
            <w:pPr>
              <w:widowControl/>
              <w:jc w:val="center"/>
              <w:rPr>
                <w:rFonts w:ascii="宋体" w:cs="宋体"/>
                <w:color w:val="000000"/>
                <w:kern w:val="0"/>
                <w:sz w:val="18"/>
                <w:szCs w:val="18"/>
              </w:rPr>
            </w:pPr>
            <w:r>
              <w:rPr>
                <w:rFonts w:hint="eastAsia" w:ascii="宋体" w:hAnsi="宋体" w:cs="宋体"/>
                <w:color w:val="000000"/>
                <w:kern w:val="0"/>
                <w:sz w:val="18"/>
                <w:szCs w:val="18"/>
              </w:rPr>
              <w:t>燃料量</w:t>
            </w:r>
          </w:p>
        </w:tc>
        <w:tc>
          <w:tcPr>
            <w:tcW w:w="997" w:type="pct"/>
            <w:tcBorders>
              <w:top w:val="single" w:color="auto" w:sz="4" w:space="0"/>
              <w:left w:val="nil"/>
              <w:bottom w:val="single" w:color="auto" w:sz="4" w:space="0"/>
              <w:right w:val="single" w:color="auto" w:sz="4" w:space="0"/>
            </w:tcBorders>
            <w:noWrap/>
            <w:vAlign w:val="center"/>
          </w:tcPr>
          <w:p w14:paraId="39720E78">
            <w:pPr>
              <w:widowControl/>
              <w:jc w:val="center"/>
              <w:rPr>
                <w:rFonts w:ascii="宋体" w:cs="宋体"/>
                <w:color w:val="000000"/>
                <w:kern w:val="0"/>
                <w:sz w:val="18"/>
                <w:szCs w:val="18"/>
              </w:rPr>
            </w:pPr>
            <w:r>
              <w:rPr>
                <w:rFonts w:hint="eastAsia" w:ascii="宋体" w:hAnsi="宋体" w:cs="宋体"/>
                <w:color w:val="000000"/>
                <w:kern w:val="0"/>
                <w:sz w:val="18"/>
                <w:szCs w:val="18"/>
              </w:rPr>
              <w:t>燃料上游因子</w:t>
            </w:r>
          </w:p>
        </w:tc>
        <w:tc>
          <w:tcPr>
            <w:tcW w:w="997" w:type="pct"/>
            <w:tcBorders>
              <w:top w:val="single" w:color="auto" w:sz="4" w:space="0"/>
              <w:left w:val="nil"/>
              <w:bottom w:val="single" w:color="auto" w:sz="4" w:space="0"/>
              <w:right w:val="single" w:color="auto" w:sz="4" w:space="0"/>
            </w:tcBorders>
            <w:noWrap/>
            <w:vAlign w:val="center"/>
          </w:tcPr>
          <w:p w14:paraId="67A1F5C5">
            <w:pPr>
              <w:widowControl/>
              <w:jc w:val="center"/>
              <w:rPr>
                <w:rFonts w:ascii="宋体" w:cs="宋体"/>
                <w:color w:val="000000"/>
                <w:kern w:val="0"/>
                <w:sz w:val="18"/>
                <w:szCs w:val="18"/>
              </w:rPr>
            </w:pPr>
            <w:r>
              <w:rPr>
                <w:rFonts w:hint="eastAsia" w:ascii="宋体" w:hAnsi="宋体" w:cs="宋体"/>
                <w:color w:val="000000"/>
                <w:kern w:val="0"/>
                <w:sz w:val="18"/>
                <w:szCs w:val="18"/>
              </w:rPr>
              <w:t>燃料燃烧因子</w:t>
            </w:r>
          </w:p>
        </w:tc>
        <w:tc>
          <w:tcPr>
            <w:tcW w:w="667" w:type="pct"/>
            <w:tcBorders>
              <w:top w:val="single" w:color="auto" w:sz="4" w:space="0"/>
              <w:left w:val="nil"/>
              <w:bottom w:val="single" w:color="auto" w:sz="4" w:space="0"/>
              <w:right w:val="single" w:color="auto" w:sz="4" w:space="0"/>
            </w:tcBorders>
            <w:noWrap/>
            <w:vAlign w:val="center"/>
          </w:tcPr>
          <w:p w14:paraId="4B5E8126">
            <w:pPr>
              <w:widowControl/>
              <w:jc w:val="center"/>
              <w:rPr>
                <w:rFonts w:ascii="宋体" w:cs="宋体"/>
                <w:color w:val="000000"/>
                <w:kern w:val="0"/>
                <w:sz w:val="18"/>
                <w:szCs w:val="18"/>
              </w:rPr>
            </w:pPr>
            <w:r>
              <w:rPr>
                <w:rFonts w:hint="eastAsia" w:ascii="宋体" w:hAnsi="宋体" w:cs="宋体"/>
                <w:color w:val="000000"/>
                <w:kern w:val="0"/>
                <w:sz w:val="18"/>
                <w:szCs w:val="18"/>
              </w:rPr>
              <w:t>资料来源</w:t>
            </w:r>
          </w:p>
        </w:tc>
      </w:tr>
      <w:tr w14:paraId="42982C88">
        <w:tblPrEx>
          <w:tblCellMar>
            <w:top w:w="0" w:type="dxa"/>
            <w:left w:w="0" w:type="dxa"/>
            <w:bottom w:w="0" w:type="dxa"/>
            <w:right w:w="0" w:type="dxa"/>
          </w:tblCellMar>
        </w:tblPrEx>
        <w:trPr>
          <w:trHeight w:val="276" w:hRule="atLeast"/>
        </w:trPr>
        <w:tc>
          <w:tcPr>
            <w:tcW w:w="668" w:type="pct"/>
            <w:tcBorders>
              <w:top w:val="nil"/>
              <w:left w:val="single" w:color="auto" w:sz="4" w:space="0"/>
              <w:bottom w:val="single" w:color="auto" w:sz="4" w:space="0"/>
              <w:right w:val="single" w:color="auto" w:sz="4" w:space="0"/>
            </w:tcBorders>
            <w:noWrap/>
            <w:vAlign w:val="bottom"/>
          </w:tcPr>
          <w:p w14:paraId="63E5C8BF">
            <w:pPr>
              <w:widowControl/>
              <w:jc w:val="left"/>
              <w:rPr>
                <w:rFonts w:ascii="宋体" w:cs="宋体"/>
                <w:color w:val="000000"/>
                <w:kern w:val="0"/>
                <w:sz w:val="18"/>
                <w:szCs w:val="18"/>
              </w:rPr>
            </w:pPr>
            <w:r>
              <w:rPr>
                <w:rFonts w:hint="eastAsia" w:ascii="宋体" w:hAnsi="宋体" w:cs="宋体"/>
                <w:color w:val="000000"/>
                <w:kern w:val="0"/>
                <w:sz w:val="18"/>
                <w:szCs w:val="18"/>
              </w:rPr>
              <w:t>精矿</w:t>
            </w:r>
          </w:p>
        </w:tc>
        <w:tc>
          <w:tcPr>
            <w:tcW w:w="503" w:type="pct"/>
            <w:tcBorders>
              <w:top w:val="nil"/>
              <w:left w:val="nil"/>
              <w:bottom w:val="single" w:color="auto" w:sz="4" w:space="0"/>
              <w:right w:val="single" w:color="auto" w:sz="4" w:space="0"/>
            </w:tcBorders>
            <w:noWrap/>
            <w:vAlign w:val="bottom"/>
          </w:tcPr>
          <w:p w14:paraId="0153463F">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72BA7FDA">
            <w:pPr>
              <w:widowControl/>
              <w:jc w:val="center"/>
              <w:rPr>
                <w:rFonts w:ascii="宋体" w:cs="宋体"/>
                <w:color w:val="000000"/>
                <w:kern w:val="0"/>
                <w:sz w:val="18"/>
                <w:szCs w:val="18"/>
              </w:rPr>
            </w:pPr>
            <w:r>
              <w:rPr>
                <w:rFonts w:hint="eastAsia" w:ascii="宋体" w:hAnsi="宋体" w:cs="宋体"/>
                <w:color w:val="000000"/>
                <w:kern w:val="0"/>
                <w:sz w:val="18"/>
                <w:szCs w:val="18"/>
              </w:rPr>
              <w:t>如：柴油</w:t>
            </w:r>
          </w:p>
        </w:tc>
        <w:tc>
          <w:tcPr>
            <w:tcW w:w="502" w:type="pct"/>
            <w:tcBorders>
              <w:top w:val="nil"/>
              <w:left w:val="nil"/>
              <w:bottom w:val="single" w:color="auto" w:sz="4" w:space="0"/>
              <w:right w:val="single" w:color="auto" w:sz="4" w:space="0"/>
            </w:tcBorders>
            <w:noWrap/>
            <w:vAlign w:val="bottom"/>
          </w:tcPr>
          <w:p w14:paraId="77C7CB66">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46D30183">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27EDE95D">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6D1E6867">
            <w:pPr>
              <w:widowControl/>
              <w:jc w:val="left"/>
              <w:rPr>
                <w:rFonts w:ascii="宋体" w:cs="宋体"/>
                <w:color w:val="000000"/>
                <w:kern w:val="0"/>
                <w:sz w:val="18"/>
                <w:szCs w:val="18"/>
              </w:rPr>
            </w:pPr>
          </w:p>
        </w:tc>
      </w:tr>
      <w:tr w14:paraId="0B55BA45">
        <w:tblPrEx>
          <w:tblCellMar>
            <w:top w:w="0" w:type="dxa"/>
            <w:left w:w="0" w:type="dxa"/>
            <w:bottom w:w="0" w:type="dxa"/>
            <w:right w:w="0" w:type="dxa"/>
          </w:tblCellMar>
        </w:tblPrEx>
        <w:trPr>
          <w:trHeight w:val="276" w:hRule="atLeast"/>
        </w:trPr>
        <w:tc>
          <w:tcPr>
            <w:tcW w:w="668" w:type="pct"/>
            <w:tcBorders>
              <w:top w:val="nil"/>
              <w:left w:val="single" w:color="auto" w:sz="4" w:space="0"/>
              <w:bottom w:val="single" w:color="auto" w:sz="4" w:space="0"/>
              <w:right w:val="single" w:color="auto" w:sz="4" w:space="0"/>
            </w:tcBorders>
            <w:noWrap/>
            <w:vAlign w:val="bottom"/>
          </w:tcPr>
          <w:p w14:paraId="62F133A6">
            <w:pPr>
              <w:widowControl/>
              <w:jc w:val="left"/>
              <w:rPr>
                <w:rFonts w:ascii="宋体" w:cs="宋体"/>
                <w:color w:val="000000"/>
                <w:kern w:val="0"/>
                <w:sz w:val="18"/>
                <w:szCs w:val="18"/>
              </w:rPr>
            </w:pPr>
            <w:r>
              <w:rPr>
                <w:rFonts w:hint="eastAsia" w:ascii="宋体" w:hAnsi="宋体" w:cs="宋体"/>
                <w:color w:val="000000"/>
                <w:kern w:val="0"/>
                <w:sz w:val="18"/>
                <w:szCs w:val="18"/>
              </w:rPr>
              <w:t>石英石</w:t>
            </w:r>
          </w:p>
        </w:tc>
        <w:tc>
          <w:tcPr>
            <w:tcW w:w="503" w:type="pct"/>
            <w:tcBorders>
              <w:top w:val="nil"/>
              <w:left w:val="nil"/>
              <w:bottom w:val="single" w:color="auto" w:sz="4" w:space="0"/>
              <w:right w:val="single" w:color="auto" w:sz="4" w:space="0"/>
            </w:tcBorders>
            <w:noWrap/>
            <w:vAlign w:val="bottom"/>
          </w:tcPr>
          <w:p w14:paraId="5A5743C4">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60CF9596">
            <w:pPr>
              <w:widowControl/>
              <w:jc w:val="center"/>
              <w:rPr>
                <w:rFonts w:ascii="宋体" w:cs="宋体"/>
                <w:color w:val="000000"/>
                <w:kern w:val="0"/>
                <w:sz w:val="18"/>
                <w:szCs w:val="18"/>
              </w:rPr>
            </w:pPr>
          </w:p>
        </w:tc>
        <w:tc>
          <w:tcPr>
            <w:tcW w:w="502" w:type="pct"/>
            <w:tcBorders>
              <w:top w:val="nil"/>
              <w:left w:val="nil"/>
              <w:bottom w:val="single" w:color="auto" w:sz="4" w:space="0"/>
              <w:right w:val="single" w:color="auto" w:sz="4" w:space="0"/>
            </w:tcBorders>
            <w:noWrap/>
            <w:vAlign w:val="bottom"/>
          </w:tcPr>
          <w:p w14:paraId="16AA7E1A">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25B4606C">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13E3D2D3">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261B95FC">
            <w:pPr>
              <w:widowControl/>
              <w:jc w:val="left"/>
              <w:rPr>
                <w:rFonts w:ascii="宋体" w:cs="宋体"/>
                <w:color w:val="000000"/>
                <w:kern w:val="0"/>
                <w:sz w:val="18"/>
                <w:szCs w:val="18"/>
              </w:rPr>
            </w:pPr>
          </w:p>
        </w:tc>
      </w:tr>
      <w:tr w14:paraId="69DD2F9E">
        <w:tblPrEx>
          <w:tblCellMar>
            <w:top w:w="0" w:type="dxa"/>
            <w:left w:w="0" w:type="dxa"/>
            <w:bottom w:w="0" w:type="dxa"/>
            <w:right w:w="0" w:type="dxa"/>
          </w:tblCellMar>
        </w:tblPrEx>
        <w:trPr>
          <w:trHeight w:val="276" w:hRule="atLeast"/>
        </w:trPr>
        <w:tc>
          <w:tcPr>
            <w:tcW w:w="668" w:type="pct"/>
            <w:tcBorders>
              <w:top w:val="nil"/>
              <w:left w:val="single" w:color="auto" w:sz="4" w:space="0"/>
              <w:bottom w:val="single" w:color="auto" w:sz="4" w:space="0"/>
              <w:right w:val="single" w:color="auto" w:sz="4" w:space="0"/>
            </w:tcBorders>
            <w:noWrap/>
            <w:vAlign w:val="bottom"/>
          </w:tcPr>
          <w:p w14:paraId="72D794BF">
            <w:pPr>
              <w:widowControl/>
              <w:jc w:val="left"/>
              <w:rPr>
                <w:rFonts w:ascii="宋体" w:cs="宋体"/>
                <w:color w:val="000000"/>
                <w:kern w:val="0"/>
                <w:sz w:val="18"/>
                <w:szCs w:val="18"/>
              </w:rPr>
            </w:pPr>
            <w:r>
              <w:rPr>
                <w:rFonts w:hint="eastAsia" w:ascii="宋体" w:hAnsi="宋体" w:cs="宋体"/>
                <w:color w:val="000000"/>
                <w:kern w:val="0"/>
                <w:sz w:val="18"/>
                <w:szCs w:val="18"/>
              </w:rPr>
              <w:t>石灰石</w:t>
            </w:r>
          </w:p>
        </w:tc>
        <w:tc>
          <w:tcPr>
            <w:tcW w:w="503" w:type="pct"/>
            <w:tcBorders>
              <w:top w:val="nil"/>
              <w:left w:val="nil"/>
              <w:bottom w:val="single" w:color="auto" w:sz="4" w:space="0"/>
              <w:right w:val="single" w:color="auto" w:sz="4" w:space="0"/>
            </w:tcBorders>
            <w:noWrap/>
            <w:vAlign w:val="bottom"/>
          </w:tcPr>
          <w:p w14:paraId="53725F9E">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65CB1088">
            <w:pPr>
              <w:widowControl/>
              <w:jc w:val="center"/>
              <w:rPr>
                <w:rFonts w:ascii="宋体" w:cs="宋体"/>
                <w:color w:val="000000"/>
                <w:kern w:val="0"/>
                <w:sz w:val="18"/>
                <w:szCs w:val="18"/>
              </w:rPr>
            </w:pPr>
          </w:p>
        </w:tc>
        <w:tc>
          <w:tcPr>
            <w:tcW w:w="502" w:type="pct"/>
            <w:tcBorders>
              <w:top w:val="nil"/>
              <w:left w:val="nil"/>
              <w:bottom w:val="single" w:color="auto" w:sz="4" w:space="0"/>
              <w:right w:val="single" w:color="auto" w:sz="4" w:space="0"/>
            </w:tcBorders>
            <w:noWrap/>
            <w:vAlign w:val="bottom"/>
          </w:tcPr>
          <w:p w14:paraId="3A460CF8">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2C6C5E96">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547567D3">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371CE07F">
            <w:pPr>
              <w:widowControl/>
              <w:jc w:val="left"/>
              <w:rPr>
                <w:rFonts w:ascii="宋体" w:cs="宋体"/>
                <w:color w:val="000000"/>
                <w:kern w:val="0"/>
                <w:sz w:val="18"/>
                <w:szCs w:val="18"/>
              </w:rPr>
            </w:pPr>
          </w:p>
        </w:tc>
      </w:tr>
      <w:tr w14:paraId="16DE4643">
        <w:tblPrEx>
          <w:tblCellMar>
            <w:top w:w="0" w:type="dxa"/>
            <w:left w:w="0" w:type="dxa"/>
            <w:bottom w:w="0" w:type="dxa"/>
            <w:right w:w="0" w:type="dxa"/>
          </w:tblCellMar>
        </w:tblPrEx>
        <w:trPr>
          <w:trHeight w:val="276" w:hRule="atLeast"/>
        </w:trPr>
        <w:tc>
          <w:tcPr>
            <w:tcW w:w="668" w:type="pct"/>
            <w:tcBorders>
              <w:top w:val="nil"/>
              <w:left w:val="single" w:color="auto" w:sz="4" w:space="0"/>
              <w:bottom w:val="single" w:color="auto" w:sz="4" w:space="0"/>
              <w:right w:val="single" w:color="auto" w:sz="4" w:space="0"/>
            </w:tcBorders>
            <w:noWrap/>
            <w:vAlign w:val="bottom"/>
          </w:tcPr>
          <w:p w14:paraId="6578A52D">
            <w:pPr>
              <w:widowControl/>
              <w:jc w:val="left"/>
              <w:rPr>
                <w:rFonts w:ascii="宋体" w:cs="宋体"/>
                <w:color w:val="000000"/>
                <w:kern w:val="0"/>
                <w:sz w:val="18"/>
                <w:szCs w:val="18"/>
              </w:rPr>
            </w:pPr>
            <w:r>
              <w:rPr>
                <w:rFonts w:hint="eastAsia" w:ascii="宋体" w:hAnsi="宋体" w:cs="宋体"/>
                <w:color w:val="000000"/>
                <w:kern w:val="0"/>
                <w:sz w:val="18"/>
                <w:szCs w:val="18"/>
              </w:rPr>
              <w:t>块煤</w:t>
            </w:r>
          </w:p>
        </w:tc>
        <w:tc>
          <w:tcPr>
            <w:tcW w:w="503" w:type="pct"/>
            <w:tcBorders>
              <w:top w:val="nil"/>
              <w:left w:val="nil"/>
              <w:bottom w:val="single" w:color="auto" w:sz="4" w:space="0"/>
              <w:right w:val="single" w:color="auto" w:sz="4" w:space="0"/>
            </w:tcBorders>
            <w:noWrap/>
            <w:vAlign w:val="bottom"/>
          </w:tcPr>
          <w:p w14:paraId="606594F3">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341013CE">
            <w:pPr>
              <w:widowControl/>
              <w:jc w:val="center"/>
              <w:rPr>
                <w:rFonts w:ascii="宋体" w:cs="宋体"/>
                <w:color w:val="000000"/>
                <w:kern w:val="0"/>
                <w:sz w:val="18"/>
                <w:szCs w:val="18"/>
              </w:rPr>
            </w:pPr>
          </w:p>
        </w:tc>
        <w:tc>
          <w:tcPr>
            <w:tcW w:w="502" w:type="pct"/>
            <w:tcBorders>
              <w:top w:val="nil"/>
              <w:left w:val="nil"/>
              <w:bottom w:val="single" w:color="auto" w:sz="4" w:space="0"/>
              <w:right w:val="single" w:color="auto" w:sz="4" w:space="0"/>
            </w:tcBorders>
            <w:noWrap/>
            <w:vAlign w:val="bottom"/>
          </w:tcPr>
          <w:p w14:paraId="67D4A465">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63B3995F">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7C0FB3D0">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01723EC2">
            <w:pPr>
              <w:widowControl/>
              <w:jc w:val="left"/>
              <w:rPr>
                <w:rFonts w:ascii="宋体" w:cs="宋体"/>
                <w:color w:val="000000"/>
                <w:kern w:val="0"/>
                <w:sz w:val="18"/>
                <w:szCs w:val="18"/>
              </w:rPr>
            </w:pPr>
          </w:p>
        </w:tc>
      </w:tr>
      <w:tr w14:paraId="09528969">
        <w:tblPrEx>
          <w:tblCellMar>
            <w:top w:w="0" w:type="dxa"/>
            <w:left w:w="0" w:type="dxa"/>
            <w:bottom w:w="0" w:type="dxa"/>
            <w:right w:w="0" w:type="dxa"/>
          </w:tblCellMar>
        </w:tblPrEx>
        <w:trPr>
          <w:trHeight w:val="276" w:hRule="atLeast"/>
        </w:trPr>
        <w:tc>
          <w:tcPr>
            <w:tcW w:w="668" w:type="pct"/>
            <w:tcBorders>
              <w:top w:val="nil"/>
              <w:left w:val="single" w:color="auto" w:sz="4" w:space="0"/>
              <w:bottom w:val="single" w:color="auto" w:sz="4" w:space="0"/>
              <w:right w:val="single" w:color="auto" w:sz="4" w:space="0"/>
            </w:tcBorders>
            <w:noWrap/>
            <w:vAlign w:val="bottom"/>
          </w:tcPr>
          <w:p w14:paraId="683A2B24">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503" w:type="pct"/>
            <w:tcBorders>
              <w:top w:val="nil"/>
              <w:left w:val="nil"/>
              <w:bottom w:val="single" w:color="auto" w:sz="4" w:space="0"/>
              <w:right w:val="single" w:color="auto" w:sz="4" w:space="0"/>
            </w:tcBorders>
            <w:noWrap/>
            <w:vAlign w:val="bottom"/>
          </w:tcPr>
          <w:p w14:paraId="1A95EF44">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0508C425">
            <w:pPr>
              <w:widowControl/>
              <w:jc w:val="center"/>
              <w:rPr>
                <w:rFonts w:ascii="宋体" w:cs="宋体"/>
                <w:color w:val="000000"/>
                <w:kern w:val="0"/>
                <w:sz w:val="18"/>
                <w:szCs w:val="18"/>
              </w:rPr>
            </w:pPr>
          </w:p>
        </w:tc>
        <w:tc>
          <w:tcPr>
            <w:tcW w:w="502" w:type="pct"/>
            <w:tcBorders>
              <w:top w:val="nil"/>
              <w:left w:val="nil"/>
              <w:bottom w:val="single" w:color="auto" w:sz="4" w:space="0"/>
              <w:right w:val="single" w:color="auto" w:sz="4" w:space="0"/>
            </w:tcBorders>
            <w:noWrap/>
            <w:vAlign w:val="bottom"/>
          </w:tcPr>
          <w:p w14:paraId="3C597B03">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4FD0E513">
            <w:pPr>
              <w:widowControl/>
              <w:jc w:val="center"/>
              <w:rPr>
                <w:rFonts w:ascii="宋体" w:cs="宋体"/>
                <w:color w:val="000000"/>
                <w:kern w:val="0"/>
                <w:sz w:val="18"/>
                <w:szCs w:val="18"/>
              </w:rPr>
            </w:pPr>
          </w:p>
        </w:tc>
        <w:tc>
          <w:tcPr>
            <w:tcW w:w="997" w:type="pct"/>
            <w:tcBorders>
              <w:top w:val="nil"/>
              <w:left w:val="nil"/>
              <w:bottom w:val="single" w:color="auto" w:sz="4" w:space="0"/>
              <w:right w:val="single" w:color="auto" w:sz="4" w:space="0"/>
            </w:tcBorders>
            <w:noWrap/>
            <w:vAlign w:val="bottom"/>
          </w:tcPr>
          <w:p w14:paraId="1BF0F294">
            <w:pPr>
              <w:widowControl/>
              <w:jc w:val="center"/>
              <w:rPr>
                <w:rFonts w:ascii="宋体" w:cs="宋体"/>
                <w:color w:val="000000"/>
                <w:kern w:val="0"/>
                <w:sz w:val="18"/>
                <w:szCs w:val="18"/>
              </w:rPr>
            </w:pPr>
          </w:p>
        </w:tc>
        <w:tc>
          <w:tcPr>
            <w:tcW w:w="667" w:type="pct"/>
            <w:tcBorders>
              <w:top w:val="nil"/>
              <w:left w:val="nil"/>
              <w:bottom w:val="single" w:color="auto" w:sz="4" w:space="0"/>
              <w:right w:val="single" w:color="auto" w:sz="4" w:space="0"/>
            </w:tcBorders>
            <w:noWrap/>
            <w:vAlign w:val="bottom"/>
          </w:tcPr>
          <w:p w14:paraId="0596E818">
            <w:pPr>
              <w:widowControl/>
              <w:jc w:val="left"/>
              <w:rPr>
                <w:rFonts w:ascii="宋体" w:cs="宋体"/>
                <w:color w:val="000000"/>
                <w:kern w:val="0"/>
                <w:sz w:val="18"/>
                <w:szCs w:val="18"/>
              </w:rPr>
            </w:pPr>
          </w:p>
        </w:tc>
      </w:tr>
    </w:tbl>
    <w:p w14:paraId="3E6E2676">
      <w:pPr>
        <w:pStyle w:val="61"/>
        <w:ind w:left="5250" w:firstLine="0" w:firstLineChars="0"/>
        <w:jc w:val="center"/>
        <w:rPr>
          <w:rFonts w:hint="eastAsia" w:ascii="黑体" w:hAnsi="黑体" w:eastAsia="黑体"/>
        </w:rPr>
      </w:pPr>
    </w:p>
    <w:p w14:paraId="22C641E1">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C.</w:t>
      </w:r>
      <w:r>
        <w:rPr>
          <w:rFonts w:hint="eastAsia" w:ascii="黑体" w:hAnsi="黑体" w:eastAsia="黑体"/>
        </w:rPr>
        <w:t>9</w:t>
      </w:r>
      <w:r>
        <w:rPr>
          <w:rFonts w:ascii="黑体" w:hAnsi="黑体" w:eastAsia="黑体"/>
        </w:rPr>
        <w:t xml:space="preserve">  </w:t>
      </w:r>
      <w:r>
        <w:rPr>
          <w:rFonts w:hint="eastAsia" w:ascii="黑体" w:hAnsi="黑体" w:eastAsia="黑体"/>
        </w:rPr>
        <w:t>背景数据收集范例</w:t>
      </w:r>
      <w:r>
        <w:rPr>
          <w:rFonts w:ascii="黑体" w:hAnsi="黑体" w:eastAsia="黑体"/>
        </w:rPr>
        <w:t>5-</w:t>
      </w:r>
      <w:r>
        <w:rPr>
          <w:rFonts w:hint="eastAsia" w:ascii="黑体" w:hAnsi="黑体" w:eastAsia="黑体"/>
        </w:rPr>
        <w:t>运输（方法</w:t>
      </w:r>
      <w:r>
        <w:rPr>
          <w:rFonts w:ascii="黑体" w:hAnsi="黑体" w:eastAsia="黑体"/>
        </w:rPr>
        <w:t>2</w:t>
      </w:r>
      <w:r>
        <w:rPr>
          <w:rFonts w:hint="eastAsia" w:ascii="黑体" w:hAnsi="黑体" w:eastAsia="黑体"/>
        </w:rPr>
        <w:t>）</w:t>
      </w:r>
    </w:p>
    <w:tbl>
      <w:tblPr>
        <w:tblStyle w:val="22"/>
        <w:tblW w:w="5000" w:type="pct"/>
        <w:tblInd w:w="0" w:type="dxa"/>
        <w:tblLayout w:type="autofit"/>
        <w:tblCellMar>
          <w:top w:w="0" w:type="dxa"/>
          <w:left w:w="0" w:type="dxa"/>
          <w:bottom w:w="0" w:type="dxa"/>
          <w:right w:w="0" w:type="dxa"/>
        </w:tblCellMar>
      </w:tblPr>
      <w:tblGrid>
        <w:gridCol w:w="1250"/>
        <w:gridCol w:w="942"/>
        <w:gridCol w:w="1251"/>
        <w:gridCol w:w="1236"/>
        <w:gridCol w:w="2391"/>
        <w:gridCol w:w="1246"/>
      </w:tblGrid>
      <w:tr w14:paraId="344C5292">
        <w:tblPrEx>
          <w:tblCellMar>
            <w:top w:w="0" w:type="dxa"/>
            <w:left w:w="0" w:type="dxa"/>
            <w:bottom w:w="0" w:type="dxa"/>
            <w:right w:w="0" w:type="dxa"/>
          </w:tblCellMar>
        </w:tblPrEx>
        <w:trPr>
          <w:trHeight w:val="296" w:hRule="atLeast"/>
        </w:trPr>
        <w:tc>
          <w:tcPr>
            <w:tcW w:w="752" w:type="pct"/>
            <w:tcBorders>
              <w:top w:val="single" w:color="auto" w:sz="4" w:space="0"/>
              <w:left w:val="single" w:color="auto" w:sz="4" w:space="0"/>
              <w:bottom w:val="single" w:color="auto" w:sz="4" w:space="0"/>
              <w:right w:val="single" w:color="auto" w:sz="4" w:space="0"/>
            </w:tcBorders>
            <w:noWrap/>
            <w:vAlign w:val="center"/>
          </w:tcPr>
          <w:p w14:paraId="2ADA1361">
            <w:pPr>
              <w:widowControl/>
              <w:jc w:val="center"/>
              <w:rPr>
                <w:rFonts w:ascii="宋体" w:cs="宋体"/>
                <w:color w:val="000000"/>
                <w:kern w:val="0"/>
                <w:sz w:val="18"/>
                <w:szCs w:val="18"/>
              </w:rPr>
            </w:pPr>
            <w:r>
              <w:rPr>
                <w:rFonts w:hint="eastAsia" w:ascii="宋体" w:hAnsi="宋体" w:cs="宋体"/>
                <w:color w:val="000000"/>
                <w:kern w:val="0"/>
                <w:sz w:val="18"/>
                <w:szCs w:val="18"/>
              </w:rPr>
              <w:t>商品名称</w:t>
            </w:r>
          </w:p>
        </w:tc>
        <w:tc>
          <w:tcPr>
            <w:tcW w:w="566" w:type="pct"/>
            <w:tcBorders>
              <w:top w:val="single" w:color="auto" w:sz="4" w:space="0"/>
              <w:left w:val="nil"/>
              <w:bottom w:val="single" w:color="auto" w:sz="4" w:space="0"/>
              <w:right w:val="single" w:color="auto" w:sz="4" w:space="0"/>
            </w:tcBorders>
            <w:noWrap/>
            <w:vAlign w:val="center"/>
          </w:tcPr>
          <w:p w14:paraId="561A3CC4">
            <w:pPr>
              <w:widowControl/>
              <w:jc w:val="center"/>
              <w:rPr>
                <w:rFonts w:ascii="宋体" w:cs="宋体"/>
                <w:color w:val="000000"/>
                <w:kern w:val="0"/>
                <w:sz w:val="18"/>
                <w:szCs w:val="18"/>
              </w:rPr>
            </w:pPr>
            <w:r>
              <w:rPr>
                <w:rFonts w:hint="eastAsia" w:ascii="宋体" w:hAnsi="宋体" w:cs="宋体"/>
                <w:color w:val="000000"/>
                <w:kern w:val="0"/>
                <w:sz w:val="18"/>
                <w:szCs w:val="18"/>
              </w:rPr>
              <w:t>运输量</w:t>
            </w:r>
          </w:p>
        </w:tc>
        <w:tc>
          <w:tcPr>
            <w:tcW w:w="752" w:type="pct"/>
            <w:tcBorders>
              <w:top w:val="single" w:color="auto" w:sz="4" w:space="0"/>
              <w:left w:val="nil"/>
              <w:bottom w:val="single" w:color="auto" w:sz="4" w:space="0"/>
              <w:right w:val="single" w:color="auto" w:sz="4" w:space="0"/>
            </w:tcBorders>
            <w:noWrap/>
            <w:vAlign w:val="center"/>
          </w:tcPr>
          <w:p w14:paraId="479A0AE3">
            <w:pPr>
              <w:widowControl/>
              <w:jc w:val="center"/>
              <w:rPr>
                <w:rFonts w:ascii="宋体" w:cs="宋体"/>
                <w:color w:val="000000"/>
                <w:kern w:val="0"/>
                <w:sz w:val="18"/>
                <w:szCs w:val="18"/>
              </w:rPr>
            </w:pPr>
            <w:r>
              <w:rPr>
                <w:rFonts w:hint="eastAsia" w:ascii="宋体" w:hAnsi="宋体" w:cs="宋体"/>
                <w:color w:val="000000"/>
                <w:kern w:val="0"/>
                <w:sz w:val="18"/>
                <w:szCs w:val="18"/>
              </w:rPr>
              <w:t>运输方式</w:t>
            </w:r>
          </w:p>
        </w:tc>
        <w:tc>
          <w:tcPr>
            <w:tcW w:w="743" w:type="pct"/>
            <w:tcBorders>
              <w:top w:val="single" w:color="auto" w:sz="4" w:space="0"/>
              <w:left w:val="nil"/>
              <w:bottom w:val="single" w:color="auto" w:sz="4" w:space="0"/>
              <w:right w:val="single" w:color="auto" w:sz="4" w:space="0"/>
            </w:tcBorders>
            <w:noWrap/>
            <w:vAlign w:val="center"/>
          </w:tcPr>
          <w:p w14:paraId="5724E4FB">
            <w:pPr>
              <w:widowControl/>
              <w:jc w:val="center"/>
              <w:rPr>
                <w:rFonts w:ascii="宋体" w:cs="宋体"/>
                <w:color w:val="000000"/>
                <w:kern w:val="0"/>
                <w:sz w:val="18"/>
                <w:szCs w:val="18"/>
              </w:rPr>
            </w:pPr>
            <w:r>
              <w:rPr>
                <w:rFonts w:hint="eastAsia" w:ascii="宋体" w:hAnsi="宋体" w:cs="宋体"/>
                <w:color w:val="000000"/>
                <w:kern w:val="0"/>
                <w:sz w:val="18"/>
                <w:szCs w:val="18"/>
              </w:rPr>
              <w:t>运距</w:t>
            </w:r>
          </w:p>
        </w:tc>
        <w:tc>
          <w:tcPr>
            <w:tcW w:w="1437" w:type="pct"/>
            <w:tcBorders>
              <w:top w:val="single" w:color="auto" w:sz="4" w:space="0"/>
              <w:left w:val="nil"/>
              <w:bottom w:val="single" w:color="auto" w:sz="4" w:space="0"/>
              <w:right w:val="single" w:color="auto" w:sz="4" w:space="0"/>
            </w:tcBorders>
            <w:noWrap/>
            <w:vAlign w:val="center"/>
          </w:tcPr>
          <w:p w14:paraId="40FE5855">
            <w:pPr>
              <w:widowControl/>
              <w:jc w:val="center"/>
              <w:rPr>
                <w:rFonts w:ascii="宋体" w:cs="宋体"/>
                <w:color w:val="000000"/>
                <w:kern w:val="0"/>
                <w:sz w:val="18"/>
                <w:szCs w:val="18"/>
              </w:rPr>
            </w:pPr>
            <w:r>
              <w:rPr>
                <w:rFonts w:hint="eastAsia" w:ascii="宋体" w:hAnsi="宋体" w:cs="宋体"/>
                <w:color w:val="000000"/>
                <w:kern w:val="0"/>
                <w:sz w:val="18"/>
                <w:szCs w:val="18"/>
              </w:rPr>
              <w:t>运输排放因子</w:t>
            </w:r>
          </w:p>
        </w:tc>
        <w:tc>
          <w:tcPr>
            <w:tcW w:w="749" w:type="pct"/>
            <w:tcBorders>
              <w:top w:val="single" w:color="auto" w:sz="4" w:space="0"/>
              <w:left w:val="nil"/>
              <w:bottom w:val="single" w:color="auto" w:sz="4" w:space="0"/>
              <w:right w:val="single" w:color="auto" w:sz="4" w:space="0"/>
            </w:tcBorders>
            <w:noWrap/>
            <w:vAlign w:val="center"/>
          </w:tcPr>
          <w:p w14:paraId="788F80C7">
            <w:pPr>
              <w:widowControl/>
              <w:jc w:val="center"/>
              <w:rPr>
                <w:rFonts w:ascii="宋体" w:cs="宋体"/>
                <w:color w:val="000000"/>
                <w:kern w:val="0"/>
                <w:sz w:val="18"/>
                <w:szCs w:val="18"/>
              </w:rPr>
            </w:pPr>
            <w:r>
              <w:rPr>
                <w:rFonts w:hint="eastAsia" w:ascii="宋体" w:hAnsi="宋体" w:cs="宋体"/>
                <w:color w:val="000000"/>
                <w:kern w:val="0"/>
                <w:sz w:val="18"/>
                <w:szCs w:val="18"/>
              </w:rPr>
              <w:t>资料来源</w:t>
            </w:r>
          </w:p>
        </w:tc>
      </w:tr>
      <w:tr w14:paraId="7D065243">
        <w:tblPrEx>
          <w:tblCellMar>
            <w:top w:w="0" w:type="dxa"/>
            <w:left w:w="0" w:type="dxa"/>
            <w:bottom w:w="0" w:type="dxa"/>
            <w:right w:w="0" w:type="dxa"/>
          </w:tblCellMar>
        </w:tblPrEx>
        <w:trPr>
          <w:trHeight w:val="296" w:hRule="atLeast"/>
        </w:trPr>
        <w:tc>
          <w:tcPr>
            <w:tcW w:w="752" w:type="pct"/>
            <w:tcBorders>
              <w:top w:val="nil"/>
              <w:left w:val="single" w:color="auto" w:sz="4" w:space="0"/>
              <w:bottom w:val="single" w:color="auto" w:sz="4" w:space="0"/>
              <w:right w:val="single" w:color="auto" w:sz="4" w:space="0"/>
            </w:tcBorders>
            <w:noWrap/>
            <w:vAlign w:val="bottom"/>
          </w:tcPr>
          <w:p w14:paraId="6F0883AD">
            <w:pPr>
              <w:widowControl/>
              <w:jc w:val="left"/>
              <w:rPr>
                <w:rFonts w:ascii="宋体" w:cs="宋体"/>
                <w:color w:val="000000"/>
                <w:kern w:val="0"/>
                <w:sz w:val="18"/>
                <w:szCs w:val="18"/>
              </w:rPr>
            </w:pPr>
            <w:r>
              <w:rPr>
                <w:rFonts w:hint="eastAsia" w:ascii="宋体" w:hAnsi="宋体" w:cs="宋体"/>
                <w:color w:val="000000"/>
                <w:kern w:val="0"/>
                <w:sz w:val="18"/>
                <w:szCs w:val="18"/>
              </w:rPr>
              <w:t>精矿</w:t>
            </w:r>
          </w:p>
        </w:tc>
        <w:tc>
          <w:tcPr>
            <w:tcW w:w="566" w:type="pct"/>
            <w:tcBorders>
              <w:top w:val="nil"/>
              <w:left w:val="nil"/>
              <w:bottom w:val="single" w:color="auto" w:sz="4" w:space="0"/>
              <w:right w:val="single" w:color="auto" w:sz="4" w:space="0"/>
            </w:tcBorders>
            <w:noWrap/>
            <w:vAlign w:val="bottom"/>
          </w:tcPr>
          <w:p w14:paraId="34B07F7B">
            <w:pPr>
              <w:widowControl/>
              <w:jc w:val="center"/>
              <w:rPr>
                <w:rFonts w:ascii="宋体" w:cs="宋体"/>
                <w:color w:val="000000"/>
                <w:kern w:val="0"/>
                <w:sz w:val="18"/>
                <w:szCs w:val="18"/>
              </w:rPr>
            </w:pPr>
          </w:p>
        </w:tc>
        <w:tc>
          <w:tcPr>
            <w:tcW w:w="752" w:type="pct"/>
            <w:tcBorders>
              <w:top w:val="nil"/>
              <w:left w:val="nil"/>
              <w:bottom w:val="single" w:color="auto" w:sz="4" w:space="0"/>
              <w:right w:val="single" w:color="auto" w:sz="4" w:space="0"/>
            </w:tcBorders>
            <w:noWrap/>
            <w:vAlign w:val="bottom"/>
          </w:tcPr>
          <w:p w14:paraId="7217606E">
            <w:pPr>
              <w:widowControl/>
              <w:jc w:val="center"/>
              <w:rPr>
                <w:rFonts w:ascii="宋体" w:cs="宋体"/>
                <w:color w:val="000000"/>
                <w:kern w:val="0"/>
                <w:sz w:val="18"/>
                <w:szCs w:val="18"/>
              </w:rPr>
            </w:pPr>
          </w:p>
        </w:tc>
        <w:tc>
          <w:tcPr>
            <w:tcW w:w="743" w:type="pct"/>
            <w:tcBorders>
              <w:top w:val="nil"/>
              <w:left w:val="nil"/>
              <w:bottom w:val="single" w:color="auto" w:sz="4" w:space="0"/>
              <w:right w:val="single" w:color="auto" w:sz="4" w:space="0"/>
            </w:tcBorders>
            <w:noWrap/>
            <w:vAlign w:val="bottom"/>
          </w:tcPr>
          <w:p w14:paraId="05DB587F">
            <w:pPr>
              <w:widowControl/>
              <w:jc w:val="center"/>
              <w:rPr>
                <w:rFonts w:ascii="宋体" w:cs="宋体"/>
                <w:color w:val="000000"/>
                <w:kern w:val="0"/>
                <w:sz w:val="18"/>
                <w:szCs w:val="18"/>
              </w:rPr>
            </w:pPr>
          </w:p>
        </w:tc>
        <w:tc>
          <w:tcPr>
            <w:tcW w:w="1437" w:type="pct"/>
            <w:tcBorders>
              <w:top w:val="nil"/>
              <w:left w:val="nil"/>
              <w:bottom w:val="single" w:color="auto" w:sz="4" w:space="0"/>
              <w:right w:val="single" w:color="auto" w:sz="4" w:space="0"/>
            </w:tcBorders>
            <w:noWrap/>
            <w:vAlign w:val="bottom"/>
          </w:tcPr>
          <w:p w14:paraId="4ADEAF6B">
            <w:pPr>
              <w:widowControl/>
              <w:jc w:val="center"/>
              <w:rPr>
                <w:rFonts w:ascii="宋体" w:cs="宋体"/>
                <w:color w:val="000000"/>
                <w:kern w:val="0"/>
                <w:sz w:val="18"/>
                <w:szCs w:val="18"/>
              </w:rPr>
            </w:pPr>
          </w:p>
        </w:tc>
        <w:tc>
          <w:tcPr>
            <w:tcW w:w="749" w:type="pct"/>
            <w:tcBorders>
              <w:top w:val="nil"/>
              <w:left w:val="nil"/>
              <w:bottom w:val="single" w:color="auto" w:sz="4" w:space="0"/>
              <w:right w:val="single" w:color="auto" w:sz="4" w:space="0"/>
            </w:tcBorders>
            <w:noWrap/>
            <w:vAlign w:val="bottom"/>
          </w:tcPr>
          <w:p w14:paraId="5BFC66F3">
            <w:pPr>
              <w:widowControl/>
              <w:jc w:val="left"/>
              <w:rPr>
                <w:rFonts w:ascii="宋体" w:cs="宋体"/>
                <w:color w:val="000000"/>
                <w:kern w:val="0"/>
                <w:sz w:val="18"/>
                <w:szCs w:val="18"/>
              </w:rPr>
            </w:pPr>
          </w:p>
        </w:tc>
      </w:tr>
      <w:tr w14:paraId="088F3CF5">
        <w:tblPrEx>
          <w:tblCellMar>
            <w:top w:w="0" w:type="dxa"/>
            <w:left w:w="0" w:type="dxa"/>
            <w:bottom w:w="0" w:type="dxa"/>
            <w:right w:w="0" w:type="dxa"/>
          </w:tblCellMar>
        </w:tblPrEx>
        <w:trPr>
          <w:trHeight w:val="296" w:hRule="atLeast"/>
        </w:trPr>
        <w:tc>
          <w:tcPr>
            <w:tcW w:w="752" w:type="pct"/>
            <w:tcBorders>
              <w:top w:val="nil"/>
              <w:left w:val="single" w:color="auto" w:sz="4" w:space="0"/>
              <w:bottom w:val="single" w:color="auto" w:sz="4" w:space="0"/>
              <w:right w:val="single" w:color="auto" w:sz="4" w:space="0"/>
            </w:tcBorders>
            <w:noWrap/>
            <w:vAlign w:val="bottom"/>
          </w:tcPr>
          <w:p w14:paraId="768EDA4F">
            <w:pPr>
              <w:widowControl/>
              <w:jc w:val="left"/>
              <w:rPr>
                <w:rFonts w:ascii="宋体" w:cs="宋体"/>
                <w:color w:val="000000"/>
                <w:kern w:val="0"/>
                <w:sz w:val="18"/>
                <w:szCs w:val="18"/>
              </w:rPr>
            </w:pPr>
            <w:r>
              <w:rPr>
                <w:rFonts w:hint="eastAsia" w:ascii="宋体" w:hAnsi="宋体" w:cs="宋体"/>
                <w:color w:val="000000"/>
                <w:kern w:val="0"/>
                <w:sz w:val="18"/>
                <w:szCs w:val="18"/>
              </w:rPr>
              <w:t>石英石</w:t>
            </w:r>
          </w:p>
        </w:tc>
        <w:tc>
          <w:tcPr>
            <w:tcW w:w="566" w:type="pct"/>
            <w:tcBorders>
              <w:top w:val="nil"/>
              <w:left w:val="nil"/>
              <w:bottom w:val="single" w:color="auto" w:sz="4" w:space="0"/>
              <w:right w:val="single" w:color="auto" w:sz="4" w:space="0"/>
            </w:tcBorders>
            <w:noWrap/>
            <w:vAlign w:val="bottom"/>
          </w:tcPr>
          <w:p w14:paraId="615A0035">
            <w:pPr>
              <w:widowControl/>
              <w:jc w:val="center"/>
              <w:rPr>
                <w:rFonts w:ascii="宋体" w:cs="宋体"/>
                <w:color w:val="000000"/>
                <w:kern w:val="0"/>
                <w:sz w:val="18"/>
                <w:szCs w:val="18"/>
              </w:rPr>
            </w:pPr>
          </w:p>
        </w:tc>
        <w:tc>
          <w:tcPr>
            <w:tcW w:w="752" w:type="pct"/>
            <w:tcBorders>
              <w:top w:val="nil"/>
              <w:left w:val="nil"/>
              <w:bottom w:val="single" w:color="auto" w:sz="4" w:space="0"/>
              <w:right w:val="single" w:color="auto" w:sz="4" w:space="0"/>
            </w:tcBorders>
            <w:noWrap/>
            <w:vAlign w:val="bottom"/>
          </w:tcPr>
          <w:p w14:paraId="54C6E6AA">
            <w:pPr>
              <w:widowControl/>
              <w:jc w:val="center"/>
              <w:rPr>
                <w:rFonts w:ascii="宋体" w:cs="宋体"/>
                <w:color w:val="000000"/>
                <w:kern w:val="0"/>
                <w:sz w:val="18"/>
                <w:szCs w:val="18"/>
              </w:rPr>
            </w:pPr>
          </w:p>
        </w:tc>
        <w:tc>
          <w:tcPr>
            <w:tcW w:w="743" w:type="pct"/>
            <w:tcBorders>
              <w:top w:val="nil"/>
              <w:left w:val="nil"/>
              <w:bottom w:val="single" w:color="auto" w:sz="4" w:space="0"/>
              <w:right w:val="single" w:color="auto" w:sz="4" w:space="0"/>
            </w:tcBorders>
            <w:noWrap/>
            <w:vAlign w:val="bottom"/>
          </w:tcPr>
          <w:p w14:paraId="6D8BF9CC">
            <w:pPr>
              <w:widowControl/>
              <w:jc w:val="center"/>
              <w:rPr>
                <w:rFonts w:ascii="宋体" w:cs="宋体"/>
                <w:color w:val="000000"/>
                <w:kern w:val="0"/>
                <w:sz w:val="18"/>
                <w:szCs w:val="18"/>
              </w:rPr>
            </w:pPr>
          </w:p>
        </w:tc>
        <w:tc>
          <w:tcPr>
            <w:tcW w:w="1437" w:type="pct"/>
            <w:tcBorders>
              <w:top w:val="nil"/>
              <w:left w:val="nil"/>
              <w:bottom w:val="single" w:color="auto" w:sz="4" w:space="0"/>
              <w:right w:val="single" w:color="auto" w:sz="4" w:space="0"/>
            </w:tcBorders>
            <w:noWrap/>
            <w:vAlign w:val="bottom"/>
          </w:tcPr>
          <w:p w14:paraId="2DFAF27C">
            <w:pPr>
              <w:widowControl/>
              <w:jc w:val="center"/>
              <w:rPr>
                <w:rFonts w:ascii="宋体" w:cs="宋体"/>
                <w:color w:val="000000"/>
                <w:kern w:val="0"/>
                <w:sz w:val="18"/>
                <w:szCs w:val="18"/>
              </w:rPr>
            </w:pPr>
          </w:p>
        </w:tc>
        <w:tc>
          <w:tcPr>
            <w:tcW w:w="749" w:type="pct"/>
            <w:tcBorders>
              <w:top w:val="nil"/>
              <w:left w:val="nil"/>
              <w:bottom w:val="single" w:color="auto" w:sz="4" w:space="0"/>
              <w:right w:val="single" w:color="auto" w:sz="4" w:space="0"/>
            </w:tcBorders>
            <w:noWrap/>
            <w:vAlign w:val="bottom"/>
          </w:tcPr>
          <w:p w14:paraId="0F353DC4">
            <w:pPr>
              <w:widowControl/>
              <w:jc w:val="left"/>
              <w:rPr>
                <w:rFonts w:ascii="宋体" w:cs="宋体"/>
                <w:color w:val="000000"/>
                <w:kern w:val="0"/>
                <w:sz w:val="18"/>
                <w:szCs w:val="18"/>
              </w:rPr>
            </w:pPr>
          </w:p>
        </w:tc>
      </w:tr>
      <w:tr w14:paraId="5BF3C2E4">
        <w:tblPrEx>
          <w:tblCellMar>
            <w:top w:w="0" w:type="dxa"/>
            <w:left w:w="0" w:type="dxa"/>
            <w:bottom w:w="0" w:type="dxa"/>
            <w:right w:w="0" w:type="dxa"/>
          </w:tblCellMar>
        </w:tblPrEx>
        <w:trPr>
          <w:trHeight w:val="296" w:hRule="atLeast"/>
        </w:trPr>
        <w:tc>
          <w:tcPr>
            <w:tcW w:w="752" w:type="pct"/>
            <w:tcBorders>
              <w:top w:val="nil"/>
              <w:left w:val="single" w:color="auto" w:sz="4" w:space="0"/>
              <w:bottom w:val="single" w:color="auto" w:sz="4" w:space="0"/>
              <w:right w:val="single" w:color="auto" w:sz="4" w:space="0"/>
            </w:tcBorders>
            <w:noWrap/>
            <w:vAlign w:val="bottom"/>
          </w:tcPr>
          <w:p w14:paraId="7A2231AE">
            <w:pPr>
              <w:widowControl/>
              <w:jc w:val="left"/>
              <w:rPr>
                <w:rFonts w:ascii="宋体" w:cs="宋体"/>
                <w:color w:val="000000"/>
                <w:kern w:val="0"/>
                <w:sz w:val="18"/>
                <w:szCs w:val="18"/>
              </w:rPr>
            </w:pPr>
            <w:r>
              <w:rPr>
                <w:rFonts w:hint="eastAsia" w:ascii="宋体" w:hAnsi="宋体" w:cs="宋体"/>
                <w:color w:val="000000"/>
                <w:kern w:val="0"/>
                <w:sz w:val="18"/>
                <w:szCs w:val="18"/>
              </w:rPr>
              <w:t>石灰石</w:t>
            </w:r>
          </w:p>
        </w:tc>
        <w:tc>
          <w:tcPr>
            <w:tcW w:w="566" w:type="pct"/>
            <w:tcBorders>
              <w:top w:val="nil"/>
              <w:left w:val="nil"/>
              <w:bottom w:val="single" w:color="auto" w:sz="4" w:space="0"/>
              <w:right w:val="single" w:color="auto" w:sz="4" w:space="0"/>
            </w:tcBorders>
            <w:noWrap/>
            <w:vAlign w:val="bottom"/>
          </w:tcPr>
          <w:p w14:paraId="0CD8E6A3">
            <w:pPr>
              <w:widowControl/>
              <w:jc w:val="center"/>
              <w:rPr>
                <w:rFonts w:ascii="宋体" w:cs="宋体"/>
                <w:color w:val="000000"/>
                <w:kern w:val="0"/>
                <w:sz w:val="18"/>
                <w:szCs w:val="18"/>
              </w:rPr>
            </w:pPr>
          </w:p>
        </w:tc>
        <w:tc>
          <w:tcPr>
            <w:tcW w:w="752" w:type="pct"/>
            <w:tcBorders>
              <w:top w:val="nil"/>
              <w:left w:val="nil"/>
              <w:bottom w:val="single" w:color="auto" w:sz="4" w:space="0"/>
              <w:right w:val="single" w:color="auto" w:sz="4" w:space="0"/>
            </w:tcBorders>
            <w:noWrap/>
            <w:vAlign w:val="bottom"/>
          </w:tcPr>
          <w:p w14:paraId="7814A998">
            <w:pPr>
              <w:widowControl/>
              <w:jc w:val="center"/>
              <w:rPr>
                <w:rFonts w:ascii="宋体" w:cs="宋体"/>
                <w:color w:val="000000"/>
                <w:kern w:val="0"/>
                <w:sz w:val="18"/>
                <w:szCs w:val="18"/>
              </w:rPr>
            </w:pPr>
          </w:p>
        </w:tc>
        <w:tc>
          <w:tcPr>
            <w:tcW w:w="743" w:type="pct"/>
            <w:tcBorders>
              <w:top w:val="nil"/>
              <w:left w:val="nil"/>
              <w:bottom w:val="single" w:color="auto" w:sz="4" w:space="0"/>
              <w:right w:val="single" w:color="auto" w:sz="4" w:space="0"/>
            </w:tcBorders>
            <w:noWrap/>
            <w:vAlign w:val="bottom"/>
          </w:tcPr>
          <w:p w14:paraId="4BBB16C4">
            <w:pPr>
              <w:widowControl/>
              <w:jc w:val="center"/>
              <w:rPr>
                <w:rFonts w:ascii="宋体" w:cs="宋体"/>
                <w:color w:val="000000"/>
                <w:kern w:val="0"/>
                <w:sz w:val="18"/>
                <w:szCs w:val="18"/>
              </w:rPr>
            </w:pPr>
          </w:p>
        </w:tc>
        <w:tc>
          <w:tcPr>
            <w:tcW w:w="1437" w:type="pct"/>
            <w:tcBorders>
              <w:top w:val="nil"/>
              <w:left w:val="nil"/>
              <w:bottom w:val="single" w:color="auto" w:sz="4" w:space="0"/>
              <w:right w:val="single" w:color="auto" w:sz="4" w:space="0"/>
            </w:tcBorders>
            <w:noWrap/>
            <w:vAlign w:val="bottom"/>
          </w:tcPr>
          <w:p w14:paraId="6365426E">
            <w:pPr>
              <w:widowControl/>
              <w:jc w:val="center"/>
              <w:rPr>
                <w:rFonts w:ascii="宋体" w:cs="宋体"/>
                <w:color w:val="000000"/>
                <w:kern w:val="0"/>
                <w:sz w:val="18"/>
                <w:szCs w:val="18"/>
              </w:rPr>
            </w:pPr>
          </w:p>
        </w:tc>
        <w:tc>
          <w:tcPr>
            <w:tcW w:w="749" w:type="pct"/>
            <w:tcBorders>
              <w:top w:val="nil"/>
              <w:left w:val="nil"/>
              <w:bottom w:val="single" w:color="auto" w:sz="4" w:space="0"/>
              <w:right w:val="single" w:color="auto" w:sz="4" w:space="0"/>
            </w:tcBorders>
            <w:noWrap/>
            <w:vAlign w:val="bottom"/>
          </w:tcPr>
          <w:p w14:paraId="3EB25F03">
            <w:pPr>
              <w:widowControl/>
              <w:jc w:val="left"/>
              <w:rPr>
                <w:rFonts w:ascii="宋体" w:cs="宋体"/>
                <w:color w:val="000000"/>
                <w:kern w:val="0"/>
                <w:sz w:val="18"/>
                <w:szCs w:val="18"/>
              </w:rPr>
            </w:pPr>
          </w:p>
        </w:tc>
      </w:tr>
      <w:tr w14:paraId="3273254F">
        <w:tblPrEx>
          <w:tblCellMar>
            <w:top w:w="0" w:type="dxa"/>
            <w:left w:w="0" w:type="dxa"/>
            <w:bottom w:w="0" w:type="dxa"/>
            <w:right w:w="0" w:type="dxa"/>
          </w:tblCellMar>
        </w:tblPrEx>
        <w:trPr>
          <w:trHeight w:val="296" w:hRule="atLeast"/>
        </w:trPr>
        <w:tc>
          <w:tcPr>
            <w:tcW w:w="752" w:type="pct"/>
            <w:tcBorders>
              <w:top w:val="nil"/>
              <w:left w:val="single" w:color="auto" w:sz="4" w:space="0"/>
              <w:bottom w:val="single" w:color="auto" w:sz="4" w:space="0"/>
              <w:right w:val="single" w:color="auto" w:sz="4" w:space="0"/>
            </w:tcBorders>
            <w:noWrap/>
            <w:vAlign w:val="bottom"/>
          </w:tcPr>
          <w:p w14:paraId="318885A3">
            <w:pPr>
              <w:widowControl/>
              <w:jc w:val="left"/>
              <w:rPr>
                <w:rFonts w:ascii="宋体" w:cs="宋体"/>
                <w:color w:val="000000"/>
                <w:kern w:val="0"/>
                <w:sz w:val="18"/>
                <w:szCs w:val="18"/>
              </w:rPr>
            </w:pPr>
            <w:r>
              <w:rPr>
                <w:rFonts w:hint="eastAsia" w:ascii="宋体" w:hAnsi="宋体" w:cs="宋体"/>
                <w:color w:val="000000"/>
                <w:kern w:val="0"/>
                <w:sz w:val="18"/>
                <w:szCs w:val="18"/>
              </w:rPr>
              <w:t>块煤</w:t>
            </w:r>
          </w:p>
        </w:tc>
        <w:tc>
          <w:tcPr>
            <w:tcW w:w="566" w:type="pct"/>
            <w:tcBorders>
              <w:top w:val="nil"/>
              <w:left w:val="nil"/>
              <w:bottom w:val="single" w:color="auto" w:sz="4" w:space="0"/>
              <w:right w:val="single" w:color="auto" w:sz="4" w:space="0"/>
            </w:tcBorders>
            <w:noWrap/>
            <w:vAlign w:val="bottom"/>
          </w:tcPr>
          <w:p w14:paraId="5D7B8BC4">
            <w:pPr>
              <w:widowControl/>
              <w:jc w:val="center"/>
              <w:rPr>
                <w:rFonts w:ascii="宋体" w:cs="宋体"/>
                <w:color w:val="000000"/>
                <w:kern w:val="0"/>
                <w:sz w:val="18"/>
                <w:szCs w:val="18"/>
              </w:rPr>
            </w:pPr>
          </w:p>
        </w:tc>
        <w:tc>
          <w:tcPr>
            <w:tcW w:w="752" w:type="pct"/>
            <w:tcBorders>
              <w:top w:val="nil"/>
              <w:left w:val="nil"/>
              <w:bottom w:val="single" w:color="auto" w:sz="4" w:space="0"/>
              <w:right w:val="single" w:color="auto" w:sz="4" w:space="0"/>
            </w:tcBorders>
            <w:noWrap/>
            <w:vAlign w:val="bottom"/>
          </w:tcPr>
          <w:p w14:paraId="67ADB7F7">
            <w:pPr>
              <w:widowControl/>
              <w:jc w:val="center"/>
              <w:rPr>
                <w:rFonts w:ascii="宋体" w:cs="宋体"/>
                <w:color w:val="000000"/>
                <w:kern w:val="0"/>
                <w:sz w:val="18"/>
                <w:szCs w:val="18"/>
              </w:rPr>
            </w:pPr>
          </w:p>
        </w:tc>
        <w:tc>
          <w:tcPr>
            <w:tcW w:w="743" w:type="pct"/>
            <w:tcBorders>
              <w:top w:val="nil"/>
              <w:left w:val="nil"/>
              <w:bottom w:val="single" w:color="auto" w:sz="4" w:space="0"/>
              <w:right w:val="single" w:color="auto" w:sz="4" w:space="0"/>
            </w:tcBorders>
            <w:noWrap/>
            <w:vAlign w:val="bottom"/>
          </w:tcPr>
          <w:p w14:paraId="0E776FCD">
            <w:pPr>
              <w:widowControl/>
              <w:jc w:val="center"/>
              <w:rPr>
                <w:rFonts w:ascii="宋体" w:cs="宋体"/>
                <w:color w:val="000000"/>
                <w:kern w:val="0"/>
                <w:sz w:val="18"/>
                <w:szCs w:val="18"/>
              </w:rPr>
            </w:pPr>
          </w:p>
        </w:tc>
        <w:tc>
          <w:tcPr>
            <w:tcW w:w="1437" w:type="pct"/>
            <w:tcBorders>
              <w:top w:val="nil"/>
              <w:left w:val="nil"/>
              <w:bottom w:val="single" w:color="auto" w:sz="4" w:space="0"/>
              <w:right w:val="single" w:color="auto" w:sz="4" w:space="0"/>
            </w:tcBorders>
            <w:noWrap/>
            <w:vAlign w:val="bottom"/>
          </w:tcPr>
          <w:p w14:paraId="1708C29F">
            <w:pPr>
              <w:widowControl/>
              <w:jc w:val="center"/>
              <w:rPr>
                <w:rFonts w:ascii="宋体" w:cs="宋体"/>
                <w:color w:val="000000"/>
                <w:kern w:val="0"/>
                <w:sz w:val="18"/>
                <w:szCs w:val="18"/>
              </w:rPr>
            </w:pPr>
          </w:p>
        </w:tc>
        <w:tc>
          <w:tcPr>
            <w:tcW w:w="749" w:type="pct"/>
            <w:tcBorders>
              <w:top w:val="nil"/>
              <w:left w:val="nil"/>
              <w:bottom w:val="single" w:color="auto" w:sz="4" w:space="0"/>
              <w:right w:val="single" w:color="auto" w:sz="4" w:space="0"/>
            </w:tcBorders>
            <w:noWrap/>
            <w:vAlign w:val="bottom"/>
          </w:tcPr>
          <w:p w14:paraId="461F1B9D">
            <w:pPr>
              <w:widowControl/>
              <w:jc w:val="left"/>
              <w:rPr>
                <w:rFonts w:ascii="宋体" w:cs="宋体"/>
                <w:color w:val="000000"/>
                <w:kern w:val="0"/>
                <w:sz w:val="18"/>
                <w:szCs w:val="18"/>
              </w:rPr>
            </w:pPr>
          </w:p>
        </w:tc>
      </w:tr>
      <w:tr w14:paraId="5E16B046">
        <w:tblPrEx>
          <w:tblCellMar>
            <w:top w:w="0" w:type="dxa"/>
            <w:left w:w="0" w:type="dxa"/>
            <w:bottom w:w="0" w:type="dxa"/>
            <w:right w:w="0" w:type="dxa"/>
          </w:tblCellMar>
        </w:tblPrEx>
        <w:trPr>
          <w:trHeight w:val="296" w:hRule="atLeast"/>
        </w:trPr>
        <w:tc>
          <w:tcPr>
            <w:tcW w:w="752" w:type="pct"/>
            <w:tcBorders>
              <w:top w:val="nil"/>
              <w:left w:val="single" w:color="auto" w:sz="4" w:space="0"/>
              <w:bottom w:val="single" w:color="auto" w:sz="4" w:space="0"/>
              <w:right w:val="single" w:color="auto" w:sz="4" w:space="0"/>
            </w:tcBorders>
            <w:noWrap/>
            <w:vAlign w:val="bottom"/>
          </w:tcPr>
          <w:p w14:paraId="066B2849">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566" w:type="pct"/>
            <w:tcBorders>
              <w:top w:val="nil"/>
              <w:left w:val="nil"/>
              <w:bottom w:val="single" w:color="auto" w:sz="4" w:space="0"/>
              <w:right w:val="single" w:color="auto" w:sz="4" w:space="0"/>
            </w:tcBorders>
            <w:noWrap/>
            <w:vAlign w:val="bottom"/>
          </w:tcPr>
          <w:p w14:paraId="57F5312A">
            <w:pPr>
              <w:widowControl/>
              <w:jc w:val="center"/>
              <w:rPr>
                <w:rFonts w:ascii="宋体" w:cs="宋体"/>
                <w:color w:val="000000"/>
                <w:kern w:val="0"/>
                <w:sz w:val="18"/>
                <w:szCs w:val="18"/>
              </w:rPr>
            </w:pPr>
          </w:p>
        </w:tc>
        <w:tc>
          <w:tcPr>
            <w:tcW w:w="752" w:type="pct"/>
            <w:tcBorders>
              <w:top w:val="nil"/>
              <w:left w:val="nil"/>
              <w:bottom w:val="single" w:color="auto" w:sz="4" w:space="0"/>
              <w:right w:val="single" w:color="auto" w:sz="4" w:space="0"/>
            </w:tcBorders>
            <w:noWrap/>
            <w:vAlign w:val="bottom"/>
          </w:tcPr>
          <w:p w14:paraId="746BFE62">
            <w:pPr>
              <w:widowControl/>
              <w:jc w:val="center"/>
              <w:rPr>
                <w:rFonts w:ascii="宋体" w:cs="宋体"/>
                <w:color w:val="000000"/>
                <w:kern w:val="0"/>
                <w:sz w:val="18"/>
                <w:szCs w:val="18"/>
              </w:rPr>
            </w:pPr>
          </w:p>
        </w:tc>
        <w:tc>
          <w:tcPr>
            <w:tcW w:w="743" w:type="pct"/>
            <w:tcBorders>
              <w:top w:val="nil"/>
              <w:left w:val="nil"/>
              <w:bottom w:val="single" w:color="auto" w:sz="4" w:space="0"/>
              <w:right w:val="single" w:color="auto" w:sz="4" w:space="0"/>
            </w:tcBorders>
            <w:noWrap/>
            <w:vAlign w:val="bottom"/>
          </w:tcPr>
          <w:p w14:paraId="6E0AE58B">
            <w:pPr>
              <w:widowControl/>
              <w:jc w:val="center"/>
              <w:rPr>
                <w:rFonts w:ascii="宋体" w:cs="宋体"/>
                <w:color w:val="000000"/>
                <w:kern w:val="0"/>
                <w:sz w:val="18"/>
                <w:szCs w:val="18"/>
              </w:rPr>
            </w:pPr>
          </w:p>
        </w:tc>
        <w:tc>
          <w:tcPr>
            <w:tcW w:w="1437" w:type="pct"/>
            <w:tcBorders>
              <w:top w:val="nil"/>
              <w:left w:val="nil"/>
              <w:bottom w:val="single" w:color="auto" w:sz="4" w:space="0"/>
              <w:right w:val="single" w:color="auto" w:sz="4" w:space="0"/>
            </w:tcBorders>
            <w:noWrap/>
            <w:vAlign w:val="bottom"/>
          </w:tcPr>
          <w:p w14:paraId="3314EDB9">
            <w:pPr>
              <w:widowControl/>
              <w:jc w:val="center"/>
              <w:rPr>
                <w:rFonts w:ascii="宋体" w:cs="宋体"/>
                <w:color w:val="000000"/>
                <w:kern w:val="0"/>
                <w:sz w:val="18"/>
                <w:szCs w:val="18"/>
              </w:rPr>
            </w:pPr>
          </w:p>
        </w:tc>
        <w:tc>
          <w:tcPr>
            <w:tcW w:w="749" w:type="pct"/>
            <w:tcBorders>
              <w:top w:val="nil"/>
              <w:left w:val="nil"/>
              <w:bottom w:val="single" w:color="auto" w:sz="4" w:space="0"/>
              <w:right w:val="single" w:color="auto" w:sz="4" w:space="0"/>
            </w:tcBorders>
            <w:noWrap/>
            <w:vAlign w:val="bottom"/>
          </w:tcPr>
          <w:p w14:paraId="44F09F29">
            <w:pPr>
              <w:widowControl/>
              <w:jc w:val="left"/>
              <w:rPr>
                <w:rFonts w:ascii="宋体" w:cs="宋体"/>
                <w:color w:val="000000"/>
                <w:kern w:val="0"/>
                <w:sz w:val="18"/>
                <w:szCs w:val="18"/>
              </w:rPr>
            </w:pPr>
          </w:p>
        </w:tc>
      </w:tr>
    </w:tbl>
    <w:p w14:paraId="2775591A">
      <w:pPr>
        <w:pStyle w:val="61"/>
        <w:spacing w:line="360" w:lineRule="auto"/>
        <w:ind w:left="5250" w:firstLine="0" w:firstLineChars="0"/>
        <w:jc w:val="center"/>
        <w:rPr>
          <w:rFonts w:hint="eastAsia" w:ascii="黑体" w:hAnsi="黑体" w:eastAsia="黑体" w:cs="黑体"/>
          <w:szCs w:val="21"/>
        </w:rPr>
      </w:pPr>
    </w:p>
    <w:p w14:paraId="5BE814F5">
      <w:pPr>
        <w:pStyle w:val="61"/>
        <w:ind w:firstLine="0" w:firstLineChars="0"/>
        <w:jc w:val="center"/>
        <w:rPr>
          <w:rFonts w:hint="eastAsia" w:ascii="黑体" w:hAnsi="黑体" w:eastAsia="黑体"/>
        </w:rPr>
      </w:pPr>
      <w:r>
        <w:rPr>
          <w:rFonts w:hint="eastAsia" w:ascii="黑体" w:hAnsi="黑体" w:eastAsia="黑体"/>
        </w:rPr>
        <w:t>表</w:t>
      </w:r>
      <w:r>
        <w:rPr>
          <w:rFonts w:ascii="黑体" w:hAnsi="黑体" w:eastAsia="黑体"/>
        </w:rPr>
        <w:t>C.</w:t>
      </w:r>
      <w:r>
        <w:rPr>
          <w:rFonts w:hint="eastAsia" w:ascii="黑体" w:hAnsi="黑体" w:eastAsia="黑体"/>
        </w:rPr>
        <w:t>10</w:t>
      </w:r>
      <w:r>
        <w:rPr>
          <w:rFonts w:ascii="黑体" w:hAnsi="黑体" w:eastAsia="黑体"/>
        </w:rPr>
        <w:t xml:space="preserve">  </w:t>
      </w:r>
      <w:r>
        <w:rPr>
          <w:rFonts w:hint="eastAsia" w:ascii="黑体" w:hAnsi="黑体" w:eastAsia="黑体"/>
        </w:rPr>
        <w:t>背景数据收集范例</w:t>
      </w:r>
      <w:r>
        <w:rPr>
          <w:rFonts w:ascii="黑体" w:hAnsi="黑体" w:eastAsia="黑体"/>
        </w:rPr>
        <w:t>6-</w:t>
      </w:r>
      <w:r>
        <w:rPr>
          <w:rFonts w:hint="eastAsia" w:ascii="黑体" w:hAnsi="黑体" w:eastAsia="黑体"/>
        </w:rPr>
        <w:t>运输（方法</w:t>
      </w:r>
      <w:r>
        <w:rPr>
          <w:rFonts w:ascii="黑体" w:hAnsi="黑体" w:eastAsia="黑体"/>
        </w:rPr>
        <w:t>3</w:t>
      </w:r>
      <w:r>
        <w:rPr>
          <w:rFonts w:hint="eastAsia" w:ascii="黑体" w:hAnsi="黑体" w:eastAsia="黑体"/>
        </w:rPr>
        <w:t>）</w:t>
      </w:r>
    </w:p>
    <w:tbl>
      <w:tblPr>
        <w:tblStyle w:val="22"/>
        <w:tblW w:w="5000" w:type="pct"/>
        <w:tblInd w:w="0" w:type="dxa"/>
        <w:tblLayout w:type="autofit"/>
        <w:tblCellMar>
          <w:top w:w="0" w:type="dxa"/>
          <w:left w:w="108" w:type="dxa"/>
          <w:bottom w:w="0" w:type="dxa"/>
          <w:right w:w="108" w:type="dxa"/>
        </w:tblCellMar>
      </w:tblPr>
      <w:tblGrid>
        <w:gridCol w:w="1243"/>
        <w:gridCol w:w="1133"/>
        <w:gridCol w:w="1132"/>
        <w:gridCol w:w="1558"/>
        <w:gridCol w:w="1133"/>
        <w:gridCol w:w="1133"/>
        <w:gridCol w:w="1190"/>
      </w:tblGrid>
      <w:tr w14:paraId="5C8EB854">
        <w:tblPrEx>
          <w:tblCellMar>
            <w:top w:w="0" w:type="dxa"/>
            <w:left w:w="108" w:type="dxa"/>
            <w:bottom w:w="0" w:type="dxa"/>
            <w:right w:w="108" w:type="dxa"/>
          </w:tblCellMar>
        </w:tblPrEx>
        <w:trPr>
          <w:trHeight w:val="276" w:hRule="atLeast"/>
        </w:trPr>
        <w:tc>
          <w:tcPr>
            <w:tcW w:w="729" w:type="pct"/>
            <w:tcBorders>
              <w:top w:val="single" w:color="auto" w:sz="4" w:space="0"/>
              <w:left w:val="single" w:color="auto" w:sz="4" w:space="0"/>
              <w:bottom w:val="single" w:color="auto" w:sz="4" w:space="0"/>
              <w:right w:val="single" w:color="auto" w:sz="4" w:space="0"/>
            </w:tcBorders>
            <w:noWrap/>
            <w:vAlign w:val="bottom"/>
          </w:tcPr>
          <w:p w14:paraId="7178E506">
            <w:pPr>
              <w:widowControl/>
              <w:jc w:val="left"/>
              <w:rPr>
                <w:rFonts w:ascii="宋体" w:cs="宋体"/>
                <w:color w:val="000000"/>
                <w:kern w:val="0"/>
                <w:sz w:val="18"/>
                <w:szCs w:val="18"/>
              </w:rPr>
            </w:pPr>
            <w:r>
              <w:rPr>
                <w:rFonts w:hint="eastAsia" w:ascii="宋体" w:hAnsi="宋体" w:cs="宋体"/>
                <w:color w:val="000000"/>
                <w:kern w:val="0"/>
                <w:sz w:val="18"/>
                <w:szCs w:val="18"/>
              </w:rPr>
              <w:t>商品名称</w:t>
            </w:r>
          </w:p>
        </w:tc>
        <w:tc>
          <w:tcPr>
            <w:tcW w:w="665" w:type="pct"/>
            <w:tcBorders>
              <w:top w:val="single" w:color="auto" w:sz="4" w:space="0"/>
              <w:left w:val="nil"/>
              <w:bottom w:val="single" w:color="auto" w:sz="4" w:space="0"/>
              <w:right w:val="single" w:color="auto" w:sz="4" w:space="0"/>
            </w:tcBorders>
            <w:noWrap/>
            <w:vAlign w:val="bottom"/>
          </w:tcPr>
          <w:p w14:paraId="45F71835">
            <w:pPr>
              <w:widowControl/>
              <w:jc w:val="center"/>
              <w:rPr>
                <w:rFonts w:ascii="宋体" w:cs="宋体"/>
                <w:color w:val="000000"/>
                <w:kern w:val="0"/>
                <w:sz w:val="18"/>
                <w:szCs w:val="18"/>
              </w:rPr>
            </w:pPr>
            <w:r>
              <w:rPr>
                <w:rFonts w:hint="eastAsia" w:ascii="宋体" w:hAnsi="宋体" w:cs="宋体"/>
                <w:color w:val="000000"/>
                <w:kern w:val="0"/>
                <w:sz w:val="18"/>
                <w:szCs w:val="18"/>
              </w:rPr>
              <w:t>起点</w:t>
            </w:r>
          </w:p>
        </w:tc>
        <w:tc>
          <w:tcPr>
            <w:tcW w:w="664" w:type="pct"/>
            <w:tcBorders>
              <w:top w:val="single" w:color="auto" w:sz="4" w:space="0"/>
              <w:left w:val="nil"/>
              <w:bottom w:val="single" w:color="auto" w:sz="4" w:space="0"/>
              <w:right w:val="single" w:color="auto" w:sz="4" w:space="0"/>
            </w:tcBorders>
            <w:noWrap/>
            <w:vAlign w:val="bottom"/>
          </w:tcPr>
          <w:p w14:paraId="33687B00">
            <w:pPr>
              <w:widowControl/>
              <w:jc w:val="center"/>
              <w:rPr>
                <w:rFonts w:ascii="宋体" w:cs="宋体"/>
                <w:color w:val="000000"/>
                <w:kern w:val="0"/>
                <w:sz w:val="18"/>
                <w:szCs w:val="18"/>
              </w:rPr>
            </w:pPr>
            <w:r>
              <w:rPr>
                <w:rFonts w:hint="eastAsia" w:ascii="宋体" w:hAnsi="宋体" w:cs="宋体"/>
                <w:color w:val="000000"/>
                <w:kern w:val="0"/>
                <w:sz w:val="18"/>
                <w:szCs w:val="18"/>
              </w:rPr>
              <w:t>终点</w:t>
            </w:r>
          </w:p>
        </w:tc>
        <w:tc>
          <w:tcPr>
            <w:tcW w:w="914" w:type="pct"/>
            <w:tcBorders>
              <w:top w:val="single" w:color="auto" w:sz="4" w:space="0"/>
              <w:left w:val="nil"/>
              <w:bottom w:val="single" w:color="auto" w:sz="4" w:space="0"/>
              <w:right w:val="single" w:color="auto" w:sz="4" w:space="0"/>
            </w:tcBorders>
            <w:noWrap/>
            <w:vAlign w:val="bottom"/>
          </w:tcPr>
          <w:p w14:paraId="4A438F5C">
            <w:pPr>
              <w:widowControl/>
              <w:jc w:val="center"/>
              <w:rPr>
                <w:rFonts w:ascii="宋体" w:cs="宋体"/>
                <w:color w:val="000000"/>
                <w:kern w:val="0"/>
                <w:sz w:val="18"/>
                <w:szCs w:val="18"/>
              </w:rPr>
            </w:pPr>
            <w:r>
              <w:rPr>
                <w:rFonts w:hint="eastAsia" w:ascii="宋体" w:hAnsi="宋体" w:cs="宋体"/>
                <w:color w:val="000000"/>
                <w:kern w:val="0"/>
                <w:sz w:val="18"/>
                <w:szCs w:val="18"/>
              </w:rPr>
              <w:t>运输方式假设</w:t>
            </w:r>
          </w:p>
        </w:tc>
        <w:tc>
          <w:tcPr>
            <w:tcW w:w="665" w:type="pct"/>
            <w:tcBorders>
              <w:top w:val="single" w:color="auto" w:sz="4" w:space="0"/>
              <w:left w:val="nil"/>
              <w:bottom w:val="single" w:color="auto" w:sz="4" w:space="0"/>
              <w:right w:val="single" w:color="auto" w:sz="4" w:space="0"/>
            </w:tcBorders>
            <w:noWrap/>
            <w:vAlign w:val="bottom"/>
          </w:tcPr>
          <w:p w14:paraId="1CDF8687">
            <w:pPr>
              <w:widowControl/>
              <w:jc w:val="center"/>
              <w:rPr>
                <w:rFonts w:ascii="宋体" w:cs="宋体"/>
                <w:color w:val="000000"/>
                <w:kern w:val="0"/>
                <w:sz w:val="18"/>
                <w:szCs w:val="18"/>
              </w:rPr>
            </w:pPr>
            <w:r>
              <w:rPr>
                <w:rFonts w:hint="eastAsia" w:ascii="宋体" w:hAnsi="宋体" w:cs="宋体"/>
                <w:color w:val="000000"/>
                <w:kern w:val="0"/>
                <w:sz w:val="18"/>
                <w:szCs w:val="18"/>
              </w:rPr>
              <w:t>运距</w:t>
            </w:r>
          </w:p>
        </w:tc>
        <w:tc>
          <w:tcPr>
            <w:tcW w:w="665" w:type="pct"/>
            <w:tcBorders>
              <w:top w:val="single" w:color="auto" w:sz="4" w:space="0"/>
              <w:left w:val="nil"/>
              <w:bottom w:val="single" w:color="auto" w:sz="4" w:space="0"/>
              <w:right w:val="single" w:color="auto" w:sz="4" w:space="0"/>
            </w:tcBorders>
          </w:tcPr>
          <w:p w14:paraId="4638B52C">
            <w:pPr>
              <w:widowControl/>
              <w:jc w:val="center"/>
              <w:rPr>
                <w:rFonts w:ascii="宋体" w:cs="宋体"/>
                <w:color w:val="000000"/>
                <w:kern w:val="0"/>
                <w:sz w:val="18"/>
                <w:szCs w:val="18"/>
              </w:rPr>
            </w:pPr>
            <w:r>
              <w:rPr>
                <w:rFonts w:hint="eastAsia" w:ascii="宋体" w:hAnsi="宋体" w:cs="宋体"/>
                <w:color w:val="000000"/>
                <w:kern w:val="0"/>
                <w:sz w:val="18"/>
                <w:szCs w:val="18"/>
              </w:rPr>
              <w:t>排放因子</w:t>
            </w:r>
          </w:p>
        </w:tc>
        <w:tc>
          <w:tcPr>
            <w:tcW w:w="698" w:type="pct"/>
            <w:tcBorders>
              <w:top w:val="single" w:color="auto" w:sz="4" w:space="0"/>
              <w:left w:val="single" w:color="auto" w:sz="4" w:space="0"/>
              <w:bottom w:val="single" w:color="auto" w:sz="4" w:space="0"/>
              <w:right w:val="single" w:color="auto" w:sz="4" w:space="0"/>
            </w:tcBorders>
            <w:noWrap/>
            <w:vAlign w:val="bottom"/>
          </w:tcPr>
          <w:p w14:paraId="088B2172">
            <w:pPr>
              <w:widowControl/>
              <w:jc w:val="center"/>
              <w:rPr>
                <w:rFonts w:ascii="宋体" w:cs="宋体"/>
                <w:color w:val="000000"/>
                <w:kern w:val="0"/>
                <w:sz w:val="18"/>
                <w:szCs w:val="18"/>
              </w:rPr>
            </w:pPr>
            <w:r>
              <w:rPr>
                <w:rFonts w:hint="eastAsia" w:ascii="宋体" w:hAnsi="宋体" w:cs="宋体"/>
                <w:color w:val="000000"/>
                <w:kern w:val="0"/>
                <w:sz w:val="18"/>
                <w:szCs w:val="18"/>
              </w:rPr>
              <w:t>资料来源</w:t>
            </w:r>
          </w:p>
        </w:tc>
      </w:tr>
      <w:tr w14:paraId="4B1C5B8E">
        <w:tblPrEx>
          <w:tblCellMar>
            <w:top w:w="0" w:type="dxa"/>
            <w:left w:w="108" w:type="dxa"/>
            <w:bottom w:w="0" w:type="dxa"/>
            <w:right w:w="108" w:type="dxa"/>
          </w:tblCellMar>
        </w:tblPrEx>
        <w:trPr>
          <w:trHeight w:val="276" w:hRule="atLeast"/>
        </w:trPr>
        <w:tc>
          <w:tcPr>
            <w:tcW w:w="729" w:type="pct"/>
            <w:tcBorders>
              <w:top w:val="nil"/>
              <w:left w:val="single" w:color="auto" w:sz="4" w:space="0"/>
              <w:bottom w:val="single" w:color="auto" w:sz="4" w:space="0"/>
              <w:right w:val="single" w:color="auto" w:sz="4" w:space="0"/>
            </w:tcBorders>
            <w:noWrap/>
            <w:vAlign w:val="bottom"/>
          </w:tcPr>
          <w:p w14:paraId="6A4244E8">
            <w:pPr>
              <w:widowControl/>
              <w:jc w:val="left"/>
              <w:rPr>
                <w:rFonts w:ascii="宋体" w:cs="宋体"/>
                <w:color w:val="000000"/>
                <w:kern w:val="0"/>
                <w:sz w:val="18"/>
                <w:szCs w:val="18"/>
              </w:rPr>
            </w:pPr>
            <w:r>
              <w:rPr>
                <w:rFonts w:hint="eastAsia" w:ascii="宋体" w:hAnsi="宋体" w:cs="宋体"/>
                <w:color w:val="000000"/>
                <w:kern w:val="0"/>
                <w:sz w:val="18"/>
                <w:szCs w:val="18"/>
              </w:rPr>
              <w:t>精矿</w:t>
            </w:r>
          </w:p>
        </w:tc>
        <w:tc>
          <w:tcPr>
            <w:tcW w:w="665" w:type="pct"/>
            <w:tcBorders>
              <w:top w:val="nil"/>
              <w:left w:val="nil"/>
              <w:bottom w:val="single" w:color="auto" w:sz="4" w:space="0"/>
              <w:right w:val="single" w:color="auto" w:sz="4" w:space="0"/>
            </w:tcBorders>
            <w:noWrap/>
            <w:vAlign w:val="bottom"/>
          </w:tcPr>
          <w:p w14:paraId="0B5A62AF">
            <w:pPr>
              <w:widowControl/>
              <w:jc w:val="center"/>
              <w:rPr>
                <w:rFonts w:ascii="宋体" w:cs="宋体"/>
                <w:color w:val="000000"/>
                <w:kern w:val="0"/>
                <w:sz w:val="18"/>
                <w:szCs w:val="18"/>
              </w:rPr>
            </w:pPr>
          </w:p>
        </w:tc>
        <w:tc>
          <w:tcPr>
            <w:tcW w:w="664" w:type="pct"/>
            <w:tcBorders>
              <w:top w:val="nil"/>
              <w:left w:val="nil"/>
              <w:bottom w:val="single" w:color="auto" w:sz="4" w:space="0"/>
              <w:right w:val="single" w:color="auto" w:sz="4" w:space="0"/>
            </w:tcBorders>
            <w:noWrap/>
            <w:vAlign w:val="bottom"/>
          </w:tcPr>
          <w:p w14:paraId="2588845B">
            <w:pPr>
              <w:widowControl/>
              <w:jc w:val="left"/>
              <w:rPr>
                <w:rFonts w:ascii="宋体" w:cs="宋体"/>
                <w:color w:val="000000"/>
                <w:kern w:val="0"/>
                <w:sz w:val="18"/>
                <w:szCs w:val="18"/>
              </w:rPr>
            </w:pPr>
          </w:p>
        </w:tc>
        <w:tc>
          <w:tcPr>
            <w:tcW w:w="914" w:type="pct"/>
            <w:tcBorders>
              <w:top w:val="nil"/>
              <w:left w:val="nil"/>
              <w:bottom w:val="single" w:color="auto" w:sz="4" w:space="0"/>
              <w:right w:val="single" w:color="auto" w:sz="4" w:space="0"/>
            </w:tcBorders>
            <w:noWrap/>
            <w:vAlign w:val="bottom"/>
          </w:tcPr>
          <w:p w14:paraId="014A540E">
            <w:pPr>
              <w:widowControl/>
              <w:jc w:val="left"/>
              <w:rPr>
                <w:rFonts w:ascii="宋体" w:cs="宋体"/>
                <w:color w:val="000000"/>
                <w:kern w:val="0"/>
                <w:sz w:val="18"/>
                <w:szCs w:val="18"/>
              </w:rPr>
            </w:pPr>
          </w:p>
        </w:tc>
        <w:tc>
          <w:tcPr>
            <w:tcW w:w="665" w:type="pct"/>
            <w:tcBorders>
              <w:top w:val="nil"/>
              <w:left w:val="nil"/>
              <w:bottom w:val="single" w:color="auto" w:sz="4" w:space="0"/>
              <w:right w:val="single" w:color="auto" w:sz="4" w:space="0"/>
            </w:tcBorders>
            <w:noWrap/>
            <w:vAlign w:val="bottom"/>
          </w:tcPr>
          <w:p w14:paraId="1B874B05">
            <w:pPr>
              <w:widowControl/>
              <w:jc w:val="left"/>
              <w:rPr>
                <w:rFonts w:ascii="宋体" w:cs="宋体"/>
                <w:color w:val="000000"/>
                <w:kern w:val="0"/>
                <w:sz w:val="18"/>
                <w:szCs w:val="18"/>
              </w:rPr>
            </w:pPr>
          </w:p>
        </w:tc>
        <w:tc>
          <w:tcPr>
            <w:tcW w:w="665" w:type="pct"/>
            <w:tcBorders>
              <w:top w:val="single" w:color="auto" w:sz="4" w:space="0"/>
              <w:left w:val="nil"/>
              <w:bottom w:val="single" w:color="auto" w:sz="4" w:space="0"/>
              <w:right w:val="single" w:color="auto" w:sz="4" w:space="0"/>
            </w:tcBorders>
          </w:tcPr>
          <w:p w14:paraId="3055BF8F">
            <w:pPr>
              <w:widowControl/>
              <w:jc w:val="left"/>
              <w:rPr>
                <w:rFonts w:ascii="宋体" w:cs="宋体"/>
                <w:color w:val="000000"/>
                <w:kern w:val="0"/>
                <w:sz w:val="18"/>
                <w:szCs w:val="18"/>
              </w:rPr>
            </w:pPr>
          </w:p>
        </w:tc>
        <w:tc>
          <w:tcPr>
            <w:tcW w:w="698" w:type="pct"/>
            <w:tcBorders>
              <w:top w:val="nil"/>
              <w:left w:val="single" w:color="auto" w:sz="4" w:space="0"/>
              <w:bottom w:val="single" w:color="auto" w:sz="4" w:space="0"/>
              <w:right w:val="single" w:color="auto" w:sz="4" w:space="0"/>
            </w:tcBorders>
            <w:noWrap/>
            <w:vAlign w:val="bottom"/>
          </w:tcPr>
          <w:p w14:paraId="64A28D87">
            <w:pPr>
              <w:widowControl/>
              <w:jc w:val="left"/>
              <w:rPr>
                <w:rFonts w:ascii="宋体" w:cs="宋体"/>
                <w:color w:val="000000"/>
                <w:kern w:val="0"/>
                <w:sz w:val="18"/>
                <w:szCs w:val="18"/>
              </w:rPr>
            </w:pPr>
          </w:p>
        </w:tc>
      </w:tr>
      <w:tr w14:paraId="76D26B32">
        <w:tblPrEx>
          <w:tblCellMar>
            <w:top w:w="0" w:type="dxa"/>
            <w:left w:w="108" w:type="dxa"/>
            <w:bottom w:w="0" w:type="dxa"/>
            <w:right w:w="108" w:type="dxa"/>
          </w:tblCellMar>
        </w:tblPrEx>
        <w:trPr>
          <w:trHeight w:val="276" w:hRule="atLeast"/>
        </w:trPr>
        <w:tc>
          <w:tcPr>
            <w:tcW w:w="729" w:type="pct"/>
            <w:tcBorders>
              <w:top w:val="nil"/>
              <w:left w:val="single" w:color="auto" w:sz="4" w:space="0"/>
              <w:bottom w:val="single" w:color="auto" w:sz="4" w:space="0"/>
              <w:right w:val="single" w:color="auto" w:sz="4" w:space="0"/>
            </w:tcBorders>
            <w:noWrap/>
            <w:vAlign w:val="bottom"/>
          </w:tcPr>
          <w:p w14:paraId="19F14123">
            <w:pPr>
              <w:widowControl/>
              <w:jc w:val="left"/>
              <w:rPr>
                <w:rFonts w:ascii="宋体" w:cs="宋体"/>
                <w:color w:val="000000"/>
                <w:kern w:val="0"/>
                <w:sz w:val="18"/>
                <w:szCs w:val="18"/>
              </w:rPr>
            </w:pPr>
            <w:r>
              <w:rPr>
                <w:rFonts w:hint="eastAsia" w:ascii="宋体" w:hAnsi="宋体" w:cs="宋体"/>
                <w:color w:val="000000"/>
                <w:kern w:val="0"/>
                <w:sz w:val="18"/>
                <w:szCs w:val="18"/>
              </w:rPr>
              <w:t>石英石</w:t>
            </w:r>
          </w:p>
        </w:tc>
        <w:tc>
          <w:tcPr>
            <w:tcW w:w="665" w:type="pct"/>
            <w:tcBorders>
              <w:top w:val="nil"/>
              <w:left w:val="nil"/>
              <w:bottom w:val="single" w:color="auto" w:sz="4" w:space="0"/>
              <w:right w:val="single" w:color="auto" w:sz="4" w:space="0"/>
            </w:tcBorders>
            <w:noWrap/>
            <w:vAlign w:val="bottom"/>
          </w:tcPr>
          <w:p w14:paraId="575C9A6E">
            <w:pPr>
              <w:widowControl/>
              <w:jc w:val="center"/>
              <w:rPr>
                <w:rFonts w:ascii="宋体" w:cs="宋体"/>
                <w:color w:val="000000"/>
                <w:kern w:val="0"/>
                <w:sz w:val="18"/>
                <w:szCs w:val="18"/>
              </w:rPr>
            </w:pPr>
          </w:p>
        </w:tc>
        <w:tc>
          <w:tcPr>
            <w:tcW w:w="664" w:type="pct"/>
            <w:tcBorders>
              <w:top w:val="nil"/>
              <w:left w:val="nil"/>
              <w:bottom w:val="single" w:color="auto" w:sz="4" w:space="0"/>
              <w:right w:val="single" w:color="auto" w:sz="4" w:space="0"/>
            </w:tcBorders>
            <w:noWrap/>
            <w:vAlign w:val="bottom"/>
          </w:tcPr>
          <w:p w14:paraId="169D4914">
            <w:pPr>
              <w:widowControl/>
              <w:jc w:val="left"/>
              <w:rPr>
                <w:rFonts w:ascii="宋体" w:cs="宋体"/>
                <w:color w:val="000000"/>
                <w:kern w:val="0"/>
                <w:sz w:val="18"/>
                <w:szCs w:val="18"/>
              </w:rPr>
            </w:pPr>
          </w:p>
        </w:tc>
        <w:tc>
          <w:tcPr>
            <w:tcW w:w="914" w:type="pct"/>
            <w:tcBorders>
              <w:top w:val="nil"/>
              <w:left w:val="nil"/>
              <w:bottom w:val="single" w:color="auto" w:sz="4" w:space="0"/>
              <w:right w:val="single" w:color="auto" w:sz="4" w:space="0"/>
            </w:tcBorders>
            <w:noWrap/>
            <w:vAlign w:val="bottom"/>
          </w:tcPr>
          <w:p w14:paraId="2B0932F3">
            <w:pPr>
              <w:widowControl/>
              <w:jc w:val="left"/>
              <w:rPr>
                <w:rFonts w:ascii="宋体" w:cs="宋体"/>
                <w:color w:val="000000"/>
                <w:kern w:val="0"/>
                <w:sz w:val="18"/>
                <w:szCs w:val="18"/>
              </w:rPr>
            </w:pPr>
          </w:p>
        </w:tc>
        <w:tc>
          <w:tcPr>
            <w:tcW w:w="665" w:type="pct"/>
            <w:tcBorders>
              <w:top w:val="nil"/>
              <w:left w:val="nil"/>
              <w:bottom w:val="single" w:color="auto" w:sz="4" w:space="0"/>
              <w:right w:val="single" w:color="auto" w:sz="4" w:space="0"/>
            </w:tcBorders>
            <w:noWrap/>
            <w:vAlign w:val="bottom"/>
          </w:tcPr>
          <w:p w14:paraId="1AF44DFA">
            <w:pPr>
              <w:widowControl/>
              <w:jc w:val="left"/>
              <w:rPr>
                <w:rFonts w:ascii="宋体" w:cs="宋体"/>
                <w:color w:val="000000"/>
                <w:kern w:val="0"/>
                <w:sz w:val="18"/>
                <w:szCs w:val="18"/>
              </w:rPr>
            </w:pPr>
          </w:p>
        </w:tc>
        <w:tc>
          <w:tcPr>
            <w:tcW w:w="665" w:type="pct"/>
            <w:tcBorders>
              <w:top w:val="single" w:color="auto" w:sz="4" w:space="0"/>
              <w:left w:val="nil"/>
              <w:bottom w:val="single" w:color="auto" w:sz="4" w:space="0"/>
              <w:right w:val="single" w:color="auto" w:sz="4" w:space="0"/>
            </w:tcBorders>
          </w:tcPr>
          <w:p w14:paraId="29601E0E">
            <w:pPr>
              <w:widowControl/>
              <w:jc w:val="left"/>
              <w:rPr>
                <w:rFonts w:ascii="宋体" w:cs="宋体"/>
                <w:color w:val="000000"/>
                <w:kern w:val="0"/>
                <w:sz w:val="18"/>
                <w:szCs w:val="18"/>
              </w:rPr>
            </w:pPr>
          </w:p>
        </w:tc>
        <w:tc>
          <w:tcPr>
            <w:tcW w:w="698" w:type="pct"/>
            <w:tcBorders>
              <w:top w:val="nil"/>
              <w:left w:val="single" w:color="auto" w:sz="4" w:space="0"/>
              <w:bottom w:val="single" w:color="auto" w:sz="4" w:space="0"/>
              <w:right w:val="single" w:color="auto" w:sz="4" w:space="0"/>
            </w:tcBorders>
            <w:noWrap/>
            <w:vAlign w:val="bottom"/>
          </w:tcPr>
          <w:p w14:paraId="676DB555">
            <w:pPr>
              <w:widowControl/>
              <w:jc w:val="left"/>
              <w:rPr>
                <w:rFonts w:ascii="宋体" w:cs="宋体"/>
                <w:color w:val="000000"/>
                <w:kern w:val="0"/>
                <w:sz w:val="18"/>
                <w:szCs w:val="18"/>
              </w:rPr>
            </w:pPr>
          </w:p>
        </w:tc>
      </w:tr>
      <w:tr w14:paraId="7720757E">
        <w:tblPrEx>
          <w:tblCellMar>
            <w:top w:w="0" w:type="dxa"/>
            <w:left w:w="108" w:type="dxa"/>
            <w:bottom w:w="0" w:type="dxa"/>
            <w:right w:w="108" w:type="dxa"/>
          </w:tblCellMar>
        </w:tblPrEx>
        <w:trPr>
          <w:trHeight w:val="276" w:hRule="atLeast"/>
        </w:trPr>
        <w:tc>
          <w:tcPr>
            <w:tcW w:w="729" w:type="pct"/>
            <w:tcBorders>
              <w:top w:val="nil"/>
              <w:left w:val="single" w:color="auto" w:sz="4" w:space="0"/>
              <w:bottom w:val="single" w:color="auto" w:sz="4" w:space="0"/>
              <w:right w:val="single" w:color="auto" w:sz="4" w:space="0"/>
            </w:tcBorders>
            <w:noWrap/>
            <w:vAlign w:val="bottom"/>
          </w:tcPr>
          <w:p w14:paraId="01675DE5">
            <w:pPr>
              <w:widowControl/>
              <w:jc w:val="left"/>
              <w:rPr>
                <w:rFonts w:ascii="宋体" w:cs="宋体"/>
                <w:color w:val="000000"/>
                <w:kern w:val="0"/>
                <w:sz w:val="18"/>
                <w:szCs w:val="18"/>
              </w:rPr>
            </w:pPr>
            <w:r>
              <w:rPr>
                <w:rFonts w:hint="eastAsia" w:ascii="宋体" w:hAnsi="宋体" w:cs="宋体"/>
                <w:color w:val="000000"/>
                <w:kern w:val="0"/>
                <w:sz w:val="18"/>
                <w:szCs w:val="18"/>
              </w:rPr>
              <w:t>石灰石</w:t>
            </w:r>
          </w:p>
        </w:tc>
        <w:tc>
          <w:tcPr>
            <w:tcW w:w="665" w:type="pct"/>
            <w:tcBorders>
              <w:top w:val="nil"/>
              <w:left w:val="nil"/>
              <w:bottom w:val="single" w:color="auto" w:sz="4" w:space="0"/>
              <w:right w:val="single" w:color="auto" w:sz="4" w:space="0"/>
            </w:tcBorders>
            <w:noWrap/>
            <w:vAlign w:val="bottom"/>
          </w:tcPr>
          <w:p w14:paraId="7589D010">
            <w:pPr>
              <w:widowControl/>
              <w:jc w:val="center"/>
              <w:rPr>
                <w:rFonts w:ascii="宋体" w:cs="宋体"/>
                <w:color w:val="000000"/>
                <w:kern w:val="0"/>
                <w:sz w:val="18"/>
                <w:szCs w:val="18"/>
              </w:rPr>
            </w:pPr>
          </w:p>
        </w:tc>
        <w:tc>
          <w:tcPr>
            <w:tcW w:w="664" w:type="pct"/>
            <w:tcBorders>
              <w:top w:val="nil"/>
              <w:left w:val="nil"/>
              <w:bottom w:val="single" w:color="auto" w:sz="4" w:space="0"/>
              <w:right w:val="single" w:color="auto" w:sz="4" w:space="0"/>
            </w:tcBorders>
            <w:noWrap/>
            <w:vAlign w:val="bottom"/>
          </w:tcPr>
          <w:p w14:paraId="42FFE6A8">
            <w:pPr>
              <w:widowControl/>
              <w:jc w:val="left"/>
              <w:rPr>
                <w:rFonts w:ascii="宋体" w:cs="宋体"/>
                <w:color w:val="000000"/>
                <w:kern w:val="0"/>
                <w:sz w:val="18"/>
                <w:szCs w:val="18"/>
              </w:rPr>
            </w:pPr>
          </w:p>
        </w:tc>
        <w:tc>
          <w:tcPr>
            <w:tcW w:w="914" w:type="pct"/>
            <w:tcBorders>
              <w:top w:val="nil"/>
              <w:left w:val="nil"/>
              <w:bottom w:val="single" w:color="auto" w:sz="4" w:space="0"/>
              <w:right w:val="single" w:color="auto" w:sz="4" w:space="0"/>
            </w:tcBorders>
            <w:noWrap/>
            <w:vAlign w:val="bottom"/>
          </w:tcPr>
          <w:p w14:paraId="6E408F2C">
            <w:pPr>
              <w:widowControl/>
              <w:jc w:val="left"/>
              <w:rPr>
                <w:rFonts w:ascii="宋体" w:cs="宋体"/>
                <w:color w:val="000000"/>
                <w:kern w:val="0"/>
                <w:sz w:val="18"/>
                <w:szCs w:val="18"/>
              </w:rPr>
            </w:pPr>
          </w:p>
        </w:tc>
        <w:tc>
          <w:tcPr>
            <w:tcW w:w="665" w:type="pct"/>
            <w:tcBorders>
              <w:top w:val="nil"/>
              <w:left w:val="nil"/>
              <w:bottom w:val="single" w:color="auto" w:sz="4" w:space="0"/>
              <w:right w:val="single" w:color="auto" w:sz="4" w:space="0"/>
            </w:tcBorders>
            <w:noWrap/>
            <w:vAlign w:val="bottom"/>
          </w:tcPr>
          <w:p w14:paraId="3DC18A83">
            <w:pPr>
              <w:widowControl/>
              <w:jc w:val="left"/>
              <w:rPr>
                <w:rFonts w:ascii="宋体" w:cs="宋体"/>
                <w:color w:val="000000"/>
                <w:kern w:val="0"/>
                <w:sz w:val="18"/>
                <w:szCs w:val="18"/>
              </w:rPr>
            </w:pPr>
          </w:p>
        </w:tc>
        <w:tc>
          <w:tcPr>
            <w:tcW w:w="665" w:type="pct"/>
            <w:tcBorders>
              <w:top w:val="single" w:color="auto" w:sz="4" w:space="0"/>
              <w:left w:val="nil"/>
              <w:bottom w:val="single" w:color="auto" w:sz="4" w:space="0"/>
              <w:right w:val="single" w:color="auto" w:sz="4" w:space="0"/>
            </w:tcBorders>
          </w:tcPr>
          <w:p w14:paraId="44EBA36C">
            <w:pPr>
              <w:widowControl/>
              <w:jc w:val="left"/>
              <w:rPr>
                <w:rFonts w:ascii="宋体" w:cs="宋体"/>
                <w:color w:val="000000"/>
                <w:kern w:val="0"/>
                <w:sz w:val="18"/>
                <w:szCs w:val="18"/>
              </w:rPr>
            </w:pPr>
          </w:p>
        </w:tc>
        <w:tc>
          <w:tcPr>
            <w:tcW w:w="698" w:type="pct"/>
            <w:tcBorders>
              <w:top w:val="nil"/>
              <w:left w:val="single" w:color="auto" w:sz="4" w:space="0"/>
              <w:bottom w:val="single" w:color="auto" w:sz="4" w:space="0"/>
              <w:right w:val="single" w:color="auto" w:sz="4" w:space="0"/>
            </w:tcBorders>
            <w:noWrap/>
            <w:vAlign w:val="bottom"/>
          </w:tcPr>
          <w:p w14:paraId="1EE94C4A">
            <w:pPr>
              <w:widowControl/>
              <w:jc w:val="left"/>
              <w:rPr>
                <w:rFonts w:ascii="宋体" w:cs="宋体"/>
                <w:color w:val="000000"/>
                <w:kern w:val="0"/>
                <w:sz w:val="18"/>
                <w:szCs w:val="18"/>
              </w:rPr>
            </w:pPr>
          </w:p>
        </w:tc>
      </w:tr>
      <w:tr w14:paraId="3053D1B0">
        <w:tblPrEx>
          <w:tblCellMar>
            <w:top w:w="0" w:type="dxa"/>
            <w:left w:w="108" w:type="dxa"/>
            <w:bottom w:w="0" w:type="dxa"/>
            <w:right w:w="108" w:type="dxa"/>
          </w:tblCellMar>
        </w:tblPrEx>
        <w:trPr>
          <w:trHeight w:val="276" w:hRule="atLeast"/>
        </w:trPr>
        <w:tc>
          <w:tcPr>
            <w:tcW w:w="729" w:type="pct"/>
            <w:tcBorders>
              <w:top w:val="nil"/>
              <w:left w:val="single" w:color="auto" w:sz="4" w:space="0"/>
              <w:bottom w:val="single" w:color="auto" w:sz="4" w:space="0"/>
              <w:right w:val="single" w:color="auto" w:sz="4" w:space="0"/>
            </w:tcBorders>
            <w:noWrap/>
            <w:vAlign w:val="bottom"/>
          </w:tcPr>
          <w:p w14:paraId="33484EF9">
            <w:pPr>
              <w:widowControl/>
              <w:jc w:val="left"/>
              <w:rPr>
                <w:rFonts w:ascii="宋体" w:cs="宋体"/>
                <w:color w:val="000000"/>
                <w:kern w:val="0"/>
                <w:sz w:val="18"/>
                <w:szCs w:val="18"/>
              </w:rPr>
            </w:pPr>
            <w:r>
              <w:rPr>
                <w:rFonts w:hint="eastAsia" w:ascii="宋体" w:hAnsi="宋体" w:cs="宋体"/>
                <w:color w:val="000000"/>
                <w:kern w:val="0"/>
                <w:sz w:val="18"/>
                <w:szCs w:val="18"/>
              </w:rPr>
              <w:t>块煤</w:t>
            </w:r>
          </w:p>
        </w:tc>
        <w:tc>
          <w:tcPr>
            <w:tcW w:w="665" w:type="pct"/>
            <w:tcBorders>
              <w:top w:val="nil"/>
              <w:left w:val="nil"/>
              <w:bottom w:val="single" w:color="auto" w:sz="4" w:space="0"/>
              <w:right w:val="single" w:color="auto" w:sz="4" w:space="0"/>
            </w:tcBorders>
            <w:noWrap/>
            <w:vAlign w:val="bottom"/>
          </w:tcPr>
          <w:p w14:paraId="780A6505">
            <w:pPr>
              <w:widowControl/>
              <w:jc w:val="center"/>
              <w:rPr>
                <w:rFonts w:ascii="宋体" w:cs="宋体"/>
                <w:color w:val="000000"/>
                <w:kern w:val="0"/>
                <w:sz w:val="18"/>
                <w:szCs w:val="18"/>
              </w:rPr>
            </w:pPr>
          </w:p>
        </w:tc>
        <w:tc>
          <w:tcPr>
            <w:tcW w:w="664" w:type="pct"/>
            <w:tcBorders>
              <w:top w:val="nil"/>
              <w:left w:val="nil"/>
              <w:bottom w:val="single" w:color="auto" w:sz="4" w:space="0"/>
              <w:right w:val="single" w:color="auto" w:sz="4" w:space="0"/>
            </w:tcBorders>
            <w:noWrap/>
            <w:vAlign w:val="bottom"/>
          </w:tcPr>
          <w:p w14:paraId="41D2645B">
            <w:pPr>
              <w:widowControl/>
              <w:jc w:val="left"/>
              <w:rPr>
                <w:rFonts w:ascii="宋体" w:cs="宋体"/>
                <w:color w:val="000000"/>
                <w:kern w:val="0"/>
                <w:sz w:val="18"/>
                <w:szCs w:val="18"/>
              </w:rPr>
            </w:pPr>
          </w:p>
        </w:tc>
        <w:tc>
          <w:tcPr>
            <w:tcW w:w="914" w:type="pct"/>
            <w:tcBorders>
              <w:top w:val="nil"/>
              <w:left w:val="nil"/>
              <w:bottom w:val="single" w:color="auto" w:sz="4" w:space="0"/>
              <w:right w:val="single" w:color="auto" w:sz="4" w:space="0"/>
            </w:tcBorders>
            <w:noWrap/>
            <w:vAlign w:val="bottom"/>
          </w:tcPr>
          <w:p w14:paraId="3F60D47F">
            <w:pPr>
              <w:widowControl/>
              <w:jc w:val="left"/>
              <w:rPr>
                <w:rFonts w:ascii="宋体" w:cs="宋体"/>
                <w:color w:val="000000"/>
                <w:kern w:val="0"/>
                <w:sz w:val="18"/>
                <w:szCs w:val="18"/>
              </w:rPr>
            </w:pPr>
          </w:p>
        </w:tc>
        <w:tc>
          <w:tcPr>
            <w:tcW w:w="665" w:type="pct"/>
            <w:tcBorders>
              <w:top w:val="nil"/>
              <w:left w:val="nil"/>
              <w:bottom w:val="single" w:color="auto" w:sz="4" w:space="0"/>
              <w:right w:val="single" w:color="auto" w:sz="4" w:space="0"/>
            </w:tcBorders>
            <w:noWrap/>
            <w:vAlign w:val="bottom"/>
          </w:tcPr>
          <w:p w14:paraId="00C4D306">
            <w:pPr>
              <w:widowControl/>
              <w:jc w:val="left"/>
              <w:rPr>
                <w:rFonts w:ascii="宋体" w:cs="宋体"/>
                <w:color w:val="000000"/>
                <w:kern w:val="0"/>
                <w:sz w:val="18"/>
                <w:szCs w:val="18"/>
              </w:rPr>
            </w:pPr>
          </w:p>
        </w:tc>
        <w:tc>
          <w:tcPr>
            <w:tcW w:w="665" w:type="pct"/>
            <w:tcBorders>
              <w:top w:val="single" w:color="auto" w:sz="4" w:space="0"/>
              <w:left w:val="nil"/>
              <w:bottom w:val="single" w:color="auto" w:sz="4" w:space="0"/>
              <w:right w:val="single" w:color="auto" w:sz="4" w:space="0"/>
            </w:tcBorders>
          </w:tcPr>
          <w:p w14:paraId="19E03A37">
            <w:pPr>
              <w:widowControl/>
              <w:jc w:val="left"/>
              <w:rPr>
                <w:rFonts w:ascii="宋体" w:cs="宋体"/>
                <w:color w:val="000000"/>
                <w:kern w:val="0"/>
                <w:sz w:val="18"/>
                <w:szCs w:val="18"/>
              </w:rPr>
            </w:pPr>
          </w:p>
        </w:tc>
        <w:tc>
          <w:tcPr>
            <w:tcW w:w="698" w:type="pct"/>
            <w:tcBorders>
              <w:top w:val="nil"/>
              <w:left w:val="single" w:color="auto" w:sz="4" w:space="0"/>
              <w:bottom w:val="single" w:color="auto" w:sz="4" w:space="0"/>
              <w:right w:val="single" w:color="auto" w:sz="4" w:space="0"/>
            </w:tcBorders>
            <w:noWrap/>
            <w:vAlign w:val="bottom"/>
          </w:tcPr>
          <w:p w14:paraId="4A2609D3">
            <w:pPr>
              <w:widowControl/>
              <w:jc w:val="left"/>
              <w:rPr>
                <w:rFonts w:ascii="宋体" w:cs="宋体"/>
                <w:color w:val="000000"/>
                <w:kern w:val="0"/>
                <w:sz w:val="18"/>
                <w:szCs w:val="18"/>
              </w:rPr>
            </w:pPr>
          </w:p>
        </w:tc>
      </w:tr>
      <w:tr w14:paraId="28B901A5">
        <w:tblPrEx>
          <w:tblCellMar>
            <w:top w:w="0" w:type="dxa"/>
            <w:left w:w="108" w:type="dxa"/>
            <w:bottom w:w="0" w:type="dxa"/>
            <w:right w:w="108" w:type="dxa"/>
          </w:tblCellMar>
        </w:tblPrEx>
        <w:trPr>
          <w:trHeight w:val="276" w:hRule="atLeast"/>
        </w:trPr>
        <w:tc>
          <w:tcPr>
            <w:tcW w:w="729" w:type="pct"/>
            <w:tcBorders>
              <w:top w:val="nil"/>
              <w:left w:val="single" w:color="auto" w:sz="4" w:space="0"/>
              <w:bottom w:val="single" w:color="auto" w:sz="4" w:space="0"/>
              <w:right w:val="single" w:color="auto" w:sz="4" w:space="0"/>
            </w:tcBorders>
            <w:noWrap/>
            <w:vAlign w:val="bottom"/>
          </w:tcPr>
          <w:p w14:paraId="1AA009A2">
            <w:pPr>
              <w:widowControl/>
              <w:jc w:val="left"/>
              <w:rPr>
                <w:rFonts w:ascii="宋体" w:cs="宋体"/>
                <w:color w:val="000000"/>
                <w:kern w:val="0"/>
                <w:sz w:val="18"/>
                <w:szCs w:val="18"/>
              </w:rPr>
            </w:pPr>
            <w:r>
              <w:rPr>
                <w:rFonts w:hint="eastAsia" w:ascii="宋体" w:hAnsi="宋体" w:cs="宋体"/>
                <w:color w:val="000000"/>
                <w:kern w:val="0"/>
                <w:sz w:val="18"/>
                <w:szCs w:val="18"/>
              </w:rPr>
              <w:t>…</w:t>
            </w:r>
          </w:p>
        </w:tc>
        <w:tc>
          <w:tcPr>
            <w:tcW w:w="665" w:type="pct"/>
            <w:tcBorders>
              <w:top w:val="nil"/>
              <w:left w:val="nil"/>
              <w:bottom w:val="single" w:color="auto" w:sz="4" w:space="0"/>
              <w:right w:val="single" w:color="auto" w:sz="4" w:space="0"/>
            </w:tcBorders>
            <w:noWrap/>
            <w:vAlign w:val="bottom"/>
          </w:tcPr>
          <w:p w14:paraId="089E4447">
            <w:pPr>
              <w:widowControl/>
              <w:jc w:val="center"/>
              <w:rPr>
                <w:rFonts w:ascii="宋体" w:cs="宋体"/>
                <w:color w:val="000000"/>
                <w:kern w:val="0"/>
                <w:sz w:val="18"/>
                <w:szCs w:val="18"/>
              </w:rPr>
            </w:pPr>
          </w:p>
        </w:tc>
        <w:tc>
          <w:tcPr>
            <w:tcW w:w="664" w:type="pct"/>
            <w:tcBorders>
              <w:top w:val="nil"/>
              <w:left w:val="nil"/>
              <w:bottom w:val="single" w:color="auto" w:sz="4" w:space="0"/>
              <w:right w:val="single" w:color="auto" w:sz="4" w:space="0"/>
            </w:tcBorders>
            <w:noWrap/>
            <w:vAlign w:val="bottom"/>
          </w:tcPr>
          <w:p w14:paraId="3AAE02A7">
            <w:pPr>
              <w:widowControl/>
              <w:jc w:val="left"/>
              <w:rPr>
                <w:rFonts w:ascii="宋体" w:cs="宋体"/>
                <w:color w:val="000000"/>
                <w:kern w:val="0"/>
                <w:sz w:val="18"/>
                <w:szCs w:val="18"/>
              </w:rPr>
            </w:pPr>
          </w:p>
        </w:tc>
        <w:tc>
          <w:tcPr>
            <w:tcW w:w="914" w:type="pct"/>
            <w:tcBorders>
              <w:top w:val="nil"/>
              <w:left w:val="nil"/>
              <w:bottom w:val="single" w:color="auto" w:sz="4" w:space="0"/>
              <w:right w:val="single" w:color="auto" w:sz="4" w:space="0"/>
            </w:tcBorders>
            <w:noWrap/>
            <w:vAlign w:val="bottom"/>
          </w:tcPr>
          <w:p w14:paraId="40A8969C">
            <w:pPr>
              <w:widowControl/>
              <w:jc w:val="left"/>
              <w:rPr>
                <w:rFonts w:ascii="宋体" w:cs="宋体"/>
                <w:color w:val="000000"/>
                <w:kern w:val="0"/>
                <w:sz w:val="18"/>
                <w:szCs w:val="18"/>
              </w:rPr>
            </w:pPr>
          </w:p>
        </w:tc>
        <w:tc>
          <w:tcPr>
            <w:tcW w:w="665" w:type="pct"/>
            <w:tcBorders>
              <w:top w:val="nil"/>
              <w:left w:val="nil"/>
              <w:bottom w:val="single" w:color="auto" w:sz="4" w:space="0"/>
              <w:right w:val="single" w:color="auto" w:sz="4" w:space="0"/>
            </w:tcBorders>
            <w:noWrap/>
            <w:vAlign w:val="bottom"/>
          </w:tcPr>
          <w:p w14:paraId="1EA6C5A0">
            <w:pPr>
              <w:widowControl/>
              <w:jc w:val="left"/>
              <w:rPr>
                <w:rFonts w:ascii="宋体" w:cs="宋体"/>
                <w:color w:val="000000"/>
                <w:kern w:val="0"/>
                <w:sz w:val="18"/>
                <w:szCs w:val="18"/>
              </w:rPr>
            </w:pPr>
          </w:p>
        </w:tc>
        <w:tc>
          <w:tcPr>
            <w:tcW w:w="665" w:type="pct"/>
            <w:tcBorders>
              <w:top w:val="single" w:color="auto" w:sz="4" w:space="0"/>
              <w:left w:val="nil"/>
              <w:bottom w:val="single" w:color="auto" w:sz="4" w:space="0"/>
              <w:right w:val="single" w:color="auto" w:sz="4" w:space="0"/>
            </w:tcBorders>
          </w:tcPr>
          <w:p w14:paraId="7EF854A0">
            <w:pPr>
              <w:widowControl/>
              <w:jc w:val="left"/>
              <w:rPr>
                <w:rFonts w:ascii="宋体" w:cs="宋体"/>
                <w:color w:val="000000"/>
                <w:kern w:val="0"/>
                <w:sz w:val="18"/>
                <w:szCs w:val="18"/>
              </w:rPr>
            </w:pPr>
          </w:p>
        </w:tc>
        <w:tc>
          <w:tcPr>
            <w:tcW w:w="698" w:type="pct"/>
            <w:tcBorders>
              <w:top w:val="nil"/>
              <w:left w:val="single" w:color="auto" w:sz="4" w:space="0"/>
              <w:bottom w:val="single" w:color="auto" w:sz="4" w:space="0"/>
              <w:right w:val="single" w:color="auto" w:sz="4" w:space="0"/>
            </w:tcBorders>
            <w:noWrap/>
            <w:vAlign w:val="bottom"/>
          </w:tcPr>
          <w:p w14:paraId="17D38599">
            <w:pPr>
              <w:widowControl/>
              <w:jc w:val="left"/>
              <w:rPr>
                <w:rFonts w:ascii="宋体" w:cs="宋体"/>
                <w:color w:val="000000"/>
                <w:kern w:val="0"/>
                <w:sz w:val="18"/>
                <w:szCs w:val="18"/>
              </w:rPr>
            </w:pPr>
          </w:p>
        </w:tc>
      </w:tr>
    </w:tbl>
    <w:p w14:paraId="73D01FE7">
      <w:pPr>
        <w:jc w:val="center"/>
        <w:sectPr>
          <w:pgSz w:w="11906" w:h="16838"/>
          <w:pgMar w:top="1418" w:right="1800" w:bottom="1134" w:left="1800" w:header="851" w:footer="992" w:gutter="0"/>
          <w:cols w:space="425" w:num="1"/>
          <w:docGrid w:type="lines" w:linePitch="312" w:charSpace="0"/>
        </w:sectPr>
      </w:pPr>
    </w:p>
    <w:p w14:paraId="61BDFEC5">
      <w:pPr>
        <w:pStyle w:val="4"/>
        <w:spacing w:before="0" w:after="0"/>
        <w:ind w:firstLine="420"/>
        <w:rPr>
          <w:rFonts w:hint="eastAsia" w:ascii="黑体" w:hAnsi="黑体"/>
          <w:b w:val="0"/>
          <w:bCs w:val="0"/>
        </w:rPr>
      </w:pPr>
      <w:bookmarkStart w:id="172" w:name="_Toc174232064"/>
      <w:bookmarkStart w:id="173" w:name="_Toc131077503"/>
      <w:bookmarkStart w:id="174" w:name="_Toc374"/>
      <w:bookmarkStart w:id="175" w:name="_Toc131077446"/>
      <w:r>
        <w:rPr>
          <w:rFonts w:hint="eastAsia" w:ascii="黑体" w:hAnsi="黑体"/>
          <w:b w:val="0"/>
          <w:bCs w:val="0"/>
        </w:rPr>
        <w:t>附  录  D</w:t>
      </w:r>
      <w:bookmarkEnd w:id="172"/>
    </w:p>
    <w:p w14:paraId="50E3C4CD">
      <w:pPr>
        <w:keepNext/>
        <w:keepLines/>
        <w:numPr>
          <w:ilvl w:val="1"/>
          <w:numId w:val="0"/>
        </w:numPr>
        <w:adjustRightInd w:val="0"/>
        <w:ind w:firstLine="420" w:firstLineChars="200"/>
        <w:jc w:val="center"/>
        <w:rPr>
          <w:rFonts w:hint="eastAsia" w:ascii="黑体" w:hAnsi="黑体" w:eastAsia="黑体"/>
          <w:bCs/>
          <w:szCs w:val="21"/>
        </w:rPr>
      </w:pPr>
      <w:r>
        <w:rPr>
          <w:rFonts w:hint="eastAsia" w:ascii="黑体" w:hAnsi="黑体" w:eastAsia="黑体"/>
          <w:bCs/>
          <w:szCs w:val="21"/>
        </w:rPr>
        <w:t>（资料性）</w:t>
      </w:r>
    </w:p>
    <w:p w14:paraId="4D01C244">
      <w:pPr>
        <w:keepNext/>
        <w:keepLines/>
        <w:numPr>
          <w:ilvl w:val="1"/>
          <w:numId w:val="0"/>
        </w:numPr>
        <w:adjustRightInd w:val="0"/>
        <w:ind w:firstLine="420" w:firstLineChars="200"/>
        <w:jc w:val="center"/>
        <w:rPr>
          <w:rFonts w:hint="eastAsia" w:ascii="黑体" w:hAnsi="黑体" w:eastAsia="黑体"/>
          <w:bCs/>
          <w:szCs w:val="21"/>
        </w:rPr>
      </w:pPr>
      <w:r>
        <w:rPr>
          <w:rFonts w:hint="eastAsia" w:ascii="黑体" w:hAnsi="黑体" w:eastAsia="黑体"/>
          <w:bCs/>
          <w:szCs w:val="21"/>
        </w:rPr>
        <w:t>推荐的分配方法</w:t>
      </w:r>
    </w:p>
    <w:p w14:paraId="578683B8">
      <w:pPr>
        <w:autoSpaceDE w:val="0"/>
        <w:autoSpaceDN w:val="0"/>
        <w:adjustRightInd w:val="0"/>
        <w:spacing w:before="156" w:beforeLines="50" w:after="156" w:afterLines="50"/>
        <w:rPr>
          <w:rFonts w:hint="eastAsia" w:ascii="黑体" w:hAnsi="黑体" w:eastAsia="黑体" w:cs="EUAlbertina"/>
          <w:b/>
          <w:color w:val="000000"/>
          <w:kern w:val="0"/>
          <w:szCs w:val="21"/>
        </w:rPr>
      </w:pPr>
      <w:r>
        <w:rPr>
          <w:rFonts w:hint="eastAsia" w:ascii="黑体" w:hAnsi="黑体" w:eastAsia="黑体" w:cs="EUAlbertina"/>
          <w:kern w:val="0"/>
          <w:szCs w:val="21"/>
        </w:rPr>
        <w:t xml:space="preserve">D.1  采矿 </w:t>
      </w:r>
    </w:p>
    <w:p w14:paraId="5E77FB97">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rPr>
        <w:t>采矿过程中原矿和废石被一起采出，如废石没有被销售，则废石作为废弃物不参与分配。当废石作为副产品被销售给下游作为原料（如作建筑材料）时，则排放数据应在原矿和废石之间进行分配，同时企业应提供证明资料，并在报告中说明。</w:t>
      </w:r>
    </w:p>
    <w:p w14:paraId="3BFBB037">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rPr>
        <w:t>原矿与外售废石之间的分配，推荐采用系统扩展的方法，即采用废石所替代的建筑原材料的碳足迹值，作为所研究产品系统的碳信用而从中扣除。计算示例如表D.1。</w:t>
      </w:r>
    </w:p>
    <w:p w14:paraId="41A3F816">
      <w:pPr>
        <w:widowControl/>
        <w:tabs>
          <w:tab w:val="center" w:pos="4201"/>
          <w:tab w:val="right" w:leader="dot" w:pos="9298"/>
        </w:tabs>
        <w:autoSpaceDE w:val="0"/>
        <w:autoSpaceDN w:val="0"/>
        <w:ind w:firstLine="420" w:firstLineChars="200"/>
        <w:jc w:val="center"/>
        <w:rPr>
          <w:rFonts w:hint="eastAsia" w:ascii="黑体" w:hAnsi="黑体" w:eastAsia="黑体"/>
          <w:kern w:val="0"/>
          <w:szCs w:val="20"/>
        </w:rPr>
      </w:pPr>
      <w:r>
        <w:rPr>
          <w:rFonts w:hint="eastAsia" w:ascii="黑体" w:hAnsi="黑体" w:eastAsia="黑体"/>
          <w:kern w:val="0"/>
          <w:szCs w:val="20"/>
        </w:rPr>
        <w:t>表D.1  采矿单元排放分配计算示例</w:t>
      </w:r>
    </w:p>
    <w:tbl>
      <w:tblPr>
        <w:tblStyle w:val="22"/>
        <w:tblW w:w="8302" w:type="dxa"/>
        <w:jc w:val="center"/>
        <w:tblLayout w:type="autofit"/>
        <w:tblCellMar>
          <w:top w:w="0" w:type="dxa"/>
          <w:left w:w="108" w:type="dxa"/>
          <w:bottom w:w="0" w:type="dxa"/>
          <w:right w:w="108" w:type="dxa"/>
        </w:tblCellMar>
      </w:tblPr>
      <w:tblGrid>
        <w:gridCol w:w="704"/>
        <w:gridCol w:w="2798"/>
        <w:gridCol w:w="1080"/>
        <w:gridCol w:w="1080"/>
        <w:gridCol w:w="2640"/>
      </w:tblGrid>
      <w:tr w14:paraId="28D39F1A">
        <w:tblPrEx>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tcPr>
          <w:p w14:paraId="4A71301E">
            <w:pPr>
              <w:widowControl/>
              <w:jc w:val="center"/>
              <w:rPr>
                <w:rFonts w:hint="eastAsia" w:ascii="宋体" w:hAnsi="宋体" w:cs="宋体"/>
                <w:kern w:val="0"/>
                <w:sz w:val="18"/>
                <w:szCs w:val="18"/>
              </w:rPr>
            </w:pPr>
            <w:r>
              <w:rPr>
                <w:rFonts w:hint="eastAsia" w:ascii="宋体" w:hAnsi="宋体" w:cs="宋体"/>
                <w:kern w:val="0"/>
                <w:sz w:val="18"/>
                <w:szCs w:val="18"/>
              </w:rPr>
              <w:t>序号</w:t>
            </w:r>
          </w:p>
        </w:tc>
        <w:tc>
          <w:tcPr>
            <w:tcW w:w="279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4FDDB7">
            <w:pPr>
              <w:widowControl/>
              <w:jc w:val="center"/>
              <w:rPr>
                <w:rFonts w:hint="eastAsia" w:ascii="宋体" w:hAnsi="宋体" w:cs="宋体"/>
                <w:kern w:val="0"/>
                <w:sz w:val="18"/>
                <w:szCs w:val="18"/>
              </w:rPr>
            </w:pPr>
            <w:r>
              <w:rPr>
                <w:rFonts w:hint="eastAsia" w:ascii="宋体" w:hAnsi="宋体" w:cs="宋体"/>
                <w:kern w:val="0"/>
                <w:sz w:val="18"/>
                <w:szCs w:val="18"/>
              </w:rPr>
              <w:t>输  出</w:t>
            </w:r>
          </w:p>
        </w:tc>
        <w:tc>
          <w:tcPr>
            <w:tcW w:w="1080" w:type="dxa"/>
            <w:tcBorders>
              <w:top w:val="single" w:color="auto" w:sz="4" w:space="0"/>
              <w:left w:val="nil"/>
              <w:bottom w:val="single" w:color="auto" w:sz="4" w:space="0"/>
              <w:right w:val="single" w:color="auto" w:sz="4" w:space="0"/>
            </w:tcBorders>
            <w:shd w:val="clear" w:color="auto" w:fill="auto"/>
            <w:noWrap/>
            <w:vAlign w:val="bottom"/>
          </w:tcPr>
          <w:p w14:paraId="59F9A81F">
            <w:pPr>
              <w:widowControl/>
              <w:jc w:val="center"/>
              <w:rPr>
                <w:rFonts w:hint="eastAsia" w:ascii="宋体" w:hAnsi="宋体" w:cs="宋体"/>
                <w:kern w:val="0"/>
                <w:sz w:val="18"/>
                <w:szCs w:val="18"/>
              </w:rPr>
            </w:pPr>
            <w:r>
              <w:rPr>
                <w:rFonts w:hint="eastAsia" w:ascii="宋体" w:hAnsi="宋体" w:cs="宋体"/>
                <w:kern w:val="0"/>
                <w:sz w:val="18"/>
                <w:szCs w:val="18"/>
              </w:rPr>
              <w:t>单位</w:t>
            </w:r>
          </w:p>
        </w:tc>
        <w:tc>
          <w:tcPr>
            <w:tcW w:w="1080" w:type="dxa"/>
            <w:tcBorders>
              <w:top w:val="single" w:color="auto" w:sz="4" w:space="0"/>
              <w:left w:val="nil"/>
              <w:bottom w:val="single" w:color="auto" w:sz="4" w:space="0"/>
              <w:right w:val="single" w:color="auto" w:sz="4" w:space="0"/>
            </w:tcBorders>
            <w:shd w:val="clear" w:color="auto" w:fill="auto"/>
            <w:noWrap/>
            <w:vAlign w:val="bottom"/>
          </w:tcPr>
          <w:p w14:paraId="59B383CD">
            <w:pPr>
              <w:widowControl/>
              <w:jc w:val="center"/>
              <w:rPr>
                <w:rFonts w:hint="eastAsia" w:ascii="宋体" w:hAnsi="宋体" w:cs="宋体"/>
                <w:kern w:val="0"/>
                <w:sz w:val="18"/>
                <w:szCs w:val="18"/>
              </w:rPr>
            </w:pPr>
            <w:r>
              <w:rPr>
                <w:rFonts w:hint="eastAsia" w:ascii="宋体" w:hAnsi="宋体" w:cs="宋体"/>
                <w:kern w:val="0"/>
                <w:sz w:val="18"/>
                <w:szCs w:val="18"/>
              </w:rPr>
              <w:t>质量</w:t>
            </w:r>
          </w:p>
        </w:tc>
        <w:tc>
          <w:tcPr>
            <w:tcW w:w="2640" w:type="dxa"/>
            <w:tcBorders>
              <w:top w:val="single" w:color="auto" w:sz="4" w:space="0"/>
              <w:left w:val="nil"/>
              <w:bottom w:val="single" w:color="auto" w:sz="4" w:space="0"/>
              <w:right w:val="single" w:color="auto" w:sz="4" w:space="0"/>
            </w:tcBorders>
            <w:shd w:val="clear" w:color="auto" w:fill="auto"/>
            <w:noWrap/>
            <w:vAlign w:val="bottom"/>
          </w:tcPr>
          <w:p w14:paraId="56D447CE">
            <w:pPr>
              <w:widowControl/>
              <w:jc w:val="center"/>
              <w:rPr>
                <w:rFonts w:hint="eastAsia" w:ascii="宋体" w:hAnsi="宋体" w:cs="宋体"/>
                <w:kern w:val="0"/>
                <w:sz w:val="18"/>
                <w:szCs w:val="18"/>
              </w:rPr>
            </w:pPr>
            <w:r>
              <w:rPr>
                <w:rFonts w:hint="eastAsia" w:ascii="宋体" w:hAnsi="宋体" w:cs="宋体"/>
                <w:kern w:val="0"/>
                <w:sz w:val="18"/>
                <w:szCs w:val="18"/>
              </w:rPr>
              <w:t>GHG排放的分配</w:t>
            </w:r>
          </w:p>
        </w:tc>
      </w:tr>
      <w:tr w14:paraId="40032CAC">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tcPr>
          <w:p w14:paraId="598B662F">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2798" w:type="dxa"/>
            <w:tcBorders>
              <w:top w:val="nil"/>
              <w:left w:val="single" w:color="auto" w:sz="4" w:space="0"/>
              <w:bottom w:val="single" w:color="auto" w:sz="4" w:space="0"/>
              <w:right w:val="single" w:color="auto" w:sz="4" w:space="0"/>
            </w:tcBorders>
            <w:shd w:val="clear" w:color="auto" w:fill="auto"/>
            <w:noWrap/>
            <w:vAlign w:val="bottom"/>
          </w:tcPr>
          <w:p w14:paraId="53DC0CB0">
            <w:pPr>
              <w:widowControl/>
              <w:jc w:val="left"/>
              <w:rPr>
                <w:rFonts w:hint="eastAsia" w:ascii="宋体" w:hAnsi="宋体" w:cs="宋体"/>
                <w:kern w:val="0"/>
                <w:sz w:val="18"/>
                <w:szCs w:val="18"/>
              </w:rPr>
            </w:pPr>
            <w:r>
              <w:rPr>
                <w:rFonts w:hint="eastAsia" w:ascii="宋体" w:hAnsi="宋体" w:cs="宋体"/>
                <w:kern w:val="0"/>
                <w:sz w:val="18"/>
                <w:szCs w:val="18"/>
              </w:rPr>
              <w:t>采矿单元温室气体排放总量</w:t>
            </w:r>
          </w:p>
        </w:tc>
        <w:tc>
          <w:tcPr>
            <w:tcW w:w="1080" w:type="dxa"/>
            <w:tcBorders>
              <w:top w:val="nil"/>
              <w:left w:val="nil"/>
              <w:bottom w:val="single" w:color="auto" w:sz="4" w:space="0"/>
              <w:right w:val="single" w:color="auto" w:sz="4" w:space="0"/>
            </w:tcBorders>
            <w:shd w:val="clear" w:color="auto" w:fill="auto"/>
            <w:noWrap/>
            <w:vAlign w:val="bottom"/>
          </w:tcPr>
          <w:p w14:paraId="3BDFA031">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w:t>
            </w:r>
          </w:p>
        </w:tc>
        <w:tc>
          <w:tcPr>
            <w:tcW w:w="1080" w:type="dxa"/>
            <w:tcBorders>
              <w:top w:val="nil"/>
              <w:left w:val="nil"/>
              <w:bottom w:val="single" w:color="auto" w:sz="4" w:space="0"/>
              <w:right w:val="single" w:color="auto" w:sz="4" w:space="0"/>
            </w:tcBorders>
            <w:shd w:val="clear" w:color="auto" w:fill="auto"/>
            <w:noWrap/>
            <w:vAlign w:val="bottom"/>
          </w:tcPr>
          <w:p w14:paraId="0D1152FE">
            <w:pPr>
              <w:widowControl/>
              <w:jc w:val="center"/>
              <w:rPr>
                <w:rFonts w:hint="eastAsia" w:ascii="宋体" w:hAnsi="宋体" w:cs="宋体"/>
                <w:i/>
                <w:iCs/>
                <w:kern w:val="0"/>
                <w:sz w:val="18"/>
                <w:szCs w:val="18"/>
              </w:rPr>
            </w:pPr>
            <w:r>
              <w:rPr>
                <w:rFonts w:hint="eastAsia" w:ascii="宋体" w:hAnsi="宋体" w:cs="宋体"/>
                <w:i/>
                <w:iCs/>
                <w:kern w:val="0"/>
                <w:sz w:val="18"/>
                <w:szCs w:val="18"/>
              </w:rPr>
              <w:t>E</w:t>
            </w:r>
          </w:p>
        </w:tc>
        <w:tc>
          <w:tcPr>
            <w:tcW w:w="2640" w:type="dxa"/>
            <w:tcBorders>
              <w:top w:val="nil"/>
              <w:left w:val="nil"/>
              <w:bottom w:val="single" w:color="auto" w:sz="4" w:space="0"/>
              <w:right w:val="single" w:color="auto" w:sz="4" w:space="0"/>
            </w:tcBorders>
            <w:shd w:val="clear" w:color="auto" w:fill="auto"/>
            <w:noWrap/>
            <w:vAlign w:val="bottom"/>
          </w:tcPr>
          <w:p w14:paraId="6CA98FEB">
            <w:pPr>
              <w:widowControl/>
              <w:jc w:val="center"/>
              <w:rPr>
                <w:rFonts w:hint="eastAsia" w:ascii="宋体" w:hAnsi="宋体" w:cs="宋体"/>
                <w:i/>
                <w:iCs/>
                <w:kern w:val="0"/>
                <w:sz w:val="18"/>
                <w:szCs w:val="18"/>
              </w:rPr>
            </w:pPr>
            <w:r>
              <w:rPr>
                <w:rFonts w:hint="eastAsia" w:ascii="宋体" w:hAnsi="宋体" w:cs="宋体"/>
                <w:i/>
                <w:iCs/>
                <w:kern w:val="0"/>
                <w:sz w:val="18"/>
                <w:szCs w:val="18"/>
              </w:rPr>
              <w:t>—</w:t>
            </w:r>
          </w:p>
        </w:tc>
      </w:tr>
      <w:tr w14:paraId="7FC3E7D4">
        <w:tblPrEx>
          <w:tblCellMar>
            <w:top w:w="0" w:type="dxa"/>
            <w:left w:w="108" w:type="dxa"/>
            <w:bottom w:w="0" w:type="dxa"/>
            <w:right w:w="108" w:type="dxa"/>
          </w:tblCellMar>
        </w:tblPrEx>
        <w:trPr>
          <w:trHeight w:val="345" w:hRule="atLeast"/>
          <w:jc w:val="center"/>
        </w:trPr>
        <w:tc>
          <w:tcPr>
            <w:tcW w:w="704" w:type="dxa"/>
            <w:tcBorders>
              <w:top w:val="nil"/>
              <w:left w:val="single" w:color="auto" w:sz="4" w:space="0"/>
              <w:bottom w:val="single" w:color="auto" w:sz="4" w:space="0"/>
              <w:right w:val="single" w:color="auto" w:sz="4" w:space="0"/>
            </w:tcBorders>
          </w:tcPr>
          <w:p w14:paraId="54D59787">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2798" w:type="dxa"/>
            <w:tcBorders>
              <w:top w:val="nil"/>
              <w:left w:val="single" w:color="auto" w:sz="4" w:space="0"/>
              <w:bottom w:val="single" w:color="auto" w:sz="4" w:space="0"/>
              <w:right w:val="single" w:color="auto" w:sz="4" w:space="0"/>
            </w:tcBorders>
            <w:shd w:val="clear" w:color="auto" w:fill="auto"/>
            <w:noWrap/>
            <w:vAlign w:val="bottom"/>
          </w:tcPr>
          <w:p w14:paraId="2122F61A">
            <w:pPr>
              <w:widowControl/>
              <w:jc w:val="left"/>
              <w:rPr>
                <w:rFonts w:hint="eastAsia" w:ascii="宋体" w:hAnsi="宋体" w:cs="宋体"/>
                <w:kern w:val="0"/>
                <w:sz w:val="18"/>
                <w:szCs w:val="18"/>
              </w:rPr>
            </w:pPr>
            <w:r>
              <w:rPr>
                <w:rFonts w:hint="eastAsia" w:ascii="宋体" w:hAnsi="宋体" w:cs="宋体"/>
                <w:kern w:val="0"/>
                <w:sz w:val="18"/>
                <w:szCs w:val="18"/>
              </w:rPr>
              <w:t>矿石</w:t>
            </w:r>
          </w:p>
        </w:tc>
        <w:tc>
          <w:tcPr>
            <w:tcW w:w="1080" w:type="dxa"/>
            <w:tcBorders>
              <w:top w:val="nil"/>
              <w:left w:val="nil"/>
              <w:bottom w:val="single" w:color="auto" w:sz="4" w:space="0"/>
              <w:right w:val="single" w:color="auto" w:sz="4" w:space="0"/>
            </w:tcBorders>
            <w:shd w:val="clear" w:color="auto" w:fill="auto"/>
            <w:noWrap/>
            <w:vAlign w:val="bottom"/>
          </w:tcPr>
          <w:p w14:paraId="5548180A">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1080" w:type="dxa"/>
            <w:tcBorders>
              <w:top w:val="nil"/>
              <w:left w:val="nil"/>
              <w:bottom w:val="single" w:color="auto" w:sz="4" w:space="0"/>
              <w:right w:val="single" w:color="auto" w:sz="4" w:space="0"/>
            </w:tcBorders>
            <w:shd w:val="clear" w:color="auto" w:fill="auto"/>
            <w:noWrap/>
            <w:vAlign w:val="bottom"/>
          </w:tcPr>
          <w:p w14:paraId="49CF143E">
            <w:pPr>
              <w:widowControl/>
              <w:jc w:val="center"/>
              <w:rPr>
                <w:rFonts w:hint="eastAsia" w:ascii="宋体" w:hAnsi="宋体" w:cs="宋体"/>
                <w:i/>
                <w:iCs/>
                <w:kern w:val="0"/>
                <w:sz w:val="18"/>
                <w:szCs w:val="18"/>
              </w:rPr>
            </w:pPr>
            <w:r>
              <w:rPr>
                <w:rFonts w:hint="eastAsia" w:ascii="宋体" w:hAnsi="宋体" w:cs="宋体"/>
                <w:i/>
                <w:iCs/>
                <w:kern w:val="0"/>
                <w:sz w:val="18"/>
                <w:szCs w:val="18"/>
              </w:rPr>
              <w:t>A</w:t>
            </w:r>
          </w:p>
        </w:tc>
        <w:tc>
          <w:tcPr>
            <w:tcW w:w="2640" w:type="dxa"/>
            <w:tcBorders>
              <w:top w:val="nil"/>
              <w:left w:val="nil"/>
              <w:bottom w:val="single" w:color="auto" w:sz="4" w:space="0"/>
              <w:right w:val="single" w:color="auto" w:sz="4" w:space="0"/>
            </w:tcBorders>
            <w:shd w:val="clear" w:color="auto" w:fill="auto"/>
            <w:noWrap/>
            <w:vAlign w:val="bottom"/>
          </w:tcPr>
          <w:p w14:paraId="28487BD8">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矿石</w:t>
            </w:r>
            <w:r>
              <w:rPr>
                <w:rFonts w:hint="eastAsia" w:ascii="宋体" w:hAnsi="宋体" w:cs="宋体"/>
                <w:i/>
                <w:iCs/>
                <w:kern w:val="0"/>
                <w:sz w:val="18"/>
                <w:szCs w:val="18"/>
              </w:rPr>
              <w:t>=E-C×EF</w:t>
            </w:r>
          </w:p>
        </w:tc>
      </w:tr>
      <w:tr w14:paraId="5621E769">
        <w:tblPrEx>
          <w:tblCellMar>
            <w:top w:w="0" w:type="dxa"/>
            <w:left w:w="108" w:type="dxa"/>
            <w:bottom w:w="0" w:type="dxa"/>
            <w:right w:w="108" w:type="dxa"/>
          </w:tblCellMar>
        </w:tblPrEx>
        <w:trPr>
          <w:trHeight w:val="285" w:hRule="atLeast"/>
          <w:jc w:val="center"/>
        </w:trPr>
        <w:tc>
          <w:tcPr>
            <w:tcW w:w="704" w:type="dxa"/>
            <w:vMerge w:val="restart"/>
            <w:tcBorders>
              <w:top w:val="nil"/>
              <w:left w:val="single" w:color="auto" w:sz="4" w:space="0"/>
              <w:right w:val="single" w:color="auto" w:sz="4" w:space="0"/>
            </w:tcBorders>
          </w:tcPr>
          <w:p w14:paraId="19A1B278">
            <w:pPr>
              <w:widowControl/>
              <w:jc w:val="center"/>
              <w:rPr>
                <w:rFonts w:hint="eastAsia" w:ascii="宋体" w:hAnsi="宋体" w:cs="宋体"/>
                <w:kern w:val="0"/>
                <w:sz w:val="18"/>
                <w:szCs w:val="18"/>
              </w:rPr>
            </w:pPr>
            <w:r>
              <w:rPr>
                <w:rFonts w:hint="eastAsia" w:ascii="宋体" w:hAnsi="宋体" w:cs="宋体"/>
                <w:kern w:val="0"/>
                <w:sz w:val="18"/>
                <w:szCs w:val="18"/>
              </w:rPr>
              <w:t>3</w:t>
            </w:r>
          </w:p>
        </w:tc>
        <w:tc>
          <w:tcPr>
            <w:tcW w:w="2798" w:type="dxa"/>
            <w:tcBorders>
              <w:top w:val="nil"/>
              <w:left w:val="single" w:color="auto" w:sz="4" w:space="0"/>
              <w:bottom w:val="single" w:color="auto" w:sz="4" w:space="0"/>
              <w:right w:val="single" w:color="auto" w:sz="4" w:space="0"/>
            </w:tcBorders>
            <w:shd w:val="clear" w:color="auto" w:fill="auto"/>
            <w:noWrap/>
            <w:vAlign w:val="bottom"/>
          </w:tcPr>
          <w:p w14:paraId="6B486235">
            <w:pPr>
              <w:widowControl/>
              <w:jc w:val="left"/>
              <w:rPr>
                <w:rFonts w:hint="eastAsia" w:ascii="宋体" w:hAnsi="宋体" w:cs="宋体"/>
                <w:kern w:val="0"/>
                <w:sz w:val="18"/>
                <w:szCs w:val="18"/>
              </w:rPr>
            </w:pPr>
            <w:r>
              <w:rPr>
                <w:rFonts w:hint="eastAsia" w:ascii="宋体" w:hAnsi="宋体" w:cs="宋体"/>
                <w:kern w:val="0"/>
                <w:sz w:val="18"/>
                <w:szCs w:val="18"/>
              </w:rPr>
              <w:t>废石</w:t>
            </w:r>
          </w:p>
        </w:tc>
        <w:tc>
          <w:tcPr>
            <w:tcW w:w="1080" w:type="dxa"/>
            <w:tcBorders>
              <w:top w:val="nil"/>
              <w:left w:val="nil"/>
              <w:bottom w:val="single" w:color="auto" w:sz="4" w:space="0"/>
              <w:right w:val="single" w:color="auto" w:sz="4" w:space="0"/>
            </w:tcBorders>
            <w:shd w:val="clear" w:color="auto" w:fill="auto"/>
            <w:noWrap/>
            <w:vAlign w:val="bottom"/>
          </w:tcPr>
          <w:p w14:paraId="52EC896F">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1080" w:type="dxa"/>
            <w:tcBorders>
              <w:top w:val="nil"/>
              <w:left w:val="nil"/>
              <w:bottom w:val="single" w:color="auto" w:sz="4" w:space="0"/>
              <w:right w:val="single" w:color="auto" w:sz="4" w:space="0"/>
            </w:tcBorders>
            <w:shd w:val="clear" w:color="auto" w:fill="auto"/>
            <w:noWrap/>
            <w:vAlign w:val="bottom"/>
          </w:tcPr>
          <w:p w14:paraId="57613CAB">
            <w:pPr>
              <w:widowControl/>
              <w:jc w:val="center"/>
              <w:rPr>
                <w:rFonts w:hint="eastAsia" w:ascii="宋体" w:hAnsi="宋体" w:cs="宋体"/>
                <w:i/>
                <w:iCs/>
                <w:kern w:val="0"/>
                <w:sz w:val="18"/>
                <w:szCs w:val="18"/>
              </w:rPr>
            </w:pPr>
            <w:r>
              <w:rPr>
                <w:rFonts w:hint="eastAsia" w:ascii="宋体" w:hAnsi="宋体" w:cs="宋体"/>
                <w:i/>
                <w:iCs/>
                <w:kern w:val="0"/>
                <w:sz w:val="18"/>
                <w:szCs w:val="18"/>
              </w:rPr>
              <w:t>B</w:t>
            </w:r>
          </w:p>
        </w:tc>
        <w:tc>
          <w:tcPr>
            <w:tcW w:w="2640" w:type="dxa"/>
            <w:tcBorders>
              <w:top w:val="nil"/>
              <w:left w:val="nil"/>
              <w:bottom w:val="single" w:color="auto" w:sz="4" w:space="0"/>
              <w:right w:val="single" w:color="auto" w:sz="4" w:space="0"/>
            </w:tcBorders>
            <w:shd w:val="clear" w:color="auto" w:fill="auto"/>
            <w:noWrap/>
            <w:vAlign w:val="bottom"/>
          </w:tcPr>
          <w:p w14:paraId="486141B0">
            <w:pPr>
              <w:widowControl/>
              <w:jc w:val="center"/>
              <w:rPr>
                <w:rFonts w:hint="eastAsia" w:ascii="宋体" w:hAnsi="宋体" w:cs="宋体"/>
                <w:i/>
                <w:iCs/>
                <w:kern w:val="0"/>
                <w:sz w:val="18"/>
                <w:szCs w:val="18"/>
              </w:rPr>
            </w:pPr>
            <w:r>
              <w:rPr>
                <w:rFonts w:hint="eastAsia" w:ascii="宋体" w:hAnsi="宋体" w:cs="宋体"/>
                <w:i/>
                <w:iCs/>
                <w:kern w:val="0"/>
                <w:sz w:val="18"/>
                <w:szCs w:val="18"/>
              </w:rPr>
              <w:t>—</w:t>
            </w:r>
          </w:p>
        </w:tc>
      </w:tr>
      <w:tr w14:paraId="7C50A42B">
        <w:tblPrEx>
          <w:tblCellMar>
            <w:top w:w="0" w:type="dxa"/>
            <w:left w:w="108" w:type="dxa"/>
            <w:bottom w:w="0" w:type="dxa"/>
            <w:right w:w="108" w:type="dxa"/>
          </w:tblCellMar>
        </w:tblPrEx>
        <w:trPr>
          <w:trHeight w:val="345" w:hRule="atLeast"/>
          <w:jc w:val="center"/>
        </w:trPr>
        <w:tc>
          <w:tcPr>
            <w:tcW w:w="704" w:type="dxa"/>
            <w:vMerge w:val="continue"/>
            <w:tcBorders>
              <w:left w:val="single" w:color="auto" w:sz="4" w:space="0"/>
              <w:bottom w:val="single" w:color="auto" w:sz="4" w:space="0"/>
              <w:right w:val="single" w:color="auto" w:sz="4" w:space="0"/>
            </w:tcBorders>
          </w:tcPr>
          <w:p w14:paraId="6DB78541">
            <w:pPr>
              <w:widowControl/>
              <w:jc w:val="center"/>
              <w:rPr>
                <w:rFonts w:hint="eastAsia" w:ascii="宋体" w:hAnsi="宋体" w:cs="宋体"/>
                <w:kern w:val="0"/>
                <w:sz w:val="18"/>
                <w:szCs w:val="18"/>
              </w:rPr>
            </w:pPr>
          </w:p>
        </w:tc>
        <w:tc>
          <w:tcPr>
            <w:tcW w:w="2798" w:type="dxa"/>
            <w:tcBorders>
              <w:top w:val="nil"/>
              <w:left w:val="single" w:color="auto" w:sz="4" w:space="0"/>
              <w:bottom w:val="single" w:color="auto" w:sz="4" w:space="0"/>
              <w:right w:val="single" w:color="auto" w:sz="4" w:space="0"/>
            </w:tcBorders>
            <w:shd w:val="clear" w:color="auto" w:fill="auto"/>
            <w:noWrap/>
            <w:vAlign w:val="bottom"/>
          </w:tcPr>
          <w:p w14:paraId="347FEDD9">
            <w:pPr>
              <w:widowControl/>
              <w:jc w:val="left"/>
              <w:rPr>
                <w:rFonts w:hint="eastAsia" w:ascii="宋体" w:hAnsi="宋体" w:cs="宋体"/>
                <w:kern w:val="0"/>
                <w:sz w:val="18"/>
                <w:szCs w:val="18"/>
              </w:rPr>
            </w:pPr>
            <w:r>
              <w:rPr>
                <w:rFonts w:hint="eastAsia" w:ascii="宋体" w:hAnsi="宋体" w:cs="宋体"/>
                <w:kern w:val="0"/>
                <w:sz w:val="18"/>
                <w:szCs w:val="18"/>
              </w:rPr>
              <w:t>其中：废石用作建筑原材料</w:t>
            </w:r>
          </w:p>
        </w:tc>
        <w:tc>
          <w:tcPr>
            <w:tcW w:w="1080" w:type="dxa"/>
            <w:tcBorders>
              <w:top w:val="nil"/>
              <w:left w:val="nil"/>
              <w:bottom w:val="single" w:color="auto" w:sz="4" w:space="0"/>
              <w:right w:val="single" w:color="auto" w:sz="4" w:space="0"/>
            </w:tcBorders>
            <w:shd w:val="clear" w:color="auto" w:fill="auto"/>
            <w:noWrap/>
            <w:vAlign w:val="bottom"/>
          </w:tcPr>
          <w:p w14:paraId="2AD47294">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1080" w:type="dxa"/>
            <w:tcBorders>
              <w:top w:val="nil"/>
              <w:left w:val="nil"/>
              <w:bottom w:val="single" w:color="auto" w:sz="4" w:space="0"/>
              <w:right w:val="single" w:color="auto" w:sz="4" w:space="0"/>
            </w:tcBorders>
            <w:shd w:val="clear" w:color="auto" w:fill="auto"/>
            <w:noWrap/>
            <w:vAlign w:val="bottom"/>
          </w:tcPr>
          <w:p w14:paraId="333C5BF4">
            <w:pPr>
              <w:widowControl/>
              <w:jc w:val="center"/>
              <w:rPr>
                <w:rFonts w:hint="eastAsia" w:ascii="宋体" w:hAnsi="宋体" w:cs="宋体"/>
                <w:i/>
                <w:iCs/>
                <w:kern w:val="0"/>
                <w:sz w:val="18"/>
                <w:szCs w:val="18"/>
              </w:rPr>
            </w:pPr>
            <w:r>
              <w:rPr>
                <w:rFonts w:hint="eastAsia" w:ascii="宋体" w:hAnsi="宋体" w:cs="宋体"/>
                <w:i/>
                <w:iCs/>
                <w:kern w:val="0"/>
                <w:sz w:val="18"/>
                <w:szCs w:val="18"/>
              </w:rPr>
              <w:t>C</w:t>
            </w:r>
          </w:p>
        </w:tc>
        <w:tc>
          <w:tcPr>
            <w:tcW w:w="2640" w:type="dxa"/>
            <w:tcBorders>
              <w:top w:val="nil"/>
              <w:left w:val="nil"/>
              <w:bottom w:val="single" w:color="auto" w:sz="4" w:space="0"/>
              <w:right w:val="single" w:color="auto" w:sz="4" w:space="0"/>
            </w:tcBorders>
            <w:shd w:val="clear" w:color="auto" w:fill="auto"/>
            <w:noWrap/>
            <w:vAlign w:val="bottom"/>
          </w:tcPr>
          <w:p w14:paraId="2DA05E5B">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废石</w:t>
            </w:r>
            <w:r>
              <w:rPr>
                <w:rFonts w:hint="eastAsia" w:ascii="宋体" w:hAnsi="宋体" w:cs="宋体"/>
                <w:i/>
                <w:iCs/>
                <w:kern w:val="0"/>
                <w:sz w:val="18"/>
                <w:szCs w:val="18"/>
              </w:rPr>
              <w:t>=C×EF</w:t>
            </w:r>
          </w:p>
        </w:tc>
      </w:tr>
      <w:tr w14:paraId="708D6AB3">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tcPr>
          <w:p w14:paraId="3CB70107">
            <w:pPr>
              <w:widowControl/>
              <w:jc w:val="center"/>
              <w:rPr>
                <w:rFonts w:hint="eastAsia" w:ascii="宋体" w:hAnsi="宋体" w:cs="宋体"/>
                <w:kern w:val="0"/>
                <w:sz w:val="18"/>
                <w:szCs w:val="18"/>
              </w:rPr>
            </w:pPr>
            <w:r>
              <w:rPr>
                <w:rFonts w:hint="eastAsia" w:ascii="宋体" w:hAnsi="宋体" w:cs="宋体"/>
                <w:kern w:val="0"/>
                <w:sz w:val="18"/>
                <w:szCs w:val="18"/>
              </w:rPr>
              <w:t>4</w:t>
            </w:r>
          </w:p>
        </w:tc>
        <w:tc>
          <w:tcPr>
            <w:tcW w:w="2798" w:type="dxa"/>
            <w:tcBorders>
              <w:top w:val="nil"/>
              <w:left w:val="single" w:color="auto" w:sz="4" w:space="0"/>
              <w:bottom w:val="single" w:color="auto" w:sz="4" w:space="0"/>
              <w:right w:val="single" w:color="auto" w:sz="4" w:space="0"/>
            </w:tcBorders>
            <w:shd w:val="clear" w:color="auto" w:fill="auto"/>
            <w:noWrap/>
            <w:vAlign w:val="bottom"/>
          </w:tcPr>
          <w:p w14:paraId="53AF49AD">
            <w:pPr>
              <w:widowControl/>
              <w:jc w:val="left"/>
              <w:rPr>
                <w:rFonts w:hint="eastAsia" w:ascii="宋体" w:hAnsi="宋体" w:cs="宋体"/>
                <w:kern w:val="0"/>
                <w:sz w:val="18"/>
                <w:szCs w:val="18"/>
              </w:rPr>
            </w:pPr>
            <w:r>
              <w:rPr>
                <w:rFonts w:hint="eastAsia" w:ascii="宋体" w:hAnsi="宋体" w:cs="宋体"/>
                <w:kern w:val="0"/>
                <w:sz w:val="18"/>
                <w:szCs w:val="18"/>
              </w:rPr>
              <w:t>替代建筑原材料的排放因子</w:t>
            </w:r>
          </w:p>
        </w:tc>
        <w:tc>
          <w:tcPr>
            <w:tcW w:w="1080" w:type="dxa"/>
            <w:tcBorders>
              <w:top w:val="nil"/>
              <w:left w:val="nil"/>
              <w:bottom w:val="single" w:color="auto" w:sz="4" w:space="0"/>
              <w:right w:val="single" w:color="auto" w:sz="4" w:space="0"/>
            </w:tcBorders>
            <w:shd w:val="clear" w:color="auto" w:fill="auto"/>
            <w:noWrap/>
            <w:vAlign w:val="bottom"/>
          </w:tcPr>
          <w:p w14:paraId="06AA4D6A">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e/t</w:t>
            </w:r>
          </w:p>
        </w:tc>
        <w:tc>
          <w:tcPr>
            <w:tcW w:w="1080" w:type="dxa"/>
            <w:tcBorders>
              <w:top w:val="nil"/>
              <w:left w:val="nil"/>
              <w:bottom w:val="single" w:color="auto" w:sz="4" w:space="0"/>
              <w:right w:val="single" w:color="auto" w:sz="4" w:space="0"/>
            </w:tcBorders>
            <w:shd w:val="clear" w:color="auto" w:fill="auto"/>
            <w:noWrap/>
            <w:vAlign w:val="bottom"/>
          </w:tcPr>
          <w:p w14:paraId="4E688DA2">
            <w:pPr>
              <w:widowControl/>
              <w:jc w:val="center"/>
              <w:rPr>
                <w:rFonts w:hint="eastAsia" w:ascii="宋体" w:hAnsi="宋体" w:cs="宋体"/>
                <w:i/>
                <w:iCs/>
                <w:kern w:val="0"/>
                <w:sz w:val="18"/>
                <w:szCs w:val="18"/>
              </w:rPr>
            </w:pPr>
            <w:r>
              <w:rPr>
                <w:rFonts w:hint="eastAsia" w:ascii="宋体" w:hAnsi="宋体" w:cs="宋体"/>
                <w:i/>
                <w:iCs/>
                <w:kern w:val="0"/>
                <w:sz w:val="18"/>
                <w:szCs w:val="18"/>
              </w:rPr>
              <w:t>EF</w:t>
            </w:r>
          </w:p>
        </w:tc>
        <w:tc>
          <w:tcPr>
            <w:tcW w:w="2640" w:type="dxa"/>
            <w:tcBorders>
              <w:top w:val="nil"/>
              <w:left w:val="nil"/>
              <w:bottom w:val="single" w:color="auto" w:sz="4" w:space="0"/>
              <w:right w:val="single" w:color="auto" w:sz="4" w:space="0"/>
            </w:tcBorders>
            <w:shd w:val="clear" w:color="auto" w:fill="auto"/>
            <w:noWrap/>
            <w:vAlign w:val="bottom"/>
          </w:tcPr>
          <w:p w14:paraId="1C0E6D8D">
            <w:pPr>
              <w:widowControl/>
              <w:jc w:val="center"/>
              <w:rPr>
                <w:rFonts w:hint="eastAsia" w:ascii="宋体" w:hAnsi="宋体" w:cs="宋体"/>
                <w:i/>
                <w:iCs/>
                <w:kern w:val="0"/>
                <w:sz w:val="18"/>
                <w:szCs w:val="18"/>
              </w:rPr>
            </w:pPr>
            <w:r>
              <w:rPr>
                <w:rFonts w:hint="eastAsia" w:ascii="宋体" w:hAnsi="宋体" w:cs="宋体"/>
                <w:i/>
                <w:iCs/>
                <w:kern w:val="0"/>
                <w:sz w:val="18"/>
                <w:szCs w:val="18"/>
              </w:rPr>
              <w:t>—</w:t>
            </w:r>
          </w:p>
        </w:tc>
      </w:tr>
    </w:tbl>
    <w:p w14:paraId="7C4342DE">
      <w:pPr>
        <w:widowControl/>
        <w:tabs>
          <w:tab w:val="center" w:pos="4201"/>
          <w:tab w:val="right" w:leader="dot" w:pos="9298"/>
        </w:tabs>
        <w:autoSpaceDE w:val="0"/>
        <w:autoSpaceDN w:val="0"/>
        <w:ind w:firstLine="420" w:firstLineChars="200"/>
        <w:rPr>
          <w:rFonts w:hint="eastAsia" w:ascii="宋体" w:hAnsi="宋体"/>
          <w:kern w:val="0"/>
          <w:szCs w:val="20"/>
        </w:rPr>
      </w:pPr>
    </w:p>
    <w:p w14:paraId="3B6949F1">
      <w:pPr>
        <w:autoSpaceDE w:val="0"/>
        <w:autoSpaceDN w:val="0"/>
        <w:adjustRightInd w:val="0"/>
        <w:spacing w:before="156" w:beforeLines="50" w:after="156" w:afterLines="50"/>
        <w:rPr>
          <w:rFonts w:hint="eastAsia" w:ascii="黑体" w:hAnsi="黑体" w:eastAsia="黑体" w:cs="EUAlbertina"/>
          <w:b/>
          <w:color w:val="000000"/>
          <w:kern w:val="0"/>
          <w:szCs w:val="21"/>
        </w:rPr>
      </w:pPr>
      <w:r>
        <w:rPr>
          <w:rFonts w:hint="eastAsia" w:ascii="黑体" w:hAnsi="黑体" w:eastAsia="黑体" w:cs="EUAlbertina"/>
          <w:kern w:val="0"/>
          <w:szCs w:val="21"/>
        </w:rPr>
        <w:t xml:space="preserve">D.2  选矿 </w:t>
      </w:r>
    </w:p>
    <w:p w14:paraId="51466FCD">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lang w:eastAsia="zh-CN"/>
        </w:rPr>
        <w:t>锡</w:t>
      </w:r>
      <w:r>
        <w:rPr>
          <w:rFonts w:hint="eastAsia" w:ascii="宋体" w:hAnsi="宋体"/>
          <w:kern w:val="0"/>
          <w:szCs w:val="20"/>
        </w:rPr>
        <w:t>矿常伴生锌、铜、铋、硫、镓、锗、金、银等其他元素。在选矿过程中，如有共生其他精矿产品（如硫精矿、锌精矿、</w:t>
      </w:r>
      <w:r>
        <w:rPr>
          <w:rFonts w:hint="eastAsia" w:ascii="宋体" w:hAnsi="宋体"/>
          <w:kern w:val="0"/>
          <w:szCs w:val="20"/>
          <w:lang w:eastAsia="zh-CN"/>
        </w:rPr>
        <w:t>锡</w:t>
      </w:r>
      <w:r>
        <w:rPr>
          <w:rFonts w:hint="eastAsia" w:ascii="宋体" w:hAnsi="宋体"/>
          <w:kern w:val="0"/>
          <w:szCs w:val="20"/>
        </w:rPr>
        <w:t>锌混合精矿等），推荐按选别工艺流程细分单元过程来进行分配，如把选</w:t>
      </w:r>
      <w:r>
        <w:rPr>
          <w:rFonts w:hint="eastAsia" w:ascii="宋体" w:hAnsi="宋体"/>
          <w:kern w:val="0"/>
          <w:szCs w:val="20"/>
          <w:lang w:eastAsia="zh-CN"/>
        </w:rPr>
        <w:t>锡</w:t>
      </w:r>
      <w:r>
        <w:rPr>
          <w:rFonts w:hint="eastAsia" w:ascii="宋体" w:hAnsi="宋体"/>
          <w:kern w:val="0"/>
          <w:szCs w:val="20"/>
        </w:rPr>
        <w:t>工序分配给</w:t>
      </w:r>
      <w:r>
        <w:rPr>
          <w:rFonts w:hint="eastAsia" w:ascii="宋体" w:hAnsi="宋体"/>
          <w:kern w:val="0"/>
          <w:szCs w:val="20"/>
          <w:lang w:eastAsia="zh-CN"/>
        </w:rPr>
        <w:t>锡</w:t>
      </w:r>
      <w:r>
        <w:rPr>
          <w:rFonts w:hint="eastAsia" w:ascii="宋体" w:hAnsi="宋体"/>
          <w:kern w:val="0"/>
          <w:szCs w:val="20"/>
        </w:rPr>
        <w:t>精矿，选硫工序分配给硫精矿，</w:t>
      </w:r>
      <w:r>
        <w:rPr>
          <w:rFonts w:hint="eastAsia" w:ascii="宋体" w:hAnsi="宋体"/>
          <w:szCs w:val="21"/>
        </w:rPr>
        <w:t>其他共用工序对锌精矿、混合</w:t>
      </w:r>
      <w:r>
        <w:rPr>
          <w:rFonts w:hint="eastAsia" w:ascii="宋体" w:hAnsi="宋体"/>
          <w:szCs w:val="21"/>
          <w:lang w:eastAsia="zh-CN"/>
        </w:rPr>
        <w:t>锡</w:t>
      </w:r>
      <w:r>
        <w:rPr>
          <w:rFonts w:hint="eastAsia" w:ascii="宋体" w:hAnsi="宋体"/>
          <w:szCs w:val="21"/>
        </w:rPr>
        <w:t>锌精矿宜按金属量来进行分配</w:t>
      </w:r>
      <w:r>
        <w:rPr>
          <w:rFonts w:hint="eastAsia" w:ascii="宋体" w:hAnsi="宋体"/>
          <w:kern w:val="0"/>
          <w:szCs w:val="20"/>
        </w:rPr>
        <w:t>（精矿价格比例大于4时选择经济价值分配）。计算示例如表D.2。</w:t>
      </w:r>
    </w:p>
    <w:p w14:paraId="163BEFBB">
      <w:pPr>
        <w:widowControl/>
        <w:tabs>
          <w:tab w:val="center" w:pos="4201"/>
          <w:tab w:val="right" w:leader="dot" w:pos="9298"/>
        </w:tabs>
        <w:autoSpaceDE w:val="0"/>
        <w:autoSpaceDN w:val="0"/>
        <w:ind w:firstLine="420" w:firstLineChars="200"/>
        <w:jc w:val="center"/>
        <w:rPr>
          <w:rFonts w:hint="eastAsia" w:ascii="黑体" w:hAnsi="黑体" w:eastAsia="黑体"/>
          <w:kern w:val="0"/>
          <w:szCs w:val="20"/>
        </w:rPr>
      </w:pPr>
      <w:r>
        <w:rPr>
          <w:rFonts w:hint="eastAsia" w:ascii="黑体" w:hAnsi="黑体" w:eastAsia="黑体"/>
          <w:kern w:val="0"/>
          <w:szCs w:val="20"/>
        </w:rPr>
        <w:t>表D.2  选矿单元排放分配计算示例</w:t>
      </w:r>
    </w:p>
    <w:tbl>
      <w:tblPr>
        <w:tblStyle w:val="22"/>
        <w:tblW w:w="5006" w:type="pct"/>
        <w:tblInd w:w="0" w:type="dxa"/>
        <w:tblLayout w:type="autofit"/>
        <w:tblCellMar>
          <w:top w:w="0" w:type="dxa"/>
          <w:left w:w="0" w:type="dxa"/>
          <w:bottom w:w="0" w:type="dxa"/>
          <w:right w:w="0" w:type="dxa"/>
        </w:tblCellMar>
      </w:tblPr>
      <w:tblGrid>
        <w:gridCol w:w="311"/>
        <w:gridCol w:w="2895"/>
        <w:gridCol w:w="505"/>
        <w:gridCol w:w="456"/>
        <w:gridCol w:w="612"/>
        <w:gridCol w:w="730"/>
        <w:gridCol w:w="2817"/>
      </w:tblGrid>
      <w:tr w14:paraId="167241A3">
        <w:tblPrEx>
          <w:tblCellMar>
            <w:top w:w="0" w:type="dxa"/>
            <w:left w:w="0" w:type="dxa"/>
            <w:bottom w:w="0" w:type="dxa"/>
            <w:right w:w="0" w:type="dxa"/>
          </w:tblCellMar>
        </w:tblPrEx>
        <w:trPr>
          <w:trHeight w:val="285" w:hRule="atLeast"/>
        </w:trPr>
        <w:tc>
          <w:tcPr>
            <w:tcW w:w="191" w:type="pct"/>
            <w:tcBorders>
              <w:top w:val="single" w:color="auto" w:sz="4" w:space="0"/>
              <w:left w:val="single" w:color="auto" w:sz="4" w:space="0"/>
              <w:bottom w:val="single" w:color="auto" w:sz="4" w:space="0"/>
              <w:right w:val="single" w:color="auto" w:sz="4" w:space="0"/>
            </w:tcBorders>
          </w:tcPr>
          <w:p w14:paraId="14688DC3">
            <w:pPr>
              <w:widowControl/>
              <w:jc w:val="center"/>
              <w:rPr>
                <w:rFonts w:hint="eastAsia" w:ascii="宋体" w:hAnsi="宋体" w:cs="宋体"/>
                <w:kern w:val="0"/>
                <w:sz w:val="18"/>
                <w:szCs w:val="18"/>
              </w:rPr>
            </w:pPr>
            <w:r>
              <w:rPr>
                <w:rFonts w:hint="eastAsia" w:ascii="宋体" w:hAnsi="宋体" w:cs="宋体"/>
                <w:kern w:val="0"/>
                <w:sz w:val="18"/>
                <w:szCs w:val="18"/>
              </w:rPr>
              <w:t>序号</w:t>
            </w:r>
          </w:p>
        </w:tc>
        <w:tc>
          <w:tcPr>
            <w:tcW w:w="1743"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A13277E">
            <w:pPr>
              <w:widowControl/>
              <w:jc w:val="center"/>
              <w:rPr>
                <w:rFonts w:hint="eastAsia" w:ascii="宋体" w:hAnsi="宋体" w:cs="宋体"/>
                <w:kern w:val="0"/>
                <w:sz w:val="18"/>
                <w:szCs w:val="18"/>
              </w:rPr>
            </w:pPr>
            <w:r>
              <w:rPr>
                <w:rFonts w:hint="eastAsia" w:ascii="宋体" w:hAnsi="宋体" w:cs="宋体"/>
                <w:kern w:val="0"/>
                <w:sz w:val="18"/>
                <w:szCs w:val="18"/>
              </w:rPr>
              <w:t>输  出</w:t>
            </w:r>
          </w:p>
        </w:tc>
        <w:tc>
          <w:tcPr>
            <w:tcW w:w="278" w:type="pct"/>
            <w:tcBorders>
              <w:top w:val="single" w:color="auto" w:sz="4" w:space="0"/>
              <w:left w:val="nil"/>
              <w:bottom w:val="single" w:color="auto" w:sz="4" w:space="0"/>
              <w:right w:val="single" w:color="auto" w:sz="4" w:space="0"/>
            </w:tcBorders>
            <w:shd w:val="clear" w:color="auto" w:fill="auto"/>
            <w:noWrap/>
            <w:vAlign w:val="bottom"/>
          </w:tcPr>
          <w:p w14:paraId="1BDEC25A">
            <w:pPr>
              <w:widowControl/>
              <w:jc w:val="center"/>
              <w:rPr>
                <w:rFonts w:hint="eastAsia" w:ascii="宋体" w:hAnsi="宋体" w:cs="宋体"/>
                <w:kern w:val="0"/>
                <w:sz w:val="18"/>
                <w:szCs w:val="18"/>
              </w:rPr>
            </w:pPr>
            <w:r>
              <w:rPr>
                <w:rFonts w:hint="eastAsia" w:ascii="宋体" w:hAnsi="宋体" w:cs="宋体"/>
                <w:kern w:val="0"/>
                <w:sz w:val="18"/>
                <w:szCs w:val="18"/>
              </w:rPr>
              <w:t>单位</w:t>
            </w:r>
          </w:p>
        </w:tc>
        <w:tc>
          <w:tcPr>
            <w:tcW w:w="278" w:type="pct"/>
            <w:tcBorders>
              <w:top w:val="single" w:color="auto" w:sz="4" w:space="0"/>
              <w:left w:val="nil"/>
              <w:bottom w:val="single" w:color="auto" w:sz="4" w:space="0"/>
              <w:right w:val="single" w:color="auto" w:sz="4" w:space="0"/>
            </w:tcBorders>
            <w:shd w:val="clear" w:color="auto" w:fill="auto"/>
            <w:noWrap/>
            <w:vAlign w:val="bottom"/>
          </w:tcPr>
          <w:p w14:paraId="4BD2A54D">
            <w:pPr>
              <w:widowControl/>
              <w:jc w:val="center"/>
              <w:rPr>
                <w:rFonts w:hint="eastAsia" w:ascii="宋体" w:hAnsi="宋体" w:cs="宋体"/>
                <w:kern w:val="0"/>
                <w:sz w:val="18"/>
                <w:szCs w:val="18"/>
              </w:rPr>
            </w:pPr>
            <w:r>
              <w:rPr>
                <w:rFonts w:hint="eastAsia" w:ascii="宋体" w:hAnsi="宋体" w:cs="宋体"/>
                <w:kern w:val="0"/>
                <w:sz w:val="18"/>
                <w:szCs w:val="18"/>
              </w:rPr>
              <w:t>质量</w:t>
            </w:r>
          </w:p>
        </w:tc>
        <w:tc>
          <w:tcPr>
            <w:tcW w:w="372" w:type="pct"/>
            <w:tcBorders>
              <w:top w:val="single" w:color="auto" w:sz="4" w:space="0"/>
              <w:left w:val="nil"/>
              <w:bottom w:val="single" w:color="auto" w:sz="4" w:space="0"/>
              <w:right w:val="single" w:color="auto" w:sz="4" w:space="0"/>
            </w:tcBorders>
            <w:shd w:val="clear" w:color="auto" w:fill="auto"/>
            <w:noWrap/>
            <w:vAlign w:val="bottom"/>
          </w:tcPr>
          <w:p w14:paraId="6B1C540F">
            <w:pPr>
              <w:widowControl/>
              <w:jc w:val="center"/>
              <w:rPr>
                <w:rFonts w:hint="eastAsia" w:ascii="宋体" w:hAnsi="宋体" w:cs="宋体"/>
                <w:kern w:val="0"/>
                <w:sz w:val="18"/>
                <w:szCs w:val="18"/>
              </w:rPr>
            </w:pPr>
            <w:r>
              <w:rPr>
                <w:rFonts w:hint="eastAsia" w:ascii="宋体" w:hAnsi="宋体" w:cs="宋体"/>
                <w:kern w:val="0"/>
                <w:sz w:val="18"/>
                <w:szCs w:val="18"/>
              </w:rPr>
              <w:t>价格</w:t>
            </w:r>
          </w:p>
        </w:tc>
        <w:tc>
          <w:tcPr>
            <w:tcW w:w="440" w:type="pct"/>
            <w:tcBorders>
              <w:top w:val="single" w:color="auto" w:sz="4" w:space="0"/>
              <w:left w:val="nil"/>
              <w:bottom w:val="single" w:color="auto" w:sz="4" w:space="0"/>
              <w:right w:val="single" w:color="auto" w:sz="4" w:space="0"/>
            </w:tcBorders>
            <w:shd w:val="clear" w:color="auto" w:fill="auto"/>
            <w:noWrap/>
            <w:vAlign w:val="bottom"/>
          </w:tcPr>
          <w:p w14:paraId="38D1C287">
            <w:pPr>
              <w:widowControl/>
              <w:jc w:val="center"/>
              <w:rPr>
                <w:rFonts w:hint="eastAsia" w:ascii="宋体" w:hAnsi="宋体" w:cs="宋体"/>
                <w:kern w:val="0"/>
                <w:sz w:val="18"/>
                <w:szCs w:val="18"/>
              </w:rPr>
            </w:pPr>
            <w:r>
              <w:rPr>
                <w:rFonts w:hint="eastAsia" w:ascii="宋体" w:hAnsi="宋体" w:cs="宋体"/>
                <w:kern w:val="0"/>
                <w:sz w:val="18"/>
                <w:szCs w:val="18"/>
              </w:rPr>
              <w:t>价格比值</w:t>
            </w:r>
          </w:p>
        </w:tc>
        <w:tc>
          <w:tcPr>
            <w:tcW w:w="1698" w:type="pct"/>
            <w:tcBorders>
              <w:top w:val="single" w:color="auto" w:sz="4" w:space="0"/>
              <w:left w:val="nil"/>
              <w:bottom w:val="single" w:color="auto" w:sz="4" w:space="0"/>
              <w:right w:val="single" w:color="auto" w:sz="4" w:space="0"/>
            </w:tcBorders>
            <w:shd w:val="clear" w:color="auto" w:fill="auto"/>
            <w:noWrap/>
            <w:vAlign w:val="bottom"/>
          </w:tcPr>
          <w:p w14:paraId="62209147">
            <w:pPr>
              <w:widowControl/>
              <w:jc w:val="center"/>
              <w:rPr>
                <w:rFonts w:hint="eastAsia" w:ascii="宋体" w:hAnsi="宋体" w:cs="宋体"/>
                <w:kern w:val="0"/>
                <w:sz w:val="18"/>
                <w:szCs w:val="18"/>
              </w:rPr>
            </w:pPr>
            <w:r>
              <w:rPr>
                <w:rFonts w:hint="eastAsia" w:ascii="宋体" w:hAnsi="宋体" w:cs="宋体"/>
                <w:kern w:val="0"/>
                <w:sz w:val="18"/>
                <w:szCs w:val="18"/>
              </w:rPr>
              <w:t>GHG排放的分配</w:t>
            </w:r>
          </w:p>
        </w:tc>
      </w:tr>
      <w:tr w14:paraId="0E2D8F7C">
        <w:tblPrEx>
          <w:tblCellMar>
            <w:top w:w="0" w:type="dxa"/>
            <w:left w:w="0" w:type="dxa"/>
            <w:bottom w:w="0" w:type="dxa"/>
            <w:right w:w="0" w:type="dxa"/>
          </w:tblCellMar>
        </w:tblPrEx>
        <w:trPr>
          <w:trHeight w:val="285" w:hRule="atLeast"/>
        </w:trPr>
        <w:tc>
          <w:tcPr>
            <w:tcW w:w="191" w:type="pct"/>
            <w:vMerge w:val="restart"/>
            <w:tcBorders>
              <w:top w:val="nil"/>
              <w:left w:val="single" w:color="auto" w:sz="4" w:space="0"/>
              <w:right w:val="single" w:color="auto" w:sz="4" w:space="0"/>
            </w:tcBorders>
          </w:tcPr>
          <w:p w14:paraId="384CD2D2">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1743" w:type="pct"/>
            <w:tcBorders>
              <w:top w:val="nil"/>
              <w:left w:val="single" w:color="auto" w:sz="4" w:space="0"/>
              <w:bottom w:val="single" w:color="auto" w:sz="4" w:space="0"/>
              <w:right w:val="single" w:color="auto" w:sz="4" w:space="0"/>
            </w:tcBorders>
            <w:shd w:val="clear" w:color="auto" w:fill="auto"/>
            <w:noWrap/>
            <w:vAlign w:val="bottom"/>
          </w:tcPr>
          <w:p w14:paraId="76409C80">
            <w:pPr>
              <w:widowControl/>
              <w:jc w:val="left"/>
              <w:rPr>
                <w:rFonts w:hint="eastAsia" w:ascii="宋体" w:hAnsi="宋体" w:cs="宋体"/>
                <w:kern w:val="0"/>
                <w:sz w:val="18"/>
                <w:szCs w:val="18"/>
              </w:rPr>
            </w:pPr>
            <w:r>
              <w:rPr>
                <w:rFonts w:hint="eastAsia" w:ascii="宋体" w:hAnsi="宋体" w:cs="宋体"/>
                <w:kern w:val="0"/>
                <w:sz w:val="18"/>
                <w:szCs w:val="18"/>
              </w:rPr>
              <w:t>选矿单元温室气体排放总量</w:t>
            </w:r>
          </w:p>
        </w:tc>
        <w:tc>
          <w:tcPr>
            <w:tcW w:w="278" w:type="pct"/>
            <w:tcBorders>
              <w:top w:val="nil"/>
              <w:left w:val="nil"/>
              <w:bottom w:val="single" w:color="auto" w:sz="4" w:space="0"/>
              <w:right w:val="single" w:color="auto" w:sz="4" w:space="0"/>
            </w:tcBorders>
            <w:shd w:val="clear" w:color="auto" w:fill="auto"/>
            <w:noWrap/>
            <w:vAlign w:val="bottom"/>
          </w:tcPr>
          <w:p w14:paraId="27C0CF04">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w:t>
            </w:r>
          </w:p>
        </w:tc>
        <w:tc>
          <w:tcPr>
            <w:tcW w:w="278" w:type="pct"/>
            <w:tcBorders>
              <w:top w:val="nil"/>
              <w:left w:val="nil"/>
              <w:bottom w:val="single" w:color="auto" w:sz="4" w:space="0"/>
              <w:right w:val="single" w:color="auto" w:sz="4" w:space="0"/>
            </w:tcBorders>
            <w:shd w:val="clear" w:color="auto" w:fill="auto"/>
            <w:noWrap/>
            <w:vAlign w:val="bottom"/>
          </w:tcPr>
          <w:p w14:paraId="2AD29150">
            <w:pPr>
              <w:widowControl/>
              <w:jc w:val="center"/>
              <w:rPr>
                <w:rFonts w:hint="eastAsia" w:ascii="宋体" w:hAnsi="宋体" w:cs="宋体"/>
                <w:i/>
                <w:iCs/>
                <w:kern w:val="0"/>
                <w:sz w:val="18"/>
                <w:szCs w:val="18"/>
              </w:rPr>
            </w:pPr>
            <w:r>
              <w:rPr>
                <w:rFonts w:hint="eastAsia" w:ascii="宋体" w:hAnsi="宋体" w:cs="宋体"/>
                <w:i/>
                <w:iCs/>
                <w:kern w:val="0"/>
                <w:sz w:val="18"/>
                <w:szCs w:val="18"/>
              </w:rPr>
              <w:t>E</w:t>
            </w:r>
          </w:p>
        </w:tc>
        <w:tc>
          <w:tcPr>
            <w:tcW w:w="372" w:type="pct"/>
            <w:tcBorders>
              <w:top w:val="nil"/>
              <w:left w:val="nil"/>
              <w:bottom w:val="single" w:color="auto" w:sz="4" w:space="0"/>
              <w:right w:val="single" w:color="auto" w:sz="4" w:space="0"/>
            </w:tcBorders>
            <w:shd w:val="clear" w:color="auto" w:fill="auto"/>
            <w:noWrap/>
            <w:vAlign w:val="bottom"/>
          </w:tcPr>
          <w:p w14:paraId="6B1D8120">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40" w:type="pct"/>
            <w:tcBorders>
              <w:top w:val="nil"/>
              <w:left w:val="nil"/>
              <w:bottom w:val="single" w:color="auto" w:sz="4" w:space="0"/>
              <w:right w:val="single" w:color="auto" w:sz="4" w:space="0"/>
            </w:tcBorders>
            <w:shd w:val="clear" w:color="auto" w:fill="auto"/>
            <w:noWrap/>
            <w:vAlign w:val="bottom"/>
          </w:tcPr>
          <w:p w14:paraId="65EFAB5F">
            <w:pPr>
              <w:widowControl/>
              <w:jc w:val="left"/>
              <w:rPr>
                <w:rFonts w:hint="eastAsia" w:ascii="宋体" w:hAnsi="宋体" w:cs="宋体"/>
                <w:kern w:val="0"/>
                <w:sz w:val="18"/>
                <w:szCs w:val="18"/>
              </w:rPr>
            </w:pPr>
          </w:p>
        </w:tc>
        <w:tc>
          <w:tcPr>
            <w:tcW w:w="1698" w:type="pct"/>
            <w:tcBorders>
              <w:top w:val="nil"/>
              <w:left w:val="nil"/>
              <w:bottom w:val="single" w:color="auto" w:sz="4" w:space="0"/>
              <w:right w:val="single" w:color="auto" w:sz="4" w:space="0"/>
            </w:tcBorders>
            <w:shd w:val="clear" w:color="auto" w:fill="auto"/>
            <w:noWrap/>
            <w:vAlign w:val="bottom"/>
          </w:tcPr>
          <w:p w14:paraId="368E5A5E">
            <w:pPr>
              <w:widowControl/>
              <w:jc w:val="center"/>
              <w:rPr>
                <w:rFonts w:hint="eastAsia" w:ascii="宋体" w:hAnsi="宋体" w:cs="宋体"/>
                <w:i/>
                <w:iCs/>
                <w:kern w:val="0"/>
                <w:sz w:val="18"/>
                <w:szCs w:val="18"/>
              </w:rPr>
            </w:pPr>
            <w:r>
              <w:rPr>
                <w:rFonts w:hint="eastAsia" w:ascii="宋体" w:hAnsi="宋体" w:cs="宋体"/>
                <w:i/>
                <w:iCs/>
                <w:kern w:val="0"/>
                <w:sz w:val="18"/>
                <w:szCs w:val="18"/>
              </w:rPr>
              <w:t>E= E</w:t>
            </w:r>
            <w:r>
              <w:rPr>
                <w:rFonts w:hint="eastAsia" w:ascii="宋体" w:hAnsi="宋体" w:cs="宋体"/>
                <w:i/>
                <w:iCs/>
                <w:kern w:val="0"/>
                <w:sz w:val="18"/>
                <w:szCs w:val="18"/>
                <w:vertAlign w:val="subscript"/>
              </w:rPr>
              <w:t>0</w:t>
            </w:r>
            <w:r>
              <w:rPr>
                <w:rFonts w:hint="eastAsia" w:ascii="宋体" w:hAnsi="宋体" w:cs="宋体"/>
                <w:i/>
                <w:iCs/>
                <w:kern w:val="0"/>
                <w:sz w:val="18"/>
                <w:szCs w:val="18"/>
              </w:rPr>
              <w:t>+E</w:t>
            </w:r>
            <w:r>
              <w:rPr>
                <w:rFonts w:hint="eastAsia" w:ascii="宋体" w:hAnsi="宋体" w:cs="宋体"/>
                <w:i/>
                <w:iCs/>
                <w:kern w:val="0"/>
                <w:sz w:val="18"/>
                <w:szCs w:val="18"/>
                <w:vertAlign w:val="subscript"/>
              </w:rPr>
              <w:t>1</w:t>
            </w:r>
            <w:r>
              <w:rPr>
                <w:rFonts w:hint="eastAsia" w:ascii="宋体" w:hAnsi="宋体" w:cs="宋体"/>
                <w:i/>
                <w:iCs/>
                <w:kern w:val="0"/>
                <w:sz w:val="18"/>
                <w:szCs w:val="18"/>
              </w:rPr>
              <w:t>+E</w:t>
            </w:r>
            <w:r>
              <w:rPr>
                <w:rFonts w:hint="eastAsia" w:ascii="宋体" w:hAnsi="宋体" w:cs="宋体"/>
                <w:i/>
                <w:iCs/>
                <w:kern w:val="0"/>
                <w:sz w:val="18"/>
                <w:szCs w:val="18"/>
                <w:vertAlign w:val="subscript"/>
              </w:rPr>
              <w:t>2</w:t>
            </w:r>
            <w:r>
              <w:rPr>
                <w:rFonts w:hint="eastAsia" w:ascii="宋体" w:hAnsi="宋体" w:cs="宋体"/>
                <w:i/>
                <w:iCs/>
                <w:kern w:val="0"/>
                <w:sz w:val="18"/>
                <w:szCs w:val="18"/>
              </w:rPr>
              <w:t>+…+E</w:t>
            </w:r>
            <w:r>
              <w:rPr>
                <w:rFonts w:hint="eastAsia" w:ascii="宋体" w:hAnsi="宋体" w:cs="宋体"/>
                <w:i/>
                <w:iCs/>
                <w:kern w:val="0"/>
                <w:sz w:val="18"/>
                <w:szCs w:val="18"/>
                <w:vertAlign w:val="subscript"/>
              </w:rPr>
              <w:t>n</w:t>
            </w:r>
          </w:p>
        </w:tc>
      </w:tr>
      <w:tr w14:paraId="4BC42437">
        <w:tblPrEx>
          <w:tblCellMar>
            <w:top w:w="0" w:type="dxa"/>
            <w:left w:w="0" w:type="dxa"/>
            <w:bottom w:w="0" w:type="dxa"/>
            <w:right w:w="0" w:type="dxa"/>
          </w:tblCellMar>
        </w:tblPrEx>
        <w:trPr>
          <w:trHeight w:val="285" w:hRule="atLeast"/>
        </w:trPr>
        <w:tc>
          <w:tcPr>
            <w:tcW w:w="191" w:type="pct"/>
            <w:vMerge w:val="continue"/>
            <w:tcBorders>
              <w:left w:val="single" w:color="auto" w:sz="4" w:space="0"/>
              <w:right w:val="single" w:color="auto" w:sz="4" w:space="0"/>
            </w:tcBorders>
          </w:tcPr>
          <w:p w14:paraId="04E63888">
            <w:pPr>
              <w:widowControl/>
              <w:jc w:val="center"/>
              <w:rPr>
                <w:rFonts w:hint="eastAsia" w:ascii="宋体" w:hAnsi="宋体" w:cs="宋体"/>
                <w:kern w:val="0"/>
                <w:sz w:val="18"/>
                <w:szCs w:val="18"/>
              </w:rPr>
            </w:pPr>
          </w:p>
        </w:tc>
        <w:tc>
          <w:tcPr>
            <w:tcW w:w="1743" w:type="pct"/>
            <w:tcBorders>
              <w:top w:val="nil"/>
              <w:left w:val="single" w:color="auto" w:sz="4" w:space="0"/>
              <w:bottom w:val="single" w:color="auto" w:sz="4" w:space="0"/>
              <w:right w:val="single" w:color="auto" w:sz="4" w:space="0"/>
            </w:tcBorders>
            <w:shd w:val="clear" w:color="auto" w:fill="auto"/>
            <w:noWrap/>
            <w:vAlign w:val="bottom"/>
          </w:tcPr>
          <w:p w14:paraId="0F135A87">
            <w:pPr>
              <w:widowControl/>
              <w:jc w:val="left"/>
              <w:rPr>
                <w:rFonts w:hint="eastAsia" w:ascii="宋体" w:hAnsi="宋体" w:cs="宋体"/>
                <w:kern w:val="0"/>
                <w:sz w:val="18"/>
                <w:szCs w:val="18"/>
              </w:rPr>
            </w:pPr>
            <w:r>
              <w:rPr>
                <w:rFonts w:hint="eastAsia" w:ascii="宋体" w:hAnsi="宋体" w:cs="宋体"/>
                <w:kern w:val="0"/>
                <w:sz w:val="18"/>
                <w:szCs w:val="18"/>
              </w:rPr>
              <w:t>其中：共用工序（碎磨和尾矿处置）</w:t>
            </w:r>
          </w:p>
        </w:tc>
        <w:tc>
          <w:tcPr>
            <w:tcW w:w="278" w:type="pct"/>
            <w:tcBorders>
              <w:top w:val="nil"/>
              <w:left w:val="nil"/>
              <w:bottom w:val="single" w:color="auto" w:sz="4" w:space="0"/>
              <w:right w:val="single" w:color="auto" w:sz="4" w:space="0"/>
            </w:tcBorders>
            <w:shd w:val="clear" w:color="auto" w:fill="auto"/>
            <w:noWrap/>
            <w:vAlign w:val="bottom"/>
          </w:tcPr>
          <w:p w14:paraId="7484AB75">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w:t>
            </w:r>
          </w:p>
        </w:tc>
        <w:tc>
          <w:tcPr>
            <w:tcW w:w="278" w:type="pct"/>
            <w:tcBorders>
              <w:top w:val="nil"/>
              <w:left w:val="nil"/>
              <w:bottom w:val="single" w:color="auto" w:sz="4" w:space="0"/>
              <w:right w:val="single" w:color="auto" w:sz="4" w:space="0"/>
            </w:tcBorders>
            <w:shd w:val="clear" w:color="auto" w:fill="auto"/>
            <w:noWrap/>
            <w:vAlign w:val="bottom"/>
          </w:tcPr>
          <w:p w14:paraId="20B28D1C">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0</w:t>
            </w:r>
          </w:p>
        </w:tc>
        <w:tc>
          <w:tcPr>
            <w:tcW w:w="372" w:type="pct"/>
            <w:tcBorders>
              <w:top w:val="nil"/>
              <w:left w:val="nil"/>
              <w:bottom w:val="single" w:color="auto" w:sz="4" w:space="0"/>
              <w:right w:val="single" w:color="auto" w:sz="4" w:space="0"/>
            </w:tcBorders>
            <w:shd w:val="clear" w:color="auto" w:fill="auto"/>
            <w:noWrap/>
            <w:vAlign w:val="bottom"/>
          </w:tcPr>
          <w:p w14:paraId="7CDC2A55">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40" w:type="pct"/>
            <w:tcBorders>
              <w:top w:val="nil"/>
              <w:left w:val="nil"/>
              <w:bottom w:val="single" w:color="auto" w:sz="4" w:space="0"/>
              <w:right w:val="single" w:color="auto" w:sz="4" w:space="0"/>
            </w:tcBorders>
            <w:shd w:val="clear" w:color="auto" w:fill="auto"/>
            <w:noWrap/>
            <w:vAlign w:val="bottom"/>
          </w:tcPr>
          <w:p w14:paraId="255103CE">
            <w:pPr>
              <w:widowControl/>
              <w:jc w:val="left"/>
              <w:rPr>
                <w:rFonts w:hint="eastAsia" w:ascii="宋体" w:hAnsi="宋体" w:cs="宋体"/>
                <w:kern w:val="0"/>
                <w:sz w:val="18"/>
                <w:szCs w:val="18"/>
              </w:rPr>
            </w:pPr>
          </w:p>
        </w:tc>
        <w:tc>
          <w:tcPr>
            <w:tcW w:w="1698" w:type="pct"/>
            <w:tcBorders>
              <w:top w:val="nil"/>
              <w:left w:val="nil"/>
              <w:bottom w:val="single" w:color="auto" w:sz="4" w:space="0"/>
              <w:right w:val="single" w:color="auto" w:sz="4" w:space="0"/>
            </w:tcBorders>
            <w:shd w:val="clear" w:color="auto" w:fill="auto"/>
            <w:noWrap/>
          </w:tcPr>
          <w:p w14:paraId="300BB24E">
            <w:pPr>
              <w:widowControl/>
              <w:jc w:val="center"/>
              <w:rPr>
                <w:rFonts w:hint="eastAsia" w:ascii="宋体" w:hAnsi="宋体" w:cs="宋体"/>
                <w:kern w:val="0"/>
                <w:sz w:val="18"/>
                <w:szCs w:val="18"/>
              </w:rPr>
            </w:pPr>
            <w:r>
              <w:rPr>
                <w:rFonts w:hint="eastAsia" w:ascii="宋体" w:hAnsi="宋体" w:cs="宋体"/>
                <w:i/>
                <w:iCs/>
                <w:kern w:val="0"/>
                <w:sz w:val="18"/>
                <w:szCs w:val="18"/>
              </w:rPr>
              <w:t>—</w:t>
            </w:r>
          </w:p>
        </w:tc>
      </w:tr>
      <w:tr w14:paraId="7867FA31">
        <w:tblPrEx>
          <w:tblCellMar>
            <w:top w:w="0" w:type="dxa"/>
            <w:left w:w="0" w:type="dxa"/>
            <w:bottom w:w="0" w:type="dxa"/>
            <w:right w:w="0" w:type="dxa"/>
          </w:tblCellMar>
        </w:tblPrEx>
        <w:trPr>
          <w:trHeight w:val="285" w:hRule="atLeast"/>
        </w:trPr>
        <w:tc>
          <w:tcPr>
            <w:tcW w:w="191" w:type="pct"/>
            <w:vMerge w:val="continue"/>
            <w:tcBorders>
              <w:left w:val="single" w:color="auto" w:sz="4" w:space="0"/>
              <w:right w:val="single" w:color="auto" w:sz="4" w:space="0"/>
            </w:tcBorders>
          </w:tcPr>
          <w:p w14:paraId="3EAE2F91">
            <w:pPr>
              <w:widowControl/>
              <w:jc w:val="center"/>
              <w:rPr>
                <w:rFonts w:hint="eastAsia" w:ascii="宋体" w:hAnsi="宋体" w:cs="宋体"/>
                <w:kern w:val="0"/>
                <w:sz w:val="18"/>
                <w:szCs w:val="18"/>
              </w:rPr>
            </w:pPr>
          </w:p>
        </w:tc>
        <w:tc>
          <w:tcPr>
            <w:tcW w:w="1743" w:type="pct"/>
            <w:tcBorders>
              <w:top w:val="nil"/>
              <w:left w:val="single" w:color="auto" w:sz="4" w:space="0"/>
              <w:bottom w:val="single" w:color="auto" w:sz="4" w:space="0"/>
              <w:right w:val="single" w:color="auto" w:sz="4" w:space="0"/>
            </w:tcBorders>
            <w:shd w:val="clear" w:color="auto" w:fill="auto"/>
            <w:noWrap/>
            <w:vAlign w:val="bottom"/>
          </w:tcPr>
          <w:p w14:paraId="3B63A27F">
            <w:pPr>
              <w:widowControl/>
              <w:jc w:val="left"/>
              <w:rPr>
                <w:rFonts w:hint="eastAsia" w:ascii="宋体" w:hAnsi="宋体" w:cs="宋体"/>
                <w:kern w:val="0"/>
                <w:sz w:val="18"/>
                <w:szCs w:val="18"/>
              </w:rPr>
            </w:pPr>
            <w:r>
              <w:rPr>
                <w:rFonts w:hint="eastAsia" w:ascii="宋体" w:hAnsi="宋体" w:cs="宋体"/>
                <w:kern w:val="0"/>
                <w:sz w:val="18"/>
                <w:szCs w:val="18"/>
              </w:rPr>
              <w:t xml:space="preserve">      选</w:t>
            </w:r>
            <w:r>
              <w:rPr>
                <w:rFonts w:hint="eastAsia" w:ascii="宋体" w:hAnsi="宋体" w:cs="宋体"/>
                <w:kern w:val="0"/>
                <w:sz w:val="18"/>
                <w:szCs w:val="18"/>
                <w:lang w:eastAsia="zh-CN"/>
              </w:rPr>
              <w:t>锡</w:t>
            </w:r>
            <w:r>
              <w:rPr>
                <w:rFonts w:hint="eastAsia" w:ascii="宋体" w:hAnsi="宋体" w:cs="宋体"/>
                <w:kern w:val="0"/>
                <w:sz w:val="18"/>
                <w:szCs w:val="18"/>
              </w:rPr>
              <w:t>排放</w:t>
            </w:r>
          </w:p>
        </w:tc>
        <w:tc>
          <w:tcPr>
            <w:tcW w:w="278" w:type="pct"/>
            <w:tcBorders>
              <w:top w:val="nil"/>
              <w:left w:val="nil"/>
              <w:bottom w:val="single" w:color="auto" w:sz="4" w:space="0"/>
              <w:right w:val="single" w:color="auto" w:sz="4" w:space="0"/>
            </w:tcBorders>
            <w:shd w:val="clear" w:color="auto" w:fill="auto"/>
            <w:noWrap/>
            <w:vAlign w:val="bottom"/>
          </w:tcPr>
          <w:p w14:paraId="785DAD49">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w:t>
            </w:r>
          </w:p>
        </w:tc>
        <w:tc>
          <w:tcPr>
            <w:tcW w:w="278" w:type="pct"/>
            <w:tcBorders>
              <w:top w:val="nil"/>
              <w:left w:val="nil"/>
              <w:bottom w:val="single" w:color="auto" w:sz="4" w:space="0"/>
              <w:right w:val="single" w:color="auto" w:sz="4" w:space="0"/>
            </w:tcBorders>
            <w:shd w:val="clear" w:color="auto" w:fill="auto"/>
            <w:noWrap/>
            <w:vAlign w:val="bottom"/>
          </w:tcPr>
          <w:p w14:paraId="3CCDD0D7">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1</w:t>
            </w:r>
          </w:p>
        </w:tc>
        <w:tc>
          <w:tcPr>
            <w:tcW w:w="372" w:type="pct"/>
            <w:tcBorders>
              <w:top w:val="nil"/>
              <w:left w:val="nil"/>
              <w:bottom w:val="single" w:color="auto" w:sz="4" w:space="0"/>
              <w:right w:val="single" w:color="auto" w:sz="4" w:space="0"/>
            </w:tcBorders>
            <w:shd w:val="clear" w:color="auto" w:fill="auto"/>
            <w:noWrap/>
            <w:vAlign w:val="bottom"/>
          </w:tcPr>
          <w:p w14:paraId="3ED1A3BE">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40" w:type="pct"/>
            <w:tcBorders>
              <w:top w:val="nil"/>
              <w:left w:val="nil"/>
              <w:bottom w:val="single" w:color="auto" w:sz="4" w:space="0"/>
              <w:right w:val="single" w:color="auto" w:sz="4" w:space="0"/>
            </w:tcBorders>
            <w:shd w:val="clear" w:color="auto" w:fill="auto"/>
            <w:noWrap/>
            <w:vAlign w:val="bottom"/>
          </w:tcPr>
          <w:p w14:paraId="0B838F7C">
            <w:pPr>
              <w:widowControl/>
              <w:jc w:val="left"/>
              <w:rPr>
                <w:rFonts w:hint="eastAsia" w:ascii="宋体" w:hAnsi="宋体" w:cs="宋体"/>
                <w:kern w:val="0"/>
                <w:sz w:val="18"/>
                <w:szCs w:val="18"/>
              </w:rPr>
            </w:pPr>
          </w:p>
        </w:tc>
        <w:tc>
          <w:tcPr>
            <w:tcW w:w="1698" w:type="pct"/>
            <w:tcBorders>
              <w:top w:val="nil"/>
              <w:left w:val="nil"/>
              <w:bottom w:val="single" w:color="auto" w:sz="4" w:space="0"/>
              <w:right w:val="single" w:color="auto" w:sz="4" w:space="0"/>
            </w:tcBorders>
            <w:shd w:val="clear" w:color="auto" w:fill="auto"/>
            <w:noWrap/>
          </w:tcPr>
          <w:p w14:paraId="51244B42">
            <w:pPr>
              <w:widowControl/>
              <w:jc w:val="center"/>
              <w:rPr>
                <w:rFonts w:hint="eastAsia" w:ascii="宋体" w:hAnsi="宋体" w:cs="宋体"/>
                <w:kern w:val="0"/>
                <w:sz w:val="18"/>
                <w:szCs w:val="18"/>
              </w:rPr>
            </w:pPr>
            <w:r>
              <w:rPr>
                <w:rFonts w:hint="eastAsia" w:ascii="宋体" w:hAnsi="宋体" w:cs="宋体"/>
                <w:i/>
                <w:iCs/>
                <w:kern w:val="0"/>
                <w:sz w:val="18"/>
                <w:szCs w:val="18"/>
              </w:rPr>
              <w:t>—</w:t>
            </w:r>
          </w:p>
        </w:tc>
      </w:tr>
      <w:tr w14:paraId="3ECB7119">
        <w:tblPrEx>
          <w:tblCellMar>
            <w:top w:w="0" w:type="dxa"/>
            <w:left w:w="0" w:type="dxa"/>
            <w:bottom w:w="0" w:type="dxa"/>
            <w:right w:w="0" w:type="dxa"/>
          </w:tblCellMar>
        </w:tblPrEx>
        <w:trPr>
          <w:trHeight w:val="285" w:hRule="atLeast"/>
        </w:trPr>
        <w:tc>
          <w:tcPr>
            <w:tcW w:w="191" w:type="pct"/>
            <w:vMerge w:val="continue"/>
            <w:tcBorders>
              <w:left w:val="single" w:color="auto" w:sz="4" w:space="0"/>
              <w:right w:val="single" w:color="auto" w:sz="4" w:space="0"/>
            </w:tcBorders>
          </w:tcPr>
          <w:p w14:paraId="47F61420">
            <w:pPr>
              <w:widowControl/>
              <w:jc w:val="center"/>
              <w:rPr>
                <w:rFonts w:hint="eastAsia" w:ascii="宋体" w:hAnsi="宋体" w:cs="宋体"/>
                <w:kern w:val="0"/>
                <w:sz w:val="18"/>
                <w:szCs w:val="18"/>
              </w:rPr>
            </w:pPr>
          </w:p>
        </w:tc>
        <w:tc>
          <w:tcPr>
            <w:tcW w:w="1743" w:type="pct"/>
            <w:tcBorders>
              <w:top w:val="nil"/>
              <w:left w:val="single" w:color="auto" w:sz="4" w:space="0"/>
              <w:bottom w:val="single" w:color="auto" w:sz="4" w:space="0"/>
              <w:right w:val="single" w:color="auto" w:sz="4" w:space="0"/>
            </w:tcBorders>
            <w:shd w:val="clear" w:color="auto" w:fill="auto"/>
            <w:noWrap/>
            <w:vAlign w:val="bottom"/>
          </w:tcPr>
          <w:p w14:paraId="466EDFE0">
            <w:pPr>
              <w:widowControl/>
              <w:jc w:val="left"/>
              <w:rPr>
                <w:rFonts w:hint="eastAsia" w:ascii="宋体" w:hAnsi="宋体" w:cs="宋体"/>
                <w:kern w:val="0"/>
                <w:sz w:val="18"/>
                <w:szCs w:val="18"/>
              </w:rPr>
            </w:pPr>
            <w:r>
              <w:rPr>
                <w:rFonts w:hint="eastAsia" w:ascii="宋体" w:hAnsi="宋体" w:cs="宋体"/>
                <w:kern w:val="0"/>
                <w:sz w:val="18"/>
                <w:szCs w:val="18"/>
              </w:rPr>
              <w:t xml:space="preserve">      选硫排放</w:t>
            </w:r>
          </w:p>
        </w:tc>
        <w:tc>
          <w:tcPr>
            <w:tcW w:w="278" w:type="pct"/>
            <w:tcBorders>
              <w:top w:val="nil"/>
              <w:left w:val="nil"/>
              <w:bottom w:val="single" w:color="auto" w:sz="4" w:space="0"/>
              <w:right w:val="single" w:color="auto" w:sz="4" w:space="0"/>
            </w:tcBorders>
            <w:shd w:val="clear" w:color="auto" w:fill="auto"/>
            <w:noWrap/>
            <w:vAlign w:val="bottom"/>
          </w:tcPr>
          <w:p w14:paraId="268F5C75">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w:t>
            </w:r>
          </w:p>
        </w:tc>
        <w:tc>
          <w:tcPr>
            <w:tcW w:w="278" w:type="pct"/>
            <w:tcBorders>
              <w:top w:val="nil"/>
              <w:left w:val="nil"/>
              <w:bottom w:val="single" w:color="auto" w:sz="4" w:space="0"/>
              <w:right w:val="single" w:color="auto" w:sz="4" w:space="0"/>
            </w:tcBorders>
            <w:shd w:val="clear" w:color="auto" w:fill="auto"/>
            <w:noWrap/>
            <w:vAlign w:val="bottom"/>
          </w:tcPr>
          <w:p w14:paraId="64DAC44D">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2</w:t>
            </w:r>
          </w:p>
        </w:tc>
        <w:tc>
          <w:tcPr>
            <w:tcW w:w="372" w:type="pct"/>
            <w:tcBorders>
              <w:top w:val="nil"/>
              <w:left w:val="nil"/>
              <w:bottom w:val="single" w:color="auto" w:sz="4" w:space="0"/>
              <w:right w:val="single" w:color="auto" w:sz="4" w:space="0"/>
            </w:tcBorders>
            <w:shd w:val="clear" w:color="auto" w:fill="auto"/>
            <w:noWrap/>
            <w:vAlign w:val="bottom"/>
          </w:tcPr>
          <w:p w14:paraId="37A9A8F9">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40" w:type="pct"/>
            <w:tcBorders>
              <w:top w:val="nil"/>
              <w:left w:val="nil"/>
              <w:bottom w:val="single" w:color="auto" w:sz="4" w:space="0"/>
              <w:right w:val="single" w:color="auto" w:sz="4" w:space="0"/>
            </w:tcBorders>
            <w:shd w:val="clear" w:color="auto" w:fill="auto"/>
            <w:noWrap/>
            <w:vAlign w:val="bottom"/>
          </w:tcPr>
          <w:p w14:paraId="02C41A9F">
            <w:pPr>
              <w:widowControl/>
              <w:jc w:val="left"/>
              <w:rPr>
                <w:rFonts w:hint="eastAsia" w:ascii="宋体" w:hAnsi="宋体" w:cs="宋体"/>
                <w:kern w:val="0"/>
                <w:sz w:val="18"/>
                <w:szCs w:val="18"/>
              </w:rPr>
            </w:pPr>
          </w:p>
        </w:tc>
        <w:tc>
          <w:tcPr>
            <w:tcW w:w="1698" w:type="pct"/>
            <w:tcBorders>
              <w:top w:val="nil"/>
              <w:left w:val="nil"/>
              <w:bottom w:val="single" w:color="auto" w:sz="4" w:space="0"/>
              <w:right w:val="single" w:color="auto" w:sz="4" w:space="0"/>
            </w:tcBorders>
            <w:shd w:val="clear" w:color="auto" w:fill="auto"/>
            <w:noWrap/>
          </w:tcPr>
          <w:p w14:paraId="383E0826">
            <w:pPr>
              <w:widowControl/>
              <w:jc w:val="center"/>
              <w:rPr>
                <w:rFonts w:hint="eastAsia" w:ascii="宋体" w:hAnsi="宋体" w:cs="宋体"/>
                <w:kern w:val="0"/>
                <w:sz w:val="18"/>
                <w:szCs w:val="18"/>
              </w:rPr>
            </w:pPr>
            <w:r>
              <w:rPr>
                <w:rFonts w:hint="eastAsia" w:ascii="宋体" w:hAnsi="宋体" w:cs="宋体"/>
                <w:i/>
                <w:iCs/>
                <w:kern w:val="0"/>
                <w:sz w:val="18"/>
                <w:szCs w:val="18"/>
              </w:rPr>
              <w:t>—</w:t>
            </w:r>
          </w:p>
        </w:tc>
      </w:tr>
      <w:tr w14:paraId="0C649177">
        <w:tblPrEx>
          <w:tblCellMar>
            <w:top w:w="0" w:type="dxa"/>
            <w:left w:w="0" w:type="dxa"/>
            <w:bottom w:w="0" w:type="dxa"/>
            <w:right w:w="0" w:type="dxa"/>
          </w:tblCellMar>
        </w:tblPrEx>
        <w:trPr>
          <w:trHeight w:val="285" w:hRule="atLeast"/>
        </w:trPr>
        <w:tc>
          <w:tcPr>
            <w:tcW w:w="191" w:type="pct"/>
            <w:vMerge w:val="continue"/>
            <w:tcBorders>
              <w:left w:val="single" w:color="auto" w:sz="4" w:space="0"/>
              <w:bottom w:val="single" w:color="auto" w:sz="4" w:space="0"/>
              <w:right w:val="single" w:color="auto" w:sz="4" w:space="0"/>
            </w:tcBorders>
          </w:tcPr>
          <w:p w14:paraId="1DBEAE04">
            <w:pPr>
              <w:widowControl/>
              <w:jc w:val="center"/>
              <w:rPr>
                <w:rFonts w:hint="eastAsia" w:ascii="宋体" w:hAnsi="宋体" w:cs="宋体"/>
                <w:kern w:val="0"/>
                <w:sz w:val="18"/>
                <w:szCs w:val="18"/>
              </w:rPr>
            </w:pPr>
          </w:p>
        </w:tc>
        <w:tc>
          <w:tcPr>
            <w:tcW w:w="1743" w:type="pct"/>
            <w:tcBorders>
              <w:top w:val="nil"/>
              <w:left w:val="single" w:color="auto" w:sz="4" w:space="0"/>
              <w:bottom w:val="single" w:color="auto" w:sz="4" w:space="0"/>
              <w:right w:val="single" w:color="auto" w:sz="4" w:space="0"/>
            </w:tcBorders>
            <w:shd w:val="clear" w:color="auto" w:fill="auto"/>
            <w:noWrap/>
            <w:vAlign w:val="bottom"/>
          </w:tcPr>
          <w:p w14:paraId="37269271">
            <w:pPr>
              <w:widowControl/>
              <w:jc w:val="left"/>
              <w:rPr>
                <w:rFonts w:hint="eastAsia" w:ascii="宋体" w:hAnsi="宋体" w:cs="宋体"/>
                <w:kern w:val="0"/>
                <w:sz w:val="18"/>
                <w:szCs w:val="18"/>
              </w:rPr>
            </w:pPr>
            <w:r>
              <w:rPr>
                <w:rFonts w:hint="eastAsia" w:ascii="宋体" w:hAnsi="宋体" w:cs="宋体"/>
                <w:kern w:val="0"/>
                <w:sz w:val="18"/>
                <w:szCs w:val="18"/>
              </w:rPr>
              <w:t>…</w:t>
            </w:r>
          </w:p>
        </w:tc>
        <w:tc>
          <w:tcPr>
            <w:tcW w:w="278" w:type="pct"/>
            <w:tcBorders>
              <w:top w:val="nil"/>
              <w:left w:val="nil"/>
              <w:bottom w:val="single" w:color="auto" w:sz="4" w:space="0"/>
              <w:right w:val="single" w:color="auto" w:sz="4" w:space="0"/>
            </w:tcBorders>
            <w:shd w:val="clear" w:color="auto" w:fill="auto"/>
            <w:noWrap/>
            <w:vAlign w:val="bottom"/>
          </w:tcPr>
          <w:p w14:paraId="5DCCBB5C">
            <w:pPr>
              <w:widowControl/>
              <w:jc w:val="center"/>
              <w:rPr>
                <w:rFonts w:hint="eastAsia" w:ascii="宋体" w:hAnsi="宋体" w:cs="宋体"/>
                <w:kern w:val="0"/>
                <w:sz w:val="18"/>
                <w:szCs w:val="18"/>
              </w:rPr>
            </w:pPr>
          </w:p>
        </w:tc>
        <w:tc>
          <w:tcPr>
            <w:tcW w:w="278" w:type="pct"/>
            <w:tcBorders>
              <w:top w:val="nil"/>
              <w:left w:val="nil"/>
              <w:bottom w:val="single" w:color="auto" w:sz="4" w:space="0"/>
              <w:right w:val="single" w:color="auto" w:sz="4" w:space="0"/>
            </w:tcBorders>
            <w:shd w:val="clear" w:color="auto" w:fill="auto"/>
            <w:noWrap/>
            <w:vAlign w:val="bottom"/>
          </w:tcPr>
          <w:p w14:paraId="123CAF1D">
            <w:pPr>
              <w:widowControl/>
              <w:jc w:val="center"/>
              <w:rPr>
                <w:rFonts w:hint="eastAsia" w:ascii="宋体" w:hAnsi="宋体" w:cs="宋体"/>
                <w:i/>
                <w:iCs/>
                <w:kern w:val="0"/>
                <w:sz w:val="18"/>
                <w:szCs w:val="18"/>
              </w:rPr>
            </w:pPr>
          </w:p>
        </w:tc>
        <w:tc>
          <w:tcPr>
            <w:tcW w:w="372" w:type="pct"/>
            <w:tcBorders>
              <w:top w:val="nil"/>
              <w:left w:val="nil"/>
              <w:bottom w:val="single" w:color="auto" w:sz="4" w:space="0"/>
              <w:right w:val="single" w:color="auto" w:sz="4" w:space="0"/>
            </w:tcBorders>
            <w:shd w:val="clear" w:color="auto" w:fill="auto"/>
            <w:noWrap/>
            <w:vAlign w:val="bottom"/>
          </w:tcPr>
          <w:p w14:paraId="3D169439">
            <w:pPr>
              <w:widowControl/>
              <w:jc w:val="center"/>
              <w:rPr>
                <w:rFonts w:hint="eastAsia" w:ascii="宋体" w:hAnsi="宋体" w:cs="宋体"/>
                <w:kern w:val="0"/>
                <w:sz w:val="18"/>
                <w:szCs w:val="18"/>
              </w:rPr>
            </w:pPr>
          </w:p>
        </w:tc>
        <w:tc>
          <w:tcPr>
            <w:tcW w:w="440" w:type="pct"/>
            <w:tcBorders>
              <w:top w:val="nil"/>
              <w:left w:val="nil"/>
              <w:bottom w:val="single" w:color="auto" w:sz="4" w:space="0"/>
              <w:right w:val="single" w:color="auto" w:sz="4" w:space="0"/>
            </w:tcBorders>
            <w:shd w:val="clear" w:color="auto" w:fill="auto"/>
            <w:noWrap/>
            <w:vAlign w:val="bottom"/>
          </w:tcPr>
          <w:p w14:paraId="26411A63">
            <w:pPr>
              <w:widowControl/>
              <w:jc w:val="left"/>
              <w:rPr>
                <w:rFonts w:hint="eastAsia" w:ascii="宋体" w:hAnsi="宋体" w:cs="宋体"/>
                <w:kern w:val="0"/>
                <w:sz w:val="18"/>
                <w:szCs w:val="18"/>
              </w:rPr>
            </w:pPr>
          </w:p>
        </w:tc>
        <w:tc>
          <w:tcPr>
            <w:tcW w:w="1698" w:type="pct"/>
            <w:tcBorders>
              <w:top w:val="nil"/>
              <w:left w:val="nil"/>
              <w:bottom w:val="single" w:color="auto" w:sz="4" w:space="0"/>
              <w:right w:val="single" w:color="auto" w:sz="4" w:space="0"/>
            </w:tcBorders>
            <w:shd w:val="clear" w:color="auto" w:fill="auto"/>
            <w:noWrap/>
          </w:tcPr>
          <w:p w14:paraId="2A9E0CFA">
            <w:pPr>
              <w:widowControl/>
              <w:jc w:val="center"/>
              <w:rPr>
                <w:rFonts w:hint="eastAsia" w:ascii="宋体" w:hAnsi="宋体" w:cs="宋体"/>
                <w:kern w:val="0"/>
                <w:sz w:val="18"/>
                <w:szCs w:val="18"/>
              </w:rPr>
            </w:pPr>
          </w:p>
        </w:tc>
      </w:tr>
      <w:tr w14:paraId="1D111A1A">
        <w:tblPrEx>
          <w:tblCellMar>
            <w:top w:w="0" w:type="dxa"/>
            <w:left w:w="0" w:type="dxa"/>
            <w:bottom w:w="0" w:type="dxa"/>
            <w:right w:w="0" w:type="dxa"/>
          </w:tblCellMar>
        </w:tblPrEx>
        <w:trPr>
          <w:trHeight w:val="345" w:hRule="atLeast"/>
        </w:trPr>
        <w:tc>
          <w:tcPr>
            <w:tcW w:w="191" w:type="pct"/>
            <w:tcBorders>
              <w:top w:val="nil"/>
              <w:left w:val="single" w:color="auto" w:sz="4" w:space="0"/>
              <w:bottom w:val="single" w:color="auto" w:sz="4" w:space="0"/>
              <w:right w:val="single" w:color="auto" w:sz="4" w:space="0"/>
            </w:tcBorders>
          </w:tcPr>
          <w:p w14:paraId="092D3004">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1743" w:type="pct"/>
            <w:tcBorders>
              <w:top w:val="nil"/>
              <w:left w:val="single" w:color="auto" w:sz="4" w:space="0"/>
              <w:bottom w:val="single" w:color="auto" w:sz="4" w:space="0"/>
              <w:right w:val="single" w:color="auto" w:sz="4" w:space="0"/>
            </w:tcBorders>
            <w:shd w:val="clear" w:color="auto" w:fill="auto"/>
            <w:noWrap/>
            <w:vAlign w:val="bottom"/>
          </w:tcPr>
          <w:p w14:paraId="2597BC42">
            <w:pPr>
              <w:widowControl/>
              <w:jc w:val="left"/>
              <w:rPr>
                <w:rFonts w:hint="eastAsia" w:ascii="宋体" w:hAnsi="宋体" w:cs="宋体"/>
                <w:kern w:val="0"/>
                <w:sz w:val="18"/>
                <w:szCs w:val="18"/>
              </w:rPr>
            </w:pPr>
            <w:r>
              <w:rPr>
                <w:rFonts w:hint="eastAsia" w:ascii="宋体" w:hAnsi="宋体" w:cs="宋体"/>
                <w:kern w:val="0"/>
                <w:sz w:val="18"/>
                <w:szCs w:val="18"/>
                <w:lang w:eastAsia="zh-CN"/>
              </w:rPr>
              <w:t>锡</w:t>
            </w:r>
            <w:r>
              <w:rPr>
                <w:rFonts w:hint="eastAsia" w:ascii="宋体" w:hAnsi="宋体" w:cs="宋体"/>
                <w:kern w:val="0"/>
                <w:sz w:val="18"/>
                <w:szCs w:val="18"/>
              </w:rPr>
              <w:t>精矿</w:t>
            </w:r>
          </w:p>
        </w:tc>
        <w:tc>
          <w:tcPr>
            <w:tcW w:w="278" w:type="pct"/>
            <w:tcBorders>
              <w:top w:val="nil"/>
              <w:left w:val="nil"/>
              <w:bottom w:val="single" w:color="auto" w:sz="4" w:space="0"/>
              <w:right w:val="single" w:color="auto" w:sz="4" w:space="0"/>
            </w:tcBorders>
            <w:shd w:val="clear" w:color="auto" w:fill="auto"/>
            <w:noWrap/>
            <w:vAlign w:val="bottom"/>
          </w:tcPr>
          <w:p w14:paraId="491DE94C">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278" w:type="pct"/>
            <w:tcBorders>
              <w:top w:val="nil"/>
              <w:left w:val="nil"/>
              <w:bottom w:val="single" w:color="auto" w:sz="4" w:space="0"/>
              <w:right w:val="single" w:color="auto" w:sz="4" w:space="0"/>
            </w:tcBorders>
            <w:shd w:val="clear" w:color="auto" w:fill="auto"/>
            <w:noWrap/>
            <w:vAlign w:val="bottom"/>
          </w:tcPr>
          <w:p w14:paraId="1B8BE0BA">
            <w:pPr>
              <w:widowControl/>
              <w:jc w:val="center"/>
              <w:rPr>
                <w:rFonts w:hint="eastAsia" w:ascii="宋体" w:hAnsi="宋体" w:cs="宋体"/>
                <w:i/>
                <w:iCs/>
                <w:kern w:val="0"/>
                <w:sz w:val="18"/>
                <w:szCs w:val="18"/>
              </w:rPr>
            </w:pPr>
            <w:r>
              <w:rPr>
                <w:rFonts w:hint="eastAsia" w:ascii="宋体" w:hAnsi="宋体" w:cs="宋体"/>
                <w:i/>
                <w:iCs/>
                <w:kern w:val="0"/>
                <w:sz w:val="18"/>
                <w:szCs w:val="18"/>
              </w:rPr>
              <w:t>A</w:t>
            </w:r>
          </w:p>
        </w:tc>
        <w:tc>
          <w:tcPr>
            <w:tcW w:w="372" w:type="pct"/>
            <w:tcBorders>
              <w:top w:val="nil"/>
              <w:left w:val="nil"/>
              <w:bottom w:val="single" w:color="auto" w:sz="4" w:space="0"/>
              <w:right w:val="single" w:color="auto" w:sz="4" w:space="0"/>
            </w:tcBorders>
            <w:shd w:val="clear" w:color="auto" w:fill="auto"/>
            <w:noWrap/>
            <w:vAlign w:val="bottom"/>
          </w:tcPr>
          <w:p w14:paraId="60390A6C">
            <w:pPr>
              <w:widowControl/>
              <w:jc w:val="center"/>
              <w:rPr>
                <w:rFonts w:hint="eastAsia" w:ascii="宋体" w:hAnsi="宋体" w:cs="宋体"/>
                <w:i/>
                <w:iCs/>
                <w:kern w:val="0"/>
                <w:sz w:val="18"/>
                <w:szCs w:val="18"/>
              </w:rPr>
            </w:pPr>
            <w:r>
              <w:rPr>
                <w:rFonts w:hint="eastAsia" w:ascii="宋体" w:hAnsi="宋体" w:cs="宋体"/>
                <w:i/>
                <w:iCs/>
                <w:kern w:val="0"/>
                <w:sz w:val="18"/>
                <w:szCs w:val="18"/>
              </w:rPr>
              <w:t>P</w:t>
            </w:r>
            <w:r>
              <w:rPr>
                <w:rFonts w:hint="eastAsia" w:ascii="宋体" w:hAnsi="宋体" w:cs="宋体"/>
                <w:i/>
                <w:iCs/>
                <w:kern w:val="0"/>
                <w:sz w:val="18"/>
                <w:szCs w:val="18"/>
                <w:vertAlign w:val="subscript"/>
              </w:rPr>
              <w:t>1</w:t>
            </w:r>
          </w:p>
        </w:tc>
        <w:tc>
          <w:tcPr>
            <w:tcW w:w="440" w:type="pct"/>
            <w:vMerge w:val="restart"/>
            <w:tcBorders>
              <w:top w:val="nil"/>
              <w:left w:val="single" w:color="auto" w:sz="4" w:space="0"/>
              <w:bottom w:val="single" w:color="auto" w:sz="4" w:space="0"/>
              <w:right w:val="single" w:color="auto" w:sz="4" w:space="0"/>
            </w:tcBorders>
            <w:shd w:val="clear" w:color="auto" w:fill="auto"/>
            <w:noWrap/>
            <w:vAlign w:val="center"/>
          </w:tcPr>
          <w:p w14:paraId="0751BCAF">
            <w:pPr>
              <w:widowControl/>
              <w:jc w:val="center"/>
              <w:rPr>
                <w:rFonts w:hint="eastAsia" w:ascii="宋体" w:hAnsi="宋体" w:cs="宋体"/>
                <w:i/>
                <w:iCs/>
                <w:kern w:val="0"/>
                <w:sz w:val="18"/>
                <w:szCs w:val="18"/>
              </w:rPr>
            </w:pPr>
            <w:r>
              <w:rPr>
                <w:rFonts w:hint="eastAsia" w:ascii="宋体" w:hAnsi="宋体" w:cs="宋体"/>
                <w:i/>
                <w:iCs/>
                <w:kern w:val="0"/>
                <w:sz w:val="18"/>
                <w:szCs w:val="18"/>
              </w:rPr>
              <w:t>P</w:t>
            </w:r>
            <w:r>
              <w:rPr>
                <w:rFonts w:hint="eastAsia" w:ascii="宋体" w:hAnsi="宋体" w:cs="宋体"/>
                <w:i/>
                <w:iCs/>
                <w:kern w:val="0"/>
                <w:sz w:val="18"/>
                <w:szCs w:val="18"/>
                <w:vertAlign w:val="subscript"/>
              </w:rPr>
              <w:t>2</w:t>
            </w:r>
            <w:r>
              <w:rPr>
                <w:rFonts w:hint="eastAsia" w:ascii="宋体" w:hAnsi="宋体" w:cs="宋体"/>
                <w:i/>
                <w:iCs/>
                <w:kern w:val="0"/>
                <w:sz w:val="18"/>
                <w:szCs w:val="18"/>
              </w:rPr>
              <w:t>∶P</w:t>
            </w:r>
            <w:r>
              <w:rPr>
                <w:rFonts w:hint="eastAsia" w:ascii="宋体" w:hAnsi="宋体" w:cs="宋体"/>
                <w:i/>
                <w:iCs/>
                <w:kern w:val="0"/>
                <w:sz w:val="18"/>
                <w:szCs w:val="18"/>
                <w:vertAlign w:val="subscript"/>
              </w:rPr>
              <w:t>1</w:t>
            </w:r>
            <w:r>
              <w:rPr>
                <w:rFonts w:hint="eastAsia" w:ascii="宋体" w:hAnsi="宋体" w:cs="宋体"/>
                <w:i/>
                <w:iCs/>
                <w:kern w:val="0"/>
                <w:sz w:val="18"/>
                <w:szCs w:val="18"/>
              </w:rPr>
              <w:t>&gt;4</w:t>
            </w:r>
          </w:p>
        </w:tc>
        <w:tc>
          <w:tcPr>
            <w:tcW w:w="1698" w:type="pct"/>
            <w:tcBorders>
              <w:top w:val="nil"/>
              <w:left w:val="nil"/>
              <w:bottom w:val="single" w:color="auto" w:sz="4" w:space="0"/>
              <w:right w:val="single" w:color="auto" w:sz="4" w:space="0"/>
            </w:tcBorders>
            <w:shd w:val="clear" w:color="auto" w:fill="auto"/>
            <w:noWrap/>
            <w:vAlign w:val="bottom"/>
          </w:tcPr>
          <w:p w14:paraId="65C04B2E">
            <w:pPr>
              <w:widowControl/>
              <w:jc w:val="left"/>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lang w:eastAsia="zh-CN"/>
              </w:rPr>
              <w:t>锡</w:t>
            </w:r>
            <w:r>
              <w:rPr>
                <w:rFonts w:hint="eastAsia" w:ascii="宋体" w:hAnsi="宋体" w:cs="宋体"/>
                <w:i/>
                <w:iCs/>
                <w:kern w:val="0"/>
                <w:sz w:val="18"/>
                <w:szCs w:val="18"/>
                <w:vertAlign w:val="subscript"/>
              </w:rPr>
              <w:t>精矿</w:t>
            </w:r>
            <w:r>
              <w:rPr>
                <w:rFonts w:hint="eastAsia" w:ascii="宋体" w:hAnsi="宋体" w:cs="宋体"/>
                <w:i/>
                <w:iCs/>
                <w:kern w:val="0"/>
                <w:sz w:val="18"/>
                <w:szCs w:val="18"/>
              </w:rPr>
              <w:t>=E</w:t>
            </w:r>
            <w:r>
              <w:rPr>
                <w:rFonts w:hint="eastAsia" w:ascii="宋体" w:hAnsi="宋体" w:cs="宋体"/>
                <w:i/>
                <w:iCs/>
                <w:kern w:val="0"/>
                <w:sz w:val="18"/>
                <w:szCs w:val="18"/>
                <w:vertAlign w:val="subscript"/>
              </w:rPr>
              <w:t>0</w:t>
            </w:r>
            <w:r>
              <w:rPr>
                <w:rFonts w:hint="eastAsia" w:ascii="宋体" w:hAnsi="宋体" w:cs="宋体"/>
                <w:i/>
                <w:iCs/>
                <w:kern w:val="0"/>
                <w:sz w:val="18"/>
                <w:szCs w:val="18"/>
              </w:rPr>
              <w:t>×(A×P</w:t>
            </w:r>
            <w:r>
              <w:rPr>
                <w:rFonts w:hint="eastAsia" w:ascii="宋体" w:hAnsi="宋体" w:cs="宋体"/>
                <w:i/>
                <w:iCs/>
                <w:kern w:val="0"/>
                <w:sz w:val="18"/>
                <w:szCs w:val="18"/>
                <w:vertAlign w:val="subscript"/>
              </w:rPr>
              <w:t>1</w:t>
            </w:r>
            <w:r>
              <w:rPr>
                <w:rFonts w:hint="eastAsia" w:ascii="宋体" w:hAnsi="宋体" w:cs="宋体"/>
                <w:i/>
                <w:iCs/>
                <w:kern w:val="0"/>
                <w:sz w:val="18"/>
                <w:szCs w:val="18"/>
              </w:rPr>
              <w:t>)/(A×P</w:t>
            </w:r>
            <w:r>
              <w:rPr>
                <w:rFonts w:hint="eastAsia" w:ascii="宋体" w:hAnsi="宋体" w:cs="宋体"/>
                <w:i/>
                <w:iCs/>
                <w:kern w:val="0"/>
                <w:sz w:val="18"/>
                <w:szCs w:val="18"/>
                <w:vertAlign w:val="subscript"/>
              </w:rPr>
              <w:t>1</w:t>
            </w:r>
            <w:r>
              <w:rPr>
                <w:rFonts w:hint="eastAsia" w:ascii="宋体" w:hAnsi="宋体" w:cs="宋体"/>
                <w:i/>
                <w:iCs/>
                <w:kern w:val="0"/>
                <w:sz w:val="18"/>
                <w:szCs w:val="18"/>
              </w:rPr>
              <w:t>+B×P</w:t>
            </w:r>
            <w:r>
              <w:rPr>
                <w:rFonts w:hint="eastAsia" w:ascii="宋体" w:hAnsi="宋体" w:cs="宋体"/>
                <w:i/>
                <w:iCs/>
                <w:kern w:val="0"/>
                <w:sz w:val="18"/>
                <w:szCs w:val="18"/>
                <w:vertAlign w:val="subscript"/>
              </w:rPr>
              <w:t>2</w:t>
            </w:r>
            <w:r>
              <w:rPr>
                <w:rFonts w:hint="eastAsia" w:ascii="宋体" w:hAnsi="宋体" w:cs="宋体"/>
                <w:i/>
                <w:iCs/>
                <w:kern w:val="0"/>
                <w:sz w:val="18"/>
                <w:szCs w:val="18"/>
              </w:rPr>
              <w:t>)+E</w:t>
            </w:r>
            <w:r>
              <w:rPr>
                <w:rFonts w:hint="eastAsia" w:ascii="宋体" w:hAnsi="宋体" w:cs="宋体"/>
                <w:i/>
                <w:iCs/>
                <w:kern w:val="0"/>
                <w:sz w:val="18"/>
                <w:szCs w:val="18"/>
                <w:vertAlign w:val="subscript"/>
              </w:rPr>
              <w:t>1</w:t>
            </w:r>
          </w:p>
        </w:tc>
      </w:tr>
      <w:tr w14:paraId="06F03314">
        <w:tblPrEx>
          <w:tblCellMar>
            <w:top w:w="0" w:type="dxa"/>
            <w:left w:w="0" w:type="dxa"/>
            <w:bottom w:w="0" w:type="dxa"/>
            <w:right w:w="0" w:type="dxa"/>
          </w:tblCellMar>
        </w:tblPrEx>
        <w:trPr>
          <w:trHeight w:val="345" w:hRule="atLeast"/>
        </w:trPr>
        <w:tc>
          <w:tcPr>
            <w:tcW w:w="191" w:type="pct"/>
            <w:tcBorders>
              <w:top w:val="single" w:color="auto" w:sz="4" w:space="0"/>
              <w:left w:val="single" w:color="auto" w:sz="4" w:space="0"/>
              <w:bottom w:val="single" w:color="auto" w:sz="4" w:space="0"/>
              <w:right w:val="single" w:color="auto" w:sz="4" w:space="0"/>
            </w:tcBorders>
          </w:tcPr>
          <w:p w14:paraId="34230A9F">
            <w:pPr>
              <w:widowControl/>
              <w:jc w:val="center"/>
              <w:rPr>
                <w:rFonts w:hint="eastAsia" w:ascii="宋体" w:hAnsi="宋体" w:cs="宋体"/>
                <w:kern w:val="0"/>
                <w:sz w:val="18"/>
                <w:szCs w:val="18"/>
              </w:rPr>
            </w:pPr>
            <w:r>
              <w:rPr>
                <w:rFonts w:hint="eastAsia" w:ascii="宋体" w:hAnsi="宋体" w:cs="宋体"/>
                <w:kern w:val="0"/>
                <w:sz w:val="18"/>
                <w:szCs w:val="18"/>
              </w:rPr>
              <w:t>3</w:t>
            </w:r>
          </w:p>
        </w:tc>
        <w:tc>
          <w:tcPr>
            <w:tcW w:w="1743"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F5B51ED">
            <w:pPr>
              <w:widowControl/>
              <w:jc w:val="left"/>
              <w:rPr>
                <w:rFonts w:hint="eastAsia" w:ascii="宋体" w:hAnsi="宋体" w:cs="宋体"/>
                <w:kern w:val="0"/>
                <w:sz w:val="18"/>
                <w:szCs w:val="18"/>
              </w:rPr>
            </w:pPr>
            <w:r>
              <w:rPr>
                <w:rFonts w:hint="eastAsia" w:ascii="宋体" w:hAnsi="宋体" w:cs="宋体"/>
                <w:kern w:val="0"/>
                <w:sz w:val="18"/>
                <w:szCs w:val="18"/>
              </w:rPr>
              <w:t>硫精矿</w:t>
            </w:r>
          </w:p>
        </w:tc>
        <w:tc>
          <w:tcPr>
            <w:tcW w:w="278" w:type="pct"/>
            <w:tcBorders>
              <w:top w:val="single" w:color="auto" w:sz="4" w:space="0"/>
              <w:left w:val="nil"/>
              <w:bottom w:val="single" w:color="auto" w:sz="4" w:space="0"/>
              <w:right w:val="single" w:color="auto" w:sz="4" w:space="0"/>
            </w:tcBorders>
            <w:shd w:val="clear" w:color="auto" w:fill="auto"/>
            <w:noWrap/>
            <w:vAlign w:val="bottom"/>
          </w:tcPr>
          <w:p w14:paraId="2D62B49C">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278" w:type="pct"/>
            <w:tcBorders>
              <w:top w:val="single" w:color="auto" w:sz="4" w:space="0"/>
              <w:left w:val="nil"/>
              <w:bottom w:val="single" w:color="auto" w:sz="4" w:space="0"/>
              <w:right w:val="single" w:color="auto" w:sz="4" w:space="0"/>
            </w:tcBorders>
            <w:shd w:val="clear" w:color="auto" w:fill="auto"/>
            <w:noWrap/>
            <w:vAlign w:val="bottom"/>
          </w:tcPr>
          <w:p w14:paraId="3EB79166">
            <w:pPr>
              <w:widowControl/>
              <w:jc w:val="center"/>
              <w:rPr>
                <w:rFonts w:hint="eastAsia" w:ascii="宋体" w:hAnsi="宋体" w:cs="宋体"/>
                <w:i/>
                <w:iCs/>
                <w:kern w:val="0"/>
                <w:sz w:val="18"/>
                <w:szCs w:val="18"/>
              </w:rPr>
            </w:pPr>
            <w:r>
              <w:rPr>
                <w:rFonts w:hint="eastAsia" w:ascii="宋体" w:hAnsi="宋体" w:cs="宋体"/>
                <w:i/>
                <w:iCs/>
                <w:kern w:val="0"/>
                <w:sz w:val="18"/>
                <w:szCs w:val="18"/>
              </w:rPr>
              <w:t>B</w:t>
            </w:r>
          </w:p>
        </w:tc>
        <w:tc>
          <w:tcPr>
            <w:tcW w:w="372" w:type="pct"/>
            <w:tcBorders>
              <w:top w:val="single" w:color="auto" w:sz="4" w:space="0"/>
              <w:left w:val="nil"/>
              <w:bottom w:val="single" w:color="auto" w:sz="4" w:space="0"/>
              <w:right w:val="single" w:color="auto" w:sz="4" w:space="0"/>
            </w:tcBorders>
            <w:shd w:val="clear" w:color="auto" w:fill="auto"/>
            <w:noWrap/>
            <w:vAlign w:val="bottom"/>
          </w:tcPr>
          <w:p w14:paraId="2351CFE5">
            <w:pPr>
              <w:widowControl/>
              <w:jc w:val="center"/>
              <w:rPr>
                <w:rFonts w:hint="eastAsia" w:ascii="宋体" w:hAnsi="宋体" w:cs="宋体"/>
                <w:i/>
                <w:iCs/>
                <w:kern w:val="0"/>
                <w:sz w:val="18"/>
                <w:szCs w:val="18"/>
              </w:rPr>
            </w:pPr>
            <w:r>
              <w:rPr>
                <w:rFonts w:hint="eastAsia" w:ascii="宋体" w:hAnsi="宋体" w:cs="宋体"/>
                <w:i/>
                <w:iCs/>
                <w:kern w:val="0"/>
                <w:sz w:val="18"/>
                <w:szCs w:val="18"/>
              </w:rPr>
              <w:t>P</w:t>
            </w:r>
            <w:r>
              <w:rPr>
                <w:rFonts w:hint="eastAsia" w:ascii="宋体" w:hAnsi="宋体" w:cs="宋体"/>
                <w:i/>
                <w:iCs/>
                <w:kern w:val="0"/>
                <w:sz w:val="18"/>
                <w:szCs w:val="18"/>
                <w:vertAlign w:val="subscript"/>
              </w:rPr>
              <w:t>2</w:t>
            </w: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14A155DE">
            <w:pPr>
              <w:widowControl/>
              <w:jc w:val="left"/>
              <w:rPr>
                <w:rFonts w:hint="eastAsia" w:ascii="宋体" w:hAnsi="宋体" w:cs="宋体"/>
                <w:i/>
                <w:iCs/>
                <w:kern w:val="0"/>
                <w:sz w:val="18"/>
                <w:szCs w:val="18"/>
              </w:rPr>
            </w:pPr>
          </w:p>
        </w:tc>
        <w:tc>
          <w:tcPr>
            <w:tcW w:w="1698" w:type="pct"/>
            <w:tcBorders>
              <w:top w:val="single" w:color="auto" w:sz="4" w:space="0"/>
              <w:left w:val="nil"/>
              <w:bottom w:val="single" w:color="auto" w:sz="4" w:space="0"/>
              <w:right w:val="single" w:color="auto" w:sz="4" w:space="0"/>
            </w:tcBorders>
            <w:shd w:val="clear" w:color="auto" w:fill="auto"/>
            <w:noWrap/>
            <w:vAlign w:val="bottom"/>
          </w:tcPr>
          <w:p w14:paraId="0C67D8AE">
            <w:pPr>
              <w:widowControl/>
              <w:jc w:val="left"/>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硫精矿</w:t>
            </w:r>
            <w:r>
              <w:rPr>
                <w:rFonts w:hint="eastAsia" w:ascii="宋体" w:hAnsi="宋体" w:cs="宋体"/>
                <w:i/>
                <w:iCs/>
                <w:kern w:val="0"/>
                <w:sz w:val="18"/>
                <w:szCs w:val="18"/>
              </w:rPr>
              <w:t>=E</w:t>
            </w:r>
            <w:r>
              <w:rPr>
                <w:rFonts w:hint="eastAsia" w:ascii="宋体" w:hAnsi="宋体" w:cs="宋体"/>
                <w:i/>
                <w:iCs/>
                <w:kern w:val="0"/>
                <w:sz w:val="18"/>
                <w:szCs w:val="18"/>
                <w:vertAlign w:val="subscript"/>
              </w:rPr>
              <w:t>0</w:t>
            </w:r>
            <w:r>
              <w:rPr>
                <w:rFonts w:hint="eastAsia" w:ascii="宋体" w:hAnsi="宋体" w:cs="宋体"/>
                <w:i/>
                <w:iCs/>
                <w:kern w:val="0"/>
                <w:sz w:val="18"/>
                <w:szCs w:val="18"/>
              </w:rPr>
              <w:t>×(B×P</w:t>
            </w:r>
            <w:r>
              <w:rPr>
                <w:rFonts w:hint="eastAsia" w:ascii="宋体" w:hAnsi="宋体" w:cs="宋体"/>
                <w:i/>
                <w:iCs/>
                <w:kern w:val="0"/>
                <w:sz w:val="18"/>
                <w:szCs w:val="18"/>
                <w:vertAlign w:val="subscript"/>
              </w:rPr>
              <w:t>2</w:t>
            </w:r>
            <w:r>
              <w:rPr>
                <w:rFonts w:hint="eastAsia" w:ascii="宋体" w:hAnsi="宋体" w:cs="宋体"/>
                <w:i/>
                <w:iCs/>
                <w:kern w:val="0"/>
                <w:sz w:val="18"/>
                <w:szCs w:val="18"/>
              </w:rPr>
              <w:t>)/(A×P</w:t>
            </w:r>
            <w:r>
              <w:rPr>
                <w:rFonts w:hint="eastAsia" w:ascii="宋体" w:hAnsi="宋体" w:cs="宋体"/>
                <w:i/>
                <w:iCs/>
                <w:kern w:val="0"/>
                <w:sz w:val="18"/>
                <w:szCs w:val="18"/>
                <w:vertAlign w:val="subscript"/>
              </w:rPr>
              <w:t>1</w:t>
            </w:r>
            <w:r>
              <w:rPr>
                <w:rFonts w:hint="eastAsia" w:ascii="宋体" w:hAnsi="宋体" w:cs="宋体"/>
                <w:i/>
                <w:iCs/>
                <w:kern w:val="0"/>
                <w:sz w:val="18"/>
                <w:szCs w:val="18"/>
              </w:rPr>
              <w:t>+B×P</w:t>
            </w:r>
            <w:r>
              <w:rPr>
                <w:rFonts w:hint="eastAsia" w:ascii="宋体" w:hAnsi="宋体" w:cs="宋体"/>
                <w:i/>
                <w:iCs/>
                <w:kern w:val="0"/>
                <w:sz w:val="18"/>
                <w:szCs w:val="18"/>
                <w:vertAlign w:val="subscript"/>
              </w:rPr>
              <w:t>2</w:t>
            </w:r>
            <w:r>
              <w:rPr>
                <w:rFonts w:hint="eastAsia" w:ascii="宋体" w:hAnsi="宋体" w:cs="宋体"/>
                <w:i/>
                <w:iCs/>
                <w:kern w:val="0"/>
                <w:sz w:val="18"/>
                <w:szCs w:val="18"/>
              </w:rPr>
              <w:t>)+E</w:t>
            </w:r>
            <w:r>
              <w:rPr>
                <w:rFonts w:hint="eastAsia" w:ascii="宋体" w:hAnsi="宋体" w:cs="宋体"/>
                <w:i/>
                <w:iCs/>
                <w:kern w:val="0"/>
                <w:sz w:val="18"/>
                <w:szCs w:val="18"/>
                <w:vertAlign w:val="subscript"/>
              </w:rPr>
              <w:t>2</w:t>
            </w:r>
          </w:p>
        </w:tc>
      </w:tr>
      <w:tr w14:paraId="5AF78E72">
        <w:tblPrEx>
          <w:tblCellMar>
            <w:top w:w="0" w:type="dxa"/>
            <w:left w:w="0" w:type="dxa"/>
            <w:bottom w:w="0" w:type="dxa"/>
            <w:right w:w="0" w:type="dxa"/>
          </w:tblCellMar>
        </w:tblPrEx>
        <w:trPr>
          <w:trHeight w:val="345" w:hRule="atLeast"/>
        </w:trPr>
        <w:tc>
          <w:tcPr>
            <w:tcW w:w="191" w:type="pct"/>
            <w:tcBorders>
              <w:top w:val="single" w:color="auto" w:sz="4" w:space="0"/>
              <w:left w:val="single" w:color="auto" w:sz="4" w:space="0"/>
              <w:bottom w:val="single" w:color="auto" w:sz="4" w:space="0"/>
              <w:right w:val="single" w:color="auto" w:sz="4" w:space="0"/>
            </w:tcBorders>
          </w:tcPr>
          <w:p w14:paraId="47E42BA8">
            <w:pPr>
              <w:widowControl/>
              <w:jc w:val="center"/>
              <w:rPr>
                <w:rFonts w:hint="eastAsia" w:ascii="宋体" w:hAnsi="宋体" w:cs="宋体"/>
                <w:kern w:val="0"/>
                <w:sz w:val="18"/>
                <w:szCs w:val="18"/>
              </w:rPr>
            </w:pPr>
          </w:p>
        </w:tc>
        <w:tc>
          <w:tcPr>
            <w:tcW w:w="1743"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76B9803">
            <w:pPr>
              <w:widowControl/>
              <w:jc w:val="left"/>
              <w:rPr>
                <w:rFonts w:hint="eastAsia" w:ascii="宋体" w:hAnsi="宋体" w:cs="宋体"/>
                <w:kern w:val="0"/>
                <w:sz w:val="18"/>
                <w:szCs w:val="18"/>
              </w:rPr>
            </w:pPr>
            <w:r>
              <w:rPr>
                <w:rFonts w:hint="eastAsia" w:ascii="宋体" w:hAnsi="宋体" w:cs="宋体"/>
                <w:kern w:val="0"/>
                <w:sz w:val="18"/>
                <w:szCs w:val="18"/>
              </w:rPr>
              <w:t>…</w:t>
            </w:r>
          </w:p>
        </w:tc>
        <w:tc>
          <w:tcPr>
            <w:tcW w:w="278" w:type="pct"/>
            <w:tcBorders>
              <w:top w:val="single" w:color="auto" w:sz="4" w:space="0"/>
              <w:left w:val="nil"/>
              <w:bottom w:val="single" w:color="auto" w:sz="4" w:space="0"/>
              <w:right w:val="single" w:color="auto" w:sz="4" w:space="0"/>
            </w:tcBorders>
            <w:shd w:val="clear" w:color="auto" w:fill="auto"/>
            <w:noWrap/>
            <w:vAlign w:val="bottom"/>
          </w:tcPr>
          <w:p w14:paraId="15B3659D">
            <w:pPr>
              <w:widowControl/>
              <w:jc w:val="center"/>
              <w:rPr>
                <w:rFonts w:hint="eastAsia" w:ascii="宋体" w:hAnsi="宋体" w:cs="宋体"/>
                <w:kern w:val="0"/>
                <w:sz w:val="18"/>
                <w:szCs w:val="18"/>
              </w:rPr>
            </w:pPr>
          </w:p>
        </w:tc>
        <w:tc>
          <w:tcPr>
            <w:tcW w:w="278" w:type="pct"/>
            <w:tcBorders>
              <w:top w:val="single" w:color="auto" w:sz="4" w:space="0"/>
              <w:left w:val="nil"/>
              <w:bottom w:val="single" w:color="auto" w:sz="4" w:space="0"/>
              <w:right w:val="single" w:color="auto" w:sz="4" w:space="0"/>
            </w:tcBorders>
            <w:shd w:val="clear" w:color="auto" w:fill="auto"/>
            <w:noWrap/>
            <w:vAlign w:val="bottom"/>
          </w:tcPr>
          <w:p w14:paraId="1E4DE632">
            <w:pPr>
              <w:widowControl/>
              <w:jc w:val="center"/>
              <w:rPr>
                <w:rFonts w:hint="eastAsia" w:ascii="宋体" w:hAnsi="宋体" w:cs="宋体"/>
                <w:i/>
                <w:iCs/>
                <w:kern w:val="0"/>
                <w:sz w:val="18"/>
                <w:szCs w:val="18"/>
              </w:rPr>
            </w:pPr>
          </w:p>
        </w:tc>
        <w:tc>
          <w:tcPr>
            <w:tcW w:w="372" w:type="pct"/>
            <w:tcBorders>
              <w:top w:val="single" w:color="auto" w:sz="4" w:space="0"/>
              <w:left w:val="nil"/>
              <w:bottom w:val="single" w:color="auto" w:sz="4" w:space="0"/>
              <w:right w:val="single" w:color="auto" w:sz="4" w:space="0"/>
            </w:tcBorders>
            <w:shd w:val="clear" w:color="auto" w:fill="auto"/>
            <w:noWrap/>
            <w:vAlign w:val="bottom"/>
          </w:tcPr>
          <w:p w14:paraId="2D84BB72">
            <w:pPr>
              <w:widowControl/>
              <w:jc w:val="center"/>
              <w:rPr>
                <w:rFonts w:hint="eastAsia" w:ascii="宋体" w:hAnsi="宋体" w:cs="宋体"/>
                <w:i/>
                <w:iCs/>
                <w:kern w:val="0"/>
                <w:sz w:val="18"/>
                <w:szCs w:val="18"/>
              </w:rPr>
            </w:pPr>
          </w:p>
        </w:tc>
        <w:tc>
          <w:tcPr>
            <w:tcW w:w="440" w:type="pct"/>
            <w:tcBorders>
              <w:top w:val="single" w:color="auto" w:sz="4" w:space="0"/>
              <w:left w:val="single" w:color="auto" w:sz="4" w:space="0"/>
              <w:bottom w:val="single" w:color="000000" w:sz="4" w:space="0"/>
              <w:right w:val="single" w:color="auto" w:sz="4" w:space="0"/>
            </w:tcBorders>
            <w:vAlign w:val="center"/>
          </w:tcPr>
          <w:p w14:paraId="5817CF7E">
            <w:pPr>
              <w:widowControl/>
              <w:jc w:val="left"/>
              <w:rPr>
                <w:rFonts w:hint="eastAsia" w:ascii="宋体" w:hAnsi="宋体" w:cs="宋体"/>
                <w:i/>
                <w:iCs/>
                <w:kern w:val="0"/>
                <w:sz w:val="18"/>
                <w:szCs w:val="18"/>
              </w:rPr>
            </w:pPr>
          </w:p>
        </w:tc>
        <w:tc>
          <w:tcPr>
            <w:tcW w:w="1698" w:type="pct"/>
            <w:tcBorders>
              <w:top w:val="single" w:color="auto" w:sz="4" w:space="0"/>
              <w:left w:val="nil"/>
              <w:bottom w:val="single" w:color="auto" w:sz="4" w:space="0"/>
              <w:right w:val="single" w:color="auto" w:sz="4" w:space="0"/>
            </w:tcBorders>
            <w:shd w:val="clear" w:color="auto" w:fill="auto"/>
            <w:noWrap/>
            <w:vAlign w:val="bottom"/>
          </w:tcPr>
          <w:p w14:paraId="247FEEC4">
            <w:pPr>
              <w:widowControl/>
              <w:jc w:val="left"/>
              <w:rPr>
                <w:rFonts w:hint="eastAsia" w:ascii="宋体" w:hAnsi="宋体" w:cs="宋体"/>
                <w:i/>
                <w:iCs/>
                <w:kern w:val="0"/>
                <w:sz w:val="18"/>
                <w:szCs w:val="18"/>
              </w:rPr>
            </w:pPr>
          </w:p>
        </w:tc>
      </w:tr>
    </w:tbl>
    <w:p w14:paraId="6620A2EC">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rPr>
        <w:t>选矿产出的尾矿如果被销售作为建筑原材料时，可参照表D.1的示例进行分配计算。</w:t>
      </w:r>
    </w:p>
    <w:p w14:paraId="0D172D13">
      <w:pPr>
        <w:autoSpaceDE w:val="0"/>
        <w:autoSpaceDN w:val="0"/>
        <w:adjustRightInd w:val="0"/>
        <w:spacing w:before="156" w:beforeLines="50" w:after="156" w:afterLines="50"/>
        <w:rPr>
          <w:rFonts w:hint="eastAsia" w:ascii="黑体" w:hAnsi="黑体" w:eastAsia="黑体" w:cs="EUAlbertina"/>
          <w:b/>
          <w:color w:val="000000"/>
          <w:kern w:val="0"/>
          <w:szCs w:val="21"/>
        </w:rPr>
      </w:pPr>
      <w:r>
        <w:rPr>
          <w:rFonts w:hint="eastAsia" w:ascii="黑体" w:hAnsi="黑体" w:eastAsia="黑体" w:cs="EUAlbertina"/>
          <w:kern w:val="0"/>
          <w:szCs w:val="21"/>
        </w:rPr>
        <w:t xml:space="preserve">D.3  冶炼 </w:t>
      </w:r>
    </w:p>
    <w:p w14:paraId="4D28F69C">
      <w:pPr>
        <w:adjustRightInd w:val="0"/>
        <w:snapToGrid w:val="0"/>
        <w:spacing w:line="360" w:lineRule="auto"/>
        <w:rPr>
          <w:rFonts w:hint="eastAsia" w:ascii="黑体" w:hAnsi="黑体" w:eastAsia="黑体" w:cs="EUAlbertina"/>
          <w:szCs w:val="21"/>
        </w:rPr>
      </w:pPr>
      <w:r>
        <w:rPr>
          <w:rFonts w:hint="eastAsia" w:ascii="黑体" w:hAnsi="黑体" w:eastAsia="黑体" w:cs="EUAlbertina"/>
          <w:kern w:val="0"/>
          <w:szCs w:val="21"/>
        </w:rPr>
        <w:t>D.3.1 烟气制硫酸</w:t>
      </w:r>
    </w:p>
    <w:p w14:paraId="37EB65E3">
      <w:pPr>
        <w:pStyle w:val="61"/>
        <w:rPr>
          <w:rFonts w:hint="eastAsia"/>
        </w:rPr>
      </w:pPr>
      <w:r>
        <w:rPr>
          <w:rFonts w:hint="eastAsia"/>
        </w:rPr>
        <w:t>硫酸：建议优先采用细分过程的分配方法，即将制酸单元（从收尘后的烟气开始，到产出硫酸产品为止，包括污酸处理和酸性废水处理）的输入和输出全部分配给硫酸产品。如果报告主体没有建立分车间的统计而无法获得制酸单元的输入输出，方可采用系统扩展方法。</w:t>
      </w:r>
    </w:p>
    <w:p w14:paraId="33B99BDA">
      <w:pPr>
        <w:adjustRightInd w:val="0"/>
        <w:snapToGrid w:val="0"/>
        <w:spacing w:line="360" w:lineRule="auto"/>
        <w:rPr>
          <w:rFonts w:hint="eastAsia" w:ascii="黑体" w:hAnsi="黑体" w:eastAsia="黑体" w:cs="EUAlbertina"/>
          <w:szCs w:val="21"/>
        </w:rPr>
      </w:pPr>
      <w:r>
        <w:rPr>
          <w:rFonts w:hint="eastAsia" w:ascii="黑体" w:hAnsi="黑体" w:eastAsia="黑体" w:cs="EUAlbertina"/>
          <w:kern w:val="0"/>
          <w:szCs w:val="21"/>
        </w:rPr>
        <w:t>D.3.2 精炼共生产品</w:t>
      </w:r>
    </w:p>
    <w:p w14:paraId="729CC319">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rPr>
        <w:t>精炼流程可能共生阳极泥、粗铜等，这些共生产品在企业产值中占较高比例，虽然价格通常与</w:t>
      </w:r>
      <w:r>
        <w:rPr>
          <w:rFonts w:hint="eastAsia" w:ascii="宋体" w:hAnsi="宋体"/>
          <w:kern w:val="0"/>
          <w:szCs w:val="20"/>
          <w:lang w:eastAsia="zh-CN"/>
        </w:rPr>
        <w:t>锡</w:t>
      </w:r>
      <w:r>
        <w:rPr>
          <w:rFonts w:hint="eastAsia" w:ascii="宋体" w:hAnsi="宋体"/>
          <w:kern w:val="0"/>
          <w:szCs w:val="20"/>
        </w:rPr>
        <w:t>锭产品价格差异较大（价格比例大于4），仍推荐按质量进行分配。</w:t>
      </w:r>
    </w:p>
    <w:p w14:paraId="02F58C2C">
      <w:pPr>
        <w:autoSpaceDE w:val="0"/>
        <w:autoSpaceDN w:val="0"/>
        <w:adjustRightInd w:val="0"/>
        <w:spacing w:before="156" w:beforeLines="50" w:after="156" w:afterLines="50"/>
        <w:rPr>
          <w:rFonts w:hint="eastAsia" w:ascii="黑体" w:hAnsi="黑体" w:eastAsia="黑体" w:cs="EUAlbertina"/>
          <w:b/>
          <w:color w:val="000000"/>
          <w:kern w:val="0"/>
          <w:szCs w:val="21"/>
        </w:rPr>
      </w:pPr>
      <w:r>
        <w:rPr>
          <w:rFonts w:hint="eastAsia" w:ascii="黑体" w:hAnsi="黑体" w:eastAsia="黑体" w:cs="EUAlbertina"/>
          <w:kern w:val="0"/>
          <w:szCs w:val="21"/>
        </w:rPr>
        <w:t xml:space="preserve">D.4  </w:t>
      </w:r>
      <w:r>
        <w:rPr>
          <w:rFonts w:hint="eastAsia" w:ascii="黑体" w:hAnsi="黑体" w:eastAsia="黑体" w:cs="EUAlbertina"/>
          <w:kern w:val="0"/>
          <w:szCs w:val="21"/>
          <w:lang w:eastAsia="zh-CN"/>
        </w:rPr>
        <w:t>回收锡原料</w:t>
      </w:r>
      <w:r>
        <w:rPr>
          <w:rFonts w:hint="eastAsia" w:ascii="黑体" w:hAnsi="黑体" w:eastAsia="黑体" w:cs="EUAlbertina"/>
          <w:kern w:val="0"/>
          <w:szCs w:val="21"/>
        </w:rPr>
        <w:t xml:space="preserve"> </w:t>
      </w:r>
    </w:p>
    <w:p w14:paraId="210F31A7">
      <w:pPr>
        <w:pStyle w:val="61"/>
        <w:rPr>
          <w:rFonts w:hint="eastAsia"/>
        </w:rPr>
      </w:pPr>
      <w:r>
        <w:rPr>
          <w:rFonts w:hint="eastAsia"/>
        </w:rPr>
        <w:t>消费前</w:t>
      </w:r>
      <w:r>
        <w:rPr>
          <w:rFonts w:hint="eastAsia"/>
          <w:lang w:eastAsia="zh-CN"/>
        </w:rPr>
        <w:t>回收锡原料</w:t>
      </w:r>
      <w:r>
        <w:rPr>
          <w:rFonts w:hint="eastAsia"/>
        </w:rPr>
        <w:t>：工业生产产生的</w:t>
      </w:r>
      <w:r>
        <w:rPr>
          <w:rFonts w:hint="eastAsia"/>
          <w:lang w:eastAsia="zh-CN"/>
        </w:rPr>
        <w:t>回收锡原料</w:t>
      </w:r>
      <w:r>
        <w:rPr>
          <w:rFonts w:hint="eastAsia"/>
        </w:rPr>
        <w:t>，如性质未发生明显改变（如加工产生的边角料），宜按废料在废料供应企业原料的占比进行分配，进入使用该废料的产品系统中；如性质发生改变（如</w:t>
      </w:r>
      <w:r>
        <w:rPr>
          <w:rFonts w:hint="eastAsia"/>
          <w:lang w:eastAsia="zh-CN"/>
        </w:rPr>
        <w:t>锡</w:t>
      </w:r>
      <w:r>
        <w:rPr>
          <w:rFonts w:hint="eastAsia"/>
        </w:rPr>
        <w:t>银渣），宜按这部分废料的经济价值占比进行分配；如果报告主体没有建立分车间的统计而无法获得制酸单元的输入输出，方可采用系统扩展方法，并计入其下游使用该废料的产品系统中。</w:t>
      </w:r>
    </w:p>
    <w:p w14:paraId="5EF099F4">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rPr>
        <w:t>消费后</w:t>
      </w:r>
      <w:r>
        <w:rPr>
          <w:rFonts w:hint="eastAsia" w:ascii="宋体" w:hAnsi="宋体"/>
          <w:kern w:val="0"/>
          <w:szCs w:val="20"/>
          <w:lang w:eastAsia="zh-CN"/>
        </w:rPr>
        <w:t>回收锡原料</w:t>
      </w:r>
      <w:r>
        <w:rPr>
          <w:rFonts w:hint="eastAsia" w:ascii="宋体" w:hAnsi="宋体"/>
          <w:kern w:val="0"/>
          <w:szCs w:val="20"/>
        </w:rPr>
        <w:t>：废料回收主要是受回收材料的经济性驱动，为简化处理，终端产品生命末期处理和回收的排放可全部分配给后续使用回收废料的产品系统，即回收产品承担了生命末期处理和回收的排放。上一个产品系统不承担回收处理的排放，也不享受可回收材料的碳信用抵扣。</w:t>
      </w:r>
    </w:p>
    <w:p w14:paraId="4F4EFEA8">
      <w:pPr>
        <w:autoSpaceDE w:val="0"/>
        <w:autoSpaceDN w:val="0"/>
        <w:adjustRightInd w:val="0"/>
        <w:spacing w:before="156" w:beforeLines="50" w:after="156" w:afterLines="50"/>
        <w:rPr>
          <w:rFonts w:hint="eastAsia" w:ascii="黑体" w:hAnsi="黑体" w:eastAsia="黑体" w:cs="EUAlbertina"/>
          <w:b/>
          <w:color w:val="000000"/>
          <w:kern w:val="0"/>
          <w:szCs w:val="21"/>
        </w:rPr>
      </w:pPr>
      <w:r>
        <w:rPr>
          <w:rFonts w:hint="eastAsia" w:ascii="黑体" w:hAnsi="黑体" w:eastAsia="黑体" w:cs="EUAlbertina"/>
          <w:kern w:val="0"/>
          <w:szCs w:val="21"/>
        </w:rPr>
        <w:t xml:space="preserve">D.5  运输 </w:t>
      </w:r>
    </w:p>
    <w:p w14:paraId="148066CE">
      <w:pPr>
        <w:pStyle w:val="61"/>
        <w:rPr>
          <w:rFonts w:hint="eastAsia"/>
        </w:rPr>
      </w:pPr>
      <w:r>
        <w:rPr>
          <w:rFonts w:hint="eastAsia"/>
        </w:rPr>
        <w:t>两种物料一起运输时</w:t>
      </w:r>
      <w:r>
        <w:t>，则应基于重量或体积（</w:t>
      </w:r>
      <w:r>
        <w:rPr>
          <w:rFonts w:hint="eastAsia"/>
        </w:rPr>
        <w:t>以</w:t>
      </w:r>
      <w:r>
        <w:t>制约因素</w:t>
      </w:r>
      <w:r>
        <w:rPr>
          <w:rFonts w:hint="eastAsia"/>
        </w:rPr>
        <w:t>为主</w:t>
      </w:r>
      <w:r>
        <w:t>）来对运输产生的温室气体排放进行分配。</w:t>
      </w:r>
      <w:r>
        <w:rPr>
          <w:rFonts w:hint="eastAsia"/>
        </w:rPr>
        <w:t>计算示例如表D.3。</w:t>
      </w:r>
    </w:p>
    <w:p w14:paraId="1CF4AEDA">
      <w:pPr>
        <w:pStyle w:val="61"/>
        <w:jc w:val="center"/>
        <w:rPr>
          <w:rFonts w:hint="eastAsia" w:ascii="黑体" w:hAnsi="黑体" w:eastAsia="黑体"/>
        </w:rPr>
      </w:pPr>
      <w:r>
        <w:rPr>
          <w:rFonts w:hint="eastAsia" w:ascii="黑体" w:hAnsi="黑体" w:eastAsia="黑体"/>
        </w:rPr>
        <w:t>表D.3    运输单元排放分配计算示例</w:t>
      </w:r>
    </w:p>
    <w:tbl>
      <w:tblPr>
        <w:tblStyle w:val="22"/>
        <w:tblW w:w="7900" w:type="dxa"/>
        <w:tblInd w:w="0" w:type="dxa"/>
        <w:tblLayout w:type="autofit"/>
        <w:tblCellMar>
          <w:top w:w="0" w:type="dxa"/>
          <w:left w:w="108" w:type="dxa"/>
          <w:bottom w:w="0" w:type="dxa"/>
          <w:right w:w="108" w:type="dxa"/>
        </w:tblCellMar>
      </w:tblPr>
      <w:tblGrid>
        <w:gridCol w:w="3100"/>
        <w:gridCol w:w="1080"/>
        <w:gridCol w:w="1080"/>
        <w:gridCol w:w="2640"/>
      </w:tblGrid>
      <w:tr w14:paraId="63B43CCE">
        <w:tblPrEx>
          <w:tblCellMar>
            <w:top w:w="0" w:type="dxa"/>
            <w:left w:w="108" w:type="dxa"/>
            <w:bottom w:w="0" w:type="dxa"/>
            <w:right w:w="108" w:type="dxa"/>
          </w:tblCellMar>
        </w:tblPrEx>
        <w:trPr>
          <w:trHeight w:val="285" w:hRule="atLeast"/>
        </w:trPr>
        <w:tc>
          <w:tcPr>
            <w:tcW w:w="31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E495A4">
            <w:pPr>
              <w:widowControl/>
              <w:jc w:val="center"/>
              <w:rPr>
                <w:rFonts w:hint="eastAsia" w:ascii="宋体" w:hAnsi="宋体" w:cs="宋体"/>
                <w:kern w:val="0"/>
                <w:sz w:val="18"/>
                <w:szCs w:val="18"/>
              </w:rPr>
            </w:pPr>
            <w:r>
              <w:rPr>
                <w:rFonts w:hint="eastAsia" w:ascii="宋体" w:hAnsi="宋体" w:cs="宋体"/>
                <w:kern w:val="0"/>
                <w:sz w:val="18"/>
                <w:szCs w:val="18"/>
              </w:rPr>
              <w:t>输  出</w:t>
            </w:r>
          </w:p>
        </w:tc>
        <w:tc>
          <w:tcPr>
            <w:tcW w:w="1080" w:type="dxa"/>
            <w:tcBorders>
              <w:top w:val="single" w:color="auto" w:sz="4" w:space="0"/>
              <w:left w:val="nil"/>
              <w:bottom w:val="single" w:color="auto" w:sz="4" w:space="0"/>
              <w:right w:val="single" w:color="auto" w:sz="4" w:space="0"/>
            </w:tcBorders>
            <w:shd w:val="clear" w:color="auto" w:fill="auto"/>
            <w:noWrap/>
            <w:vAlign w:val="bottom"/>
          </w:tcPr>
          <w:p w14:paraId="694DBA79">
            <w:pPr>
              <w:widowControl/>
              <w:jc w:val="center"/>
              <w:rPr>
                <w:rFonts w:hint="eastAsia" w:ascii="宋体" w:hAnsi="宋体" w:cs="宋体"/>
                <w:kern w:val="0"/>
                <w:sz w:val="18"/>
                <w:szCs w:val="18"/>
              </w:rPr>
            </w:pPr>
            <w:r>
              <w:rPr>
                <w:rFonts w:hint="eastAsia" w:ascii="宋体" w:hAnsi="宋体" w:cs="宋体"/>
                <w:kern w:val="0"/>
                <w:sz w:val="18"/>
                <w:szCs w:val="18"/>
              </w:rPr>
              <w:t>单位</w:t>
            </w:r>
          </w:p>
        </w:tc>
        <w:tc>
          <w:tcPr>
            <w:tcW w:w="1080" w:type="dxa"/>
            <w:tcBorders>
              <w:top w:val="single" w:color="auto" w:sz="4" w:space="0"/>
              <w:left w:val="nil"/>
              <w:bottom w:val="single" w:color="auto" w:sz="4" w:space="0"/>
              <w:right w:val="single" w:color="auto" w:sz="4" w:space="0"/>
            </w:tcBorders>
            <w:shd w:val="clear" w:color="auto" w:fill="auto"/>
            <w:noWrap/>
            <w:vAlign w:val="bottom"/>
          </w:tcPr>
          <w:p w14:paraId="65F7A492">
            <w:pPr>
              <w:widowControl/>
              <w:jc w:val="center"/>
              <w:rPr>
                <w:rFonts w:hint="eastAsia" w:ascii="宋体" w:hAnsi="宋体" w:cs="宋体"/>
                <w:kern w:val="0"/>
                <w:sz w:val="18"/>
                <w:szCs w:val="18"/>
              </w:rPr>
            </w:pPr>
            <w:r>
              <w:rPr>
                <w:rFonts w:hint="eastAsia" w:ascii="宋体" w:hAnsi="宋体" w:cs="宋体"/>
                <w:kern w:val="0"/>
                <w:sz w:val="18"/>
                <w:szCs w:val="18"/>
              </w:rPr>
              <w:t>质量</w:t>
            </w:r>
          </w:p>
        </w:tc>
        <w:tc>
          <w:tcPr>
            <w:tcW w:w="2640" w:type="dxa"/>
            <w:tcBorders>
              <w:top w:val="single" w:color="auto" w:sz="4" w:space="0"/>
              <w:left w:val="nil"/>
              <w:bottom w:val="single" w:color="auto" w:sz="4" w:space="0"/>
              <w:right w:val="single" w:color="auto" w:sz="4" w:space="0"/>
            </w:tcBorders>
            <w:shd w:val="clear" w:color="auto" w:fill="auto"/>
            <w:noWrap/>
            <w:vAlign w:val="bottom"/>
          </w:tcPr>
          <w:p w14:paraId="68717577">
            <w:pPr>
              <w:widowControl/>
              <w:jc w:val="center"/>
              <w:rPr>
                <w:rFonts w:hint="eastAsia" w:ascii="宋体" w:hAnsi="宋体" w:cs="宋体"/>
                <w:kern w:val="0"/>
                <w:sz w:val="18"/>
                <w:szCs w:val="18"/>
              </w:rPr>
            </w:pPr>
            <w:r>
              <w:rPr>
                <w:rFonts w:hint="eastAsia" w:ascii="宋体" w:hAnsi="宋体" w:cs="宋体"/>
                <w:kern w:val="0"/>
                <w:sz w:val="18"/>
                <w:szCs w:val="18"/>
              </w:rPr>
              <w:t>GHG排放的分配</w:t>
            </w:r>
          </w:p>
        </w:tc>
      </w:tr>
      <w:tr w14:paraId="509E1BC3">
        <w:tblPrEx>
          <w:tblCellMar>
            <w:top w:w="0" w:type="dxa"/>
            <w:left w:w="108" w:type="dxa"/>
            <w:bottom w:w="0" w:type="dxa"/>
            <w:right w:w="108" w:type="dxa"/>
          </w:tblCellMar>
        </w:tblPrEx>
        <w:trPr>
          <w:trHeight w:val="285" w:hRule="atLeast"/>
        </w:trPr>
        <w:tc>
          <w:tcPr>
            <w:tcW w:w="3100" w:type="dxa"/>
            <w:tcBorders>
              <w:top w:val="nil"/>
              <w:left w:val="single" w:color="auto" w:sz="4" w:space="0"/>
              <w:bottom w:val="single" w:color="auto" w:sz="4" w:space="0"/>
              <w:right w:val="single" w:color="auto" w:sz="4" w:space="0"/>
            </w:tcBorders>
            <w:shd w:val="clear" w:color="auto" w:fill="auto"/>
            <w:noWrap/>
            <w:vAlign w:val="bottom"/>
          </w:tcPr>
          <w:p w14:paraId="148D9E3A">
            <w:pPr>
              <w:widowControl/>
              <w:jc w:val="left"/>
              <w:rPr>
                <w:rFonts w:hint="eastAsia" w:ascii="宋体" w:hAnsi="宋体" w:cs="宋体"/>
                <w:kern w:val="0"/>
                <w:sz w:val="18"/>
                <w:szCs w:val="18"/>
              </w:rPr>
            </w:pPr>
            <w:r>
              <w:rPr>
                <w:rFonts w:hint="eastAsia" w:ascii="宋体" w:hAnsi="宋体" w:cs="宋体"/>
                <w:kern w:val="0"/>
                <w:sz w:val="18"/>
                <w:szCs w:val="18"/>
              </w:rPr>
              <w:t>运输单元温室气体排放量</w:t>
            </w:r>
          </w:p>
        </w:tc>
        <w:tc>
          <w:tcPr>
            <w:tcW w:w="1080" w:type="dxa"/>
            <w:tcBorders>
              <w:top w:val="nil"/>
              <w:left w:val="nil"/>
              <w:bottom w:val="single" w:color="auto" w:sz="4" w:space="0"/>
              <w:right w:val="single" w:color="auto" w:sz="4" w:space="0"/>
            </w:tcBorders>
            <w:shd w:val="clear" w:color="auto" w:fill="auto"/>
            <w:noWrap/>
            <w:vAlign w:val="bottom"/>
          </w:tcPr>
          <w:p w14:paraId="17FBE66C">
            <w:pPr>
              <w:widowControl/>
              <w:jc w:val="center"/>
              <w:rPr>
                <w:rFonts w:hint="eastAsia" w:ascii="宋体" w:hAnsi="宋体" w:cs="宋体"/>
                <w:kern w:val="0"/>
                <w:sz w:val="18"/>
                <w:szCs w:val="18"/>
              </w:rPr>
            </w:pPr>
            <w:r>
              <w:rPr>
                <w:rFonts w:hint="eastAsia" w:ascii="宋体" w:hAnsi="宋体" w:cs="宋体"/>
                <w:kern w:val="0"/>
                <w:sz w:val="18"/>
                <w:szCs w:val="18"/>
              </w:rPr>
              <w:t>kgCO</w:t>
            </w:r>
            <w:r>
              <w:rPr>
                <w:rFonts w:hint="eastAsia" w:ascii="宋体" w:hAnsi="宋体" w:cs="宋体"/>
                <w:kern w:val="0"/>
                <w:sz w:val="18"/>
                <w:szCs w:val="18"/>
                <w:vertAlign w:val="subscript"/>
              </w:rPr>
              <w:t>2</w:t>
            </w:r>
            <w:r>
              <w:rPr>
                <w:rFonts w:hint="eastAsia" w:ascii="宋体" w:hAnsi="宋体" w:cs="宋体"/>
                <w:kern w:val="0"/>
                <w:sz w:val="18"/>
                <w:szCs w:val="18"/>
              </w:rPr>
              <w:t>e</w:t>
            </w:r>
          </w:p>
        </w:tc>
        <w:tc>
          <w:tcPr>
            <w:tcW w:w="1080" w:type="dxa"/>
            <w:tcBorders>
              <w:top w:val="nil"/>
              <w:left w:val="nil"/>
              <w:bottom w:val="single" w:color="auto" w:sz="4" w:space="0"/>
              <w:right w:val="single" w:color="auto" w:sz="4" w:space="0"/>
            </w:tcBorders>
            <w:shd w:val="clear" w:color="auto" w:fill="auto"/>
            <w:noWrap/>
            <w:vAlign w:val="bottom"/>
          </w:tcPr>
          <w:p w14:paraId="35C37E6C">
            <w:pPr>
              <w:widowControl/>
              <w:jc w:val="center"/>
              <w:rPr>
                <w:rFonts w:hint="eastAsia" w:ascii="宋体" w:hAnsi="宋体" w:cs="宋体"/>
                <w:i/>
                <w:iCs/>
                <w:kern w:val="0"/>
                <w:sz w:val="18"/>
                <w:szCs w:val="18"/>
              </w:rPr>
            </w:pPr>
            <w:r>
              <w:rPr>
                <w:rFonts w:hint="eastAsia" w:ascii="宋体" w:hAnsi="宋体" w:cs="宋体"/>
                <w:i/>
                <w:iCs/>
                <w:kern w:val="0"/>
                <w:sz w:val="18"/>
                <w:szCs w:val="18"/>
              </w:rPr>
              <w:t>E</w:t>
            </w:r>
          </w:p>
        </w:tc>
        <w:tc>
          <w:tcPr>
            <w:tcW w:w="2640" w:type="dxa"/>
            <w:tcBorders>
              <w:top w:val="nil"/>
              <w:left w:val="nil"/>
              <w:bottom w:val="single" w:color="auto" w:sz="4" w:space="0"/>
              <w:right w:val="single" w:color="auto" w:sz="4" w:space="0"/>
            </w:tcBorders>
            <w:shd w:val="clear" w:color="auto" w:fill="auto"/>
            <w:noWrap/>
            <w:vAlign w:val="bottom"/>
          </w:tcPr>
          <w:p w14:paraId="27D5D020">
            <w:pPr>
              <w:widowControl/>
              <w:jc w:val="center"/>
              <w:rPr>
                <w:rFonts w:hint="eastAsia" w:ascii="宋体" w:hAnsi="宋体" w:cs="宋体"/>
                <w:i/>
                <w:iCs/>
                <w:kern w:val="0"/>
                <w:sz w:val="18"/>
                <w:szCs w:val="18"/>
              </w:rPr>
            </w:pPr>
            <w:r>
              <w:rPr>
                <w:rFonts w:hint="eastAsia" w:ascii="宋体" w:hAnsi="宋体" w:cs="宋体"/>
                <w:i/>
                <w:iCs/>
                <w:kern w:val="0"/>
                <w:sz w:val="18"/>
                <w:szCs w:val="18"/>
              </w:rPr>
              <w:t>—</w:t>
            </w:r>
          </w:p>
        </w:tc>
      </w:tr>
      <w:tr w14:paraId="3BF53344">
        <w:tblPrEx>
          <w:tblCellMar>
            <w:top w:w="0" w:type="dxa"/>
            <w:left w:w="108" w:type="dxa"/>
            <w:bottom w:w="0" w:type="dxa"/>
            <w:right w:w="108" w:type="dxa"/>
          </w:tblCellMar>
        </w:tblPrEx>
        <w:trPr>
          <w:trHeight w:val="345" w:hRule="atLeast"/>
        </w:trPr>
        <w:tc>
          <w:tcPr>
            <w:tcW w:w="3100" w:type="dxa"/>
            <w:tcBorders>
              <w:top w:val="nil"/>
              <w:left w:val="single" w:color="auto" w:sz="4" w:space="0"/>
              <w:bottom w:val="single" w:color="auto" w:sz="4" w:space="0"/>
              <w:right w:val="single" w:color="auto" w:sz="4" w:space="0"/>
            </w:tcBorders>
            <w:shd w:val="clear" w:color="auto" w:fill="auto"/>
            <w:noWrap/>
            <w:vAlign w:val="bottom"/>
          </w:tcPr>
          <w:p w14:paraId="5C9BF442">
            <w:pPr>
              <w:widowControl/>
              <w:jc w:val="left"/>
              <w:rPr>
                <w:rFonts w:hint="eastAsia" w:ascii="宋体" w:hAnsi="宋体" w:cs="宋体"/>
                <w:kern w:val="0"/>
                <w:sz w:val="18"/>
                <w:szCs w:val="18"/>
              </w:rPr>
            </w:pPr>
            <w:r>
              <w:rPr>
                <w:rFonts w:hint="eastAsia" w:ascii="宋体" w:hAnsi="宋体" w:cs="宋体"/>
                <w:kern w:val="0"/>
                <w:sz w:val="18"/>
                <w:szCs w:val="18"/>
              </w:rPr>
              <w:t>共同运输物料1</w:t>
            </w:r>
          </w:p>
        </w:tc>
        <w:tc>
          <w:tcPr>
            <w:tcW w:w="1080" w:type="dxa"/>
            <w:tcBorders>
              <w:top w:val="nil"/>
              <w:left w:val="nil"/>
              <w:bottom w:val="single" w:color="auto" w:sz="4" w:space="0"/>
              <w:right w:val="single" w:color="auto" w:sz="4" w:space="0"/>
            </w:tcBorders>
            <w:shd w:val="clear" w:color="auto" w:fill="auto"/>
            <w:noWrap/>
            <w:vAlign w:val="bottom"/>
          </w:tcPr>
          <w:p w14:paraId="65F681CF">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1080" w:type="dxa"/>
            <w:tcBorders>
              <w:top w:val="nil"/>
              <w:left w:val="nil"/>
              <w:bottom w:val="single" w:color="auto" w:sz="4" w:space="0"/>
              <w:right w:val="single" w:color="auto" w:sz="4" w:space="0"/>
            </w:tcBorders>
            <w:shd w:val="clear" w:color="auto" w:fill="auto"/>
            <w:noWrap/>
            <w:vAlign w:val="bottom"/>
          </w:tcPr>
          <w:p w14:paraId="3CDEC960">
            <w:pPr>
              <w:widowControl/>
              <w:jc w:val="center"/>
              <w:rPr>
                <w:rFonts w:hint="eastAsia" w:ascii="宋体" w:hAnsi="宋体" w:cs="宋体"/>
                <w:i/>
                <w:iCs/>
                <w:kern w:val="0"/>
                <w:sz w:val="18"/>
                <w:szCs w:val="18"/>
              </w:rPr>
            </w:pPr>
            <w:r>
              <w:rPr>
                <w:rFonts w:hint="eastAsia" w:ascii="宋体" w:hAnsi="宋体" w:cs="宋体"/>
                <w:i/>
                <w:iCs/>
                <w:kern w:val="0"/>
                <w:sz w:val="18"/>
                <w:szCs w:val="18"/>
              </w:rPr>
              <w:t>A</w:t>
            </w:r>
          </w:p>
        </w:tc>
        <w:tc>
          <w:tcPr>
            <w:tcW w:w="2640" w:type="dxa"/>
            <w:tcBorders>
              <w:top w:val="nil"/>
              <w:left w:val="nil"/>
              <w:bottom w:val="single" w:color="auto" w:sz="4" w:space="0"/>
              <w:right w:val="single" w:color="auto" w:sz="4" w:space="0"/>
            </w:tcBorders>
            <w:shd w:val="clear" w:color="auto" w:fill="auto"/>
            <w:noWrap/>
            <w:vAlign w:val="bottom"/>
          </w:tcPr>
          <w:p w14:paraId="49E04649">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物料1</w:t>
            </w:r>
            <w:r>
              <w:rPr>
                <w:rFonts w:hint="eastAsia" w:ascii="宋体" w:hAnsi="宋体" w:cs="宋体"/>
                <w:i/>
                <w:iCs/>
                <w:kern w:val="0"/>
                <w:sz w:val="18"/>
                <w:szCs w:val="18"/>
              </w:rPr>
              <w:t>=E×A/(A+B)</w:t>
            </w:r>
          </w:p>
        </w:tc>
      </w:tr>
      <w:tr w14:paraId="6423038A">
        <w:tblPrEx>
          <w:tblCellMar>
            <w:top w:w="0" w:type="dxa"/>
            <w:left w:w="108" w:type="dxa"/>
            <w:bottom w:w="0" w:type="dxa"/>
            <w:right w:w="108" w:type="dxa"/>
          </w:tblCellMar>
        </w:tblPrEx>
        <w:trPr>
          <w:trHeight w:val="345" w:hRule="atLeast"/>
        </w:trPr>
        <w:tc>
          <w:tcPr>
            <w:tcW w:w="3100" w:type="dxa"/>
            <w:tcBorders>
              <w:top w:val="nil"/>
              <w:left w:val="single" w:color="auto" w:sz="4" w:space="0"/>
              <w:bottom w:val="single" w:color="auto" w:sz="4" w:space="0"/>
              <w:right w:val="single" w:color="auto" w:sz="4" w:space="0"/>
            </w:tcBorders>
            <w:shd w:val="clear" w:color="auto" w:fill="auto"/>
            <w:noWrap/>
            <w:vAlign w:val="bottom"/>
          </w:tcPr>
          <w:p w14:paraId="48BC7BE3">
            <w:pPr>
              <w:widowControl/>
              <w:jc w:val="left"/>
              <w:rPr>
                <w:rFonts w:hint="eastAsia" w:ascii="宋体" w:hAnsi="宋体" w:cs="宋体"/>
                <w:kern w:val="0"/>
                <w:sz w:val="18"/>
                <w:szCs w:val="18"/>
              </w:rPr>
            </w:pPr>
            <w:r>
              <w:rPr>
                <w:rFonts w:hint="eastAsia" w:ascii="宋体" w:hAnsi="宋体" w:cs="宋体"/>
                <w:kern w:val="0"/>
                <w:sz w:val="18"/>
                <w:szCs w:val="18"/>
              </w:rPr>
              <w:t>共同运输物料2</w:t>
            </w:r>
          </w:p>
        </w:tc>
        <w:tc>
          <w:tcPr>
            <w:tcW w:w="1080" w:type="dxa"/>
            <w:tcBorders>
              <w:top w:val="nil"/>
              <w:left w:val="nil"/>
              <w:bottom w:val="single" w:color="auto" w:sz="4" w:space="0"/>
              <w:right w:val="single" w:color="auto" w:sz="4" w:space="0"/>
            </w:tcBorders>
            <w:shd w:val="clear" w:color="auto" w:fill="auto"/>
            <w:noWrap/>
            <w:vAlign w:val="bottom"/>
          </w:tcPr>
          <w:p w14:paraId="01E9988C">
            <w:pPr>
              <w:widowControl/>
              <w:jc w:val="center"/>
              <w:rPr>
                <w:rFonts w:hint="eastAsia" w:ascii="宋体" w:hAnsi="宋体" w:cs="宋体"/>
                <w:kern w:val="0"/>
                <w:sz w:val="18"/>
                <w:szCs w:val="18"/>
              </w:rPr>
            </w:pPr>
            <w:r>
              <w:rPr>
                <w:rFonts w:hint="eastAsia" w:ascii="宋体" w:hAnsi="宋体" w:cs="宋体"/>
                <w:kern w:val="0"/>
                <w:sz w:val="18"/>
                <w:szCs w:val="18"/>
              </w:rPr>
              <w:t>t</w:t>
            </w:r>
          </w:p>
        </w:tc>
        <w:tc>
          <w:tcPr>
            <w:tcW w:w="1080" w:type="dxa"/>
            <w:tcBorders>
              <w:top w:val="nil"/>
              <w:left w:val="nil"/>
              <w:bottom w:val="single" w:color="auto" w:sz="4" w:space="0"/>
              <w:right w:val="single" w:color="auto" w:sz="4" w:space="0"/>
            </w:tcBorders>
            <w:shd w:val="clear" w:color="auto" w:fill="auto"/>
            <w:noWrap/>
            <w:vAlign w:val="bottom"/>
          </w:tcPr>
          <w:p w14:paraId="798DE79B">
            <w:pPr>
              <w:widowControl/>
              <w:jc w:val="center"/>
              <w:rPr>
                <w:rFonts w:hint="eastAsia" w:ascii="宋体" w:hAnsi="宋体" w:cs="宋体"/>
                <w:i/>
                <w:iCs/>
                <w:kern w:val="0"/>
                <w:sz w:val="18"/>
                <w:szCs w:val="18"/>
              </w:rPr>
            </w:pPr>
            <w:r>
              <w:rPr>
                <w:rFonts w:hint="eastAsia" w:ascii="宋体" w:hAnsi="宋体" w:cs="宋体"/>
                <w:i/>
                <w:iCs/>
                <w:kern w:val="0"/>
                <w:sz w:val="18"/>
                <w:szCs w:val="18"/>
              </w:rPr>
              <w:t>B</w:t>
            </w:r>
          </w:p>
        </w:tc>
        <w:tc>
          <w:tcPr>
            <w:tcW w:w="2640" w:type="dxa"/>
            <w:tcBorders>
              <w:top w:val="nil"/>
              <w:left w:val="nil"/>
              <w:bottom w:val="single" w:color="auto" w:sz="4" w:space="0"/>
              <w:right w:val="single" w:color="auto" w:sz="4" w:space="0"/>
            </w:tcBorders>
            <w:shd w:val="clear" w:color="auto" w:fill="auto"/>
            <w:noWrap/>
            <w:vAlign w:val="bottom"/>
          </w:tcPr>
          <w:p w14:paraId="53FB20B8">
            <w:pPr>
              <w:widowControl/>
              <w:jc w:val="center"/>
              <w:rPr>
                <w:rFonts w:hint="eastAsia" w:ascii="宋体" w:hAnsi="宋体" w:cs="宋体"/>
                <w:i/>
                <w:iCs/>
                <w:kern w:val="0"/>
                <w:sz w:val="18"/>
                <w:szCs w:val="18"/>
              </w:rPr>
            </w:pPr>
            <w:r>
              <w:rPr>
                <w:rFonts w:hint="eastAsia" w:ascii="宋体" w:hAnsi="宋体" w:cs="宋体"/>
                <w:i/>
                <w:iCs/>
                <w:kern w:val="0"/>
                <w:sz w:val="18"/>
                <w:szCs w:val="18"/>
              </w:rPr>
              <w:t>E</w:t>
            </w:r>
            <w:r>
              <w:rPr>
                <w:rFonts w:hint="eastAsia" w:ascii="宋体" w:hAnsi="宋体" w:cs="宋体"/>
                <w:i/>
                <w:iCs/>
                <w:kern w:val="0"/>
                <w:sz w:val="18"/>
                <w:szCs w:val="18"/>
                <w:vertAlign w:val="subscript"/>
              </w:rPr>
              <w:t>物料2</w:t>
            </w:r>
            <w:r>
              <w:rPr>
                <w:rFonts w:hint="eastAsia" w:ascii="宋体" w:hAnsi="宋体" w:cs="宋体"/>
                <w:i/>
                <w:iCs/>
                <w:kern w:val="0"/>
                <w:sz w:val="18"/>
                <w:szCs w:val="18"/>
              </w:rPr>
              <w:t>=E×B/(A+B)</w:t>
            </w:r>
          </w:p>
        </w:tc>
      </w:tr>
    </w:tbl>
    <w:p w14:paraId="248C44C8">
      <w:pPr>
        <w:widowControl/>
        <w:tabs>
          <w:tab w:val="center" w:pos="4201"/>
          <w:tab w:val="right" w:leader="dot" w:pos="9298"/>
        </w:tabs>
        <w:autoSpaceDE w:val="0"/>
        <w:autoSpaceDN w:val="0"/>
        <w:ind w:firstLine="420" w:firstLineChars="200"/>
        <w:rPr>
          <w:rFonts w:hint="eastAsia" w:ascii="宋体" w:hAnsi="宋体"/>
          <w:kern w:val="0"/>
          <w:szCs w:val="20"/>
        </w:rPr>
      </w:pPr>
    </w:p>
    <w:p w14:paraId="343766A7"/>
    <w:p w14:paraId="4C69DEC6"/>
    <w:p w14:paraId="14941E0F"/>
    <w:p w14:paraId="50C0E1E8">
      <w:pPr>
        <w:sectPr>
          <w:footerReference r:id="rId11" w:type="even"/>
          <w:pgSz w:w="11906" w:h="16838"/>
          <w:pgMar w:top="1418" w:right="1800" w:bottom="1134" w:left="1800" w:header="851" w:footer="992" w:gutter="0"/>
          <w:cols w:space="425" w:num="1"/>
          <w:docGrid w:type="lines" w:linePitch="312" w:charSpace="0"/>
        </w:sectPr>
      </w:pPr>
    </w:p>
    <w:p w14:paraId="0AB5B8D8">
      <w:pPr>
        <w:autoSpaceDE w:val="0"/>
        <w:autoSpaceDN w:val="0"/>
        <w:ind w:firstLine="420"/>
        <w:jc w:val="center"/>
        <w:outlineLvl w:val="1"/>
        <w:rPr>
          <w:rFonts w:ascii="黑体" w:eastAsia="黑体" w:cs="黑体"/>
          <w:kern w:val="0"/>
          <w:szCs w:val="21"/>
        </w:rPr>
      </w:pPr>
      <w:bookmarkStart w:id="176" w:name="_Toc174232065"/>
      <w:r>
        <w:rPr>
          <w:rFonts w:hint="eastAsia" w:ascii="黑体" w:eastAsia="黑体" w:cs="黑体"/>
          <w:kern w:val="0"/>
          <w:szCs w:val="21"/>
        </w:rPr>
        <w:t xml:space="preserve">附 录   </w:t>
      </w:r>
      <w:bookmarkEnd w:id="173"/>
      <w:bookmarkEnd w:id="174"/>
      <w:bookmarkEnd w:id="175"/>
      <w:r>
        <w:rPr>
          <w:rFonts w:hint="eastAsia" w:ascii="黑体" w:eastAsia="黑体" w:cs="黑体"/>
          <w:kern w:val="0"/>
          <w:szCs w:val="21"/>
        </w:rPr>
        <w:t>E</w:t>
      </w:r>
      <w:bookmarkEnd w:id="176"/>
    </w:p>
    <w:p w14:paraId="56B41910">
      <w:pPr>
        <w:pStyle w:val="2"/>
        <w:jc w:val="center"/>
        <w:rPr>
          <w:rFonts w:ascii="黑体" w:eastAsia="黑体" w:cs="黑体"/>
          <w:kern w:val="0"/>
          <w:szCs w:val="21"/>
        </w:rPr>
      </w:pPr>
      <w:r>
        <w:rPr>
          <w:rFonts w:hint="eastAsia" w:ascii="黑体" w:eastAsia="黑体" w:cs="黑体"/>
          <w:kern w:val="0"/>
          <w:szCs w:val="21"/>
        </w:rPr>
        <w:t>（资料性附录）</w:t>
      </w:r>
    </w:p>
    <w:p w14:paraId="56326B6E">
      <w:pPr>
        <w:pStyle w:val="2"/>
        <w:jc w:val="center"/>
        <w:rPr>
          <w:rFonts w:ascii="黑体" w:eastAsia="黑体" w:cs="黑体"/>
          <w:kern w:val="0"/>
          <w:szCs w:val="21"/>
        </w:rPr>
      </w:pPr>
      <w:r>
        <w:rPr>
          <w:rFonts w:hint="eastAsia" w:ascii="黑体" w:eastAsia="黑体" w:cs="黑体"/>
          <w:kern w:val="0"/>
          <w:szCs w:val="21"/>
        </w:rPr>
        <w:t>产品碳足迹报告（模板）</w:t>
      </w:r>
    </w:p>
    <w:p w14:paraId="67503506">
      <w:pPr>
        <w:pStyle w:val="2"/>
        <w:jc w:val="center"/>
        <w:rPr>
          <w:rFonts w:ascii="黑体" w:eastAsia="黑体" w:cs="黑体"/>
          <w:kern w:val="0"/>
          <w:szCs w:val="21"/>
        </w:rPr>
      </w:pPr>
    </w:p>
    <w:p w14:paraId="0B0F0DC3">
      <w:pPr>
        <w:pStyle w:val="2"/>
        <w:jc w:val="center"/>
        <w:rPr>
          <w:rFonts w:ascii="黑体" w:eastAsia="黑体" w:cs="黑体"/>
          <w:kern w:val="0"/>
          <w:szCs w:val="21"/>
        </w:rPr>
      </w:pPr>
    </w:p>
    <w:p w14:paraId="5B8F9880">
      <w:pPr>
        <w:pStyle w:val="2"/>
        <w:jc w:val="center"/>
        <w:rPr>
          <w:rFonts w:ascii="黑体" w:eastAsia="黑体" w:cs="黑体"/>
          <w:kern w:val="0"/>
          <w:szCs w:val="21"/>
        </w:rPr>
      </w:pPr>
    </w:p>
    <w:p w14:paraId="2EDA5C37">
      <w:pPr>
        <w:pStyle w:val="2"/>
        <w:jc w:val="center"/>
        <w:rPr>
          <w:rFonts w:ascii="黑体" w:eastAsia="黑体" w:cs="黑体"/>
          <w:kern w:val="0"/>
          <w:szCs w:val="21"/>
        </w:rPr>
      </w:pPr>
    </w:p>
    <w:p w14:paraId="0A106B2C">
      <w:pPr>
        <w:pStyle w:val="2"/>
        <w:jc w:val="center"/>
        <w:rPr>
          <w:szCs w:val="21"/>
        </w:rPr>
      </w:pPr>
    </w:p>
    <w:p w14:paraId="32EC2B83">
      <w:pPr>
        <w:autoSpaceDE w:val="0"/>
        <w:autoSpaceDN w:val="0"/>
        <w:ind w:firstLine="560"/>
        <w:jc w:val="center"/>
        <w:rPr>
          <w:rFonts w:ascii="黑体" w:eastAsia="黑体" w:cs="黑体"/>
          <w:kern w:val="0"/>
          <w:sz w:val="28"/>
          <w:szCs w:val="28"/>
        </w:rPr>
      </w:pPr>
      <w:r>
        <w:rPr>
          <w:rFonts w:hint="eastAsia" w:ascii="黑体" w:eastAsia="黑体" w:cs="黑体"/>
          <w:kern w:val="0"/>
          <w:sz w:val="28"/>
          <w:szCs w:val="28"/>
        </w:rPr>
        <w:t>产品碳足迹报告</w:t>
      </w:r>
    </w:p>
    <w:p w14:paraId="294E00BB">
      <w:pPr>
        <w:pStyle w:val="2"/>
      </w:pPr>
    </w:p>
    <w:p w14:paraId="67501D2A">
      <w:pPr>
        <w:pStyle w:val="2"/>
      </w:pPr>
    </w:p>
    <w:p w14:paraId="077BBDFC">
      <w:pPr>
        <w:pStyle w:val="2"/>
      </w:pPr>
    </w:p>
    <w:p w14:paraId="31342B57">
      <w:pPr>
        <w:pStyle w:val="2"/>
        <w:rPr>
          <w:u w:val="single"/>
        </w:rPr>
      </w:pPr>
      <w:r>
        <w:rPr>
          <w:rFonts w:hint="eastAsia"/>
        </w:rPr>
        <w:t>产品名称：</w:t>
      </w:r>
      <w:r>
        <w:rPr>
          <w:rFonts w:hint="eastAsia"/>
          <w:u w:val="single"/>
        </w:rPr>
        <w:t xml:space="preserve"> </w:t>
      </w:r>
      <w:r>
        <w:rPr>
          <w:u w:val="single"/>
        </w:rPr>
        <w:t xml:space="preserve">                    </w:t>
      </w:r>
    </w:p>
    <w:p w14:paraId="396F6453">
      <w:pPr>
        <w:pStyle w:val="2"/>
        <w:rPr>
          <w:u w:val="single"/>
        </w:rPr>
      </w:pPr>
      <w:r>
        <w:rPr>
          <w:rFonts w:hint="eastAsia"/>
        </w:rPr>
        <w:t>产品规格等级：</w:t>
      </w:r>
      <w:r>
        <w:rPr>
          <w:rFonts w:hint="eastAsia"/>
          <w:u w:val="single"/>
        </w:rPr>
        <w:t xml:space="preserve"> </w:t>
      </w:r>
      <w:r>
        <w:rPr>
          <w:u w:val="single"/>
        </w:rPr>
        <w:t xml:space="preserve">                </w:t>
      </w:r>
    </w:p>
    <w:p w14:paraId="01689514">
      <w:pPr>
        <w:pStyle w:val="2"/>
        <w:rPr>
          <w:u w:val="single"/>
        </w:rPr>
      </w:pPr>
      <w:r>
        <w:rPr>
          <w:rFonts w:hint="eastAsia"/>
        </w:rPr>
        <w:t>声明单位：</w:t>
      </w:r>
      <w:r>
        <w:rPr>
          <w:rFonts w:hint="eastAsia"/>
          <w:u w:val="single"/>
        </w:rPr>
        <w:t xml:space="preserve"> </w:t>
      </w:r>
      <w:r>
        <w:rPr>
          <w:u w:val="single"/>
        </w:rPr>
        <w:t xml:space="preserve">                    </w:t>
      </w:r>
    </w:p>
    <w:p w14:paraId="242BDA56">
      <w:pPr>
        <w:pStyle w:val="2"/>
        <w:rPr>
          <w:u w:val="single"/>
        </w:rPr>
      </w:pPr>
      <w:r>
        <w:rPr>
          <w:rFonts w:hint="eastAsia"/>
        </w:rPr>
        <w:t>生产单位：</w:t>
      </w:r>
      <w:r>
        <w:rPr>
          <w:rFonts w:hint="eastAsia"/>
          <w:u w:val="single"/>
        </w:rPr>
        <w:t xml:space="preserve"> </w:t>
      </w:r>
      <w:r>
        <w:rPr>
          <w:u w:val="single"/>
        </w:rPr>
        <w:t xml:space="preserve">                    </w:t>
      </w:r>
    </w:p>
    <w:p w14:paraId="4163E651">
      <w:pPr>
        <w:pStyle w:val="2"/>
        <w:rPr>
          <w:u w:val="single"/>
        </w:rPr>
      </w:pPr>
      <w:r>
        <w:rPr>
          <w:rFonts w:hint="eastAsia"/>
        </w:rPr>
        <w:t>评价机构：</w:t>
      </w:r>
      <w:r>
        <w:rPr>
          <w:rFonts w:hint="eastAsia"/>
          <w:u w:val="single"/>
        </w:rPr>
        <w:t xml:space="preserve"> </w:t>
      </w:r>
      <w:r>
        <w:rPr>
          <w:u w:val="single"/>
        </w:rPr>
        <w:t xml:space="preserve">                    </w:t>
      </w:r>
    </w:p>
    <w:p w14:paraId="308784EF">
      <w:pPr>
        <w:pStyle w:val="2"/>
        <w:rPr>
          <w:u w:val="single"/>
        </w:rPr>
      </w:pPr>
    </w:p>
    <w:p w14:paraId="5A039C57">
      <w:pPr>
        <w:pStyle w:val="2"/>
        <w:rPr>
          <w:u w:val="single"/>
        </w:rPr>
      </w:pPr>
    </w:p>
    <w:p w14:paraId="57919570">
      <w:pPr>
        <w:autoSpaceDE w:val="0"/>
        <w:autoSpaceDN w:val="0"/>
        <w:spacing w:before="1920"/>
        <w:ind w:right="90" w:firstLine="397" w:firstLineChars="142"/>
        <w:jc w:val="right"/>
        <w:rPr>
          <w:rFonts w:ascii="黑体" w:eastAsia="黑体" w:cs="黑体"/>
          <w:kern w:val="0"/>
          <w:sz w:val="28"/>
          <w:szCs w:val="28"/>
          <w:u w:val="single"/>
        </w:rPr>
      </w:pPr>
      <w:r>
        <w:rPr>
          <w:rFonts w:hint="eastAsia" w:ascii="黑体" w:eastAsia="黑体" w:cs="黑体"/>
          <w:kern w:val="0"/>
          <w:sz w:val="28"/>
          <w:szCs w:val="28"/>
        </w:rPr>
        <w:t>报告主体：</w:t>
      </w:r>
      <w:r>
        <w:rPr>
          <w:rFonts w:hint="eastAsia" w:ascii="黑体" w:eastAsia="黑体" w:cs="黑体"/>
          <w:kern w:val="0"/>
          <w:sz w:val="28"/>
          <w:szCs w:val="28"/>
          <w:u w:val="single"/>
        </w:rPr>
        <w:t xml:space="preserve"> </w:t>
      </w:r>
      <w:r>
        <w:rPr>
          <w:rFonts w:ascii="黑体" w:eastAsia="黑体" w:cs="黑体"/>
          <w:kern w:val="0"/>
          <w:sz w:val="28"/>
          <w:szCs w:val="28"/>
          <w:u w:val="single"/>
        </w:rPr>
        <w:t xml:space="preserve">         </w:t>
      </w:r>
      <w:r>
        <w:rPr>
          <w:rFonts w:hint="eastAsia" w:ascii="黑体" w:eastAsia="黑体" w:cs="黑体"/>
          <w:kern w:val="0"/>
          <w:sz w:val="28"/>
          <w:szCs w:val="28"/>
        </w:rPr>
        <w:t>（盖章）</w:t>
      </w:r>
    </w:p>
    <w:p w14:paraId="071ECFBE">
      <w:pPr>
        <w:autoSpaceDE w:val="0"/>
        <w:autoSpaceDN w:val="0"/>
        <w:ind w:left="424" w:leftChars="202" w:right="90"/>
        <w:jc w:val="right"/>
        <w:rPr>
          <w:rFonts w:ascii="黑体" w:eastAsia="黑体" w:cs="黑体"/>
          <w:kern w:val="0"/>
          <w:sz w:val="28"/>
          <w:szCs w:val="28"/>
        </w:rPr>
      </w:pPr>
      <w:r>
        <w:rPr>
          <w:rFonts w:hint="eastAsia" w:ascii="黑体" w:eastAsia="黑体" w:cs="黑体"/>
          <w:kern w:val="0"/>
          <w:sz w:val="28"/>
          <w:szCs w:val="28"/>
        </w:rPr>
        <w:t>评价机构（如有）：</w:t>
      </w:r>
      <w:r>
        <w:rPr>
          <w:rFonts w:hint="eastAsia" w:ascii="黑体" w:eastAsia="黑体" w:cs="黑体"/>
          <w:kern w:val="0"/>
          <w:sz w:val="28"/>
          <w:szCs w:val="28"/>
          <w:u w:val="single"/>
        </w:rPr>
        <w:t xml:space="preserve"> </w:t>
      </w:r>
      <w:r>
        <w:rPr>
          <w:rFonts w:ascii="黑体" w:eastAsia="黑体" w:cs="黑体"/>
          <w:kern w:val="0"/>
          <w:sz w:val="28"/>
          <w:szCs w:val="28"/>
          <w:u w:val="single"/>
        </w:rPr>
        <w:t xml:space="preserve">         </w:t>
      </w:r>
      <w:r>
        <w:rPr>
          <w:rFonts w:hint="eastAsia" w:ascii="黑体" w:eastAsia="黑体" w:cs="黑体"/>
          <w:kern w:val="0"/>
          <w:sz w:val="28"/>
          <w:szCs w:val="28"/>
        </w:rPr>
        <w:t xml:space="preserve">（盖章） </w:t>
      </w:r>
      <w:r>
        <w:rPr>
          <w:rFonts w:ascii="黑体" w:eastAsia="黑体" w:cs="黑体"/>
          <w:kern w:val="0"/>
          <w:sz w:val="28"/>
          <w:szCs w:val="28"/>
        </w:rPr>
        <w:t xml:space="preserve">      </w:t>
      </w:r>
    </w:p>
    <w:p w14:paraId="1F90A500">
      <w:pPr>
        <w:autoSpaceDE w:val="0"/>
        <w:autoSpaceDN w:val="0"/>
        <w:ind w:left="424" w:leftChars="202" w:right="90"/>
        <w:jc w:val="right"/>
        <w:rPr>
          <w:rFonts w:ascii="黑体" w:eastAsia="黑体" w:cs="黑体"/>
          <w:kern w:val="0"/>
          <w:sz w:val="28"/>
          <w:szCs w:val="28"/>
        </w:rPr>
      </w:pPr>
      <w:r>
        <w:rPr>
          <w:rFonts w:hint="eastAsia" w:ascii="黑体" w:eastAsia="黑体" w:cs="黑体"/>
          <w:kern w:val="0"/>
          <w:sz w:val="28"/>
          <w:szCs w:val="28"/>
        </w:rPr>
        <w:t>日期：</w:t>
      </w:r>
      <w:r>
        <w:rPr>
          <w:rFonts w:ascii="黑体" w:eastAsia="黑体" w:cs="黑体"/>
          <w:kern w:val="0"/>
          <w:sz w:val="28"/>
          <w:szCs w:val="28"/>
        </w:rPr>
        <w:t xml:space="preserve"> </w:t>
      </w:r>
      <w:r>
        <w:rPr>
          <w:rFonts w:hint="eastAsia" w:ascii="黑体" w:eastAsia="黑体" w:cs="黑体"/>
          <w:kern w:val="0"/>
          <w:sz w:val="28"/>
          <w:szCs w:val="28"/>
        </w:rPr>
        <w:t>年</w:t>
      </w:r>
      <w:r>
        <w:rPr>
          <w:rFonts w:ascii="黑体" w:eastAsia="黑体" w:cs="黑体"/>
          <w:kern w:val="0"/>
          <w:sz w:val="28"/>
          <w:szCs w:val="28"/>
        </w:rPr>
        <w:t xml:space="preserve">  </w:t>
      </w:r>
      <w:r>
        <w:rPr>
          <w:rFonts w:hint="eastAsia" w:ascii="黑体" w:eastAsia="黑体" w:cs="黑体"/>
          <w:kern w:val="0"/>
          <w:sz w:val="28"/>
          <w:szCs w:val="28"/>
        </w:rPr>
        <w:t xml:space="preserve">月 </w:t>
      </w:r>
      <w:r>
        <w:rPr>
          <w:rFonts w:ascii="黑体" w:eastAsia="黑体" w:cs="黑体"/>
          <w:kern w:val="0"/>
          <w:sz w:val="28"/>
          <w:szCs w:val="28"/>
        </w:rPr>
        <w:t xml:space="preserve"> </w:t>
      </w:r>
      <w:r>
        <w:rPr>
          <w:rFonts w:hint="eastAsia" w:ascii="黑体" w:eastAsia="黑体" w:cs="黑体"/>
          <w:kern w:val="0"/>
          <w:sz w:val="28"/>
          <w:szCs w:val="28"/>
        </w:rPr>
        <w:t>日</w:t>
      </w:r>
    </w:p>
    <w:p w14:paraId="3E464AD9">
      <w:pPr>
        <w:rPr>
          <w:sz w:val="28"/>
          <w:szCs w:val="28"/>
        </w:rPr>
      </w:pPr>
      <w:r>
        <w:rPr>
          <w:rFonts w:ascii="黑体" w:eastAsia="黑体"/>
          <w:sz w:val="28"/>
          <w:szCs w:val="28"/>
        </w:rPr>
        <w:br w:type="page"/>
      </w:r>
    </w:p>
    <w:p w14:paraId="29B23B6E">
      <w:pPr>
        <w:pStyle w:val="47"/>
        <w:jc w:val="both"/>
        <w:rPr>
          <w:rFonts w:ascii="黑体" w:eastAsia="黑体" w:cs="黑体"/>
          <w:color w:val="auto"/>
          <w:sz w:val="21"/>
          <w:szCs w:val="21"/>
        </w:rPr>
      </w:pPr>
      <w:r>
        <w:rPr>
          <w:rFonts w:hint="eastAsia" w:ascii="黑体" w:eastAsia="黑体" w:cs="黑体"/>
          <w:color w:val="auto"/>
          <w:sz w:val="21"/>
          <w:szCs w:val="21"/>
        </w:rPr>
        <w:t>一、基本情况</w:t>
      </w:r>
    </w:p>
    <w:p w14:paraId="296ED0B9">
      <w:pPr>
        <w:pStyle w:val="47"/>
        <w:spacing w:before="156" w:beforeLines="50" w:after="156" w:afterLines="50"/>
        <w:jc w:val="both"/>
        <w:rPr>
          <w:rFonts w:hint="eastAsia" w:ascii="黑体" w:hAnsi="黑体" w:eastAsia="黑体"/>
          <w:color w:val="auto"/>
          <w:sz w:val="21"/>
          <w:szCs w:val="21"/>
        </w:rPr>
      </w:pPr>
      <w:r>
        <w:rPr>
          <w:rFonts w:hint="eastAsia" w:ascii="黑体" w:hAnsi="黑体" w:eastAsia="黑体"/>
          <w:color w:val="auto"/>
          <w:sz w:val="21"/>
          <w:szCs w:val="21"/>
        </w:rPr>
        <w:t>1</w:t>
      </w:r>
      <w:r>
        <w:rPr>
          <w:rFonts w:ascii="黑体" w:hAnsi="黑体" w:eastAsia="黑体"/>
          <w:color w:val="auto"/>
          <w:sz w:val="21"/>
          <w:szCs w:val="21"/>
        </w:rPr>
        <w:t xml:space="preserve">.1  </w:t>
      </w:r>
      <w:r>
        <w:rPr>
          <w:rFonts w:hint="eastAsia" w:ascii="黑体" w:hAnsi="黑体" w:eastAsia="黑体"/>
          <w:color w:val="auto"/>
          <w:sz w:val="21"/>
          <w:szCs w:val="21"/>
        </w:rPr>
        <w:t>生产者信息</w:t>
      </w:r>
    </w:p>
    <w:p w14:paraId="1B4A0215">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生产者名称</w:t>
      </w:r>
      <w:r>
        <w:rPr>
          <w:rFonts w:ascii="宋体" w:hAnsi="宋体" w:eastAsia="宋体"/>
          <w:color w:val="auto"/>
          <w:sz w:val="21"/>
          <w:szCs w:val="21"/>
        </w:rPr>
        <w:t>：</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013E8DF0">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社会信用代码：</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rPr>
        <w:t xml:space="preserve"> </w:t>
      </w:r>
      <w:r>
        <w:rPr>
          <w:rFonts w:ascii="宋体" w:hAnsi="宋体" w:eastAsia="宋体"/>
          <w:color w:val="auto"/>
          <w:sz w:val="21"/>
          <w:szCs w:val="21"/>
        </w:rPr>
        <w:t xml:space="preserve">                     </w:t>
      </w:r>
    </w:p>
    <w:p w14:paraId="57D7ED67">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地</w:t>
      </w:r>
      <w:r>
        <w:rPr>
          <w:rFonts w:hint="eastAsia" w:ascii="宋体" w:hAnsi="宋体" w:eastAsia="宋体"/>
          <w:color w:val="auto"/>
          <w:sz w:val="21"/>
          <w:szCs w:val="21"/>
        </w:rPr>
        <w:t xml:space="preserve"> </w:t>
      </w:r>
      <w:r>
        <w:rPr>
          <w:rFonts w:ascii="宋体" w:hAnsi="宋体" w:eastAsia="宋体"/>
          <w:color w:val="auto"/>
          <w:sz w:val="21"/>
          <w:szCs w:val="21"/>
        </w:rPr>
        <w:t xml:space="preserve"> 址：</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11BB719F">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法定代表人：</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5F02A099">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授权人（联系人）：</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02D8047F">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联系电话：</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343139BB">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电子邮箱：</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5F807A40">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企业概况：</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5EDEC662">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1.2  </w:t>
      </w:r>
      <w:r>
        <w:rPr>
          <w:rFonts w:hint="eastAsia" w:ascii="黑体" w:hAnsi="黑体" w:eastAsia="黑体"/>
          <w:color w:val="auto"/>
          <w:sz w:val="21"/>
          <w:szCs w:val="21"/>
        </w:rPr>
        <w:t>产品信息</w:t>
      </w:r>
    </w:p>
    <w:p w14:paraId="236D9557">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产品名称：</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3E06E81F">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规格及等级：</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 xml:space="preserve"> </w:t>
      </w:r>
    </w:p>
    <w:p w14:paraId="2A03CBF9">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产品介绍：</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6EB4D9B5">
      <w:pPr>
        <w:pStyle w:val="47"/>
        <w:spacing w:line="360" w:lineRule="auto"/>
        <w:jc w:val="both"/>
        <w:rPr>
          <w:rFonts w:hint="eastAsia" w:ascii="宋体" w:hAnsi="宋体" w:eastAsia="宋体"/>
          <w:color w:val="auto"/>
          <w:sz w:val="21"/>
          <w:szCs w:val="21"/>
        </w:rPr>
      </w:pPr>
      <w:r>
        <w:rPr>
          <w:rFonts w:ascii="宋体" w:hAnsi="宋体" w:eastAsia="宋体"/>
          <w:color w:val="auto"/>
          <w:sz w:val="21"/>
          <w:szCs w:val="21"/>
        </w:rPr>
        <w:t>产品</w:t>
      </w:r>
      <w:r>
        <w:rPr>
          <w:rFonts w:hint="eastAsia" w:ascii="宋体" w:hAnsi="宋体" w:eastAsia="宋体"/>
          <w:color w:val="auto"/>
          <w:sz w:val="21"/>
          <w:szCs w:val="21"/>
        </w:rPr>
        <w:t>图片</w:t>
      </w:r>
      <w:r>
        <w:rPr>
          <w:rFonts w:ascii="宋体" w:hAnsi="宋体" w:eastAsia="宋体"/>
          <w:color w:val="auto"/>
          <w:sz w:val="21"/>
          <w:szCs w:val="21"/>
        </w:rPr>
        <w:t>：</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2B10F52F">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1.3  </w:t>
      </w:r>
      <w:r>
        <w:rPr>
          <w:rFonts w:hint="eastAsia" w:ascii="黑体" w:hAnsi="黑体" w:eastAsia="黑体"/>
          <w:color w:val="auto"/>
          <w:sz w:val="21"/>
          <w:szCs w:val="21"/>
        </w:rPr>
        <w:t>量化方法</w:t>
      </w:r>
    </w:p>
    <w:p w14:paraId="449ACC70">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依据标准</w:t>
      </w:r>
      <w:r>
        <w:rPr>
          <w:rFonts w:ascii="宋体" w:hAnsi="宋体" w:eastAsia="宋体"/>
          <w:color w:val="auto"/>
          <w:sz w:val="21"/>
          <w:szCs w:val="21"/>
        </w:rPr>
        <w:t>：</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p>
    <w:p w14:paraId="61FB2A75">
      <w:pPr>
        <w:pStyle w:val="47"/>
        <w:jc w:val="both"/>
        <w:rPr>
          <w:rFonts w:ascii="黑体" w:eastAsia="黑体" w:cs="黑体"/>
          <w:color w:val="auto"/>
          <w:sz w:val="21"/>
          <w:szCs w:val="21"/>
        </w:rPr>
      </w:pPr>
      <w:r>
        <w:rPr>
          <w:rFonts w:hint="eastAsia" w:ascii="黑体" w:eastAsia="黑体" w:cs="黑体"/>
          <w:color w:val="auto"/>
          <w:sz w:val="21"/>
          <w:szCs w:val="21"/>
        </w:rPr>
        <w:t>二、量化目的</w:t>
      </w:r>
    </w:p>
    <w:p w14:paraId="7B98B37A">
      <w:pPr>
        <w:pStyle w:val="47"/>
        <w:spacing w:line="360" w:lineRule="auto"/>
        <w:jc w:val="both"/>
        <w:rPr>
          <w:rFonts w:hint="eastAsia" w:ascii="宋体" w:hAnsi="宋体" w:eastAsia="宋体"/>
          <w:color w:val="auto"/>
          <w:sz w:val="21"/>
          <w:szCs w:val="21"/>
        </w:rPr>
      </w:pPr>
      <w:r>
        <w:rPr>
          <w:rFonts w:hint="eastAsia" w:ascii="宋体" w:hAnsi="宋体" w:eastAsia="宋体"/>
          <w:color w:val="auto"/>
          <w:sz w:val="21"/>
          <w:szCs w:val="21"/>
        </w:rPr>
        <w:t>____________________________</w:t>
      </w:r>
    </w:p>
    <w:p w14:paraId="2C2A3B85">
      <w:pPr>
        <w:pStyle w:val="47"/>
        <w:jc w:val="both"/>
        <w:rPr>
          <w:rFonts w:ascii="黑体" w:eastAsia="黑体" w:cs="黑体"/>
          <w:color w:val="auto"/>
          <w:sz w:val="21"/>
          <w:szCs w:val="21"/>
        </w:rPr>
      </w:pPr>
      <w:r>
        <w:rPr>
          <w:rFonts w:hint="eastAsia" w:ascii="黑体" w:eastAsia="黑体" w:cs="黑体"/>
          <w:color w:val="auto"/>
          <w:sz w:val="21"/>
          <w:szCs w:val="21"/>
        </w:rPr>
        <w:t>三、量化范围</w:t>
      </w:r>
      <w:r>
        <w:rPr>
          <w:rFonts w:ascii="黑体" w:eastAsia="黑体" w:cs="黑体"/>
          <w:color w:val="auto"/>
          <w:sz w:val="21"/>
          <w:szCs w:val="21"/>
        </w:rPr>
        <w:t xml:space="preserve"> </w:t>
      </w:r>
    </w:p>
    <w:p w14:paraId="47B164B8">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3.1  </w:t>
      </w:r>
      <w:r>
        <w:rPr>
          <w:rFonts w:hint="eastAsia" w:ascii="黑体" w:hAnsi="黑体" w:eastAsia="黑体"/>
          <w:color w:val="auto"/>
          <w:sz w:val="21"/>
          <w:szCs w:val="21"/>
        </w:rPr>
        <w:t>声明</w:t>
      </w:r>
      <w:r>
        <w:rPr>
          <w:rFonts w:ascii="黑体" w:hAnsi="黑体" w:eastAsia="黑体"/>
          <w:color w:val="auto"/>
          <w:sz w:val="21"/>
          <w:szCs w:val="21"/>
        </w:rPr>
        <w:t xml:space="preserve">单位 </w:t>
      </w:r>
    </w:p>
    <w:p w14:paraId="7B71B271">
      <w:pPr>
        <w:pStyle w:val="47"/>
        <w:spacing w:line="360" w:lineRule="auto"/>
        <w:ind w:firstLine="420" w:firstLineChars="200"/>
        <w:jc w:val="both"/>
        <w:rPr>
          <w:rFonts w:hint="eastAsia" w:ascii="宋体" w:hAnsi="宋体" w:eastAsia="宋体"/>
          <w:color w:val="auto"/>
          <w:sz w:val="21"/>
          <w:szCs w:val="21"/>
        </w:rPr>
      </w:pPr>
      <w:r>
        <w:rPr>
          <w:rFonts w:hint="eastAsia" w:ascii="宋体" w:hAnsi="宋体" w:eastAsia="宋体"/>
          <w:color w:val="auto"/>
          <w:sz w:val="21"/>
          <w:szCs w:val="21"/>
        </w:rPr>
        <w:t>以</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rPr>
        <w:t>为声明单位</w:t>
      </w:r>
    </w:p>
    <w:p w14:paraId="53D7A3D1">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3.2  系统边界 (包括但不限于对生命周期阶段描述</w:t>
      </w:r>
      <w:r>
        <w:rPr>
          <w:rFonts w:hint="eastAsia" w:ascii="黑体" w:hAnsi="黑体" w:eastAsia="黑体"/>
          <w:color w:val="auto"/>
          <w:sz w:val="21"/>
          <w:szCs w:val="21"/>
        </w:rPr>
        <w:t>)</w:t>
      </w:r>
    </w:p>
    <w:p w14:paraId="12B4720E">
      <w:pPr>
        <w:pStyle w:val="47"/>
        <w:spacing w:line="360" w:lineRule="auto"/>
        <w:ind w:firstLine="600"/>
        <w:jc w:val="both"/>
        <w:rPr>
          <w:rFonts w:hint="eastAsia" w:ascii="宋体" w:hAnsi="宋体" w:eastAsia="宋体"/>
          <w:color w:val="auto"/>
          <w:sz w:val="21"/>
          <w:szCs w:val="21"/>
          <w:u w:val="single"/>
        </w:rPr>
      </w:pPr>
      <w:r>
        <w:rPr>
          <w:rFonts w:ascii="宋体" w:hAnsi="宋体" w:eastAsia="宋体"/>
          <w:color w:val="auto"/>
          <w:sz w:val="21"/>
          <w:szCs w:val="21"/>
        </w:rPr>
        <w:t>对</w:t>
      </w:r>
      <w:r>
        <w:rPr>
          <w:rFonts w:ascii="宋体" w:hAnsi="宋体" w:eastAsia="宋体"/>
          <w:color w:val="auto"/>
          <w:sz w:val="21"/>
          <w:szCs w:val="21"/>
          <w:u w:val="single"/>
        </w:rPr>
        <w:t xml:space="preserve">     </w:t>
      </w:r>
      <w:r>
        <w:rPr>
          <w:rFonts w:ascii="宋体" w:hAnsi="宋体" w:eastAsia="宋体"/>
          <w:color w:val="auto"/>
          <w:sz w:val="21"/>
          <w:szCs w:val="21"/>
        </w:rPr>
        <w:t>碳足迹的计算涵盖了从</w:t>
      </w:r>
      <w:r>
        <w:rPr>
          <w:rFonts w:ascii="宋体" w:hAnsi="宋体" w:eastAsia="宋体"/>
          <w:color w:val="auto"/>
          <w:sz w:val="21"/>
          <w:szCs w:val="21"/>
          <w:u w:val="single"/>
        </w:rPr>
        <w:t xml:space="preserve">      </w:t>
      </w:r>
      <w:r>
        <w:rPr>
          <w:rFonts w:ascii="宋体" w:hAnsi="宋体" w:eastAsia="宋体"/>
          <w:color w:val="auto"/>
          <w:sz w:val="21"/>
          <w:szCs w:val="21"/>
        </w:rPr>
        <w:t>到</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ascii="宋体" w:hAnsi="宋体" w:eastAsia="宋体"/>
          <w:color w:val="auto"/>
          <w:sz w:val="21"/>
          <w:szCs w:val="21"/>
        </w:rPr>
        <w:t>生命周期的各个阶段，属于“从摇篮到大门”模式，确定生命周期包括以下：</w:t>
      </w:r>
      <w:r>
        <w:rPr>
          <w:rFonts w:hint="eastAsia" w:ascii="宋体" w:hAnsi="宋体" w:eastAsia="宋体"/>
          <w:color w:val="auto"/>
          <w:sz w:val="21"/>
          <w:szCs w:val="21"/>
          <w:u w:val="single"/>
        </w:rPr>
        <w:t xml:space="preserve">                                       </w:t>
      </w:r>
    </w:p>
    <w:p w14:paraId="2F88307E">
      <w:pPr>
        <w:pStyle w:val="47"/>
        <w:spacing w:line="360" w:lineRule="auto"/>
        <w:ind w:firstLine="600"/>
        <w:jc w:val="both"/>
        <w:rPr>
          <w:rFonts w:hint="eastAsia" w:ascii="宋体" w:hAnsi="宋体" w:eastAsia="宋体"/>
          <w:color w:val="auto"/>
          <w:sz w:val="21"/>
          <w:szCs w:val="21"/>
        </w:rPr>
      </w:pPr>
      <w:r>
        <w:rPr>
          <w:rFonts w:ascii="宋体" w:hAnsi="宋体" w:eastAsia="宋体"/>
          <w:color w:val="auto"/>
          <w:sz w:val="21"/>
          <w:szCs w:val="21"/>
        </w:rPr>
        <w:t>据此建立系统边界图，如图</w:t>
      </w:r>
      <w:r>
        <w:rPr>
          <w:rFonts w:hint="eastAsia" w:ascii="宋体" w:hAnsi="宋体" w:eastAsia="宋体"/>
          <w:color w:val="auto"/>
          <w:sz w:val="21"/>
          <w:szCs w:val="21"/>
        </w:rPr>
        <w:t>E</w:t>
      </w:r>
      <w:r>
        <w:rPr>
          <w:rFonts w:ascii="宋体" w:hAnsi="宋体" w:eastAsia="宋体"/>
          <w:color w:val="auto"/>
          <w:sz w:val="21"/>
          <w:szCs w:val="21"/>
        </w:rPr>
        <w:t xml:space="preserve">.1： </w:t>
      </w:r>
    </w:p>
    <w:p w14:paraId="16B92E76">
      <w:pPr>
        <w:pStyle w:val="47"/>
        <w:spacing w:line="360" w:lineRule="auto"/>
        <w:ind w:firstLine="600"/>
        <w:jc w:val="both"/>
        <w:rPr>
          <w:rFonts w:hint="eastAsia" w:ascii="宋体" w:hAnsi="宋体" w:eastAsia="宋体"/>
          <w:color w:val="auto"/>
          <w:sz w:val="21"/>
          <w:szCs w:val="21"/>
          <w:u w:val="single"/>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u w:val="single"/>
        </w:rPr>
        <w:t xml:space="preserve">                   </w:t>
      </w:r>
    </w:p>
    <w:p w14:paraId="6F3EB17D">
      <w:pPr>
        <w:pStyle w:val="61"/>
        <w:spacing w:before="156" w:beforeLines="50" w:after="156" w:afterLines="50" w:line="360" w:lineRule="auto"/>
        <w:ind w:firstLine="422"/>
        <w:jc w:val="center"/>
        <w:rPr>
          <w:rFonts w:hint="eastAsia"/>
          <w:b/>
        </w:rPr>
      </w:pPr>
      <w:r>
        <w:rPr>
          <w:b/>
        </w:rPr>
        <w:t xml:space="preserve">图 </w:t>
      </w:r>
      <w:r>
        <w:rPr>
          <w:rFonts w:hint="eastAsia"/>
          <w:b/>
        </w:rPr>
        <w:t>E</w:t>
      </w:r>
      <w:r>
        <w:rPr>
          <w:b/>
        </w:rPr>
        <w:t xml:space="preserve">.1 </w:t>
      </w:r>
      <w:r>
        <w:rPr>
          <w:rFonts w:hint="eastAsia"/>
          <w:b/>
        </w:rPr>
        <w:t xml:space="preserve"> ________产品碳足迹量化</w:t>
      </w:r>
      <w:r>
        <w:rPr>
          <w:b/>
        </w:rPr>
        <w:t>系统边界图</w:t>
      </w:r>
    </w:p>
    <w:p w14:paraId="3E996CDC">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3.3  </w:t>
      </w:r>
      <w:r>
        <w:rPr>
          <w:rFonts w:hint="eastAsia" w:ascii="黑体" w:hAnsi="黑体" w:eastAsia="黑体"/>
          <w:color w:val="auto"/>
          <w:sz w:val="21"/>
          <w:szCs w:val="21"/>
        </w:rPr>
        <w:t>取舍准则</w:t>
      </w:r>
    </w:p>
    <w:p w14:paraId="1EF21C26">
      <w:pPr>
        <w:pStyle w:val="47"/>
        <w:spacing w:line="36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采用的取舍准则以</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为依据，具体规则如下：</w:t>
      </w:r>
    </w:p>
    <w:p w14:paraId="492EAAAE">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3.4  </w:t>
      </w:r>
      <w:r>
        <w:rPr>
          <w:rFonts w:hint="eastAsia" w:ascii="黑体" w:hAnsi="黑体" w:eastAsia="黑体"/>
          <w:color w:val="auto"/>
          <w:sz w:val="21"/>
          <w:szCs w:val="21"/>
        </w:rPr>
        <w:t>时间范围</w:t>
      </w:r>
    </w:p>
    <w:p w14:paraId="1E56BCFD">
      <w:pPr>
        <w:pStyle w:val="47"/>
        <w:spacing w:line="360" w:lineRule="auto"/>
        <w:ind w:firstLine="600"/>
        <w:rPr>
          <w:rFonts w:hint="eastAsia" w:ascii="宋体" w:hAnsi="宋体" w:eastAsia="宋体"/>
          <w:color w:val="auto"/>
          <w:sz w:val="21"/>
          <w:szCs w:val="21"/>
        </w:rPr>
      </w:pP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rPr>
        <w:t>年度</w:t>
      </w:r>
    </w:p>
    <w:p w14:paraId="181F3AC8">
      <w:pPr>
        <w:pStyle w:val="47"/>
        <w:jc w:val="both"/>
        <w:rPr>
          <w:rFonts w:ascii="黑体" w:eastAsia="黑体" w:cs="黑体"/>
          <w:color w:val="auto"/>
          <w:sz w:val="21"/>
          <w:szCs w:val="21"/>
        </w:rPr>
      </w:pPr>
      <w:r>
        <w:rPr>
          <w:rFonts w:hint="eastAsia" w:ascii="黑体" w:eastAsia="黑体" w:cs="黑体"/>
          <w:color w:val="auto"/>
          <w:sz w:val="21"/>
          <w:szCs w:val="21"/>
        </w:rPr>
        <w:t>四、清单分析</w:t>
      </w:r>
    </w:p>
    <w:p w14:paraId="2F0CE462">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4.1  数据收集</w:t>
      </w:r>
      <w:r>
        <w:rPr>
          <w:rFonts w:hint="eastAsia" w:ascii="黑体" w:hAnsi="黑体" w:eastAsia="黑体"/>
          <w:color w:val="auto"/>
          <w:sz w:val="21"/>
          <w:szCs w:val="21"/>
        </w:rPr>
        <w:t>程序</w:t>
      </w:r>
      <w:r>
        <w:rPr>
          <w:rFonts w:ascii="黑体" w:hAnsi="黑体" w:eastAsia="黑体"/>
          <w:color w:val="auto"/>
          <w:sz w:val="21"/>
          <w:szCs w:val="21"/>
        </w:rPr>
        <w:t xml:space="preserve"> </w:t>
      </w:r>
    </w:p>
    <w:p w14:paraId="171C20F3">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4.2  单元过程的定性和定量描述 </w:t>
      </w:r>
    </w:p>
    <w:p w14:paraId="2D28B849">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4.3  </w:t>
      </w:r>
      <w:r>
        <w:rPr>
          <w:rFonts w:hint="eastAsia" w:ascii="黑体" w:hAnsi="黑体" w:eastAsia="黑体"/>
          <w:color w:val="auto"/>
          <w:sz w:val="21"/>
          <w:szCs w:val="21"/>
        </w:rPr>
        <w:t>数据说明</w:t>
      </w:r>
      <w:r>
        <w:rPr>
          <w:rFonts w:ascii="黑体" w:hAnsi="黑体" w:eastAsia="黑体"/>
          <w:color w:val="auto"/>
          <w:sz w:val="21"/>
          <w:szCs w:val="21"/>
        </w:rPr>
        <w:t xml:space="preserve"> （具体数据</w:t>
      </w:r>
      <w:r>
        <w:rPr>
          <w:rFonts w:hint="eastAsia" w:ascii="黑体" w:hAnsi="黑体" w:eastAsia="黑体"/>
          <w:color w:val="auto"/>
          <w:sz w:val="21"/>
          <w:szCs w:val="21"/>
        </w:rPr>
        <w:t>列表参照附录A</w:t>
      </w:r>
      <w:r>
        <w:rPr>
          <w:rFonts w:ascii="黑体" w:hAnsi="黑体" w:eastAsia="黑体"/>
          <w:color w:val="auto"/>
          <w:sz w:val="21"/>
          <w:szCs w:val="21"/>
        </w:rPr>
        <w:t>）</w:t>
      </w:r>
    </w:p>
    <w:p w14:paraId="0E32903B">
      <w:pPr>
        <w:pStyle w:val="47"/>
        <w:spacing w:line="360" w:lineRule="auto"/>
        <w:ind w:firstLine="600"/>
        <w:jc w:val="both"/>
        <w:rPr>
          <w:rFonts w:hint="eastAsia" w:ascii="宋体" w:hAnsi="宋体" w:eastAsia="宋体"/>
          <w:color w:val="auto"/>
          <w:sz w:val="21"/>
          <w:szCs w:val="21"/>
        </w:rPr>
      </w:pPr>
      <w:r>
        <w:rPr>
          <w:rFonts w:hint="eastAsia" w:ascii="宋体" w:hAnsi="宋体" w:eastAsia="宋体"/>
          <w:color w:val="auto"/>
          <w:sz w:val="21"/>
          <w:szCs w:val="21"/>
        </w:rPr>
        <w:t>初级</w:t>
      </w:r>
      <w:r>
        <w:rPr>
          <w:rFonts w:ascii="宋体" w:hAnsi="宋体" w:eastAsia="宋体"/>
          <w:color w:val="auto"/>
          <w:sz w:val="21"/>
          <w:szCs w:val="21"/>
        </w:rPr>
        <w:t xml:space="preserve">数据： </w:t>
      </w:r>
    </w:p>
    <w:p w14:paraId="2864BEEF">
      <w:pPr>
        <w:pStyle w:val="47"/>
        <w:spacing w:line="360" w:lineRule="auto"/>
        <w:ind w:firstLine="600"/>
        <w:jc w:val="both"/>
        <w:rPr>
          <w:rFonts w:hint="eastAsia" w:ascii="宋体" w:hAnsi="宋体" w:eastAsia="宋体"/>
          <w:color w:val="auto"/>
          <w:sz w:val="21"/>
          <w:szCs w:val="21"/>
        </w:rPr>
      </w:pPr>
      <w:r>
        <w:rPr>
          <w:rFonts w:hint="eastAsia" w:ascii="宋体" w:hAnsi="宋体" w:eastAsia="宋体"/>
          <w:color w:val="auto"/>
          <w:sz w:val="21"/>
          <w:szCs w:val="21"/>
        </w:rPr>
        <w:t>次级数据</w:t>
      </w:r>
      <w:r>
        <w:rPr>
          <w:rFonts w:ascii="宋体" w:hAnsi="宋体" w:eastAsia="宋体"/>
          <w:color w:val="auto"/>
          <w:sz w:val="21"/>
          <w:szCs w:val="21"/>
        </w:rPr>
        <w:t>：</w:t>
      </w:r>
    </w:p>
    <w:p w14:paraId="3BFDAA4B">
      <w:pPr>
        <w:pStyle w:val="47"/>
        <w:spacing w:line="360" w:lineRule="auto"/>
        <w:ind w:firstLine="600"/>
        <w:jc w:val="both"/>
        <w:rPr>
          <w:rFonts w:hint="eastAsia" w:ascii="宋体" w:hAnsi="宋体" w:eastAsia="宋体"/>
          <w:color w:val="auto"/>
          <w:sz w:val="21"/>
          <w:szCs w:val="21"/>
        </w:rPr>
      </w:pPr>
      <w:r>
        <w:rPr>
          <w:rFonts w:ascii="宋体" w:hAnsi="宋体" w:eastAsia="宋体"/>
          <w:color w:val="auto"/>
          <w:sz w:val="21"/>
          <w:szCs w:val="21"/>
        </w:rPr>
        <w:t>软件与数据库：</w:t>
      </w:r>
    </w:p>
    <w:p w14:paraId="0D7AE66D">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4.4  分配原则与程序 </w:t>
      </w:r>
    </w:p>
    <w:p w14:paraId="3EE69BA5">
      <w:pPr>
        <w:pStyle w:val="47"/>
        <w:spacing w:line="360" w:lineRule="auto"/>
        <w:ind w:firstLine="600"/>
        <w:jc w:val="both"/>
        <w:rPr>
          <w:rFonts w:hint="eastAsia" w:ascii="宋体" w:hAnsi="宋体" w:eastAsia="宋体"/>
          <w:color w:val="auto"/>
          <w:sz w:val="21"/>
          <w:szCs w:val="21"/>
        </w:rPr>
      </w:pPr>
      <w:r>
        <w:rPr>
          <w:rFonts w:ascii="宋体" w:hAnsi="宋体" w:eastAsia="宋体"/>
          <w:color w:val="auto"/>
          <w:sz w:val="21"/>
          <w:szCs w:val="21"/>
        </w:rPr>
        <w:t xml:space="preserve">分配依据： </w:t>
      </w:r>
    </w:p>
    <w:p w14:paraId="2FEDDDB0">
      <w:pPr>
        <w:pStyle w:val="47"/>
        <w:spacing w:line="360" w:lineRule="auto"/>
        <w:ind w:firstLine="600"/>
        <w:jc w:val="both"/>
        <w:rPr>
          <w:rFonts w:hint="eastAsia" w:ascii="宋体" w:hAnsi="宋体" w:eastAsia="宋体"/>
          <w:color w:val="auto"/>
          <w:sz w:val="21"/>
          <w:szCs w:val="21"/>
        </w:rPr>
      </w:pPr>
      <w:r>
        <w:rPr>
          <w:rFonts w:ascii="宋体" w:hAnsi="宋体" w:eastAsia="宋体"/>
          <w:color w:val="auto"/>
          <w:sz w:val="21"/>
          <w:szCs w:val="21"/>
        </w:rPr>
        <w:t xml:space="preserve">分配程序： </w:t>
      </w:r>
    </w:p>
    <w:p w14:paraId="535E6D1F">
      <w:pPr>
        <w:pStyle w:val="47"/>
        <w:spacing w:line="360" w:lineRule="auto"/>
        <w:ind w:firstLine="600"/>
        <w:jc w:val="both"/>
        <w:rPr>
          <w:rFonts w:hint="eastAsia" w:ascii="宋体" w:hAnsi="宋体" w:eastAsia="宋体"/>
          <w:color w:val="auto"/>
          <w:sz w:val="21"/>
          <w:szCs w:val="21"/>
        </w:rPr>
      </w:pPr>
      <w:r>
        <w:rPr>
          <w:rFonts w:ascii="宋体" w:hAnsi="宋体" w:eastAsia="宋体"/>
          <w:color w:val="auto"/>
          <w:sz w:val="21"/>
          <w:szCs w:val="21"/>
        </w:rPr>
        <w:t>具体分配情况如下：</w:t>
      </w:r>
    </w:p>
    <w:p w14:paraId="688D2356">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4.5  </w:t>
      </w:r>
      <w:r>
        <w:rPr>
          <w:rFonts w:hint="eastAsia" w:ascii="黑体" w:hAnsi="黑体" w:eastAsia="黑体"/>
          <w:color w:val="auto"/>
          <w:sz w:val="21"/>
          <w:szCs w:val="21"/>
        </w:rPr>
        <w:t>清单计算及结果</w:t>
      </w:r>
    </w:p>
    <w:p w14:paraId="53788058">
      <w:pPr>
        <w:pStyle w:val="47"/>
        <w:spacing w:line="360" w:lineRule="auto"/>
        <w:jc w:val="both"/>
        <w:rPr>
          <w:rFonts w:hint="eastAsia" w:ascii="宋体" w:hAnsi="宋体" w:eastAsia="宋体"/>
          <w:color w:val="auto"/>
        </w:rPr>
      </w:pPr>
      <w:r>
        <w:rPr>
          <w:rFonts w:hint="eastAsia" w:ascii="宋体" w:hAnsi="宋体" w:eastAsia="宋体"/>
          <w:color w:val="auto"/>
        </w:rPr>
        <w:t xml:space="preserve">    生命周期各个阶段碳排放计算说明见表E.1。</w:t>
      </w:r>
    </w:p>
    <w:p w14:paraId="50E081B7">
      <w:pPr>
        <w:pStyle w:val="61"/>
        <w:spacing w:line="360" w:lineRule="auto"/>
        <w:ind w:firstLine="0" w:firstLineChars="0"/>
        <w:jc w:val="center"/>
        <w:rPr>
          <w:rFonts w:hint="eastAsia"/>
        </w:rPr>
      </w:pPr>
      <w:r>
        <w:rPr>
          <w:rFonts w:hint="eastAsia" w:ascii="黑体" w:hAnsi="黑体" w:eastAsia="黑体" w:cs="黑体"/>
          <w:szCs w:val="21"/>
        </w:rPr>
        <w:t>表E.1  生命周期碳排放清单说明</w:t>
      </w:r>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80"/>
        <w:gridCol w:w="1194"/>
        <w:gridCol w:w="1194"/>
        <w:gridCol w:w="1194"/>
        <w:gridCol w:w="3266"/>
      </w:tblGrid>
      <w:tr w14:paraId="50FD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Align w:val="center"/>
          </w:tcPr>
          <w:p w14:paraId="4FDD29D6">
            <w:pPr>
              <w:pStyle w:val="47"/>
              <w:jc w:val="center"/>
              <w:rPr>
                <w:rFonts w:hint="eastAsia" w:ascii="宋体" w:hAnsi="宋体" w:eastAsia="宋体"/>
                <w:color w:val="auto"/>
                <w:sz w:val="21"/>
                <w:szCs w:val="21"/>
              </w:rPr>
            </w:pPr>
            <w:r>
              <w:rPr>
                <w:rFonts w:hint="eastAsia" w:ascii="宋体" w:hAnsi="宋体" w:eastAsia="宋体"/>
                <w:color w:val="auto"/>
                <w:sz w:val="21"/>
                <w:szCs w:val="21"/>
              </w:rPr>
              <w:t>生命周期阶段</w:t>
            </w:r>
          </w:p>
        </w:tc>
        <w:tc>
          <w:tcPr>
            <w:tcW w:w="700" w:type="pct"/>
          </w:tcPr>
          <w:p w14:paraId="21CD9F92">
            <w:pPr>
              <w:pStyle w:val="47"/>
              <w:jc w:val="center"/>
              <w:rPr>
                <w:rFonts w:hint="eastAsia" w:ascii="宋体" w:hAnsi="宋体" w:eastAsia="宋体"/>
                <w:color w:val="auto"/>
                <w:sz w:val="21"/>
                <w:szCs w:val="21"/>
              </w:rPr>
            </w:pPr>
            <w:r>
              <w:rPr>
                <w:rFonts w:hint="eastAsia" w:ascii="宋体" w:hAnsi="宋体" w:eastAsia="宋体"/>
                <w:color w:val="auto"/>
                <w:sz w:val="21"/>
                <w:szCs w:val="21"/>
              </w:rPr>
              <w:t>流</w:t>
            </w:r>
          </w:p>
        </w:tc>
        <w:tc>
          <w:tcPr>
            <w:tcW w:w="700" w:type="pct"/>
            <w:vAlign w:val="center"/>
          </w:tcPr>
          <w:p w14:paraId="729AE735">
            <w:pPr>
              <w:pStyle w:val="47"/>
              <w:jc w:val="center"/>
              <w:rPr>
                <w:rFonts w:hint="eastAsia" w:ascii="宋体" w:hAnsi="宋体" w:eastAsia="宋体"/>
                <w:color w:val="auto"/>
                <w:sz w:val="21"/>
                <w:szCs w:val="21"/>
              </w:rPr>
            </w:pPr>
            <w:r>
              <w:rPr>
                <w:rFonts w:hint="eastAsia" w:ascii="宋体" w:hAnsi="宋体" w:eastAsia="宋体"/>
                <w:color w:val="auto"/>
                <w:sz w:val="21"/>
                <w:szCs w:val="21"/>
              </w:rPr>
              <w:t>活动数据</w:t>
            </w:r>
          </w:p>
        </w:tc>
        <w:tc>
          <w:tcPr>
            <w:tcW w:w="700" w:type="pct"/>
            <w:vAlign w:val="center"/>
          </w:tcPr>
          <w:p w14:paraId="3BA4CEBF">
            <w:pPr>
              <w:pStyle w:val="47"/>
              <w:jc w:val="center"/>
              <w:rPr>
                <w:rFonts w:hint="eastAsia" w:ascii="宋体" w:hAnsi="宋体" w:eastAsia="宋体"/>
                <w:color w:val="auto"/>
                <w:sz w:val="21"/>
                <w:szCs w:val="21"/>
              </w:rPr>
            </w:pPr>
            <w:r>
              <w:rPr>
                <w:rFonts w:hint="eastAsia" w:ascii="宋体" w:hAnsi="宋体" w:eastAsia="宋体"/>
                <w:color w:val="auto"/>
                <w:sz w:val="21"/>
                <w:szCs w:val="21"/>
              </w:rPr>
              <w:t>排放因子</w:t>
            </w:r>
          </w:p>
        </w:tc>
        <w:tc>
          <w:tcPr>
            <w:tcW w:w="1914" w:type="pct"/>
            <w:vAlign w:val="center"/>
          </w:tcPr>
          <w:p w14:paraId="3C9C3DD8">
            <w:pPr>
              <w:pStyle w:val="47"/>
              <w:jc w:val="center"/>
              <w:rPr>
                <w:rFonts w:hint="eastAsia" w:ascii="宋体" w:hAnsi="宋体" w:eastAsia="宋体"/>
                <w:color w:val="auto"/>
                <w:sz w:val="21"/>
                <w:szCs w:val="21"/>
              </w:rPr>
            </w:pPr>
            <w:r>
              <w:rPr>
                <w:rFonts w:hint="eastAsia" w:ascii="宋体" w:hAnsi="宋体" w:eastAsia="宋体"/>
                <w:color w:val="auto"/>
                <w:sz w:val="21"/>
                <w:szCs w:val="21"/>
              </w:rPr>
              <w:t>温室气体量（kg/声明单位）</w:t>
            </w:r>
          </w:p>
        </w:tc>
      </w:tr>
      <w:tr w14:paraId="6DC9C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restart"/>
            <w:vAlign w:val="center"/>
          </w:tcPr>
          <w:p w14:paraId="21829CC8">
            <w:pPr>
              <w:pStyle w:val="47"/>
              <w:jc w:val="center"/>
              <w:rPr>
                <w:rFonts w:hint="eastAsia" w:ascii="宋体" w:hAnsi="宋体" w:eastAsia="宋体"/>
                <w:color w:val="auto"/>
                <w:sz w:val="21"/>
                <w:szCs w:val="21"/>
              </w:rPr>
            </w:pPr>
            <w:r>
              <w:rPr>
                <w:rFonts w:hint="eastAsia" w:ascii="宋体" w:hAnsi="宋体" w:eastAsia="宋体"/>
                <w:color w:val="auto"/>
                <w:sz w:val="21"/>
                <w:szCs w:val="21"/>
              </w:rPr>
              <w:t>…</w:t>
            </w:r>
          </w:p>
        </w:tc>
        <w:tc>
          <w:tcPr>
            <w:tcW w:w="700" w:type="pct"/>
          </w:tcPr>
          <w:p w14:paraId="16E12210">
            <w:pPr>
              <w:pStyle w:val="47"/>
              <w:jc w:val="center"/>
              <w:rPr>
                <w:rFonts w:hint="eastAsia" w:ascii="宋体" w:hAnsi="宋体" w:eastAsia="宋体"/>
                <w:color w:val="auto"/>
                <w:sz w:val="21"/>
                <w:szCs w:val="21"/>
              </w:rPr>
            </w:pPr>
            <w:r>
              <w:rPr>
                <w:rFonts w:hint="eastAsia" w:ascii="宋体" w:hAnsi="宋体" w:eastAsia="宋体"/>
                <w:color w:val="auto"/>
                <w:sz w:val="21"/>
                <w:szCs w:val="21"/>
              </w:rPr>
              <w:t>水泥</w:t>
            </w:r>
          </w:p>
        </w:tc>
        <w:tc>
          <w:tcPr>
            <w:tcW w:w="700" w:type="pct"/>
            <w:vAlign w:val="center"/>
          </w:tcPr>
          <w:p w14:paraId="2AC568B1">
            <w:pPr>
              <w:pStyle w:val="47"/>
              <w:jc w:val="center"/>
              <w:rPr>
                <w:rFonts w:hint="eastAsia" w:ascii="宋体" w:hAnsi="宋体" w:eastAsia="宋体"/>
                <w:color w:val="auto"/>
                <w:sz w:val="21"/>
                <w:szCs w:val="21"/>
              </w:rPr>
            </w:pPr>
          </w:p>
        </w:tc>
        <w:tc>
          <w:tcPr>
            <w:tcW w:w="700" w:type="pct"/>
            <w:vAlign w:val="center"/>
          </w:tcPr>
          <w:p w14:paraId="724E2571">
            <w:pPr>
              <w:pStyle w:val="47"/>
              <w:jc w:val="center"/>
              <w:rPr>
                <w:rFonts w:hint="eastAsia" w:ascii="宋体" w:hAnsi="宋体" w:eastAsia="宋体"/>
                <w:color w:val="auto"/>
                <w:sz w:val="21"/>
                <w:szCs w:val="21"/>
              </w:rPr>
            </w:pPr>
          </w:p>
        </w:tc>
        <w:tc>
          <w:tcPr>
            <w:tcW w:w="1914" w:type="pct"/>
            <w:vAlign w:val="center"/>
          </w:tcPr>
          <w:p w14:paraId="3AFF4368">
            <w:pPr>
              <w:pStyle w:val="47"/>
              <w:jc w:val="center"/>
              <w:rPr>
                <w:rFonts w:hint="eastAsia" w:ascii="宋体" w:hAnsi="宋体" w:eastAsia="宋体"/>
                <w:color w:val="auto"/>
                <w:sz w:val="21"/>
                <w:szCs w:val="21"/>
              </w:rPr>
            </w:pPr>
          </w:p>
        </w:tc>
      </w:tr>
      <w:tr w14:paraId="2633D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continue"/>
            <w:vAlign w:val="center"/>
          </w:tcPr>
          <w:p w14:paraId="70069CBE">
            <w:pPr>
              <w:pStyle w:val="47"/>
              <w:jc w:val="center"/>
              <w:rPr>
                <w:rFonts w:hint="eastAsia" w:ascii="宋体" w:hAnsi="宋体" w:eastAsia="宋体"/>
                <w:color w:val="auto"/>
                <w:sz w:val="21"/>
                <w:szCs w:val="21"/>
              </w:rPr>
            </w:pPr>
          </w:p>
        </w:tc>
        <w:tc>
          <w:tcPr>
            <w:tcW w:w="700" w:type="pct"/>
          </w:tcPr>
          <w:p w14:paraId="38139076">
            <w:pPr>
              <w:pStyle w:val="47"/>
              <w:jc w:val="center"/>
              <w:rPr>
                <w:rFonts w:hint="eastAsia" w:ascii="宋体" w:hAnsi="宋体" w:eastAsia="宋体"/>
                <w:color w:val="auto"/>
                <w:sz w:val="21"/>
                <w:szCs w:val="21"/>
              </w:rPr>
            </w:pPr>
            <w:r>
              <w:rPr>
                <w:rFonts w:hint="eastAsia" w:ascii="宋体" w:hAnsi="宋体" w:eastAsia="宋体"/>
                <w:color w:val="auto"/>
                <w:sz w:val="21"/>
                <w:szCs w:val="21"/>
              </w:rPr>
              <w:t>电力</w:t>
            </w:r>
          </w:p>
        </w:tc>
        <w:tc>
          <w:tcPr>
            <w:tcW w:w="700" w:type="pct"/>
            <w:vAlign w:val="center"/>
          </w:tcPr>
          <w:p w14:paraId="48B81ABC">
            <w:pPr>
              <w:pStyle w:val="47"/>
              <w:jc w:val="center"/>
              <w:rPr>
                <w:rFonts w:hint="eastAsia" w:ascii="宋体" w:hAnsi="宋体" w:eastAsia="宋体"/>
                <w:color w:val="auto"/>
                <w:sz w:val="21"/>
                <w:szCs w:val="21"/>
              </w:rPr>
            </w:pPr>
          </w:p>
        </w:tc>
        <w:tc>
          <w:tcPr>
            <w:tcW w:w="700" w:type="pct"/>
            <w:vAlign w:val="center"/>
          </w:tcPr>
          <w:p w14:paraId="59E685EC">
            <w:pPr>
              <w:pStyle w:val="47"/>
              <w:jc w:val="center"/>
              <w:rPr>
                <w:rFonts w:hint="eastAsia" w:ascii="宋体" w:hAnsi="宋体" w:eastAsia="宋体"/>
                <w:color w:val="auto"/>
                <w:sz w:val="21"/>
                <w:szCs w:val="21"/>
              </w:rPr>
            </w:pPr>
          </w:p>
        </w:tc>
        <w:tc>
          <w:tcPr>
            <w:tcW w:w="1914" w:type="pct"/>
            <w:vAlign w:val="center"/>
          </w:tcPr>
          <w:p w14:paraId="7BAC9096">
            <w:pPr>
              <w:pStyle w:val="47"/>
              <w:jc w:val="center"/>
              <w:rPr>
                <w:rFonts w:hint="eastAsia" w:ascii="宋体" w:hAnsi="宋体" w:eastAsia="宋体"/>
                <w:color w:val="auto"/>
                <w:sz w:val="21"/>
                <w:szCs w:val="21"/>
              </w:rPr>
            </w:pPr>
          </w:p>
        </w:tc>
      </w:tr>
      <w:tr w14:paraId="291AC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continue"/>
            <w:vAlign w:val="center"/>
          </w:tcPr>
          <w:p w14:paraId="1EF03AF0">
            <w:pPr>
              <w:pStyle w:val="47"/>
              <w:jc w:val="center"/>
              <w:rPr>
                <w:rFonts w:hint="eastAsia" w:ascii="宋体" w:hAnsi="宋体" w:eastAsia="宋体"/>
                <w:color w:val="auto"/>
                <w:sz w:val="21"/>
                <w:szCs w:val="21"/>
              </w:rPr>
            </w:pPr>
          </w:p>
        </w:tc>
        <w:tc>
          <w:tcPr>
            <w:tcW w:w="700" w:type="pct"/>
          </w:tcPr>
          <w:p w14:paraId="0111D731">
            <w:pPr>
              <w:pStyle w:val="47"/>
              <w:jc w:val="center"/>
              <w:rPr>
                <w:rFonts w:hint="eastAsia" w:ascii="宋体" w:hAnsi="宋体" w:eastAsia="宋体"/>
                <w:color w:val="auto"/>
                <w:sz w:val="21"/>
                <w:szCs w:val="21"/>
              </w:rPr>
            </w:pPr>
            <w:r>
              <w:rPr>
                <w:rFonts w:hint="eastAsia" w:ascii="宋体" w:hAnsi="宋体" w:eastAsia="宋体"/>
                <w:color w:val="auto"/>
                <w:sz w:val="21"/>
                <w:szCs w:val="21"/>
              </w:rPr>
              <w:t>…</w:t>
            </w:r>
          </w:p>
        </w:tc>
        <w:tc>
          <w:tcPr>
            <w:tcW w:w="700" w:type="pct"/>
            <w:vAlign w:val="center"/>
          </w:tcPr>
          <w:p w14:paraId="247929A6">
            <w:pPr>
              <w:pStyle w:val="47"/>
              <w:jc w:val="center"/>
              <w:rPr>
                <w:rFonts w:hint="eastAsia" w:ascii="宋体" w:hAnsi="宋体" w:eastAsia="宋体"/>
                <w:color w:val="auto"/>
                <w:sz w:val="21"/>
                <w:szCs w:val="21"/>
              </w:rPr>
            </w:pPr>
          </w:p>
        </w:tc>
        <w:tc>
          <w:tcPr>
            <w:tcW w:w="700" w:type="pct"/>
            <w:vAlign w:val="center"/>
          </w:tcPr>
          <w:p w14:paraId="573F9DA5">
            <w:pPr>
              <w:pStyle w:val="47"/>
              <w:jc w:val="center"/>
              <w:rPr>
                <w:rFonts w:hint="eastAsia" w:ascii="宋体" w:hAnsi="宋体" w:eastAsia="宋体"/>
                <w:color w:val="auto"/>
                <w:sz w:val="21"/>
                <w:szCs w:val="21"/>
              </w:rPr>
            </w:pPr>
          </w:p>
        </w:tc>
        <w:tc>
          <w:tcPr>
            <w:tcW w:w="1914" w:type="pct"/>
            <w:vAlign w:val="center"/>
          </w:tcPr>
          <w:p w14:paraId="3E8FAE34">
            <w:pPr>
              <w:pStyle w:val="47"/>
              <w:jc w:val="center"/>
              <w:rPr>
                <w:rFonts w:hint="eastAsia" w:ascii="宋体" w:hAnsi="宋体" w:eastAsia="宋体"/>
                <w:color w:val="auto"/>
                <w:sz w:val="21"/>
                <w:szCs w:val="21"/>
              </w:rPr>
            </w:pPr>
          </w:p>
        </w:tc>
      </w:tr>
      <w:tr w14:paraId="7F4FF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continue"/>
            <w:vAlign w:val="center"/>
          </w:tcPr>
          <w:p w14:paraId="2D3B91AB">
            <w:pPr>
              <w:pStyle w:val="47"/>
              <w:jc w:val="center"/>
              <w:rPr>
                <w:rFonts w:hint="eastAsia" w:ascii="宋体" w:hAnsi="宋体" w:eastAsia="宋体"/>
                <w:color w:val="auto"/>
                <w:sz w:val="21"/>
                <w:szCs w:val="21"/>
              </w:rPr>
            </w:pPr>
          </w:p>
        </w:tc>
        <w:tc>
          <w:tcPr>
            <w:tcW w:w="700" w:type="pct"/>
          </w:tcPr>
          <w:p w14:paraId="649D1AA0">
            <w:pPr>
              <w:pStyle w:val="47"/>
              <w:jc w:val="center"/>
              <w:rPr>
                <w:rFonts w:hint="eastAsia" w:ascii="宋体" w:hAnsi="宋体" w:eastAsia="宋体"/>
                <w:color w:val="auto"/>
                <w:sz w:val="21"/>
                <w:szCs w:val="21"/>
              </w:rPr>
            </w:pPr>
            <w:r>
              <w:rPr>
                <w:rFonts w:hint="eastAsia" w:ascii="宋体" w:hAnsi="宋体" w:eastAsia="宋体"/>
                <w:color w:val="auto"/>
                <w:sz w:val="21"/>
                <w:szCs w:val="21"/>
              </w:rPr>
              <w:t>直接温室气体排放</w:t>
            </w:r>
          </w:p>
        </w:tc>
        <w:tc>
          <w:tcPr>
            <w:tcW w:w="700" w:type="pct"/>
            <w:vAlign w:val="center"/>
          </w:tcPr>
          <w:p w14:paraId="61502409">
            <w:pPr>
              <w:pStyle w:val="47"/>
              <w:jc w:val="center"/>
              <w:rPr>
                <w:rFonts w:hint="eastAsia" w:ascii="宋体" w:hAnsi="宋体" w:eastAsia="宋体"/>
                <w:color w:val="auto"/>
                <w:sz w:val="21"/>
                <w:szCs w:val="21"/>
              </w:rPr>
            </w:pPr>
          </w:p>
        </w:tc>
        <w:tc>
          <w:tcPr>
            <w:tcW w:w="700" w:type="pct"/>
            <w:vAlign w:val="center"/>
          </w:tcPr>
          <w:p w14:paraId="5A836215">
            <w:pPr>
              <w:pStyle w:val="47"/>
              <w:jc w:val="center"/>
              <w:rPr>
                <w:rFonts w:hint="eastAsia" w:ascii="宋体" w:hAnsi="宋体" w:eastAsia="宋体"/>
                <w:color w:val="auto"/>
                <w:sz w:val="21"/>
                <w:szCs w:val="21"/>
              </w:rPr>
            </w:pPr>
          </w:p>
        </w:tc>
        <w:tc>
          <w:tcPr>
            <w:tcW w:w="1914" w:type="pct"/>
            <w:vAlign w:val="center"/>
          </w:tcPr>
          <w:p w14:paraId="7D56A048">
            <w:pPr>
              <w:pStyle w:val="47"/>
              <w:jc w:val="center"/>
              <w:rPr>
                <w:rFonts w:hint="eastAsia" w:ascii="宋体" w:hAnsi="宋体" w:eastAsia="宋体"/>
                <w:color w:val="auto"/>
                <w:sz w:val="21"/>
                <w:szCs w:val="21"/>
              </w:rPr>
            </w:pPr>
          </w:p>
        </w:tc>
      </w:tr>
      <w:tr w14:paraId="6B9EF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restart"/>
            <w:vAlign w:val="center"/>
          </w:tcPr>
          <w:p w14:paraId="39B04838">
            <w:pPr>
              <w:pStyle w:val="47"/>
              <w:jc w:val="center"/>
              <w:rPr>
                <w:rFonts w:hint="eastAsia" w:ascii="宋体" w:hAnsi="宋体" w:eastAsia="宋体"/>
                <w:color w:val="auto"/>
                <w:sz w:val="21"/>
                <w:szCs w:val="21"/>
              </w:rPr>
            </w:pPr>
            <w:r>
              <w:rPr>
                <w:rFonts w:hint="eastAsia" w:ascii="宋体" w:hAnsi="宋体" w:eastAsia="宋体"/>
                <w:color w:val="auto"/>
                <w:sz w:val="21"/>
                <w:szCs w:val="21"/>
              </w:rPr>
              <w:t>…</w:t>
            </w:r>
          </w:p>
        </w:tc>
        <w:tc>
          <w:tcPr>
            <w:tcW w:w="700" w:type="pct"/>
          </w:tcPr>
          <w:p w14:paraId="5205342B">
            <w:pPr>
              <w:pStyle w:val="47"/>
              <w:jc w:val="center"/>
              <w:rPr>
                <w:rFonts w:hint="eastAsia" w:ascii="宋体" w:hAnsi="宋体" w:eastAsia="宋体"/>
                <w:color w:val="auto"/>
                <w:sz w:val="21"/>
                <w:szCs w:val="21"/>
              </w:rPr>
            </w:pPr>
          </w:p>
        </w:tc>
        <w:tc>
          <w:tcPr>
            <w:tcW w:w="700" w:type="pct"/>
            <w:vAlign w:val="center"/>
          </w:tcPr>
          <w:p w14:paraId="3ACF5D58">
            <w:pPr>
              <w:pStyle w:val="47"/>
              <w:jc w:val="center"/>
              <w:rPr>
                <w:rFonts w:hint="eastAsia" w:ascii="宋体" w:hAnsi="宋体" w:eastAsia="宋体"/>
                <w:color w:val="auto"/>
                <w:sz w:val="21"/>
                <w:szCs w:val="21"/>
              </w:rPr>
            </w:pPr>
          </w:p>
        </w:tc>
        <w:tc>
          <w:tcPr>
            <w:tcW w:w="700" w:type="pct"/>
            <w:vAlign w:val="center"/>
          </w:tcPr>
          <w:p w14:paraId="403CBA02">
            <w:pPr>
              <w:pStyle w:val="47"/>
              <w:jc w:val="center"/>
              <w:rPr>
                <w:rFonts w:hint="eastAsia" w:ascii="宋体" w:hAnsi="宋体" w:eastAsia="宋体"/>
                <w:color w:val="auto"/>
                <w:sz w:val="21"/>
                <w:szCs w:val="21"/>
              </w:rPr>
            </w:pPr>
          </w:p>
        </w:tc>
        <w:tc>
          <w:tcPr>
            <w:tcW w:w="1914" w:type="pct"/>
            <w:vAlign w:val="center"/>
          </w:tcPr>
          <w:p w14:paraId="74B8ABAD">
            <w:pPr>
              <w:pStyle w:val="47"/>
              <w:jc w:val="center"/>
              <w:rPr>
                <w:rFonts w:hint="eastAsia" w:ascii="宋体" w:hAnsi="宋体" w:eastAsia="宋体"/>
                <w:color w:val="auto"/>
                <w:sz w:val="21"/>
                <w:szCs w:val="21"/>
              </w:rPr>
            </w:pPr>
          </w:p>
        </w:tc>
      </w:tr>
      <w:tr w14:paraId="75C4C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continue"/>
            <w:vAlign w:val="center"/>
          </w:tcPr>
          <w:p w14:paraId="4D005EAD">
            <w:pPr>
              <w:pStyle w:val="47"/>
              <w:jc w:val="center"/>
              <w:rPr>
                <w:rFonts w:hint="eastAsia" w:ascii="宋体" w:hAnsi="宋体" w:eastAsia="宋体"/>
                <w:color w:val="auto"/>
                <w:sz w:val="21"/>
                <w:szCs w:val="21"/>
              </w:rPr>
            </w:pPr>
          </w:p>
        </w:tc>
        <w:tc>
          <w:tcPr>
            <w:tcW w:w="700" w:type="pct"/>
          </w:tcPr>
          <w:p w14:paraId="56D69DE2">
            <w:pPr>
              <w:pStyle w:val="47"/>
              <w:jc w:val="center"/>
              <w:rPr>
                <w:rFonts w:hint="eastAsia" w:ascii="宋体" w:hAnsi="宋体" w:eastAsia="宋体"/>
                <w:color w:val="auto"/>
                <w:sz w:val="21"/>
                <w:szCs w:val="21"/>
              </w:rPr>
            </w:pPr>
          </w:p>
        </w:tc>
        <w:tc>
          <w:tcPr>
            <w:tcW w:w="700" w:type="pct"/>
            <w:vAlign w:val="center"/>
          </w:tcPr>
          <w:p w14:paraId="223CFB60">
            <w:pPr>
              <w:pStyle w:val="47"/>
              <w:jc w:val="center"/>
              <w:rPr>
                <w:rFonts w:hint="eastAsia" w:ascii="宋体" w:hAnsi="宋体" w:eastAsia="宋体"/>
                <w:color w:val="auto"/>
                <w:sz w:val="21"/>
                <w:szCs w:val="21"/>
              </w:rPr>
            </w:pPr>
          </w:p>
        </w:tc>
        <w:tc>
          <w:tcPr>
            <w:tcW w:w="700" w:type="pct"/>
            <w:vAlign w:val="center"/>
          </w:tcPr>
          <w:p w14:paraId="18845444">
            <w:pPr>
              <w:pStyle w:val="47"/>
              <w:jc w:val="center"/>
              <w:rPr>
                <w:rFonts w:hint="eastAsia" w:ascii="宋体" w:hAnsi="宋体" w:eastAsia="宋体"/>
                <w:color w:val="auto"/>
                <w:sz w:val="21"/>
                <w:szCs w:val="21"/>
              </w:rPr>
            </w:pPr>
          </w:p>
        </w:tc>
        <w:tc>
          <w:tcPr>
            <w:tcW w:w="1914" w:type="pct"/>
            <w:vAlign w:val="center"/>
          </w:tcPr>
          <w:p w14:paraId="27A165A2">
            <w:pPr>
              <w:pStyle w:val="47"/>
              <w:jc w:val="center"/>
              <w:rPr>
                <w:rFonts w:hint="eastAsia" w:ascii="宋体" w:hAnsi="宋体" w:eastAsia="宋体"/>
                <w:color w:val="auto"/>
                <w:sz w:val="21"/>
                <w:szCs w:val="21"/>
              </w:rPr>
            </w:pPr>
          </w:p>
        </w:tc>
      </w:tr>
      <w:tr w14:paraId="21AC5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pct"/>
            <w:vMerge w:val="continue"/>
            <w:vAlign w:val="center"/>
          </w:tcPr>
          <w:p w14:paraId="18713EB6">
            <w:pPr>
              <w:pStyle w:val="47"/>
              <w:jc w:val="center"/>
              <w:rPr>
                <w:rFonts w:hint="eastAsia" w:ascii="宋体" w:hAnsi="宋体" w:eastAsia="宋体"/>
                <w:color w:val="auto"/>
                <w:sz w:val="21"/>
                <w:szCs w:val="21"/>
              </w:rPr>
            </w:pPr>
          </w:p>
        </w:tc>
        <w:tc>
          <w:tcPr>
            <w:tcW w:w="700" w:type="pct"/>
          </w:tcPr>
          <w:p w14:paraId="311648AF">
            <w:pPr>
              <w:pStyle w:val="47"/>
              <w:jc w:val="center"/>
              <w:rPr>
                <w:rFonts w:hint="eastAsia" w:ascii="宋体" w:hAnsi="宋体" w:eastAsia="宋体"/>
                <w:color w:val="auto"/>
                <w:sz w:val="21"/>
                <w:szCs w:val="21"/>
              </w:rPr>
            </w:pPr>
          </w:p>
        </w:tc>
        <w:tc>
          <w:tcPr>
            <w:tcW w:w="700" w:type="pct"/>
            <w:vAlign w:val="center"/>
          </w:tcPr>
          <w:p w14:paraId="4B7F8DAE">
            <w:pPr>
              <w:pStyle w:val="47"/>
              <w:jc w:val="center"/>
              <w:rPr>
                <w:rFonts w:hint="eastAsia" w:ascii="宋体" w:hAnsi="宋体" w:eastAsia="宋体"/>
                <w:color w:val="auto"/>
                <w:sz w:val="21"/>
                <w:szCs w:val="21"/>
              </w:rPr>
            </w:pPr>
          </w:p>
        </w:tc>
        <w:tc>
          <w:tcPr>
            <w:tcW w:w="700" w:type="pct"/>
            <w:vAlign w:val="center"/>
          </w:tcPr>
          <w:p w14:paraId="776B2393">
            <w:pPr>
              <w:pStyle w:val="47"/>
              <w:jc w:val="center"/>
              <w:rPr>
                <w:rFonts w:hint="eastAsia" w:ascii="宋体" w:hAnsi="宋体" w:eastAsia="宋体"/>
                <w:color w:val="auto"/>
                <w:sz w:val="21"/>
                <w:szCs w:val="21"/>
              </w:rPr>
            </w:pPr>
          </w:p>
        </w:tc>
        <w:tc>
          <w:tcPr>
            <w:tcW w:w="1914" w:type="pct"/>
            <w:vAlign w:val="center"/>
          </w:tcPr>
          <w:p w14:paraId="6440B6A9">
            <w:pPr>
              <w:pStyle w:val="47"/>
              <w:jc w:val="center"/>
              <w:rPr>
                <w:rFonts w:hint="eastAsia" w:ascii="宋体" w:hAnsi="宋体" w:eastAsia="宋体"/>
                <w:color w:val="auto"/>
                <w:sz w:val="21"/>
                <w:szCs w:val="21"/>
              </w:rPr>
            </w:pPr>
          </w:p>
        </w:tc>
      </w:tr>
    </w:tbl>
    <w:p w14:paraId="6CE2AB08">
      <w:pPr>
        <w:pStyle w:val="47"/>
        <w:spacing w:line="360" w:lineRule="auto"/>
        <w:rPr>
          <w:rFonts w:hint="eastAsia" w:ascii="宋体" w:hAnsi="宋体" w:eastAsia="宋体"/>
          <w:color w:val="auto"/>
        </w:rPr>
      </w:pPr>
    </w:p>
    <w:p w14:paraId="6E01B009">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4.6  数据质量评价</w:t>
      </w:r>
    </w:p>
    <w:p w14:paraId="51CB38B0">
      <w:pPr>
        <w:pStyle w:val="47"/>
        <w:spacing w:line="360" w:lineRule="auto"/>
        <w:ind w:firstLine="600"/>
        <w:jc w:val="both"/>
        <w:rPr>
          <w:rFonts w:hint="eastAsia" w:ascii="宋体" w:hAnsi="宋体" w:eastAsia="宋体"/>
          <w:color w:val="auto"/>
          <w:sz w:val="21"/>
          <w:szCs w:val="21"/>
        </w:rPr>
      </w:pPr>
      <w:r>
        <w:rPr>
          <w:rFonts w:ascii="宋体" w:hAnsi="宋体" w:eastAsia="宋体"/>
          <w:color w:val="auto"/>
          <w:sz w:val="21"/>
          <w:szCs w:val="21"/>
        </w:rPr>
        <w:t>数据质量评估的目的是判断计算结果和结论的可信度，并指出提高数据质量的关键因素。本评价数据质量可从定性和定量两个方面进行管控和评估，具体评价内容包括：</w:t>
      </w:r>
      <w:r>
        <w:rPr>
          <w:rFonts w:hint="eastAsia" w:ascii="宋体" w:hAnsi="宋体" w:eastAsia="宋体"/>
          <w:color w:val="auto"/>
          <w:sz w:val="21"/>
          <w:szCs w:val="21"/>
        </w:rPr>
        <w:t>数据可靠性（来源）、数据代表性（</w:t>
      </w:r>
      <w:r>
        <w:rPr>
          <w:rFonts w:ascii="宋体" w:hAnsi="宋体" w:eastAsia="宋体"/>
          <w:color w:val="auto"/>
          <w:sz w:val="21"/>
          <w:szCs w:val="21"/>
        </w:rPr>
        <w:t>时间、地理、技术</w:t>
      </w:r>
      <w:r>
        <w:rPr>
          <w:rFonts w:hint="eastAsia" w:ascii="宋体" w:hAnsi="宋体" w:eastAsia="宋体"/>
          <w:color w:val="auto"/>
          <w:sz w:val="21"/>
          <w:szCs w:val="21"/>
        </w:rPr>
        <w:t>）</w:t>
      </w:r>
      <w:r>
        <w:rPr>
          <w:rFonts w:ascii="宋体" w:hAnsi="宋体" w:eastAsia="宋体"/>
          <w:color w:val="auto"/>
          <w:sz w:val="21"/>
          <w:szCs w:val="21"/>
        </w:rPr>
        <w:t>、准确</w:t>
      </w:r>
      <w:r>
        <w:rPr>
          <w:rFonts w:hint="eastAsia" w:ascii="宋体" w:hAnsi="宋体" w:eastAsia="宋体"/>
          <w:color w:val="auto"/>
          <w:sz w:val="21"/>
          <w:szCs w:val="21"/>
        </w:rPr>
        <w:t>度</w:t>
      </w:r>
      <w:r>
        <w:rPr>
          <w:rFonts w:ascii="宋体" w:hAnsi="宋体" w:eastAsia="宋体"/>
          <w:color w:val="auto"/>
          <w:sz w:val="21"/>
          <w:szCs w:val="21"/>
        </w:rPr>
        <w:t>、完整性（说明缺失数据处理方案）。</w:t>
      </w:r>
    </w:p>
    <w:p w14:paraId="2DEC41A9">
      <w:pPr>
        <w:pStyle w:val="47"/>
        <w:spacing w:before="312" w:beforeLines="100" w:after="312" w:afterLines="100"/>
        <w:jc w:val="both"/>
        <w:rPr>
          <w:rFonts w:ascii="黑体" w:eastAsia="黑体" w:cs="黑体"/>
          <w:color w:val="auto"/>
          <w:sz w:val="21"/>
          <w:szCs w:val="21"/>
        </w:rPr>
      </w:pPr>
      <w:r>
        <w:rPr>
          <w:rFonts w:hint="eastAsia" w:ascii="黑体" w:eastAsia="黑体" w:cs="黑体"/>
          <w:color w:val="auto"/>
          <w:sz w:val="21"/>
          <w:szCs w:val="21"/>
        </w:rPr>
        <w:t>五、影响评价</w:t>
      </w:r>
    </w:p>
    <w:p w14:paraId="226BB533">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5.1  </w:t>
      </w:r>
      <w:r>
        <w:rPr>
          <w:rFonts w:hint="eastAsia" w:ascii="黑体" w:hAnsi="黑体" w:eastAsia="黑体"/>
          <w:color w:val="auto"/>
          <w:sz w:val="21"/>
          <w:szCs w:val="21"/>
        </w:rPr>
        <w:t>特征化因子的选择</w:t>
      </w:r>
      <w:r>
        <w:rPr>
          <w:rFonts w:ascii="黑体" w:hAnsi="黑体" w:eastAsia="黑体"/>
          <w:color w:val="auto"/>
          <w:sz w:val="21"/>
          <w:szCs w:val="21"/>
        </w:rPr>
        <w:t xml:space="preserve"> </w:t>
      </w:r>
    </w:p>
    <w:p w14:paraId="1913284B">
      <w:pPr>
        <w:pStyle w:val="47"/>
        <w:spacing w:line="360" w:lineRule="auto"/>
        <w:ind w:firstLine="420" w:firstLineChars="200"/>
        <w:jc w:val="both"/>
        <w:rPr>
          <w:rFonts w:hint="eastAsia" w:ascii="宋体" w:hAnsi="宋体" w:eastAsia="宋体"/>
          <w:color w:val="auto"/>
          <w:sz w:val="21"/>
          <w:szCs w:val="21"/>
        </w:rPr>
      </w:pPr>
      <w:r>
        <w:rPr>
          <w:rFonts w:hint="eastAsia" w:ascii="宋体" w:hAnsi="宋体" w:eastAsia="宋体"/>
          <w:color w:val="auto"/>
          <w:sz w:val="21"/>
          <w:szCs w:val="21"/>
        </w:rPr>
        <w:t>一般选择政府间气候变化专门委员会（IPCC）最新给出的100年全球变暖潜势（GWP）。</w:t>
      </w:r>
    </w:p>
    <w:p w14:paraId="0EFD72A8">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5.2  </w:t>
      </w:r>
      <w:r>
        <w:rPr>
          <w:rFonts w:hint="eastAsia" w:ascii="黑体" w:hAnsi="黑体" w:eastAsia="黑体"/>
          <w:color w:val="auto"/>
          <w:sz w:val="21"/>
          <w:szCs w:val="21"/>
        </w:rPr>
        <w:t>产品碳足迹结果计算</w:t>
      </w:r>
      <w:r>
        <w:rPr>
          <w:rFonts w:ascii="黑体" w:hAnsi="黑体" w:eastAsia="黑体"/>
          <w:color w:val="auto"/>
          <w:sz w:val="21"/>
          <w:szCs w:val="21"/>
        </w:rPr>
        <w:t xml:space="preserve"> </w:t>
      </w:r>
    </w:p>
    <w:p w14:paraId="2C244D5B">
      <w:pPr>
        <w:pStyle w:val="47"/>
        <w:spacing w:line="360" w:lineRule="auto"/>
        <w:ind w:firstLine="420" w:firstLineChars="200"/>
        <w:jc w:val="both"/>
        <w:rPr>
          <w:rFonts w:hint="eastAsia" w:ascii="宋体" w:hAnsi="宋体" w:eastAsia="宋体"/>
          <w:color w:val="auto"/>
          <w:sz w:val="21"/>
          <w:szCs w:val="21"/>
        </w:rPr>
      </w:pPr>
      <w:r>
        <w:rPr>
          <w:rFonts w:hint="eastAsia" w:ascii="宋体" w:hAnsi="宋体" w:eastAsia="宋体"/>
          <w:color w:val="auto"/>
          <w:sz w:val="21"/>
          <w:szCs w:val="21"/>
        </w:rPr>
        <w:t>针对生命周期各阶段，逐个单元进行计算并汇总。</w:t>
      </w:r>
      <w:r>
        <w:rPr>
          <w:rFonts w:ascii="宋体" w:hAnsi="宋体" w:eastAsia="宋体"/>
          <w:color w:val="auto"/>
          <w:sz w:val="21"/>
          <w:szCs w:val="21"/>
        </w:rPr>
        <w:t xml:space="preserve"> </w:t>
      </w:r>
    </w:p>
    <w:p w14:paraId="49298D13">
      <w:pPr>
        <w:pStyle w:val="47"/>
        <w:spacing w:before="312" w:beforeLines="100" w:after="312" w:afterLines="100"/>
        <w:jc w:val="both"/>
        <w:rPr>
          <w:rFonts w:ascii="黑体" w:eastAsia="黑体" w:cs="黑体"/>
          <w:color w:val="auto"/>
          <w:sz w:val="21"/>
          <w:szCs w:val="21"/>
        </w:rPr>
      </w:pPr>
      <w:r>
        <w:rPr>
          <w:rFonts w:hint="eastAsia" w:ascii="黑体" w:eastAsia="黑体" w:cs="黑体"/>
          <w:color w:val="auto"/>
          <w:sz w:val="21"/>
          <w:szCs w:val="21"/>
        </w:rPr>
        <w:t>六、结果解释</w:t>
      </w:r>
    </w:p>
    <w:p w14:paraId="7CCD4A33">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 xml:space="preserve">6.1  </w:t>
      </w:r>
      <w:r>
        <w:rPr>
          <w:rFonts w:hint="eastAsia" w:ascii="黑体" w:hAnsi="黑体" w:eastAsia="黑体"/>
          <w:color w:val="auto"/>
          <w:sz w:val="21"/>
          <w:szCs w:val="21"/>
        </w:rPr>
        <w:t>结果说明</w:t>
      </w:r>
    </w:p>
    <w:p w14:paraId="6AA475DE">
      <w:pPr>
        <w:pStyle w:val="47"/>
        <w:spacing w:line="360" w:lineRule="auto"/>
        <w:ind w:firstLine="420" w:firstLineChars="200"/>
        <w:jc w:val="both"/>
        <w:rPr>
          <w:rFonts w:hint="eastAsia" w:ascii="宋体" w:hAnsi="宋体" w:eastAsia="宋体"/>
          <w:color w:val="auto"/>
          <w:sz w:val="21"/>
          <w:szCs w:val="21"/>
        </w:rPr>
      </w:pPr>
      <w:r>
        <w:rPr>
          <w:rFonts w:ascii="宋体" w:hAnsi="宋体" w:eastAsia="宋体"/>
          <w:color w:val="auto"/>
          <w:sz w:val="21"/>
          <w:szCs w:val="21"/>
          <w:u w:val="single"/>
        </w:rPr>
        <w:t xml:space="preserve">  </w:t>
      </w:r>
      <w:r>
        <w:rPr>
          <w:rFonts w:hint="eastAsia" w:ascii="宋体" w:hAnsi="宋体" w:eastAsia="宋体"/>
          <w:color w:val="auto"/>
          <w:sz w:val="21"/>
          <w:szCs w:val="21"/>
          <w:u w:val="single"/>
        </w:rPr>
        <w:t>X</w:t>
      </w:r>
      <w:r>
        <w:rPr>
          <w:rFonts w:ascii="宋体" w:hAnsi="宋体" w:eastAsia="宋体"/>
          <w:color w:val="auto"/>
          <w:sz w:val="21"/>
          <w:szCs w:val="21"/>
          <w:u w:val="single"/>
        </w:rPr>
        <w:t xml:space="preserve">XX   </w:t>
      </w:r>
      <w:r>
        <w:rPr>
          <w:rFonts w:ascii="宋体" w:hAnsi="宋体" w:eastAsia="宋体"/>
          <w:color w:val="auto"/>
          <w:sz w:val="21"/>
          <w:szCs w:val="21"/>
        </w:rPr>
        <w:t>（每</w:t>
      </w:r>
      <w:r>
        <w:rPr>
          <w:rFonts w:hint="eastAsia" w:ascii="宋体" w:hAnsi="宋体" w:eastAsia="宋体"/>
          <w:color w:val="auto"/>
          <w:sz w:val="21"/>
          <w:szCs w:val="21"/>
        </w:rPr>
        <w:t>声明</w:t>
      </w:r>
      <w:r>
        <w:rPr>
          <w:rFonts w:ascii="宋体" w:hAnsi="宋体" w:eastAsia="宋体"/>
          <w:color w:val="auto"/>
          <w:sz w:val="21"/>
          <w:szCs w:val="21"/>
        </w:rPr>
        <w:t>单位的产品）从</w:t>
      </w:r>
      <w:r>
        <w:rPr>
          <w:rFonts w:ascii="宋体" w:hAnsi="宋体" w:eastAsia="宋体"/>
          <w:color w:val="auto"/>
          <w:sz w:val="21"/>
          <w:szCs w:val="21"/>
          <w:u w:val="single"/>
        </w:rPr>
        <w:t xml:space="preserve">      </w:t>
      </w:r>
      <w:r>
        <w:rPr>
          <w:rFonts w:ascii="宋体" w:hAnsi="宋体" w:eastAsia="宋体"/>
          <w:color w:val="auto"/>
          <w:sz w:val="21"/>
          <w:szCs w:val="21"/>
        </w:rPr>
        <w:t>（填写某生命周期阶段阶段）到</w:t>
      </w:r>
      <w:r>
        <w:rPr>
          <w:rFonts w:ascii="宋体" w:hAnsi="宋体" w:eastAsia="宋体"/>
          <w:color w:val="auto"/>
          <w:sz w:val="21"/>
          <w:szCs w:val="21"/>
          <w:u w:val="single"/>
        </w:rPr>
        <w:t xml:space="preserve"> XXX      </w:t>
      </w:r>
      <w:r>
        <w:rPr>
          <w:rFonts w:ascii="宋体" w:hAnsi="宋体" w:eastAsia="宋体"/>
          <w:color w:val="auto"/>
          <w:sz w:val="21"/>
          <w:szCs w:val="21"/>
        </w:rPr>
        <w:t>（填写某生命周期阶段）生命周期碳足迹为</w:t>
      </w:r>
      <w:r>
        <w:rPr>
          <w:rFonts w:ascii="宋体" w:hAnsi="宋体" w:eastAsia="宋体"/>
          <w:color w:val="auto"/>
          <w:sz w:val="21"/>
          <w:szCs w:val="21"/>
          <w:u w:val="single"/>
        </w:rPr>
        <w:t xml:space="preserve">      </w:t>
      </w:r>
      <w:r>
        <w:rPr>
          <w:rFonts w:ascii="宋体" w:hAnsi="宋体" w:eastAsia="宋体"/>
          <w:color w:val="auto"/>
          <w:sz w:val="21"/>
          <w:szCs w:val="21"/>
        </w:rPr>
        <w:t>kgCO</w:t>
      </w:r>
      <w:r>
        <w:rPr>
          <w:rFonts w:ascii="宋体" w:hAnsi="宋体" w:eastAsia="宋体"/>
          <w:color w:val="auto"/>
          <w:sz w:val="21"/>
          <w:szCs w:val="21"/>
          <w:vertAlign w:val="subscript"/>
        </w:rPr>
        <w:t>2</w:t>
      </w:r>
      <w:r>
        <w:rPr>
          <w:rFonts w:ascii="宋体" w:hAnsi="宋体" w:eastAsia="宋体"/>
          <w:color w:val="auto"/>
          <w:sz w:val="21"/>
          <w:szCs w:val="21"/>
        </w:rPr>
        <w:t>e。各生命周期阶段的温室气体排放情况如表</w:t>
      </w:r>
      <w:r>
        <w:rPr>
          <w:rFonts w:hint="eastAsia" w:ascii="宋体" w:hAnsi="宋体" w:eastAsia="宋体"/>
          <w:color w:val="auto"/>
          <w:sz w:val="21"/>
          <w:szCs w:val="21"/>
        </w:rPr>
        <w:t>E</w:t>
      </w:r>
      <w:r>
        <w:rPr>
          <w:rFonts w:ascii="宋体" w:hAnsi="宋体" w:eastAsia="宋体"/>
          <w:color w:val="auto"/>
          <w:sz w:val="21"/>
          <w:szCs w:val="21"/>
        </w:rPr>
        <w:t xml:space="preserve">.2和图 </w:t>
      </w:r>
      <w:r>
        <w:rPr>
          <w:rFonts w:hint="eastAsia" w:ascii="宋体" w:hAnsi="宋体" w:eastAsia="宋体"/>
          <w:color w:val="auto"/>
          <w:sz w:val="21"/>
          <w:szCs w:val="21"/>
        </w:rPr>
        <w:t>E</w:t>
      </w:r>
      <w:r>
        <w:rPr>
          <w:rFonts w:ascii="宋体" w:hAnsi="宋体" w:eastAsia="宋体"/>
          <w:color w:val="auto"/>
          <w:sz w:val="21"/>
          <w:szCs w:val="21"/>
        </w:rPr>
        <w:t>.2 所示。</w:t>
      </w:r>
    </w:p>
    <w:p w14:paraId="0DA75610">
      <w:pPr>
        <w:pStyle w:val="61"/>
        <w:spacing w:line="360" w:lineRule="auto"/>
        <w:ind w:firstLine="0" w:firstLineChars="0"/>
        <w:jc w:val="center"/>
        <w:rPr>
          <w:rFonts w:hint="eastAsia" w:ascii="黑体" w:hAnsi="黑体" w:eastAsia="黑体" w:cs="黑体"/>
          <w:szCs w:val="21"/>
        </w:rPr>
      </w:pPr>
      <w:r>
        <w:rPr>
          <w:rFonts w:hint="eastAsia" w:ascii="黑体" w:hAnsi="黑体" w:eastAsia="黑体" w:cs="黑体"/>
          <w:szCs w:val="21"/>
        </w:rPr>
        <w:t>表E</w:t>
      </w:r>
      <w:r>
        <w:rPr>
          <w:rFonts w:ascii="黑体" w:hAnsi="黑体" w:eastAsia="黑体" w:cs="黑体"/>
          <w:szCs w:val="21"/>
        </w:rPr>
        <w:t>.2</w:t>
      </w:r>
      <w:r>
        <w:rPr>
          <w:rFonts w:hint="eastAsia" w:ascii="黑体" w:hAnsi="黑体" w:eastAsia="黑体" w:cs="黑体"/>
          <w:szCs w:val="21"/>
        </w:rPr>
        <w:t xml:space="preserve"> </w:t>
      </w:r>
      <w:r>
        <w:rPr>
          <w:rFonts w:ascii="黑体" w:hAnsi="黑体" w:eastAsia="黑体" w:cs="黑体"/>
          <w:szCs w:val="21"/>
        </w:rPr>
        <w:t xml:space="preserve"> </w:t>
      </w:r>
      <w:r>
        <w:rPr>
          <w:rFonts w:hint="eastAsia" w:ascii="黑体" w:hAnsi="黑体" w:eastAsia="黑体" w:cs="黑体"/>
          <w:szCs w:val="21"/>
        </w:rPr>
        <w:t>_______“摇篮-大门”碳排放情况</w:t>
      </w:r>
    </w:p>
    <w:tbl>
      <w:tblPr>
        <w:tblStyle w:val="22"/>
        <w:tblW w:w="8675" w:type="dxa"/>
        <w:jc w:val="center"/>
        <w:tblLayout w:type="fixed"/>
        <w:tblCellMar>
          <w:top w:w="0" w:type="dxa"/>
          <w:left w:w="108" w:type="dxa"/>
          <w:bottom w:w="0" w:type="dxa"/>
          <w:right w:w="108" w:type="dxa"/>
        </w:tblCellMar>
      </w:tblPr>
      <w:tblGrid>
        <w:gridCol w:w="1129"/>
        <w:gridCol w:w="2694"/>
        <w:gridCol w:w="3260"/>
        <w:gridCol w:w="1592"/>
      </w:tblGrid>
      <w:tr w14:paraId="1A3DD73B">
        <w:tblPrEx>
          <w:tblCellMar>
            <w:top w:w="0" w:type="dxa"/>
            <w:left w:w="108" w:type="dxa"/>
            <w:bottom w:w="0" w:type="dxa"/>
            <w:right w:w="108" w:type="dxa"/>
          </w:tblCellMar>
        </w:tblPrEx>
        <w:trPr>
          <w:trHeight w:val="273" w:hRule="atLeast"/>
          <w:jc w:val="center"/>
        </w:trPr>
        <w:tc>
          <w:tcPr>
            <w:tcW w:w="1129" w:type="dxa"/>
            <w:tcBorders>
              <w:top w:val="single" w:color="auto" w:sz="4" w:space="0"/>
              <w:left w:val="single" w:color="auto" w:sz="4" w:space="0"/>
              <w:bottom w:val="single" w:color="auto" w:sz="4" w:space="0"/>
              <w:right w:val="single" w:color="auto" w:sz="4" w:space="0"/>
            </w:tcBorders>
            <w:noWrap/>
            <w:vAlign w:val="bottom"/>
          </w:tcPr>
          <w:p w14:paraId="679D6D3D">
            <w:pPr>
              <w:ind w:left="420"/>
            </w:pPr>
            <w:r>
              <w:rPr>
                <w:rFonts w:hint="eastAsia"/>
              </w:rPr>
              <w:t>产品</w:t>
            </w:r>
          </w:p>
        </w:tc>
        <w:tc>
          <w:tcPr>
            <w:tcW w:w="2694" w:type="dxa"/>
            <w:tcBorders>
              <w:top w:val="single" w:color="auto" w:sz="4" w:space="0"/>
              <w:left w:val="nil"/>
              <w:bottom w:val="single" w:color="auto" w:sz="4" w:space="0"/>
              <w:right w:val="single" w:color="auto" w:sz="4" w:space="0"/>
            </w:tcBorders>
            <w:noWrap/>
            <w:vAlign w:val="bottom"/>
          </w:tcPr>
          <w:p w14:paraId="1D74BDAA">
            <w:pPr>
              <w:jc w:val="center"/>
            </w:pPr>
            <w:r>
              <w:rPr>
                <w:rFonts w:hint="eastAsia"/>
              </w:rPr>
              <w:t>生命周期阶段</w:t>
            </w:r>
          </w:p>
        </w:tc>
        <w:tc>
          <w:tcPr>
            <w:tcW w:w="3260" w:type="dxa"/>
            <w:tcBorders>
              <w:top w:val="single" w:color="auto" w:sz="4" w:space="0"/>
              <w:left w:val="nil"/>
              <w:bottom w:val="single" w:color="auto" w:sz="4" w:space="0"/>
              <w:right w:val="single" w:color="auto" w:sz="4" w:space="0"/>
            </w:tcBorders>
            <w:noWrap/>
            <w:vAlign w:val="bottom"/>
          </w:tcPr>
          <w:p w14:paraId="229CE9F1">
            <w:pPr>
              <w:jc w:val="center"/>
            </w:pPr>
            <w:r>
              <w:rPr>
                <w:rFonts w:hint="eastAsia"/>
              </w:rPr>
              <w:t>碳足迹（kg CO</w:t>
            </w:r>
            <w:r>
              <w:rPr>
                <w:rFonts w:hint="eastAsia"/>
                <w:vertAlign w:val="subscript"/>
              </w:rPr>
              <w:t>2</w:t>
            </w:r>
            <w:r>
              <w:rPr>
                <w:rFonts w:hint="eastAsia"/>
              </w:rPr>
              <w:t>e/t 声明单位）</w:t>
            </w:r>
          </w:p>
        </w:tc>
        <w:tc>
          <w:tcPr>
            <w:tcW w:w="1592" w:type="dxa"/>
            <w:tcBorders>
              <w:top w:val="single" w:color="auto" w:sz="4" w:space="0"/>
              <w:left w:val="nil"/>
              <w:bottom w:val="single" w:color="auto" w:sz="4" w:space="0"/>
              <w:right w:val="single" w:color="auto" w:sz="4" w:space="0"/>
            </w:tcBorders>
            <w:noWrap/>
            <w:vAlign w:val="bottom"/>
          </w:tcPr>
          <w:p w14:paraId="78C78B74">
            <w:pPr>
              <w:jc w:val="center"/>
            </w:pPr>
            <w:r>
              <w:rPr>
                <w:rFonts w:hint="eastAsia"/>
              </w:rPr>
              <w:t>百分比（%）</w:t>
            </w:r>
          </w:p>
        </w:tc>
      </w:tr>
      <w:tr w14:paraId="6E04EB1A">
        <w:tblPrEx>
          <w:tblCellMar>
            <w:top w:w="0" w:type="dxa"/>
            <w:left w:w="108" w:type="dxa"/>
            <w:bottom w:w="0" w:type="dxa"/>
            <w:right w:w="108" w:type="dxa"/>
          </w:tblCellMar>
        </w:tblPrEx>
        <w:trPr>
          <w:trHeight w:val="273" w:hRule="atLeast"/>
          <w:jc w:val="center"/>
        </w:trPr>
        <w:tc>
          <w:tcPr>
            <w:tcW w:w="1129" w:type="dxa"/>
            <w:tcBorders>
              <w:top w:val="single" w:color="auto" w:sz="4" w:space="0"/>
              <w:left w:val="single" w:color="auto" w:sz="4" w:space="0"/>
              <w:bottom w:val="single" w:color="auto" w:sz="4" w:space="0"/>
              <w:right w:val="single" w:color="auto" w:sz="4" w:space="0"/>
            </w:tcBorders>
            <w:noWrap/>
            <w:vAlign w:val="bottom"/>
          </w:tcPr>
          <w:p w14:paraId="5176B019">
            <w:pPr>
              <w:ind w:left="420"/>
            </w:pPr>
          </w:p>
        </w:tc>
        <w:tc>
          <w:tcPr>
            <w:tcW w:w="2694" w:type="dxa"/>
            <w:tcBorders>
              <w:top w:val="single" w:color="auto" w:sz="4" w:space="0"/>
              <w:left w:val="nil"/>
              <w:bottom w:val="single" w:color="auto" w:sz="4" w:space="0"/>
              <w:right w:val="single" w:color="auto" w:sz="4" w:space="0"/>
            </w:tcBorders>
            <w:noWrap/>
            <w:vAlign w:val="bottom"/>
          </w:tcPr>
          <w:p w14:paraId="514E9BBA">
            <w:pPr>
              <w:jc w:val="center"/>
            </w:pPr>
          </w:p>
        </w:tc>
        <w:tc>
          <w:tcPr>
            <w:tcW w:w="3260" w:type="dxa"/>
            <w:tcBorders>
              <w:top w:val="single" w:color="auto" w:sz="4" w:space="0"/>
              <w:left w:val="nil"/>
              <w:bottom w:val="single" w:color="auto" w:sz="4" w:space="0"/>
              <w:right w:val="single" w:color="auto" w:sz="4" w:space="0"/>
            </w:tcBorders>
            <w:noWrap/>
            <w:vAlign w:val="bottom"/>
          </w:tcPr>
          <w:p w14:paraId="4FB916F2">
            <w:pPr>
              <w:jc w:val="center"/>
            </w:pPr>
          </w:p>
        </w:tc>
        <w:tc>
          <w:tcPr>
            <w:tcW w:w="1592" w:type="dxa"/>
            <w:tcBorders>
              <w:top w:val="single" w:color="auto" w:sz="4" w:space="0"/>
              <w:left w:val="nil"/>
              <w:bottom w:val="single" w:color="auto" w:sz="4" w:space="0"/>
              <w:right w:val="single" w:color="auto" w:sz="4" w:space="0"/>
            </w:tcBorders>
            <w:noWrap/>
            <w:vAlign w:val="bottom"/>
          </w:tcPr>
          <w:p w14:paraId="0AB21CBB">
            <w:pPr>
              <w:jc w:val="center"/>
            </w:pPr>
          </w:p>
        </w:tc>
      </w:tr>
      <w:tr w14:paraId="6BAFF081">
        <w:tblPrEx>
          <w:tblCellMar>
            <w:top w:w="0" w:type="dxa"/>
            <w:left w:w="108" w:type="dxa"/>
            <w:bottom w:w="0" w:type="dxa"/>
            <w:right w:w="108" w:type="dxa"/>
          </w:tblCellMar>
        </w:tblPrEx>
        <w:trPr>
          <w:trHeight w:val="273" w:hRule="atLeast"/>
          <w:jc w:val="center"/>
        </w:trPr>
        <w:tc>
          <w:tcPr>
            <w:tcW w:w="1129" w:type="dxa"/>
            <w:tcBorders>
              <w:top w:val="single" w:color="auto" w:sz="4" w:space="0"/>
              <w:left w:val="single" w:color="auto" w:sz="4" w:space="0"/>
              <w:bottom w:val="single" w:color="auto" w:sz="4" w:space="0"/>
              <w:right w:val="single" w:color="auto" w:sz="4" w:space="0"/>
            </w:tcBorders>
            <w:noWrap/>
            <w:vAlign w:val="bottom"/>
          </w:tcPr>
          <w:p w14:paraId="4DBC34FD">
            <w:pPr>
              <w:ind w:left="420"/>
            </w:pPr>
          </w:p>
        </w:tc>
        <w:tc>
          <w:tcPr>
            <w:tcW w:w="2694" w:type="dxa"/>
            <w:tcBorders>
              <w:top w:val="single" w:color="auto" w:sz="4" w:space="0"/>
              <w:left w:val="nil"/>
              <w:bottom w:val="single" w:color="auto" w:sz="4" w:space="0"/>
              <w:right w:val="single" w:color="auto" w:sz="4" w:space="0"/>
            </w:tcBorders>
            <w:noWrap/>
            <w:vAlign w:val="bottom"/>
          </w:tcPr>
          <w:p w14:paraId="4849A128">
            <w:pPr>
              <w:jc w:val="center"/>
            </w:pPr>
          </w:p>
        </w:tc>
        <w:tc>
          <w:tcPr>
            <w:tcW w:w="3260" w:type="dxa"/>
            <w:tcBorders>
              <w:top w:val="single" w:color="auto" w:sz="4" w:space="0"/>
              <w:left w:val="nil"/>
              <w:bottom w:val="single" w:color="auto" w:sz="4" w:space="0"/>
              <w:right w:val="single" w:color="auto" w:sz="4" w:space="0"/>
            </w:tcBorders>
            <w:noWrap/>
            <w:vAlign w:val="bottom"/>
          </w:tcPr>
          <w:p w14:paraId="4BB84DCD">
            <w:pPr>
              <w:jc w:val="center"/>
            </w:pPr>
          </w:p>
        </w:tc>
        <w:tc>
          <w:tcPr>
            <w:tcW w:w="1592" w:type="dxa"/>
            <w:tcBorders>
              <w:top w:val="single" w:color="auto" w:sz="4" w:space="0"/>
              <w:left w:val="nil"/>
              <w:bottom w:val="single" w:color="auto" w:sz="4" w:space="0"/>
              <w:right w:val="single" w:color="auto" w:sz="4" w:space="0"/>
            </w:tcBorders>
            <w:noWrap/>
            <w:vAlign w:val="bottom"/>
          </w:tcPr>
          <w:p w14:paraId="788D9C3E">
            <w:pPr>
              <w:jc w:val="center"/>
            </w:pPr>
          </w:p>
        </w:tc>
      </w:tr>
    </w:tbl>
    <w:p w14:paraId="57AA79FA">
      <w:pPr>
        <w:pStyle w:val="61"/>
        <w:spacing w:line="360" w:lineRule="auto"/>
        <w:ind w:firstLine="0" w:firstLineChars="0"/>
        <w:jc w:val="center"/>
        <w:rPr>
          <w:rFonts w:hint="eastAsia" w:ascii="黑体" w:hAnsi="黑体" w:eastAsia="黑体" w:cs="黑体"/>
          <w:szCs w:val="21"/>
        </w:rPr>
      </w:pPr>
    </w:p>
    <w:p w14:paraId="42164210">
      <w:pPr>
        <w:pStyle w:val="61"/>
        <w:spacing w:line="360" w:lineRule="auto"/>
        <w:ind w:firstLine="0" w:firstLineChars="0"/>
        <w:jc w:val="center"/>
        <w:rPr>
          <w:rFonts w:hint="eastAsia" w:ascii="黑体" w:hAnsi="黑体" w:eastAsia="黑体" w:cs="黑体"/>
          <w:szCs w:val="21"/>
        </w:rPr>
      </w:pPr>
      <w:r>
        <w:rPr>
          <w:rFonts w:hint="eastAsia" w:ascii="黑体" w:hAnsi="黑体" w:eastAsia="黑体" w:cs="黑体"/>
          <w:szCs w:val="21"/>
        </w:rPr>
        <w:t>___________________________________________</w:t>
      </w:r>
    </w:p>
    <w:p w14:paraId="6AF13C46">
      <w:pPr>
        <w:pStyle w:val="61"/>
        <w:spacing w:line="360" w:lineRule="auto"/>
        <w:ind w:firstLine="0" w:firstLineChars="0"/>
        <w:jc w:val="center"/>
        <w:rPr>
          <w:rFonts w:hint="eastAsia" w:ascii="黑体" w:hAnsi="黑体" w:eastAsia="黑体" w:cs="黑体"/>
          <w:szCs w:val="21"/>
        </w:rPr>
      </w:pPr>
      <w:r>
        <w:rPr>
          <w:rFonts w:hint="eastAsia" w:ascii="黑体" w:hAnsi="黑体" w:eastAsia="黑体" w:cs="黑体"/>
          <w:szCs w:val="21"/>
        </w:rPr>
        <w:t>图E</w:t>
      </w:r>
      <w:r>
        <w:rPr>
          <w:rFonts w:ascii="黑体" w:hAnsi="黑体" w:eastAsia="黑体" w:cs="黑体"/>
          <w:szCs w:val="21"/>
        </w:rPr>
        <w:t>.</w:t>
      </w:r>
      <w:r>
        <w:rPr>
          <w:rFonts w:hint="eastAsia" w:ascii="黑体" w:hAnsi="黑体" w:eastAsia="黑体" w:cs="黑体"/>
          <w:szCs w:val="21"/>
        </w:rPr>
        <w:t xml:space="preserve">2 </w:t>
      </w:r>
      <w:r>
        <w:rPr>
          <w:rFonts w:ascii="黑体" w:hAnsi="黑体" w:eastAsia="黑体" w:cs="黑体"/>
          <w:szCs w:val="21"/>
        </w:rPr>
        <w:t xml:space="preserve"> </w:t>
      </w:r>
      <w:r>
        <w:rPr>
          <w:rFonts w:hint="eastAsia" w:ascii="黑体" w:hAnsi="黑体" w:eastAsia="黑体" w:cs="黑体"/>
          <w:szCs w:val="21"/>
        </w:rPr>
        <w:t>______各生命周期阶段碳排放分布图</w:t>
      </w:r>
    </w:p>
    <w:p w14:paraId="43A228D0">
      <w:pPr>
        <w:pStyle w:val="61"/>
        <w:spacing w:line="360" w:lineRule="auto"/>
        <w:ind w:firstLine="0" w:firstLineChars="0"/>
        <w:rPr>
          <w:rFonts w:hint="eastAsia" w:ascii="黑体" w:hAnsi="黑体" w:eastAsia="黑体" w:cs="黑体"/>
          <w:szCs w:val="21"/>
        </w:rPr>
      </w:pPr>
      <w:r>
        <w:rPr>
          <w:rFonts w:hint="eastAsia" w:ascii="黑体" w:hAnsi="黑体" w:eastAsia="黑体" w:cs="黑体"/>
          <w:szCs w:val="21"/>
        </w:rPr>
        <w:t>注：具体产品生命周期阶段碳排放分布图一般以饼状图或是柱形图表示各生命周期阶段的碳排放情况。</w:t>
      </w:r>
      <w:r>
        <w:rPr>
          <w:rFonts w:ascii="黑体" w:hAnsi="黑体" w:eastAsia="黑体" w:cs="黑体"/>
          <w:szCs w:val="21"/>
        </w:rPr>
        <w:cr/>
      </w:r>
    </w:p>
    <w:p w14:paraId="3F04963E">
      <w:pPr>
        <w:pStyle w:val="47"/>
        <w:spacing w:before="156" w:beforeLines="50" w:after="156" w:afterLines="50"/>
        <w:jc w:val="both"/>
        <w:rPr>
          <w:rFonts w:hint="eastAsia" w:ascii="黑体" w:hAnsi="黑体" w:eastAsia="黑体"/>
          <w:color w:val="auto"/>
          <w:sz w:val="21"/>
          <w:szCs w:val="21"/>
        </w:rPr>
      </w:pPr>
      <w:r>
        <w:rPr>
          <w:rFonts w:hint="eastAsia" w:ascii="黑体" w:hAnsi="黑体" w:eastAsia="黑体"/>
          <w:color w:val="auto"/>
          <w:sz w:val="21"/>
          <w:szCs w:val="21"/>
        </w:rPr>
        <w:t>6.2  假设和局限性说明（可选项）</w:t>
      </w:r>
    </w:p>
    <w:p w14:paraId="27E1CDFE">
      <w:pPr>
        <w:pStyle w:val="61"/>
        <w:spacing w:line="360" w:lineRule="auto"/>
        <w:jc w:val="left"/>
        <w:rPr>
          <w:rFonts w:hint="eastAsia"/>
          <w:szCs w:val="21"/>
        </w:rPr>
      </w:pPr>
      <w:r>
        <w:rPr>
          <w:szCs w:val="21"/>
        </w:rPr>
        <w:t xml:space="preserve">结合量化情况，对范围、数据选择、情景设定等相关的假设和局限进行说明。 </w:t>
      </w:r>
    </w:p>
    <w:p w14:paraId="43A9B1D9">
      <w:pPr>
        <w:pStyle w:val="47"/>
        <w:spacing w:before="156" w:beforeLines="50" w:after="156" w:afterLines="50"/>
        <w:jc w:val="both"/>
        <w:rPr>
          <w:rFonts w:hint="eastAsia" w:ascii="黑体" w:hAnsi="黑体" w:eastAsia="黑体"/>
          <w:color w:val="auto"/>
          <w:sz w:val="21"/>
          <w:szCs w:val="21"/>
        </w:rPr>
      </w:pPr>
      <w:r>
        <w:rPr>
          <w:rFonts w:ascii="黑体" w:hAnsi="黑体" w:eastAsia="黑体"/>
          <w:color w:val="auto"/>
          <w:sz w:val="21"/>
          <w:szCs w:val="21"/>
        </w:rPr>
        <w:t>6.3  改进建议</w:t>
      </w:r>
    </w:p>
    <w:p w14:paraId="04CE6E8B">
      <w:pPr>
        <w:jc w:val="center"/>
        <w:rPr>
          <w:rFonts w:eastAsia="黑体"/>
          <w:szCs w:val="21"/>
        </w:rPr>
      </w:pPr>
    </w:p>
    <w:p w14:paraId="323C9EFB">
      <w:pPr>
        <w:jc w:val="left"/>
        <w:rPr>
          <w:rFonts w:eastAsia="黑体"/>
          <w:szCs w:val="21"/>
        </w:rPr>
      </w:pPr>
      <w:r>
        <w:rPr>
          <w:rFonts w:eastAsia="黑体"/>
          <w:szCs w:val="21"/>
        </w:rPr>
        <w:br w:type="page"/>
      </w:r>
    </w:p>
    <w:p w14:paraId="22EC7416">
      <w:pPr>
        <w:keepNext/>
        <w:keepLines/>
        <w:adjustRightInd w:val="0"/>
        <w:spacing w:before="156" w:beforeLines="50" w:after="156" w:afterLines="50"/>
        <w:jc w:val="center"/>
        <w:outlineLvl w:val="1"/>
        <w:rPr>
          <w:rFonts w:hint="eastAsia" w:ascii="黑体" w:hAnsi="黑体" w:eastAsia="黑体"/>
          <w:bCs/>
          <w:szCs w:val="21"/>
        </w:rPr>
      </w:pPr>
      <w:bookmarkStart w:id="177" w:name="_Toc161425603"/>
      <w:bookmarkStart w:id="178" w:name="_Toc174232066"/>
      <w:r>
        <w:rPr>
          <w:rFonts w:hint="eastAsia" w:ascii="黑体" w:hAnsi="黑体" w:eastAsia="黑体"/>
          <w:bCs/>
          <w:szCs w:val="21"/>
        </w:rPr>
        <w:t xml:space="preserve">附  录  </w:t>
      </w:r>
      <w:bookmarkEnd w:id="177"/>
      <w:r>
        <w:rPr>
          <w:rFonts w:hint="eastAsia" w:ascii="黑体" w:hAnsi="黑体" w:eastAsia="黑体"/>
          <w:bCs/>
          <w:szCs w:val="21"/>
        </w:rPr>
        <w:t>F</w:t>
      </w:r>
      <w:bookmarkEnd w:id="178"/>
    </w:p>
    <w:p w14:paraId="642E4675">
      <w:pPr>
        <w:widowControl/>
        <w:spacing w:before="100" w:beforeAutospacing="1" w:after="100" w:afterAutospacing="1"/>
        <w:jc w:val="center"/>
        <w:rPr>
          <w:rFonts w:hint="eastAsia" w:ascii="黑体" w:hAnsi="黑体" w:eastAsia="黑体" w:cs="黑体"/>
          <w:kern w:val="0"/>
          <w:sz w:val="24"/>
          <w:szCs w:val="21"/>
        </w:rPr>
      </w:pPr>
      <w:r>
        <w:rPr>
          <w:rFonts w:hint="eastAsia" w:ascii="黑体" w:hAnsi="黑体" w:eastAsia="黑体" w:cs="黑体"/>
          <w:kern w:val="0"/>
          <w:sz w:val="24"/>
          <w:szCs w:val="21"/>
        </w:rPr>
        <w:t>（资料性）</w:t>
      </w:r>
    </w:p>
    <w:p w14:paraId="5E51E7DE">
      <w:pPr>
        <w:widowControl/>
        <w:spacing w:before="100" w:beforeAutospacing="1" w:after="100" w:afterAutospacing="1"/>
        <w:jc w:val="center"/>
        <w:rPr>
          <w:rFonts w:hint="eastAsia" w:ascii="黑体" w:hAnsi="黑体" w:eastAsia="黑体" w:cs="黑体"/>
          <w:kern w:val="0"/>
          <w:sz w:val="24"/>
          <w:szCs w:val="21"/>
        </w:rPr>
      </w:pPr>
      <w:r>
        <w:rPr>
          <w:rFonts w:hint="eastAsia" w:ascii="黑体" w:hAnsi="黑体" w:eastAsia="黑体" w:cs="黑体"/>
          <w:kern w:val="0"/>
          <w:sz w:val="24"/>
          <w:szCs w:val="21"/>
        </w:rPr>
        <w:t>全球增温潜势</w:t>
      </w:r>
    </w:p>
    <w:p w14:paraId="07392909">
      <w:pPr>
        <w:widowControl/>
        <w:tabs>
          <w:tab w:val="center" w:pos="4201"/>
          <w:tab w:val="right" w:leader="dot" w:pos="9298"/>
        </w:tabs>
        <w:autoSpaceDE w:val="0"/>
        <w:autoSpaceDN w:val="0"/>
        <w:ind w:firstLine="420" w:firstLineChars="200"/>
        <w:rPr>
          <w:rFonts w:ascii="宋体"/>
          <w:kern w:val="0"/>
          <w:szCs w:val="20"/>
        </w:rPr>
      </w:pPr>
    </w:p>
    <w:p w14:paraId="36E7FBA3">
      <w:pPr>
        <w:widowControl/>
        <w:tabs>
          <w:tab w:val="center" w:pos="4201"/>
          <w:tab w:val="right" w:leader="dot" w:pos="9298"/>
        </w:tabs>
        <w:autoSpaceDE w:val="0"/>
        <w:autoSpaceDN w:val="0"/>
        <w:ind w:firstLine="420" w:firstLineChars="200"/>
        <w:rPr>
          <w:rFonts w:hint="eastAsia" w:ascii="宋体" w:hAnsi="宋体"/>
          <w:kern w:val="0"/>
          <w:szCs w:val="20"/>
        </w:rPr>
      </w:pPr>
      <w:r>
        <w:rPr>
          <w:rFonts w:hint="eastAsia" w:ascii="宋体" w:hAnsi="宋体"/>
          <w:kern w:val="0"/>
          <w:szCs w:val="20"/>
        </w:rPr>
        <w:t>在计算用于GHG全球增温潜势值时，须参照表F.1中的规定。</w:t>
      </w:r>
    </w:p>
    <w:p w14:paraId="7CAD6CFC">
      <w:pPr>
        <w:widowControl/>
        <w:tabs>
          <w:tab w:val="center" w:pos="4201"/>
          <w:tab w:val="right" w:leader="dot" w:pos="9298"/>
        </w:tabs>
        <w:autoSpaceDE w:val="0"/>
        <w:autoSpaceDN w:val="0"/>
        <w:jc w:val="center"/>
        <w:rPr>
          <w:rFonts w:hint="eastAsia" w:ascii="黑体" w:hAnsi="黑体" w:eastAsia="黑体"/>
          <w:kern w:val="0"/>
          <w:szCs w:val="20"/>
        </w:rPr>
      </w:pPr>
      <w:r>
        <w:rPr>
          <w:rFonts w:hint="eastAsia" w:ascii="黑体" w:hAnsi="黑体" w:eastAsia="黑体"/>
          <w:kern w:val="0"/>
          <w:szCs w:val="20"/>
        </w:rPr>
        <w:t>表F.1  部分温室气体的全球变暖潜势</w:t>
      </w:r>
    </w:p>
    <w:tbl>
      <w:tblPr>
        <w:tblStyle w:val="22"/>
        <w:tblW w:w="5000" w:type="pct"/>
        <w:tblInd w:w="0" w:type="dxa"/>
        <w:tblLayout w:type="autofit"/>
        <w:tblCellMar>
          <w:top w:w="0" w:type="dxa"/>
          <w:left w:w="0" w:type="dxa"/>
          <w:bottom w:w="0" w:type="dxa"/>
          <w:right w:w="0" w:type="dxa"/>
        </w:tblCellMar>
      </w:tblPr>
      <w:tblGrid>
        <w:gridCol w:w="3266"/>
        <w:gridCol w:w="2135"/>
        <w:gridCol w:w="2921"/>
      </w:tblGrid>
      <w:tr w14:paraId="1971F05F">
        <w:tblPrEx>
          <w:tblCellMar>
            <w:top w:w="0" w:type="dxa"/>
            <w:left w:w="0" w:type="dxa"/>
            <w:bottom w:w="0" w:type="dxa"/>
            <w:right w:w="0" w:type="dxa"/>
          </w:tblCellMar>
        </w:tblPrEx>
        <w:trPr>
          <w:trHeight w:val="276" w:hRule="atLeast"/>
        </w:trPr>
        <w:tc>
          <w:tcPr>
            <w:tcW w:w="1962" w:type="pct"/>
            <w:tcBorders>
              <w:top w:val="single" w:color="auto" w:sz="4" w:space="0"/>
              <w:left w:val="single" w:color="auto" w:sz="4" w:space="0"/>
              <w:bottom w:val="single" w:color="auto" w:sz="4" w:space="0"/>
              <w:right w:val="single" w:color="auto" w:sz="4" w:space="0"/>
            </w:tcBorders>
            <w:noWrap/>
            <w:vAlign w:val="bottom"/>
          </w:tcPr>
          <w:p w14:paraId="243AF8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气体名称</w:t>
            </w:r>
          </w:p>
        </w:tc>
        <w:tc>
          <w:tcPr>
            <w:tcW w:w="1283" w:type="pct"/>
            <w:tcBorders>
              <w:top w:val="single" w:color="auto" w:sz="4" w:space="0"/>
              <w:left w:val="nil"/>
              <w:bottom w:val="single" w:color="auto" w:sz="4" w:space="0"/>
              <w:right w:val="single" w:color="auto" w:sz="4" w:space="0"/>
            </w:tcBorders>
            <w:noWrap/>
            <w:vAlign w:val="bottom"/>
          </w:tcPr>
          <w:p w14:paraId="055887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化学分子式</w:t>
            </w:r>
          </w:p>
        </w:tc>
        <w:tc>
          <w:tcPr>
            <w:tcW w:w="1755" w:type="pct"/>
            <w:tcBorders>
              <w:top w:val="single" w:color="auto" w:sz="4" w:space="0"/>
              <w:left w:val="nil"/>
              <w:bottom w:val="single" w:color="auto" w:sz="4" w:space="0"/>
              <w:right w:val="single" w:color="auto" w:sz="4" w:space="0"/>
            </w:tcBorders>
            <w:noWrap/>
            <w:vAlign w:val="bottom"/>
          </w:tcPr>
          <w:p w14:paraId="304671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100年的GWP（截至出版时）</w:t>
            </w:r>
          </w:p>
        </w:tc>
      </w:tr>
      <w:tr w14:paraId="66C7F5D8">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431F38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二氧化碳</w:t>
            </w:r>
          </w:p>
        </w:tc>
        <w:tc>
          <w:tcPr>
            <w:tcW w:w="1283" w:type="pct"/>
            <w:tcBorders>
              <w:top w:val="nil"/>
              <w:left w:val="nil"/>
              <w:bottom w:val="single" w:color="auto" w:sz="4" w:space="0"/>
              <w:right w:val="single" w:color="auto" w:sz="4" w:space="0"/>
            </w:tcBorders>
            <w:noWrap/>
            <w:vAlign w:val="bottom"/>
          </w:tcPr>
          <w:p w14:paraId="1FC6F4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CO</w:t>
            </w:r>
            <w:r>
              <w:rPr>
                <w:rFonts w:hint="eastAsia" w:ascii="宋体" w:hAnsi="宋体" w:cs="宋体"/>
                <w:color w:val="000000"/>
                <w:kern w:val="0"/>
                <w:sz w:val="18"/>
                <w:szCs w:val="18"/>
                <w:vertAlign w:val="subscript"/>
              </w:rPr>
              <w:t>2</w:t>
            </w:r>
          </w:p>
        </w:tc>
        <w:tc>
          <w:tcPr>
            <w:tcW w:w="1755" w:type="pct"/>
            <w:tcBorders>
              <w:top w:val="nil"/>
              <w:left w:val="nil"/>
              <w:bottom w:val="single" w:color="auto" w:sz="4" w:space="0"/>
              <w:right w:val="single" w:color="auto" w:sz="4" w:space="0"/>
            </w:tcBorders>
            <w:noWrap/>
            <w:vAlign w:val="bottom"/>
          </w:tcPr>
          <w:p w14:paraId="2E96B5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r>
      <w:tr w14:paraId="5AE2C203">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202F50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甲烷</w:t>
            </w:r>
          </w:p>
        </w:tc>
        <w:tc>
          <w:tcPr>
            <w:tcW w:w="1283" w:type="pct"/>
            <w:tcBorders>
              <w:top w:val="nil"/>
              <w:left w:val="nil"/>
              <w:bottom w:val="single" w:color="auto" w:sz="4" w:space="0"/>
              <w:right w:val="single" w:color="auto" w:sz="4" w:space="0"/>
            </w:tcBorders>
            <w:noWrap/>
            <w:vAlign w:val="bottom"/>
          </w:tcPr>
          <w:p w14:paraId="523FD4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w:t>
            </w:r>
            <w:r>
              <w:rPr>
                <w:rFonts w:hint="eastAsia" w:ascii="宋体" w:hAnsi="宋体" w:cs="宋体"/>
                <w:color w:val="000000"/>
                <w:kern w:val="0"/>
                <w:sz w:val="18"/>
                <w:szCs w:val="18"/>
                <w:vertAlign w:val="subscript"/>
              </w:rPr>
              <w:t>4</w:t>
            </w:r>
          </w:p>
        </w:tc>
        <w:tc>
          <w:tcPr>
            <w:tcW w:w="1755" w:type="pct"/>
            <w:tcBorders>
              <w:top w:val="nil"/>
              <w:left w:val="nil"/>
              <w:bottom w:val="single" w:color="auto" w:sz="4" w:space="0"/>
              <w:right w:val="single" w:color="auto" w:sz="4" w:space="0"/>
            </w:tcBorders>
            <w:noWrap/>
            <w:vAlign w:val="bottom"/>
          </w:tcPr>
          <w:p w14:paraId="75CD2A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27.9</w:t>
            </w:r>
          </w:p>
        </w:tc>
      </w:tr>
      <w:tr w14:paraId="3E9558F1">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4839E2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氧化亚氮</w:t>
            </w:r>
          </w:p>
        </w:tc>
        <w:tc>
          <w:tcPr>
            <w:tcW w:w="1283" w:type="pct"/>
            <w:tcBorders>
              <w:top w:val="nil"/>
              <w:left w:val="nil"/>
              <w:bottom w:val="single" w:color="auto" w:sz="4" w:space="0"/>
              <w:right w:val="single" w:color="auto" w:sz="4" w:space="0"/>
            </w:tcBorders>
            <w:noWrap/>
            <w:vAlign w:val="bottom"/>
          </w:tcPr>
          <w:p w14:paraId="6FB33A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N</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O</w:t>
            </w:r>
          </w:p>
        </w:tc>
        <w:tc>
          <w:tcPr>
            <w:tcW w:w="1755" w:type="pct"/>
            <w:tcBorders>
              <w:top w:val="nil"/>
              <w:left w:val="nil"/>
              <w:bottom w:val="single" w:color="auto" w:sz="4" w:space="0"/>
              <w:right w:val="single" w:color="auto" w:sz="4" w:space="0"/>
            </w:tcBorders>
            <w:noWrap/>
            <w:vAlign w:val="bottom"/>
          </w:tcPr>
          <w:p w14:paraId="49D9AB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273</w:t>
            </w:r>
          </w:p>
        </w:tc>
      </w:tr>
      <w:tr w14:paraId="1D3A7301">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0281F0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三氟化氮</w:t>
            </w:r>
          </w:p>
        </w:tc>
        <w:tc>
          <w:tcPr>
            <w:tcW w:w="1283" w:type="pct"/>
            <w:tcBorders>
              <w:top w:val="nil"/>
              <w:left w:val="nil"/>
              <w:bottom w:val="single" w:color="auto" w:sz="4" w:space="0"/>
              <w:right w:val="single" w:color="auto" w:sz="4" w:space="0"/>
            </w:tcBorders>
            <w:noWrap/>
            <w:vAlign w:val="bottom"/>
          </w:tcPr>
          <w:p w14:paraId="4DFA7E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NF</w:t>
            </w:r>
            <w:r>
              <w:rPr>
                <w:rFonts w:hint="eastAsia" w:ascii="宋体" w:hAnsi="宋体" w:cs="宋体"/>
                <w:color w:val="000000"/>
                <w:kern w:val="0"/>
                <w:sz w:val="18"/>
                <w:szCs w:val="18"/>
                <w:vertAlign w:val="subscript"/>
              </w:rPr>
              <w:t>3</w:t>
            </w:r>
          </w:p>
        </w:tc>
        <w:tc>
          <w:tcPr>
            <w:tcW w:w="1755" w:type="pct"/>
            <w:tcBorders>
              <w:top w:val="nil"/>
              <w:left w:val="nil"/>
              <w:bottom w:val="single" w:color="auto" w:sz="4" w:space="0"/>
              <w:right w:val="single" w:color="auto" w:sz="4" w:space="0"/>
            </w:tcBorders>
            <w:noWrap/>
            <w:vAlign w:val="bottom"/>
          </w:tcPr>
          <w:p w14:paraId="1DDF5E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17400</w:t>
            </w:r>
          </w:p>
        </w:tc>
      </w:tr>
      <w:tr w14:paraId="42A7726D">
        <w:tblPrEx>
          <w:tblCellMar>
            <w:top w:w="0" w:type="dxa"/>
            <w:left w:w="0" w:type="dxa"/>
            <w:bottom w:w="0" w:type="dxa"/>
            <w:right w:w="0" w:type="dxa"/>
          </w:tblCellMar>
        </w:tblPrEx>
        <w:trPr>
          <w:trHeight w:val="276" w:hRule="atLeast"/>
        </w:trPr>
        <w:tc>
          <w:tcPr>
            <w:tcW w:w="5000" w:type="pct"/>
            <w:gridSpan w:val="3"/>
            <w:tcBorders>
              <w:top w:val="single" w:color="auto" w:sz="4" w:space="0"/>
              <w:left w:val="single" w:color="auto" w:sz="4" w:space="0"/>
              <w:bottom w:val="single" w:color="auto" w:sz="4" w:space="0"/>
              <w:right w:val="single" w:color="000000" w:sz="4" w:space="0"/>
            </w:tcBorders>
            <w:noWrap/>
            <w:vAlign w:val="bottom"/>
          </w:tcPr>
          <w:p w14:paraId="665AC0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氢氟碳化物（HFCs）</w:t>
            </w:r>
          </w:p>
        </w:tc>
      </w:tr>
      <w:tr w14:paraId="217A9C02">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2CDD99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HFC-23</w:t>
            </w:r>
          </w:p>
        </w:tc>
        <w:tc>
          <w:tcPr>
            <w:tcW w:w="1283" w:type="pct"/>
            <w:tcBorders>
              <w:top w:val="nil"/>
              <w:left w:val="nil"/>
              <w:bottom w:val="single" w:color="auto" w:sz="4" w:space="0"/>
              <w:right w:val="single" w:color="auto" w:sz="4" w:space="0"/>
            </w:tcBorders>
            <w:noWrap/>
            <w:vAlign w:val="bottom"/>
          </w:tcPr>
          <w:p w14:paraId="4C656E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CHF</w:t>
            </w:r>
            <w:r>
              <w:rPr>
                <w:rFonts w:hint="eastAsia" w:ascii="宋体" w:hAnsi="宋体" w:cs="宋体"/>
                <w:color w:val="000000"/>
                <w:kern w:val="0"/>
                <w:sz w:val="18"/>
                <w:szCs w:val="18"/>
                <w:vertAlign w:val="subscript"/>
              </w:rPr>
              <w:t>3</w:t>
            </w:r>
          </w:p>
        </w:tc>
        <w:tc>
          <w:tcPr>
            <w:tcW w:w="1755" w:type="pct"/>
            <w:tcBorders>
              <w:top w:val="nil"/>
              <w:left w:val="nil"/>
              <w:bottom w:val="single" w:color="auto" w:sz="4" w:space="0"/>
              <w:right w:val="single" w:color="auto" w:sz="4" w:space="0"/>
            </w:tcBorders>
            <w:noWrap/>
            <w:vAlign w:val="bottom"/>
          </w:tcPr>
          <w:p w14:paraId="6A5031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14600</w:t>
            </w:r>
          </w:p>
        </w:tc>
      </w:tr>
      <w:tr w14:paraId="54D56122">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77BFAF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HFC-32</w:t>
            </w:r>
          </w:p>
        </w:tc>
        <w:tc>
          <w:tcPr>
            <w:tcW w:w="1283" w:type="pct"/>
            <w:tcBorders>
              <w:top w:val="nil"/>
              <w:left w:val="nil"/>
              <w:bottom w:val="single" w:color="auto" w:sz="4" w:space="0"/>
              <w:right w:val="single" w:color="auto" w:sz="4" w:space="0"/>
            </w:tcBorders>
            <w:noWrap/>
            <w:vAlign w:val="bottom"/>
          </w:tcPr>
          <w:p w14:paraId="0FB6D3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2</w:t>
            </w:r>
          </w:p>
        </w:tc>
        <w:tc>
          <w:tcPr>
            <w:tcW w:w="1755" w:type="pct"/>
            <w:tcBorders>
              <w:top w:val="nil"/>
              <w:left w:val="nil"/>
              <w:bottom w:val="single" w:color="auto" w:sz="4" w:space="0"/>
              <w:right w:val="single" w:color="auto" w:sz="4" w:space="0"/>
            </w:tcBorders>
            <w:noWrap/>
            <w:vAlign w:val="bottom"/>
          </w:tcPr>
          <w:p w14:paraId="73CE85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771</w:t>
            </w:r>
          </w:p>
        </w:tc>
      </w:tr>
      <w:tr w14:paraId="17F858DA">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18FC26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HFC-41</w:t>
            </w:r>
          </w:p>
        </w:tc>
        <w:tc>
          <w:tcPr>
            <w:tcW w:w="1283" w:type="pct"/>
            <w:tcBorders>
              <w:top w:val="nil"/>
              <w:left w:val="nil"/>
              <w:bottom w:val="single" w:color="auto" w:sz="4" w:space="0"/>
              <w:right w:val="single" w:color="auto" w:sz="4" w:space="0"/>
            </w:tcBorders>
            <w:noWrap/>
            <w:vAlign w:val="bottom"/>
          </w:tcPr>
          <w:p w14:paraId="1C694A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w:t>
            </w:r>
            <w:r>
              <w:rPr>
                <w:rFonts w:hint="eastAsia" w:ascii="宋体" w:hAnsi="宋体" w:cs="宋体"/>
                <w:color w:val="000000"/>
                <w:kern w:val="0"/>
                <w:sz w:val="18"/>
                <w:szCs w:val="18"/>
                <w:vertAlign w:val="subscript"/>
              </w:rPr>
              <w:t>3</w:t>
            </w:r>
            <w:r>
              <w:rPr>
                <w:rFonts w:hint="eastAsia" w:ascii="宋体" w:hAnsi="宋体" w:cs="宋体"/>
                <w:color w:val="000000"/>
                <w:kern w:val="0"/>
                <w:sz w:val="18"/>
                <w:szCs w:val="18"/>
              </w:rPr>
              <w:t>F</w:t>
            </w:r>
          </w:p>
        </w:tc>
        <w:tc>
          <w:tcPr>
            <w:tcW w:w="1755" w:type="pct"/>
            <w:tcBorders>
              <w:top w:val="nil"/>
              <w:left w:val="nil"/>
              <w:bottom w:val="single" w:color="auto" w:sz="4" w:space="0"/>
              <w:right w:val="single" w:color="auto" w:sz="4" w:space="0"/>
            </w:tcBorders>
            <w:noWrap/>
            <w:vAlign w:val="bottom"/>
          </w:tcPr>
          <w:p w14:paraId="0E6D73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135</w:t>
            </w:r>
          </w:p>
        </w:tc>
      </w:tr>
      <w:tr w14:paraId="53D48409">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2D7553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HFC-125</w:t>
            </w:r>
          </w:p>
        </w:tc>
        <w:tc>
          <w:tcPr>
            <w:tcW w:w="1283" w:type="pct"/>
            <w:tcBorders>
              <w:top w:val="nil"/>
              <w:left w:val="nil"/>
              <w:bottom w:val="single" w:color="auto" w:sz="4" w:space="0"/>
              <w:right w:val="single" w:color="auto" w:sz="4" w:space="0"/>
            </w:tcBorders>
            <w:noWrap/>
            <w:vAlign w:val="bottom"/>
          </w:tcPr>
          <w:p w14:paraId="090C5B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HF</w:t>
            </w:r>
            <w:r>
              <w:rPr>
                <w:rFonts w:hint="eastAsia" w:ascii="宋体" w:hAnsi="宋体" w:cs="宋体"/>
                <w:color w:val="000000"/>
                <w:kern w:val="0"/>
                <w:sz w:val="18"/>
                <w:szCs w:val="18"/>
                <w:vertAlign w:val="subscript"/>
              </w:rPr>
              <w:t>5</w:t>
            </w:r>
          </w:p>
        </w:tc>
        <w:tc>
          <w:tcPr>
            <w:tcW w:w="1755" w:type="pct"/>
            <w:tcBorders>
              <w:top w:val="nil"/>
              <w:left w:val="nil"/>
              <w:bottom w:val="single" w:color="auto" w:sz="4" w:space="0"/>
              <w:right w:val="single" w:color="auto" w:sz="4" w:space="0"/>
            </w:tcBorders>
            <w:noWrap/>
            <w:vAlign w:val="bottom"/>
          </w:tcPr>
          <w:p w14:paraId="3A2C62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3740</w:t>
            </w:r>
          </w:p>
        </w:tc>
      </w:tr>
      <w:tr w14:paraId="459DA4E6">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1ADA40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HFC-134</w:t>
            </w:r>
          </w:p>
        </w:tc>
        <w:tc>
          <w:tcPr>
            <w:tcW w:w="1283" w:type="pct"/>
            <w:tcBorders>
              <w:top w:val="nil"/>
              <w:left w:val="nil"/>
              <w:bottom w:val="single" w:color="auto" w:sz="4" w:space="0"/>
              <w:right w:val="single" w:color="auto" w:sz="4" w:space="0"/>
            </w:tcBorders>
            <w:noWrap/>
            <w:vAlign w:val="bottom"/>
          </w:tcPr>
          <w:p w14:paraId="41F802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CHF</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CHF</w:t>
            </w:r>
            <w:r>
              <w:rPr>
                <w:rFonts w:hint="eastAsia" w:ascii="宋体" w:hAnsi="宋体" w:cs="宋体"/>
                <w:color w:val="000000"/>
                <w:kern w:val="0"/>
                <w:sz w:val="18"/>
                <w:szCs w:val="18"/>
                <w:vertAlign w:val="subscript"/>
              </w:rPr>
              <w:t>2</w:t>
            </w:r>
          </w:p>
        </w:tc>
        <w:tc>
          <w:tcPr>
            <w:tcW w:w="1755" w:type="pct"/>
            <w:tcBorders>
              <w:top w:val="nil"/>
              <w:left w:val="nil"/>
              <w:bottom w:val="single" w:color="auto" w:sz="4" w:space="0"/>
              <w:right w:val="single" w:color="auto" w:sz="4" w:space="0"/>
            </w:tcBorders>
            <w:noWrap/>
            <w:vAlign w:val="bottom"/>
          </w:tcPr>
          <w:p w14:paraId="627F38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1260</w:t>
            </w:r>
          </w:p>
        </w:tc>
      </w:tr>
      <w:tr w14:paraId="46F76440">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4BCBE7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HFC-134a</w:t>
            </w:r>
          </w:p>
        </w:tc>
        <w:tc>
          <w:tcPr>
            <w:tcW w:w="1283" w:type="pct"/>
            <w:tcBorders>
              <w:top w:val="nil"/>
              <w:left w:val="nil"/>
              <w:bottom w:val="single" w:color="auto" w:sz="4" w:space="0"/>
              <w:right w:val="single" w:color="auto" w:sz="4" w:space="0"/>
            </w:tcBorders>
            <w:noWrap/>
            <w:vAlign w:val="bottom"/>
          </w:tcPr>
          <w:p w14:paraId="687CA1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H</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4</w:t>
            </w:r>
          </w:p>
        </w:tc>
        <w:tc>
          <w:tcPr>
            <w:tcW w:w="1755" w:type="pct"/>
            <w:tcBorders>
              <w:top w:val="nil"/>
              <w:left w:val="nil"/>
              <w:bottom w:val="single" w:color="auto" w:sz="4" w:space="0"/>
              <w:right w:val="single" w:color="auto" w:sz="4" w:space="0"/>
            </w:tcBorders>
            <w:noWrap/>
            <w:vAlign w:val="bottom"/>
          </w:tcPr>
          <w:p w14:paraId="1055CF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1530</w:t>
            </w:r>
          </w:p>
        </w:tc>
      </w:tr>
      <w:tr w14:paraId="12AB138A">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1BCDC7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HFC-143</w:t>
            </w:r>
          </w:p>
        </w:tc>
        <w:tc>
          <w:tcPr>
            <w:tcW w:w="1283" w:type="pct"/>
            <w:tcBorders>
              <w:top w:val="nil"/>
              <w:left w:val="nil"/>
              <w:bottom w:val="single" w:color="auto" w:sz="4" w:space="0"/>
              <w:right w:val="single" w:color="auto" w:sz="4" w:space="0"/>
            </w:tcBorders>
            <w:noWrap/>
            <w:vAlign w:val="bottom"/>
          </w:tcPr>
          <w:p w14:paraId="406AD0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FCHF</w:t>
            </w:r>
            <w:r>
              <w:rPr>
                <w:rFonts w:hint="eastAsia" w:ascii="宋体" w:hAnsi="宋体" w:cs="宋体"/>
                <w:color w:val="000000"/>
                <w:kern w:val="0"/>
                <w:sz w:val="18"/>
                <w:szCs w:val="18"/>
                <w:vertAlign w:val="subscript"/>
              </w:rPr>
              <w:t>2</w:t>
            </w:r>
          </w:p>
        </w:tc>
        <w:tc>
          <w:tcPr>
            <w:tcW w:w="1755" w:type="pct"/>
            <w:tcBorders>
              <w:top w:val="nil"/>
              <w:left w:val="nil"/>
              <w:bottom w:val="single" w:color="auto" w:sz="4" w:space="0"/>
              <w:right w:val="single" w:color="auto" w:sz="4" w:space="0"/>
            </w:tcBorders>
            <w:noWrap/>
            <w:vAlign w:val="bottom"/>
          </w:tcPr>
          <w:p w14:paraId="5CDC83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364</w:t>
            </w:r>
          </w:p>
        </w:tc>
      </w:tr>
      <w:tr w14:paraId="3E190ED5">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481963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HFC-143a</w:t>
            </w:r>
          </w:p>
        </w:tc>
        <w:tc>
          <w:tcPr>
            <w:tcW w:w="1283" w:type="pct"/>
            <w:tcBorders>
              <w:top w:val="nil"/>
              <w:left w:val="nil"/>
              <w:bottom w:val="single" w:color="auto" w:sz="4" w:space="0"/>
              <w:right w:val="single" w:color="auto" w:sz="4" w:space="0"/>
            </w:tcBorders>
            <w:noWrap/>
            <w:vAlign w:val="bottom"/>
          </w:tcPr>
          <w:p w14:paraId="1102AC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CH</w:t>
            </w:r>
            <w:r>
              <w:rPr>
                <w:rFonts w:hint="eastAsia" w:ascii="宋体" w:hAnsi="宋体" w:cs="宋体"/>
                <w:color w:val="000000"/>
                <w:kern w:val="0"/>
                <w:sz w:val="18"/>
                <w:szCs w:val="18"/>
                <w:vertAlign w:val="subscript"/>
              </w:rPr>
              <w:t>3</w:t>
            </w:r>
            <w:r>
              <w:rPr>
                <w:rFonts w:hint="eastAsia" w:ascii="宋体" w:hAnsi="宋体" w:cs="宋体"/>
                <w:color w:val="000000"/>
                <w:kern w:val="0"/>
                <w:sz w:val="18"/>
                <w:szCs w:val="18"/>
              </w:rPr>
              <w:t>CF</w:t>
            </w:r>
            <w:r>
              <w:rPr>
                <w:rFonts w:hint="eastAsia" w:ascii="宋体" w:hAnsi="宋体" w:cs="宋体"/>
                <w:color w:val="000000"/>
                <w:kern w:val="0"/>
                <w:sz w:val="18"/>
                <w:szCs w:val="18"/>
                <w:vertAlign w:val="subscript"/>
              </w:rPr>
              <w:t>3</w:t>
            </w:r>
          </w:p>
        </w:tc>
        <w:tc>
          <w:tcPr>
            <w:tcW w:w="1755" w:type="pct"/>
            <w:tcBorders>
              <w:top w:val="nil"/>
              <w:left w:val="nil"/>
              <w:bottom w:val="single" w:color="auto" w:sz="4" w:space="0"/>
              <w:right w:val="single" w:color="auto" w:sz="4" w:space="0"/>
            </w:tcBorders>
            <w:noWrap/>
            <w:vAlign w:val="bottom"/>
          </w:tcPr>
          <w:p w14:paraId="2E98FC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5810</w:t>
            </w:r>
          </w:p>
        </w:tc>
      </w:tr>
      <w:tr w14:paraId="3D37BED4">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625AD9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HFC-152a</w:t>
            </w:r>
          </w:p>
        </w:tc>
        <w:tc>
          <w:tcPr>
            <w:tcW w:w="1283" w:type="pct"/>
            <w:tcBorders>
              <w:top w:val="nil"/>
              <w:left w:val="nil"/>
              <w:bottom w:val="single" w:color="auto" w:sz="4" w:space="0"/>
              <w:right w:val="single" w:color="auto" w:sz="4" w:space="0"/>
            </w:tcBorders>
            <w:noWrap/>
            <w:vAlign w:val="bottom"/>
          </w:tcPr>
          <w:p w14:paraId="5253C8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H</w:t>
            </w:r>
            <w:r>
              <w:rPr>
                <w:rFonts w:hint="eastAsia" w:ascii="宋体" w:hAnsi="宋体" w:cs="宋体"/>
                <w:color w:val="000000"/>
                <w:kern w:val="0"/>
                <w:sz w:val="18"/>
                <w:szCs w:val="18"/>
                <w:vertAlign w:val="subscript"/>
              </w:rPr>
              <w:t>4</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2</w:t>
            </w:r>
          </w:p>
        </w:tc>
        <w:tc>
          <w:tcPr>
            <w:tcW w:w="1755" w:type="pct"/>
            <w:tcBorders>
              <w:top w:val="nil"/>
              <w:left w:val="nil"/>
              <w:bottom w:val="single" w:color="auto" w:sz="4" w:space="0"/>
              <w:right w:val="single" w:color="auto" w:sz="4" w:space="0"/>
            </w:tcBorders>
            <w:noWrap/>
            <w:vAlign w:val="bottom"/>
          </w:tcPr>
          <w:p w14:paraId="733116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164</w:t>
            </w:r>
          </w:p>
        </w:tc>
      </w:tr>
      <w:tr w14:paraId="7F923AD7">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1EA09E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HFC-227ea</w:t>
            </w:r>
          </w:p>
        </w:tc>
        <w:tc>
          <w:tcPr>
            <w:tcW w:w="1283" w:type="pct"/>
            <w:tcBorders>
              <w:top w:val="nil"/>
              <w:left w:val="nil"/>
              <w:bottom w:val="single" w:color="auto" w:sz="4" w:space="0"/>
              <w:right w:val="single" w:color="auto" w:sz="4" w:space="0"/>
            </w:tcBorders>
            <w:noWrap/>
            <w:vAlign w:val="bottom"/>
          </w:tcPr>
          <w:p w14:paraId="12EFC2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3</w:t>
            </w:r>
            <w:r>
              <w:rPr>
                <w:rFonts w:hint="eastAsia" w:ascii="宋体" w:hAnsi="宋体" w:cs="宋体"/>
                <w:color w:val="000000"/>
                <w:kern w:val="0"/>
                <w:sz w:val="18"/>
                <w:szCs w:val="18"/>
              </w:rPr>
              <w:t>HF</w:t>
            </w:r>
            <w:r>
              <w:rPr>
                <w:rFonts w:hint="eastAsia" w:ascii="宋体" w:hAnsi="宋体" w:cs="宋体"/>
                <w:color w:val="000000"/>
                <w:kern w:val="0"/>
                <w:sz w:val="18"/>
                <w:szCs w:val="18"/>
                <w:vertAlign w:val="subscript"/>
              </w:rPr>
              <w:t>7</w:t>
            </w:r>
          </w:p>
        </w:tc>
        <w:tc>
          <w:tcPr>
            <w:tcW w:w="1755" w:type="pct"/>
            <w:tcBorders>
              <w:top w:val="nil"/>
              <w:left w:val="nil"/>
              <w:bottom w:val="single" w:color="auto" w:sz="4" w:space="0"/>
              <w:right w:val="single" w:color="auto" w:sz="4" w:space="0"/>
            </w:tcBorders>
            <w:noWrap/>
            <w:vAlign w:val="bottom"/>
          </w:tcPr>
          <w:p w14:paraId="12F5ED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3600</w:t>
            </w:r>
          </w:p>
        </w:tc>
      </w:tr>
      <w:tr w14:paraId="3D9EF4B9">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27E857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HFC-236fa</w:t>
            </w:r>
          </w:p>
        </w:tc>
        <w:tc>
          <w:tcPr>
            <w:tcW w:w="1283" w:type="pct"/>
            <w:tcBorders>
              <w:top w:val="nil"/>
              <w:left w:val="nil"/>
              <w:bottom w:val="single" w:color="auto" w:sz="4" w:space="0"/>
              <w:right w:val="single" w:color="auto" w:sz="4" w:space="0"/>
            </w:tcBorders>
            <w:noWrap/>
            <w:vAlign w:val="bottom"/>
          </w:tcPr>
          <w:p w14:paraId="177173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3</w:t>
            </w:r>
            <w:r>
              <w:rPr>
                <w:rFonts w:hint="eastAsia" w:ascii="宋体" w:hAnsi="宋体" w:cs="宋体"/>
                <w:color w:val="000000"/>
                <w:kern w:val="0"/>
                <w:sz w:val="18"/>
                <w:szCs w:val="18"/>
              </w:rPr>
              <w:t>H</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6</w:t>
            </w:r>
          </w:p>
        </w:tc>
        <w:tc>
          <w:tcPr>
            <w:tcW w:w="1755" w:type="pct"/>
            <w:tcBorders>
              <w:top w:val="nil"/>
              <w:left w:val="nil"/>
              <w:bottom w:val="single" w:color="auto" w:sz="4" w:space="0"/>
              <w:right w:val="single" w:color="auto" w:sz="4" w:space="0"/>
            </w:tcBorders>
            <w:noWrap/>
            <w:vAlign w:val="bottom"/>
          </w:tcPr>
          <w:p w14:paraId="766FE4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8690</w:t>
            </w:r>
          </w:p>
        </w:tc>
      </w:tr>
      <w:tr w14:paraId="439E7AEA">
        <w:tblPrEx>
          <w:tblCellMar>
            <w:top w:w="0" w:type="dxa"/>
            <w:left w:w="0" w:type="dxa"/>
            <w:bottom w:w="0" w:type="dxa"/>
            <w:right w:w="0" w:type="dxa"/>
          </w:tblCellMar>
        </w:tblPrEx>
        <w:trPr>
          <w:trHeight w:val="276" w:hRule="atLeast"/>
        </w:trPr>
        <w:tc>
          <w:tcPr>
            <w:tcW w:w="5000" w:type="pct"/>
            <w:gridSpan w:val="3"/>
            <w:tcBorders>
              <w:top w:val="single" w:color="auto" w:sz="4" w:space="0"/>
              <w:left w:val="single" w:color="auto" w:sz="4" w:space="0"/>
              <w:bottom w:val="single" w:color="auto" w:sz="4" w:space="0"/>
              <w:right w:val="single" w:color="000000" w:sz="4" w:space="0"/>
            </w:tcBorders>
            <w:noWrap/>
            <w:vAlign w:val="bottom"/>
          </w:tcPr>
          <w:p w14:paraId="161F23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全氟碳化物（PFCs）</w:t>
            </w:r>
          </w:p>
        </w:tc>
      </w:tr>
      <w:tr w14:paraId="222E41A1">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31DE41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全氟甲烷（四氟甲烷）</w:t>
            </w:r>
          </w:p>
        </w:tc>
        <w:tc>
          <w:tcPr>
            <w:tcW w:w="1283" w:type="pct"/>
            <w:tcBorders>
              <w:top w:val="nil"/>
              <w:left w:val="nil"/>
              <w:bottom w:val="single" w:color="auto" w:sz="4" w:space="0"/>
              <w:right w:val="single" w:color="auto" w:sz="4" w:space="0"/>
            </w:tcBorders>
            <w:noWrap/>
            <w:vAlign w:val="bottom"/>
          </w:tcPr>
          <w:p w14:paraId="369499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CF</w:t>
            </w:r>
            <w:r>
              <w:rPr>
                <w:rFonts w:hint="eastAsia" w:ascii="宋体" w:hAnsi="宋体" w:cs="宋体"/>
                <w:color w:val="000000"/>
                <w:kern w:val="0"/>
                <w:sz w:val="18"/>
                <w:szCs w:val="18"/>
                <w:vertAlign w:val="subscript"/>
              </w:rPr>
              <w:t>4</w:t>
            </w:r>
          </w:p>
        </w:tc>
        <w:tc>
          <w:tcPr>
            <w:tcW w:w="1755" w:type="pct"/>
            <w:tcBorders>
              <w:top w:val="nil"/>
              <w:left w:val="nil"/>
              <w:bottom w:val="single" w:color="auto" w:sz="4" w:space="0"/>
              <w:right w:val="single" w:color="auto" w:sz="4" w:space="0"/>
            </w:tcBorders>
            <w:noWrap/>
            <w:vAlign w:val="bottom"/>
          </w:tcPr>
          <w:p w14:paraId="7DD9A8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7380</w:t>
            </w:r>
          </w:p>
        </w:tc>
      </w:tr>
      <w:tr w14:paraId="239C110E">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63987F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全氟乙烷（六氟乙烷）</w:t>
            </w:r>
          </w:p>
        </w:tc>
        <w:tc>
          <w:tcPr>
            <w:tcW w:w="1283" w:type="pct"/>
            <w:tcBorders>
              <w:top w:val="nil"/>
              <w:left w:val="nil"/>
              <w:bottom w:val="single" w:color="auto" w:sz="4" w:space="0"/>
              <w:right w:val="single" w:color="auto" w:sz="4" w:space="0"/>
            </w:tcBorders>
            <w:noWrap/>
            <w:vAlign w:val="bottom"/>
          </w:tcPr>
          <w:p w14:paraId="6C716B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2</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6</w:t>
            </w:r>
          </w:p>
        </w:tc>
        <w:tc>
          <w:tcPr>
            <w:tcW w:w="1755" w:type="pct"/>
            <w:tcBorders>
              <w:top w:val="nil"/>
              <w:left w:val="nil"/>
              <w:bottom w:val="single" w:color="auto" w:sz="4" w:space="0"/>
              <w:right w:val="single" w:color="auto" w:sz="4" w:space="0"/>
            </w:tcBorders>
            <w:noWrap/>
            <w:vAlign w:val="bottom"/>
          </w:tcPr>
          <w:p w14:paraId="563753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12400</w:t>
            </w:r>
          </w:p>
        </w:tc>
      </w:tr>
      <w:tr w14:paraId="45AD9AA9">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35470B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全氟丙烷</w:t>
            </w:r>
          </w:p>
        </w:tc>
        <w:tc>
          <w:tcPr>
            <w:tcW w:w="1283" w:type="pct"/>
            <w:tcBorders>
              <w:top w:val="nil"/>
              <w:left w:val="nil"/>
              <w:bottom w:val="single" w:color="auto" w:sz="4" w:space="0"/>
              <w:right w:val="single" w:color="auto" w:sz="4" w:space="0"/>
            </w:tcBorders>
            <w:noWrap/>
            <w:vAlign w:val="bottom"/>
          </w:tcPr>
          <w:p w14:paraId="017E9C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3</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8</w:t>
            </w:r>
          </w:p>
        </w:tc>
        <w:tc>
          <w:tcPr>
            <w:tcW w:w="1755" w:type="pct"/>
            <w:tcBorders>
              <w:top w:val="nil"/>
              <w:left w:val="nil"/>
              <w:bottom w:val="single" w:color="auto" w:sz="4" w:space="0"/>
              <w:right w:val="single" w:color="auto" w:sz="4" w:space="0"/>
            </w:tcBorders>
            <w:noWrap/>
            <w:vAlign w:val="bottom"/>
          </w:tcPr>
          <w:p w14:paraId="71542F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9290</w:t>
            </w:r>
          </w:p>
        </w:tc>
      </w:tr>
      <w:tr w14:paraId="483F08BB">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30130D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全氟丁烷</w:t>
            </w:r>
          </w:p>
        </w:tc>
        <w:tc>
          <w:tcPr>
            <w:tcW w:w="1283" w:type="pct"/>
            <w:tcBorders>
              <w:top w:val="nil"/>
              <w:left w:val="nil"/>
              <w:bottom w:val="single" w:color="auto" w:sz="4" w:space="0"/>
              <w:right w:val="single" w:color="auto" w:sz="4" w:space="0"/>
            </w:tcBorders>
            <w:noWrap/>
            <w:vAlign w:val="bottom"/>
          </w:tcPr>
          <w:p w14:paraId="660730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4</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10</w:t>
            </w:r>
          </w:p>
        </w:tc>
        <w:tc>
          <w:tcPr>
            <w:tcW w:w="1755" w:type="pct"/>
            <w:tcBorders>
              <w:top w:val="nil"/>
              <w:left w:val="nil"/>
              <w:bottom w:val="single" w:color="auto" w:sz="4" w:space="0"/>
              <w:right w:val="single" w:color="auto" w:sz="4" w:space="0"/>
            </w:tcBorders>
            <w:noWrap/>
            <w:vAlign w:val="bottom"/>
          </w:tcPr>
          <w:p w14:paraId="3CDB68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r>
      <w:tr w14:paraId="65F08B2A">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353EC5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全氟环丁烷</w:t>
            </w:r>
          </w:p>
        </w:tc>
        <w:tc>
          <w:tcPr>
            <w:tcW w:w="1283" w:type="pct"/>
            <w:tcBorders>
              <w:top w:val="nil"/>
              <w:left w:val="nil"/>
              <w:bottom w:val="single" w:color="auto" w:sz="4" w:space="0"/>
              <w:right w:val="single" w:color="auto" w:sz="4" w:space="0"/>
            </w:tcBorders>
            <w:noWrap/>
            <w:vAlign w:val="bottom"/>
          </w:tcPr>
          <w:p w14:paraId="441B4D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4</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8</w:t>
            </w:r>
          </w:p>
        </w:tc>
        <w:tc>
          <w:tcPr>
            <w:tcW w:w="1755" w:type="pct"/>
            <w:tcBorders>
              <w:top w:val="nil"/>
              <w:left w:val="nil"/>
              <w:bottom w:val="single" w:color="auto" w:sz="4" w:space="0"/>
              <w:right w:val="single" w:color="auto" w:sz="4" w:space="0"/>
            </w:tcBorders>
            <w:noWrap/>
            <w:vAlign w:val="bottom"/>
          </w:tcPr>
          <w:p w14:paraId="666FB1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10200</w:t>
            </w:r>
          </w:p>
        </w:tc>
      </w:tr>
      <w:tr w14:paraId="2288596B">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5817C8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全氟戊烷</w:t>
            </w:r>
          </w:p>
        </w:tc>
        <w:tc>
          <w:tcPr>
            <w:tcW w:w="1283" w:type="pct"/>
            <w:tcBorders>
              <w:top w:val="nil"/>
              <w:left w:val="nil"/>
              <w:bottom w:val="single" w:color="auto" w:sz="4" w:space="0"/>
              <w:right w:val="single" w:color="auto" w:sz="4" w:space="0"/>
            </w:tcBorders>
            <w:noWrap/>
            <w:vAlign w:val="bottom"/>
          </w:tcPr>
          <w:p w14:paraId="2362E6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5</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12</w:t>
            </w:r>
          </w:p>
        </w:tc>
        <w:tc>
          <w:tcPr>
            <w:tcW w:w="1755" w:type="pct"/>
            <w:tcBorders>
              <w:top w:val="nil"/>
              <w:left w:val="nil"/>
              <w:bottom w:val="single" w:color="auto" w:sz="4" w:space="0"/>
              <w:right w:val="single" w:color="auto" w:sz="4" w:space="0"/>
            </w:tcBorders>
            <w:noWrap/>
            <w:vAlign w:val="bottom"/>
          </w:tcPr>
          <w:p w14:paraId="243865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9220</w:t>
            </w:r>
          </w:p>
        </w:tc>
      </w:tr>
      <w:tr w14:paraId="2A68958C">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63DB27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全氟己烷</w:t>
            </w:r>
          </w:p>
        </w:tc>
        <w:tc>
          <w:tcPr>
            <w:tcW w:w="1283" w:type="pct"/>
            <w:tcBorders>
              <w:top w:val="nil"/>
              <w:left w:val="nil"/>
              <w:bottom w:val="single" w:color="auto" w:sz="4" w:space="0"/>
              <w:right w:val="single" w:color="auto" w:sz="4" w:space="0"/>
            </w:tcBorders>
            <w:noWrap/>
            <w:vAlign w:val="bottom"/>
          </w:tcPr>
          <w:p w14:paraId="697CAF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w:t>
            </w:r>
            <w:r>
              <w:rPr>
                <w:rFonts w:hint="eastAsia" w:ascii="宋体" w:hAnsi="宋体" w:cs="宋体"/>
                <w:color w:val="000000"/>
                <w:kern w:val="0"/>
                <w:sz w:val="18"/>
                <w:szCs w:val="18"/>
                <w:vertAlign w:val="subscript"/>
              </w:rPr>
              <w:t>6</w:t>
            </w:r>
            <w:r>
              <w:rPr>
                <w:rFonts w:hint="eastAsia" w:ascii="宋体" w:hAnsi="宋体" w:cs="宋体"/>
                <w:color w:val="000000"/>
                <w:kern w:val="0"/>
                <w:sz w:val="18"/>
                <w:szCs w:val="18"/>
              </w:rPr>
              <w:t>F</w:t>
            </w:r>
            <w:r>
              <w:rPr>
                <w:rFonts w:hint="eastAsia" w:ascii="宋体" w:hAnsi="宋体" w:cs="宋体"/>
                <w:color w:val="000000"/>
                <w:kern w:val="0"/>
                <w:sz w:val="18"/>
                <w:szCs w:val="18"/>
                <w:vertAlign w:val="subscript"/>
              </w:rPr>
              <w:t>14</w:t>
            </w:r>
          </w:p>
        </w:tc>
        <w:tc>
          <w:tcPr>
            <w:tcW w:w="1755" w:type="pct"/>
            <w:tcBorders>
              <w:top w:val="nil"/>
              <w:left w:val="nil"/>
              <w:bottom w:val="single" w:color="auto" w:sz="4" w:space="0"/>
              <w:right w:val="single" w:color="auto" w:sz="4" w:space="0"/>
            </w:tcBorders>
            <w:noWrap/>
            <w:vAlign w:val="bottom"/>
          </w:tcPr>
          <w:p w14:paraId="6F5BA8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8620</w:t>
            </w:r>
          </w:p>
        </w:tc>
      </w:tr>
      <w:tr w14:paraId="30A44E41">
        <w:tblPrEx>
          <w:tblCellMar>
            <w:top w:w="0" w:type="dxa"/>
            <w:left w:w="0" w:type="dxa"/>
            <w:bottom w:w="0" w:type="dxa"/>
            <w:right w:w="0" w:type="dxa"/>
          </w:tblCellMar>
        </w:tblPrEx>
        <w:trPr>
          <w:trHeight w:val="276" w:hRule="atLeast"/>
        </w:trPr>
        <w:tc>
          <w:tcPr>
            <w:tcW w:w="1962" w:type="pct"/>
            <w:tcBorders>
              <w:top w:val="nil"/>
              <w:left w:val="single" w:color="auto" w:sz="4" w:space="0"/>
              <w:bottom w:val="single" w:color="auto" w:sz="4" w:space="0"/>
              <w:right w:val="single" w:color="auto" w:sz="4" w:space="0"/>
            </w:tcBorders>
            <w:noWrap/>
            <w:vAlign w:val="bottom"/>
          </w:tcPr>
          <w:p w14:paraId="093DEF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六氟化硫</w:t>
            </w:r>
          </w:p>
        </w:tc>
        <w:tc>
          <w:tcPr>
            <w:tcW w:w="1283" w:type="pct"/>
            <w:tcBorders>
              <w:top w:val="nil"/>
              <w:left w:val="nil"/>
              <w:bottom w:val="single" w:color="auto" w:sz="4" w:space="0"/>
              <w:right w:val="single" w:color="auto" w:sz="4" w:space="0"/>
            </w:tcBorders>
            <w:noWrap/>
            <w:vAlign w:val="bottom"/>
          </w:tcPr>
          <w:p w14:paraId="280AB1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SF</w:t>
            </w:r>
            <w:r>
              <w:rPr>
                <w:rFonts w:hint="eastAsia" w:ascii="宋体" w:hAnsi="宋体" w:cs="宋体"/>
                <w:color w:val="000000"/>
                <w:kern w:val="0"/>
                <w:sz w:val="18"/>
                <w:szCs w:val="18"/>
                <w:vertAlign w:val="subscript"/>
              </w:rPr>
              <w:t>6</w:t>
            </w:r>
          </w:p>
        </w:tc>
        <w:tc>
          <w:tcPr>
            <w:tcW w:w="1755" w:type="pct"/>
            <w:tcBorders>
              <w:top w:val="nil"/>
              <w:left w:val="nil"/>
              <w:bottom w:val="single" w:color="auto" w:sz="4" w:space="0"/>
              <w:right w:val="single" w:color="auto" w:sz="4" w:space="0"/>
            </w:tcBorders>
            <w:noWrap/>
            <w:vAlign w:val="bottom"/>
          </w:tcPr>
          <w:p w14:paraId="3D3837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25200</w:t>
            </w:r>
          </w:p>
        </w:tc>
      </w:tr>
      <w:tr w14:paraId="7BAADFF3">
        <w:tblPrEx>
          <w:tblCellMar>
            <w:top w:w="0" w:type="dxa"/>
            <w:left w:w="0" w:type="dxa"/>
            <w:bottom w:w="0" w:type="dxa"/>
            <w:right w:w="0" w:type="dxa"/>
          </w:tblCellMar>
        </w:tblPrEx>
        <w:trPr>
          <w:trHeight w:val="888" w:hRule="atLeast"/>
        </w:trPr>
        <w:tc>
          <w:tcPr>
            <w:tcW w:w="5000" w:type="pct"/>
            <w:gridSpan w:val="3"/>
            <w:tcBorders>
              <w:top w:val="single" w:color="auto" w:sz="4" w:space="0"/>
              <w:left w:val="single" w:color="auto" w:sz="4" w:space="0"/>
              <w:bottom w:val="single" w:color="auto" w:sz="4" w:space="0"/>
              <w:right w:val="single" w:color="000000" w:sz="4" w:space="0"/>
            </w:tcBorders>
            <w:vAlign w:val="bottom"/>
          </w:tcPr>
          <w:p w14:paraId="2A5AE2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注：部分温室气体的全球变暖潜势来源于气候变化专门委员会（IPCC）《气候变化报告2021：自然科学基础  第一工作组对政府间气候变化专门委员会第六次评估报告的贡献》</w:t>
            </w:r>
          </w:p>
        </w:tc>
      </w:tr>
    </w:tbl>
    <w:p w14:paraId="6D2D04A0">
      <w:pPr>
        <w:widowControl/>
        <w:jc w:val="left"/>
        <w:rPr>
          <w:rFonts w:ascii="宋体"/>
          <w:kern w:val="0"/>
          <w:szCs w:val="20"/>
        </w:rPr>
        <w:sectPr>
          <w:footerReference r:id="rId12" w:type="even"/>
          <w:pgSz w:w="11906" w:h="16838"/>
          <w:pgMar w:top="1418" w:right="1797" w:bottom="1134" w:left="1797" w:header="851" w:footer="992" w:gutter="0"/>
          <w:cols w:space="425" w:num="1"/>
          <w:docGrid w:type="lines" w:linePitch="312" w:charSpace="0"/>
        </w:sectPr>
      </w:pPr>
    </w:p>
    <w:bookmarkEnd w:id="167"/>
    <w:bookmarkEnd w:id="168"/>
    <w:p w14:paraId="42BC3F78">
      <w:pPr>
        <w:pStyle w:val="4"/>
        <w:spacing w:before="0" w:after="0"/>
        <w:ind w:firstLine="420"/>
        <w:rPr>
          <w:rFonts w:hint="eastAsia" w:ascii="黑体" w:hAnsi="黑体"/>
          <w:b w:val="0"/>
          <w:bCs w:val="0"/>
        </w:rPr>
      </w:pPr>
      <w:bookmarkStart w:id="179" w:name="_Toc171946732"/>
      <w:bookmarkStart w:id="180" w:name="_Toc172899200"/>
      <w:bookmarkStart w:id="181" w:name="_Toc174232067"/>
      <w:r>
        <w:rPr>
          <w:rFonts w:hint="eastAsia" w:ascii="黑体" w:hAnsi="黑体"/>
          <w:b w:val="0"/>
          <w:bCs w:val="0"/>
        </w:rPr>
        <w:t>参 考 文 献</w:t>
      </w:r>
      <w:bookmarkEnd w:id="179"/>
      <w:bookmarkEnd w:id="180"/>
      <w:bookmarkEnd w:id="181"/>
    </w:p>
    <w:p w14:paraId="4ADBBFA0">
      <w:pPr>
        <w:pStyle w:val="2"/>
        <w:ind w:firstLine="0" w:firstLineChars="0"/>
      </w:pPr>
      <w:r>
        <w:t>[1] PAS 2050:2011 Specification for the assessment of the life cycle greenhouse gas emissions of goods and services</w:t>
      </w:r>
    </w:p>
    <w:p w14:paraId="6B533F94">
      <w:r>
        <w:t>[2] WRI 和 WBCSD《温室气体议定书：产品生命周期核算与报告标准》, 世界资源研究所和世界可持续发展工商理事会, 2011年</w:t>
      </w:r>
    </w:p>
    <w:p w14:paraId="73BB0487">
      <w:pPr>
        <w:pStyle w:val="2"/>
        <w:ind w:firstLine="0" w:firstLineChars="0"/>
      </w:pPr>
      <w:r>
        <w:t>[3] Santero, N., &amp; Hendry, J. (2016). Harmonizaton of LCA methodologies for the metal and mining industry. Int J Life Cycle Assess, 21, 1543–1553. Retrieved from htps://doi.org/10.1007/s11367-015-1022-4</w:t>
      </w:r>
    </w:p>
    <w:p w14:paraId="5630D4F4">
      <w:pPr>
        <w:jc w:val="center"/>
        <w:rPr>
          <w:rFonts w:eastAsia="黑体"/>
          <w:szCs w:val="21"/>
        </w:rPr>
      </w:pPr>
    </w:p>
    <w:sectPr>
      <w:footerReference r:id="rId13" w:type="even"/>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EUAlbertina">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3439340"/>
    </w:sdtPr>
    <w:sdtContent>
      <w:p w14:paraId="232E9CFD">
        <w:pPr>
          <w:pStyle w:val="15"/>
          <w:jc w:val="right"/>
        </w:pPr>
        <w:r>
          <w:fldChar w:fldCharType="begin"/>
        </w:r>
        <w:r>
          <w:instrText xml:space="preserve">PAGE   \* MERGEFORMAT</w:instrText>
        </w:r>
        <w:r>
          <w:fldChar w:fldCharType="separate"/>
        </w:r>
        <w:r>
          <w:rPr>
            <w:lang w:val="zh-CN"/>
          </w:rPr>
          <w:t>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B5C0E">
    <w:pPr>
      <w:pStyle w:val="15"/>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separate"/>
    </w:r>
    <w:r>
      <w:rPr>
        <w:rStyle w:val="26"/>
      </w:rPr>
      <w:t>16</w:t>
    </w:r>
    <w:r>
      <w:rPr>
        <w:rStyle w:val="26"/>
      </w:rPr>
      <w:fldChar w:fldCharType="end"/>
    </w:r>
  </w:p>
  <w:p w14:paraId="5C177C5F">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DA2B">
    <w:pPr>
      <w:pStyle w:val="15"/>
      <w:jc w:val="right"/>
      <w:rPr>
        <w:rFonts w:eastAsia="黑体"/>
        <w:sz w:val="21"/>
        <w:szCs w:val="21"/>
      </w:rPr>
    </w:pPr>
    <w:r>
      <w:rPr>
        <w:rStyle w:val="26"/>
        <w:rFonts w:eastAsia="黑体"/>
        <w:sz w:val="21"/>
        <w:szCs w:val="21"/>
      </w:rPr>
      <w:fldChar w:fldCharType="begin"/>
    </w:r>
    <w:r>
      <w:rPr>
        <w:rStyle w:val="26"/>
        <w:rFonts w:eastAsia="黑体"/>
        <w:sz w:val="21"/>
        <w:szCs w:val="21"/>
      </w:rPr>
      <w:instrText xml:space="preserve"> PAGE </w:instrText>
    </w:r>
    <w:r>
      <w:rPr>
        <w:rStyle w:val="26"/>
        <w:rFonts w:eastAsia="黑体"/>
        <w:sz w:val="21"/>
        <w:szCs w:val="21"/>
      </w:rPr>
      <w:fldChar w:fldCharType="separate"/>
    </w:r>
    <w:r>
      <w:rPr>
        <w:rStyle w:val="26"/>
        <w:rFonts w:eastAsia="黑体"/>
        <w:sz w:val="21"/>
        <w:szCs w:val="21"/>
      </w:rPr>
      <w:t>II</w:t>
    </w:r>
    <w:r>
      <w:rPr>
        <w:rStyle w:val="26"/>
        <w:rFonts w:eastAsia="黑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9FEA">
    <w:pPr>
      <w:pStyle w:val="15"/>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separate"/>
    </w:r>
    <w:r>
      <w:rPr>
        <w:rStyle w:val="26"/>
      </w:rPr>
      <w:t>13</w:t>
    </w:r>
    <w:r>
      <w:rPr>
        <w:rStyle w:val="26"/>
      </w:rPr>
      <w:fldChar w:fldCharType="end"/>
    </w:r>
  </w:p>
  <w:p w14:paraId="208C9D71">
    <w:pPr>
      <w:pStyle w:val="15"/>
      <w:ind w:right="360" w:firstLine="360"/>
      <w:jc w:val="right"/>
      <w:rPr>
        <w:rFonts w:eastAsia="楷体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AB32">
    <w:pPr>
      <w:pStyle w:val="15"/>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separate"/>
    </w:r>
    <w:r>
      <w:rPr>
        <w:rStyle w:val="26"/>
      </w:rPr>
      <w:t>14</w:t>
    </w:r>
    <w:r>
      <w:rPr>
        <w:rStyle w:val="26"/>
      </w:rPr>
      <w:fldChar w:fldCharType="end"/>
    </w:r>
  </w:p>
  <w:p w14:paraId="04508C70">
    <w:pPr>
      <w:pStyle w:val="15"/>
      <w:ind w:right="10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FCEE7">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25614B10">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A957">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210E5901">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1988">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38AC44C8">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70664">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19CCF09D">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1380">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C933">
    <w:pPr>
      <w:ind w:right="600"/>
      <w:jc w:val="right"/>
      <w:rPr>
        <w:sz w:val="18"/>
        <w:szCs w:val="18"/>
      </w:rPr>
    </w:pPr>
    <w:r>
      <w:rPr>
        <w:rFonts w:hint="eastAsia"/>
        <w:sz w:val="18"/>
        <w:szCs w:val="18"/>
        <w:lang w:val="en-US" w:eastAsia="zh-CN"/>
      </w:rPr>
      <w:t>T/TNIA</w:t>
    </w:r>
    <w:r>
      <w:rPr>
        <w:sz w:val="18"/>
        <w:szCs w:val="18"/>
      </w:rPr>
      <w:t xml:space="preserve"> </w:t>
    </w:r>
    <w:r>
      <w:rPr>
        <w:rFonts w:hint="eastAsia"/>
        <w:sz w:val="18"/>
        <w:szCs w:val="18"/>
      </w:rPr>
      <w:t>XXXX</w:t>
    </w:r>
    <w:r>
      <w:rPr>
        <w:sz w:val="18"/>
        <w:szCs w:val="18"/>
      </w:rPr>
      <w:t>—</w:t>
    </w:r>
    <w:r>
      <w:rPr>
        <w:rFonts w:hint="eastAsia"/>
        <w:sz w:val="18"/>
        <w:szCs w:val="18"/>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22CDA"/>
    <w:multiLevelType w:val="multilevel"/>
    <w:tmpl w:val="22C22C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C343A89"/>
    <w:multiLevelType w:val="multilevel"/>
    <w:tmpl w:val="4C343A8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0NzFlZDkyOWE3YTJjMDdkNDY2ZGZmN2IxN2RjNGMifQ=="/>
  </w:docVars>
  <w:rsids>
    <w:rsidRoot w:val="00384F10"/>
    <w:rsid w:val="00001D09"/>
    <w:rsid w:val="000034CF"/>
    <w:rsid w:val="000062C0"/>
    <w:rsid w:val="00011785"/>
    <w:rsid w:val="00012AD8"/>
    <w:rsid w:val="00012F40"/>
    <w:rsid w:val="0002133D"/>
    <w:rsid w:val="00031433"/>
    <w:rsid w:val="000324E1"/>
    <w:rsid w:val="0003288F"/>
    <w:rsid w:val="00033E15"/>
    <w:rsid w:val="00034E0A"/>
    <w:rsid w:val="000407FB"/>
    <w:rsid w:val="000453A4"/>
    <w:rsid w:val="000507E5"/>
    <w:rsid w:val="00051DA6"/>
    <w:rsid w:val="00053B7E"/>
    <w:rsid w:val="000571D8"/>
    <w:rsid w:val="00062ADB"/>
    <w:rsid w:val="00064FF9"/>
    <w:rsid w:val="00067F16"/>
    <w:rsid w:val="00071CE9"/>
    <w:rsid w:val="0007587B"/>
    <w:rsid w:val="0008418F"/>
    <w:rsid w:val="00085B0D"/>
    <w:rsid w:val="00086A38"/>
    <w:rsid w:val="00087FC3"/>
    <w:rsid w:val="00090D24"/>
    <w:rsid w:val="00091257"/>
    <w:rsid w:val="00093C07"/>
    <w:rsid w:val="000A02CB"/>
    <w:rsid w:val="000A0F61"/>
    <w:rsid w:val="000A1AF2"/>
    <w:rsid w:val="000A7384"/>
    <w:rsid w:val="000B0CC2"/>
    <w:rsid w:val="000B20DD"/>
    <w:rsid w:val="000B2E1C"/>
    <w:rsid w:val="000B46D9"/>
    <w:rsid w:val="000B4CD3"/>
    <w:rsid w:val="000C0147"/>
    <w:rsid w:val="000C739D"/>
    <w:rsid w:val="000D49D1"/>
    <w:rsid w:val="000D6F28"/>
    <w:rsid w:val="000D70BC"/>
    <w:rsid w:val="000E2A2A"/>
    <w:rsid w:val="000E6082"/>
    <w:rsid w:val="000E62CC"/>
    <w:rsid w:val="000E7D4A"/>
    <w:rsid w:val="000F00B4"/>
    <w:rsid w:val="000F5AFD"/>
    <w:rsid w:val="000F7C79"/>
    <w:rsid w:val="00100963"/>
    <w:rsid w:val="00110695"/>
    <w:rsid w:val="00114E2A"/>
    <w:rsid w:val="00121067"/>
    <w:rsid w:val="00125A6D"/>
    <w:rsid w:val="00133DA8"/>
    <w:rsid w:val="00153101"/>
    <w:rsid w:val="00153217"/>
    <w:rsid w:val="00154B58"/>
    <w:rsid w:val="00154FF7"/>
    <w:rsid w:val="00157372"/>
    <w:rsid w:val="0016456F"/>
    <w:rsid w:val="00164B57"/>
    <w:rsid w:val="00174E90"/>
    <w:rsid w:val="00177BBC"/>
    <w:rsid w:val="001802E7"/>
    <w:rsid w:val="001806BE"/>
    <w:rsid w:val="00193227"/>
    <w:rsid w:val="001A289B"/>
    <w:rsid w:val="001B42F2"/>
    <w:rsid w:val="001B4F6E"/>
    <w:rsid w:val="001B5590"/>
    <w:rsid w:val="001C3C5A"/>
    <w:rsid w:val="001C5563"/>
    <w:rsid w:val="001D2BE7"/>
    <w:rsid w:val="001D4C9C"/>
    <w:rsid w:val="001D7361"/>
    <w:rsid w:val="001E1217"/>
    <w:rsid w:val="001E1A38"/>
    <w:rsid w:val="001E61EB"/>
    <w:rsid w:val="001E63A7"/>
    <w:rsid w:val="001E7F65"/>
    <w:rsid w:val="001F210A"/>
    <w:rsid w:val="001F42F5"/>
    <w:rsid w:val="001F4619"/>
    <w:rsid w:val="001F564F"/>
    <w:rsid w:val="00204B08"/>
    <w:rsid w:val="00210AEA"/>
    <w:rsid w:val="002171D7"/>
    <w:rsid w:val="00221D54"/>
    <w:rsid w:val="0022344B"/>
    <w:rsid w:val="0022796E"/>
    <w:rsid w:val="0023752F"/>
    <w:rsid w:val="002459A8"/>
    <w:rsid w:val="00250679"/>
    <w:rsid w:val="0025197B"/>
    <w:rsid w:val="00256345"/>
    <w:rsid w:val="002603F2"/>
    <w:rsid w:val="0027333C"/>
    <w:rsid w:val="00276D59"/>
    <w:rsid w:val="00283D2E"/>
    <w:rsid w:val="00284E57"/>
    <w:rsid w:val="002A6EE8"/>
    <w:rsid w:val="002B0826"/>
    <w:rsid w:val="002B3C52"/>
    <w:rsid w:val="002C42E7"/>
    <w:rsid w:val="002D042B"/>
    <w:rsid w:val="002D489F"/>
    <w:rsid w:val="002E0CFB"/>
    <w:rsid w:val="002E3603"/>
    <w:rsid w:val="002E6F09"/>
    <w:rsid w:val="002F5228"/>
    <w:rsid w:val="003106AD"/>
    <w:rsid w:val="00310C15"/>
    <w:rsid w:val="00311D28"/>
    <w:rsid w:val="003203DE"/>
    <w:rsid w:val="00321C2D"/>
    <w:rsid w:val="00322C9B"/>
    <w:rsid w:val="00324E4F"/>
    <w:rsid w:val="00336832"/>
    <w:rsid w:val="00343BF5"/>
    <w:rsid w:val="00347EE5"/>
    <w:rsid w:val="00350828"/>
    <w:rsid w:val="003556DC"/>
    <w:rsid w:val="00366AE6"/>
    <w:rsid w:val="00373DC5"/>
    <w:rsid w:val="00377451"/>
    <w:rsid w:val="003813EE"/>
    <w:rsid w:val="00384F10"/>
    <w:rsid w:val="003A1059"/>
    <w:rsid w:val="003B2BA6"/>
    <w:rsid w:val="003B51C2"/>
    <w:rsid w:val="003B5BE9"/>
    <w:rsid w:val="003B7492"/>
    <w:rsid w:val="003C25A9"/>
    <w:rsid w:val="003C72F3"/>
    <w:rsid w:val="003D00E5"/>
    <w:rsid w:val="003D3378"/>
    <w:rsid w:val="003D5106"/>
    <w:rsid w:val="003D5FEC"/>
    <w:rsid w:val="003E091E"/>
    <w:rsid w:val="003E0E49"/>
    <w:rsid w:val="003E141F"/>
    <w:rsid w:val="003E2197"/>
    <w:rsid w:val="003E38AB"/>
    <w:rsid w:val="003E41E2"/>
    <w:rsid w:val="003E5055"/>
    <w:rsid w:val="003E5275"/>
    <w:rsid w:val="003E5FA3"/>
    <w:rsid w:val="003E7F9A"/>
    <w:rsid w:val="003F2105"/>
    <w:rsid w:val="00400895"/>
    <w:rsid w:val="00400C93"/>
    <w:rsid w:val="004013AF"/>
    <w:rsid w:val="0040677B"/>
    <w:rsid w:val="00407994"/>
    <w:rsid w:val="00407A27"/>
    <w:rsid w:val="0041520B"/>
    <w:rsid w:val="00415AFB"/>
    <w:rsid w:val="00417F8F"/>
    <w:rsid w:val="0042046D"/>
    <w:rsid w:val="00436066"/>
    <w:rsid w:val="00441097"/>
    <w:rsid w:val="004423CB"/>
    <w:rsid w:val="00446D27"/>
    <w:rsid w:val="00447200"/>
    <w:rsid w:val="00450CB5"/>
    <w:rsid w:val="004522F8"/>
    <w:rsid w:val="00460E48"/>
    <w:rsid w:val="0047318A"/>
    <w:rsid w:val="0047346A"/>
    <w:rsid w:val="00476361"/>
    <w:rsid w:val="00477A5B"/>
    <w:rsid w:val="00484DE1"/>
    <w:rsid w:val="00485D24"/>
    <w:rsid w:val="00485E59"/>
    <w:rsid w:val="004A174F"/>
    <w:rsid w:val="004A30AA"/>
    <w:rsid w:val="004B16E1"/>
    <w:rsid w:val="004B2AAC"/>
    <w:rsid w:val="004B529B"/>
    <w:rsid w:val="004B7B13"/>
    <w:rsid w:val="004C0787"/>
    <w:rsid w:val="004C2846"/>
    <w:rsid w:val="004C6087"/>
    <w:rsid w:val="004C713C"/>
    <w:rsid w:val="004C7B86"/>
    <w:rsid w:val="004D58A5"/>
    <w:rsid w:val="004E1601"/>
    <w:rsid w:val="004E4876"/>
    <w:rsid w:val="004F6C2C"/>
    <w:rsid w:val="004F7DA4"/>
    <w:rsid w:val="00501BC2"/>
    <w:rsid w:val="00506D72"/>
    <w:rsid w:val="0050704D"/>
    <w:rsid w:val="005106B2"/>
    <w:rsid w:val="00511206"/>
    <w:rsid w:val="00513D79"/>
    <w:rsid w:val="00515838"/>
    <w:rsid w:val="0051629A"/>
    <w:rsid w:val="00517433"/>
    <w:rsid w:val="00517DB0"/>
    <w:rsid w:val="005201FF"/>
    <w:rsid w:val="00521834"/>
    <w:rsid w:val="00521ED4"/>
    <w:rsid w:val="0052259A"/>
    <w:rsid w:val="00523D5C"/>
    <w:rsid w:val="005342B1"/>
    <w:rsid w:val="005352C5"/>
    <w:rsid w:val="005432C2"/>
    <w:rsid w:val="0055589B"/>
    <w:rsid w:val="00555ADB"/>
    <w:rsid w:val="005570E2"/>
    <w:rsid w:val="005630D6"/>
    <w:rsid w:val="005637C8"/>
    <w:rsid w:val="005657D9"/>
    <w:rsid w:val="005705DE"/>
    <w:rsid w:val="00580B57"/>
    <w:rsid w:val="00580D7C"/>
    <w:rsid w:val="005813BF"/>
    <w:rsid w:val="005816B1"/>
    <w:rsid w:val="005865D4"/>
    <w:rsid w:val="00591EC5"/>
    <w:rsid w:val="005937C8"/>
    <w:rsid w:val="005952B4"/>
    <w:rsid w:val="00597FF8"/>
    <w:rsid w:val="005A04BB"/>
    <w:rsid w:val="005A0AED"/>
    <w:rsid w:val="005A3019"/>
    <w:rsid w:val="005A6BB9"/>
    <w:rsid w:val="005B13BA"/>
    <w:rsid w:val="005C1681"/>
    <w:rsid w:val="005C228B"/>
    <w:rsid w:val="005C66B1"/>
    <w:rsid w:val="005D52DD"/>
    <w:rsid w:val="005D5314"/>
    <w:rsid w:val="005D5E3D"/>
    <w:rsid w:val="005D7716"/>
    <w:rsid w:val="005E0500"/>
    <w:rsid w:val="005E1770"/>
    <w:rsid w:val="005E405E"/>
    <w:rsid w:val="005E7049"/>
    <w:rsid w:val="005F103E"/>
    <w:rsid w:val="005F2610"/>
    <w:rsid w:val="005F7975"/>
    <w:rsid w:val="006066C3"/>
    <w:rsid w:val="0060720F"/>
    <w:rsid w:val="006105B4"/>
    <w:rsid w:val="006119C6"/>
    <w:rsid w:val="0061282D"/>
    <w:rsid w:val="00614069"/>
    <w:rsid w:val="00614C8E"/>
    <w:rsid w:val="006162F6"/>
    <w:rsid w:val="006172DB"/>
    <w:rsid w:val="0062087E"/>
    <w:rsid w:val="00627EEF"/>
    <w:rsid w:val="0064144D"/>
    <w:rsid w:val="00646E51"/>
    <w:rsid w:val="00654D89"/>
    <w:rsid w:val="00655B63"/>
    <w:rsid w:val="00656246"/>
    <w:rsid w:val="0066325F"/>
    <w:rsid w:val="00667EA7"/>
    <w:rsid w:val="006724A8"/>
    <w:rsid w:val="00690554"/>
    <w:rsid w:val="00697344"/>
    <w:rsid w:val="006A2305"/>
    <w:rsid w:val="006A3E71"/>
    <w:rsid w:val="006A7D92"/>
    <w:rsid w:val="006B13AC"/>
    <w:rsid w:val="006B6599"/>
    <w:rsid w:val="006B7A84"/>
    <w:rsid w:val="006D5B05"/>
    <w:rsid w:val="006D7A93"/>
    <w:rsid w:val="006D7E48"/>
    <w:rsid w:val="006E128F"/>
    <w:rsid w:val="006E15D5"/>
    <w:rsid w:val="006F1101"/>
    <w:rsid w:val="006F4BAF"/>
    <w:rsid w:val="006F6B16"/>
    <w:rsid w:val="00700375"/>
    <w:rsid w:val="00700875"/>
    <w:rsid w:val="00700916"/>
    <w:rsid w:val="007066E1"/>
    <w:rsid w:val="00707C5F"/>
    <w:rsid w:val="00715721"/>
    <w:rsid w:val="0072243C"/>
    <w:rsid w:val="007242B8"/>
    <w:rsid w:val="007267C2"/>
    <w:rsid w:val="00735343"/>
    <w:rsid w:val="00737FAE"/>
    <w:rsid w:val="0074757B"/>
    <w:rsid w:val="00747B61"/>
    <w:rsid w:val="00761038"/>
    <w:rsid w:val="007639E3"/>
    <w:rsid w:val="00763CC3"/>
    <w:rsid w:val="00766031"/>
    <w:rsid w:val="007760F0"/>
    <w:rsid w:val="007769C0"/>
    <w:rsid w:val="007834D3"/>
    <w:rsid w:val="00785CE2"/>
    <w:rsid w:val="00791E48"/>
    <w:rsid w:val="00796F7B"/>
    <w:rsid w:val="007B655E"/>
    <w:rsid w:val="007B68BA"/>
    <w:rsid w:val="007C048D"/>
    <w:rsid w:val="007C3D4A"/>
    <w:rsid w:val="007C46E6"/>
    <w:rsid w:val="007C5BD6"/>
    <w:rsid w:val="007D6FB1"/>
    <w:rsid w:val="007E0362"/>
    <w:rsid w:val="007F2C05"/>
    <w:rsid w:val="007F41FF"/>
    <w:rsid w:val="00800AA5"/>
    <w:rsid w:val="00801155"/>
    <w:rsid w:val="0080432B"/>
    <w:rsid w:val="0080523D"/>
    <w:rsid w:val="00805249"/>
    <w:rsid w:val="00806F09"/>
    <w:rsid w:val="0081096C"/>
    <w:rsid w:val="00811B07"/>
    <w:rsid w:val="008140D5"/>
    <w:rsid w:val="00815A56"/>
    <w:rsid w:val="0082228A"/>
    <w:rsid w:val="00822474"/>
    <w:rsid w:val="00826A4E"/>
    <w:rsid w:val="00827429"/>
    <w:rsid w:val="00831D74"/>
    <w:rsid w:val="00833320"/>
    <w:rsid w:val="0083562D"/>
    <w:rsid w:val="00842590"/>
    <w:rsid w:val="00843569"/>
    <w:rsid w:val="00854A2F"/>
    <w:rsid w:val="00863E68"/>
    <w:rsid w:val="00870AC2"/>
    <w:rsid w:val="00870C8F"/>
    <w:rsid w:val="008735DA"/>
    <w:rsid w:val="00881F39"/>
    <w:rsid w:val="0089028B"/>
    <w:rsid w:val="00894635"/>
    <w:rsid w:val="00895537"/>
    <w:rsid w:val="008A16CF"/>
    <w:rsid w:val="008A4B5E"/>
    <w:rsid w:val="008B2454"/>
    <w:rsid w:val="008B4CCC"/>
    <w:rsid w:val="008B728A"/>
    <w:rsid w:val="008C05BD"/>
    <w:rsid w:val="008C1614"/>
    <w:rsid w:val="008C34EF"/>
    <w:rsid w:val="008C7F86"/>
    <w:rsid w:val="008D0F3D"/>
    <w:rsid w:val="008D6AB3"/>
    <w:rsid w:val="008F4C76"/>
    <w:rsid w:val="008F6CBF"/>
    <w:rsid w:val="009037E6"/>
    <w:rsid w:val="00903EF5"/>
    <w:rsid w:val="00904455"/>
    <w:rsid w:val="00906362"/>
    <w:rsid w:val="00912F6E"/>
    <w:rsid w:val="00916594"/>
    <w:rsid w:val="0092142F"/>
    <w:rsid w:val="00926591"/>
    <w:rsid w:val="00931E03"/>
    <w:rsid w:val="00934330"/>
    <w:rsid w:val="009359FF"/>
    <w:rsid w:val="009368FF"/>
    <w:rsid w:val="00940FA2"/>
    <w:rsid w:val="00946659"/>
    <w:rsid w:val="0094788A"/>
    <w:rsid w:val="00947AC7"/>
    <w:rsid w:val="009523F8"/>
    <w:rsid w:val="00960330"/>
    <w:rsid w:val="009641D3"/>
    <w:rsid w:val="00970B2C"/>
    <w:rsid w:val="009719E8"/>
    <w:rsid w:val="00971E23"/>
    <w:rsid w:val="00975C68"/>
    <w:rsid w:val="00982291"/>
    <w:rsid w:val="00985856"/>
    <w:rsid w:val="00986640"/>
    <w:rsid w:val="009875FE"/>
    <w:rsid w:val="0099126C"/>
    <w:rsid w:val="00991EDF"/>
    <w:rsid w:val="00991F4F"/>
    <w:rsid w:val="009955AD"/>
    <w:rsid w:val="009A4AA3"/>
    <w:rsid w:val="009B1375"/>
    <w:rsid w:val="009B2874"/>
    <w:rsid w:val="009C382B"/>
    <w:rsid w:val="009E06D7"/>
    <w:rsid w:val="009E0A87"/>
    <w:rsid w:val="009F20D7"/>
    <w:rsid w:val="009F3548"/>
    <w:rsid w:val="00A00898"/>
    <w:rsid w:val="00A01EA6"/>
    <w:rsid w:val="00A02714"/>
    <w:rsid w:val="00A07A37"/>
    <w:rsid w:val="00A11235"/>
    <w:rsid w:val="00A251C8"/>
    <w:rsid w:val="00A344D1"/>
    <w:rsid w:val="00A433E9"/>
    <w:rsid w:val="00A447B3"/>
    <w:rsid w:val="00A44B7C"/>
    <w:rsid w:val="00A46CCC"/>
    <w:rsid w:val="00A53E21"/>
    <w:rsid w:val="00A541D6"/>
    <w:rsid w:val="00A60936"/>
    <w:rsid w:val="00A613E3"/>
    <w:rsid w:val="00A665C1"/>
    <w:rsid w:val="00A75AA9"/>
    <w:rsid w:val="00A80876"/>
    <w:rsid w:val="00A8402F"/>
    <w:rsid w:val="00A87B46"/>
    <w:rsid w:val="00A87EE2"/>
    <w:rsid w:val="00A93F5F"/>
    <w:rsid w:val="00AA3EF4"/>
    <w:rsid w:val="00AA5DB0"/>
    <w:rsid w:val="00AB2E75"/>
    <w:rsid w:val="00AB5B52"/>
    <w:rsid w:val="00AB623A"/>
    <w:rsid w:val="00AE01C7"/>
    <w:rsid w:val="00AE487F"/>
    <w:rsid w:val="00AF0817"/>
    <w:rsid w:val="00AF2CA8"/>
    <w:rsid w:val="00B016DF"/>
    <w:rsid w:val="00B06CC9"/>
    <w:rsid w:val="00B204AC"/>
    <w:rsid w:val="00B21347"/>
    <w:rsid w:val="00B27456"/>
    <w:rsid w:val="00B347A2"/>
    <w:rsid w:val="00B41232"/>
    <w:rsid w:val="00B41A5F"/>
    <w:rsid w:val="00B46895"/>
    <w:rsid w:val="00B522D3"/>
    <w:rsid w:val="00B53130"/>
    <w:rsid w:val="00B535F1"/>
    <w:rsid w:val="00B60569"/>
    <w:rsid w:val="00B66C04"/>
    <w:rsid w:val="00B7304C"/>
    <w:rsid w:val="00B810A7"/>
    <w:rsid w:val="00B943A6"/>
    <w:rsid w:val="00B95AFA"/>
    <w:rsid w:val="00BA067D"/>
    <w:rsid w:val="00BA36DB"/>
    <w:rsid w:val="00BA7078"/>
    <w:rsid w:val="00BB7126"/>
    <w:rsid w:val="00BC002F"/>
    <w:rsid w:val="00BC6D77"/>
    <w:rsid w:val="00BC7FBE"/>
    <w:rsid w:val="00BD3562"/>
    <w:rsid w:val="00BD74EC"/>
    <w:rsid w:val="00BE738C"/>
    <w:rsid w:val="00BE7C20"/>
    <w:rsid w:val="00BF2B6A"/>
    <w:rsid w:val="00BF7114"/>
    <w:rsid w:val="00BF7AE0"/>
    <w:rsid w:val="00C0332E"/>
    <w:rsid w:val="00C05790"/>
    <w:rsid w:val="00C05C94"/>
    <w:rsid w:val="00C065EE"/>
    <w:rsid w:val="00C06C7C"/>
    <w:rsid w:val="00C1034D"/>
    <w:rsid w:val="00C12E3F"/>
    <w:rsid w:val="00C1430C"/>
    <w:rsid w:val="00C20B48"/>
    <w:rsid w:val="00C302CB"/>
    <w:rsid w:val="00C331F7"/>
    <w:rsid w:val="00C4011C"/>
    <w:rsid w:val="00C441CF"/>
    <w:rsid w:val="00C523B9"/>
    <w:rsid w:val="00C52BA4"/>
    <w:rsid w:val="00C55B61"/>
    <w:rsid w:val="00C56843"/>
    <w:rsid w:val="00C627C6"/>
    <w:rsid w:val="00C647E8"/>
    <w:rsid w:val="00C661FE"/>
    <w:rsid w:val="00C67F9A"/>
    <w:rsid w:val="00C73E34"/>
    <w:rsid w:val="00C74E3C"/>
    <w:rsid w:val="00C80882"/>
    <w:rsid w:val="00C920CB"/>
    <w:rsid w:val="00C93EFC"/>
    <w:rsid w:val="00C95E56"/>
    <w:rsid w:val="00C965E0"/>
    <w:rsid w:val="00C9767D"/>
    <w:rsid w:val="00C978FE"/>
    <w:rsid w:val="00CB30D1"/>
    <w:rsid w:val="00CB3F0B"/>
    <w:rsid w:val="00CC1BEA"/>
    <w:rsid w:val="00CC4142"/>
    <w:rsid w:val="00CC4638"/>
    <w:rsid w:val="00CC5816"/>
    <w:rsid w:val="00CD2808"/>
    <w:rsid w:val="00CD2F5D"/>
    <w:rsid w:val="00CD606A"/>
    <w:rsid w:val="00CE0BA6"/>
    <w:rsid w:val="00CE556B"/>
    <w:rsid w:val="00CF43D4"/>
    <w:rsid w:val="00D01469"/>
    <w:rsid w:val="00D13483"/>
    <w:rsid w:val="00D16C32"/>
    <w:rsid w:val="00D17CA5"/>
    <w:rsid w:val="00D223B8"/>
    <w:rsid w:val="00D25E7A"/>
    <w:rsid w:val="00D27412"/>
    <w:rsid w:val="00D27CA3"/>
    <w:rsid w:val="00D302AD"/>
    <w:rsid w:val="00D406CD"/>
    <w:rsid w:val="00D4299F"/>
    <w:rsid w:val="00D50F2B"/>
    <w:rsid w:val="00D53587"/>
    <w:rsid w:val="00D55547"/>
    <w:rsid w:val="00D55968"/>
    <w:rsid w:val="00D56ECE"/>
    <w:rsid w:val="00D620DC"/>
    <w:rsid w:val="00D64D42"/>
    <w:rsid w:val="00D66E08"/>
    <w:rsid w:val="00D701E4"/>
    <w:rsid w:val="00D779C6"/>
    <w:rsid w:val="00D803D6"/>
    <w:rsid w:val="00D816DA"/>
    <w:rsid w:val="00D85843"/>
    <w:rsid w:val="00D8666B"/>
    <w:rsid w:val="00D93CAC"/>
    <w:rsid w:val="00DA0C63"/>
    <w:rsid w:val="00DA3225"/>
    <w:rsid w:val="00DA629E"/>
    <w:rsid w:val="00DA6970"/>
    <w:rsid w:val="00DB6145"/>
    <w:rsid w:val="00DC0AE8"/>
    <w:rsid w:val="00DC15CC"/>
    <w:rsid w:val="00DC216E"/>
    <w:rsid w:val="00DC4C04"/>
    <w:rsid w:val="00DC7BED"/>
    <w:rsid w:val="00DD5AD5"/>
    <w:rsid w:val="00DE4426"/>
    <w:rsid w:val="00DE5A11"/>
    <w:rsid w:val="00DF1736"/>
    <w:rsid w:val="00E04A10"/>
    <w:rsid w:val="00E04A6B"/>
    <w:rsid w:val="00E117C6"/>
    <w:rsid w:val="00E1610E"/>
    <w:rsid w:val="00E16D6E"/>
    <w:rsid w:val="00E24815"/>
    <w:rsid w:val="00E24A31"/>
    <w:rsid w:val="00E27BE1"/>
    <w:rsid w:val="00E31522"/>
    <w:rsid w:val="00E32FE8"/>
    <w:rsid w:val="00E33FD0"/>
    <w:rsid w:val="00E356B1"/>
    <w:rsid w:val="00E44306"/>
    <w:rsid w:val="00E47839"/>
    <w:rsid w:val="00E55A26"/>
    <w:rsid w:val="00E60ABE"/>
    <w:rsid w:val="00E66283"/>
    <w:rsid w:val="00E70FA8"/>
    <w:rsid w:val="00E718B3"/>
    <w:rsid w:val="00E76864"/>
    <w:rsid w:val="00E80233"/>
    <w:rsid w:val="00E83DB5"/>
    <w:rsid w:val="00E8490F"/>
    <w:rsid w:val="00E86349"/>
    <w:rsid w:val="00E87DB5"/>
    <w:rsid w:val="00E90240"/>
    <w:rsid w:val="00E94EF3"/>
    <w:rsid w:val="00EA2F03"/>
    <w:rsid w:val="00EA7B88"/>
    <w:rsid w:val="00EB0563"/>
    <w:rsid w:val="00EC0795"/>
    <w:rsid w:val="00EC4DF5"/>
    <w:rsid w:val="00ED47B6"/>
    <w:rsid w:val="00EE0A4E"/>
    <w:rsid w:val="00EE26E1"/>
    <w:rsid w:val="00EE4FDC"/>
    <w:rsid w:val="00EE7D89"/>
    <w:rsid w:val="00EF4384"/>
    <w:rsid w:val="00EF5183"/>
    <w:rsid w:val="00F02F4B"/>
    <w:rsid w:val="00F04265"/>
    <w:rsid w:val="00F04476"/>
    <w:rsid w:val="00F04BDB"/>
    <w:rsid w:val="00F052A1"/>
    <w:rsid w:val="00F14262"/>
    <w:rsid w:val="00F16144"/>
    <w:rsid w:val="00F17D84"/>
    <w:rsid w:val="00F272EC"/>
    <w:rsid w:val="00F324BF"/>
    <w:rsid w:val="00F4008B"/>
    <w:rsid w:val="00F45681"/>
    <w:rsid w:val="00F46F0C"/>
    <w:rsid w:val="00F534A7"/>
    <w:rsid w:val="00F549B7"/>
    <w:rsid w:val="00F5574D"/>
    <w:rsid w:val="00F57D9D"/>
    <w:rsid w:val="00F57FDB"/>
    <w:rsid w:val="00F6058E"/>
    <w:rsid w:val="00F619C3"/>
    <w:rsid w:val="00F67401"/>
    <w:rsid w:val="00F715B8"/>
    <w:rsid w:val="00F80AE1"/>
    <w:rsid w:val="00F9668C"/>
    <w:rsid w:val="00FA0D98"/>
    <w:rsid w:val="00FA3389"/>
    <w:rsid w:val="00FA33FD"/>
    <w:rsid w:val="00FA772D"/>
    <w:rsid w:val="00FA7769"/>
    <w:rsid w:val="00FB0C90"/>
    <w:rsid w:val="00FB1E5F"/>
    <w:rsid w:val="00FB40F8"/>
    <w:rsid w:val="00FB5F82"/>
    <w:rsid w:val="00FB620C"/>
    <w:rsid w:val="00FB737E"/>
    <w:rsid w:val="00FC00E0"/>
    <w:rsid w:val="00FC7D10"/>
    <w:rsid w:val="00FD379A"/>
    <w:rsid w:val="00FE5E5B"/>
    <w:rsid w:val="00FF1723"/>
    <w:rsid w:val="00FF27DD"/>
    <w:rsid w:val="00FF29CE"/>
    <w:rsid w:val="00FF3E72"/>
    <w:rsid w:val="00FF759C"/>
    <w:rsid w:val="0ED066FD"/>
    <w:rsid w:val="1A3E54E4"/>
    <w:rsid w:val="1B4B47FB"/>
    <w:rsid w:val="2346434A"/>
    <w:rsid w:val="250E6D94"/>
    <w:rsid w:val="254D1B3F"/>
    <w:rsid w:val="30A47560"/>
    <w:rsid w:val="38A716A6"/>
    <w:rsid w:val="3D007123"/>
    <w:rsid w:val="44A42D94"/>
    <w:rsid w:val="48D80A38"/>
    <w:rsid w:val="498D0F3C"/>
    <w:rsid w:val="4B8A1D1C"/>
    <w:rsid w:val="4BD023EF"/>
    <w:rsid w:val="63C4423C"/>
    <w:rsid w:val="69BF1A0C"/>
    <w:rsid w:val="6AC22533"/>
    <w:rsid w:val="6FA27D10"/>
    <w:rsid w:val="73925BAA"/>
    <w:rsid w:val="73AF47DC"/>
    <w:rsid w:val="74234B34"/>
    <w:rsid w:val="744D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jc w:val="center"/>
      <w:outlineLvl w:val="0"/>
    </w:pPr>
    <w:rPr>
      <w:rFonts w:eastAsia="黑体"/>
      <w:b/>
      <w:bCs/>
      <w:kern w:val="44"/>
      <w:sz w:val="24"/>
      <w:szCs w:val="44"/>
    </w:rPr>
  </w:style>
  <w:style w:type="paragraph" w:styleId="4">
    <w:name w:val="heading 2"/>
    <w:basedOn w:val="1"/>
    <w:next w:val="1"/>
    <w:link w:val="33"/>
    <w:qFormat/>
    <w:uiPriority w:val="9"/>
    <w:pPr>
      <w:keepNext/>
      <w:keepLines/>
      <w:spacing w:before="260" w:after="260"/>
      <w:jc w:val="center"/>
      <w:outlineLvl w:val="1"/>
    </w:pPr>
    <w:rPr>
      <w:rFonts w:ascii="Arial" w:hAnsi="Arial" w:eastAsia="黑体"/>
      <w:b/>
      <w:bCs/>
      <w:szCs w:val="32"/>
    </w:rPr>
  </w:style>
  <w:style w:type="paragraph" w:styleId="5">
    <w:name w:val="heading 3"/>
    <w:basedOn w:val="1"/>
    <w:next w:val="1"/>
    <w:link w:val="67"/>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68"/>
    <w:semiHidden/>
    <w:unhideWhenUsed/>
    <w:qFormat/>
    <w:uiPriority w:val="0"/>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99"/>
    <w:pPr>
      <w:adjustRightInd w:val="0"/>
      <w:snapToGrid w:val="0"/>
      <w:spacing w:line="360" w:lineRule="auto"/>
      <w:ind w:firstLine="420" w:firstLineChars="200"/>
    </w:pPr>
  </w:style>
  <w:style w:type="paragraph" w:styleId="8">
    <w:name w:val="caption"/>
    <w:basedOn w:val="1"/>
    <w:next w:val="1"/>
    <w:qFormat/>
    <w:uiPriority w:val="0"/>
    <w:rPr>
      <w:rFonts w:ascii="等线 Light" w:hAnsi="等线 Light" w:eastAsia="黑体"/>
      <w:sz w:val="20"/>
      <w:szCs w:val="20"/>
    </w:rPr>
  </w:style>
  <w:style w:type="paragraph" w:styleId="9">
    <w:name w:val="Document Map"/>
    <w:basedOn w:val="1"/>
    <w:link w:val="42"/>
    <w:qFormat/>
    <w:uiPriority w:val="0"/>
    <w:pPr>
      <w:shd w:val="clear" w:color="auto" w:fill="000080"/>
    </w:pPr>
  </w:style>
  <w:style w:type="paragraph" w:styleId="10">
    <w:name w:val="annotation text"/>
    <w:basedOn w:val="1"/>
    <w:link w:val="45"/>
    <w:qFormat/>
    <w:uiPriority w:val="99"/>
    <w:pPr>
      <w:jc w:val="left"/>
    </w:pPr>
  </w:style>
  <w:style w:type="paragraph" w:styleId="11">
    <w:name w:val="Body Text Indent"/>
    <w:basedOn w:val="1"/>
    <w:link w:val="36"/>
    <w:qFormat/>
    <w:uiPriority w:val="0"/>
    <w:pPr>
      <w:ind w:firstLine="435"/>
    </w:pPr>
    <w:rPr>
      <w:szCs w:val="21"/>
    </w:rPr>
  </w:style>
  <w:style w:type="paragraph" w:styleId="12">
    <w:name w:val="Date"/>
    <w:basedOn w:val="1"/>
    <w:next w:val="1"/>
    <w:link w:val="35"/>
    <w:qFormat/>
    <w:uiPriority w:val="0"/>
    <w:pPr>
      <w:ind w:left="100" w:leftChars="2500"/>
    </w:pPr>
  </w:style>
  <w:style w:type="paragraph" w:styleId="13">
    <w:name w:val="endnote text"/>
    <w:basedOn w:val="1"/>
    <w:link w:val="44"/>
    <w:qFormat/>
    <w:uiPriority w:val="0"/>
    <w:pPr>
      <w:snapToGrid w:val="0"/>
      <w:jc w:val="left"/>
    </w:pPr>
  </w:style>
  <w:style w:type="paragraph" w:styleId="14">
    <w:name w:val="Balloon Text"/>
    <w:basedOn w:val="1"/>
    <w:semiHidden/>
    <w:qFormat/>
    <w:uiPriority w:val="0"/>
    <w:rPr>
      <w:sz w:val="18"/>
      <w:szCs w:val="18"/>
    </w:rPr>
  </w:style>
  <w:style w:type="paragraph" w:styleId="15">
    <w:name w:val="footer"/>
    <w:basedOn w:val="1"/>
    <w:link w:val="65"/>
    <w:qFormat/>
    <w:uiPriority w:val="99"/>
    <w:pPr>
      <w:tabs>
        <w:tab w:val="center" w:pos="4153"/>
        <w:tab w:val="right" w:pos="8306"/>
      </w:tabs>
      <w:snapToGrid w:val="0"/>
      <w:jc w:val="left"/>
    </w:pPr>
    <w:rPr>
      <w:sz w:val="18"/>
      <w:szCs w:val="18"/>
    </w:rPr>
  </w:style>
  <w:style w:type="paragraph" w:styleId="16">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footnote text"/>
    <w:basedOn w:val="1"/>
    <w:link w:val="43"/>
    <w:qFormat/>
    <w:uiPriority w:val="0"/>
    <w:pPr>
      <w:snapToGrid w:val="0"/>
      <w:jc w:val="left"/>
    </w:pPr>
    <w:rPr>
      <w:sz w:val="18"/>
      <w:szCs w:val="18"/>
    </w:rPr>
  </w:style>
  <w:style w:type="paragraph" w:styleId="19">
    <w:name w:val="toc 2"/>
    <w:basedOn w:val="1"/>
    <w:next w:val="1"/>
    <w:qFormat/>
    <w:uiPriority w:val="39"/>
    <w:pPr>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10"/>
    <w:next w:val="10"/>
    <w:link w:val="46"/>
    <w:qFormat/>
    <w:uiPriority w:val="0"/>
    <w:rPr>
      <w:b/>
      <w:bCs/>
    </w:rPr>
  </w:style>
  <w:style w:type="table" w:styleId="23">
    <w:name w:val="Table Grid"/>
    <w:basedOn w:val="22"/>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endnote reference"/>
    <w:qFormat/>
    <w:uiPriority w:val="0"/>
    <w:rPr>
      <w:vertAlign w:val="superscript"/>
    </w:rPr>
  </w:style>
  <w:style w:type="character" w:styleId="26">
    <w:name w:val="page number"/>
    <w:basedOn w:val="24"/>
    <w:qFormat/>
    <w:uiPriority w:val="0"/>
  </w:style>
  <w:style w:type="character" w:styleId="27">
    <w:name w:val="Emphasis"/>
    <w:qFormat/>
    <w:uiPriority w:val="20"/>
    <w:rPr>
      <w:i/>
      <w:iCs/>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styleId="30">
    <w:name w:val="footnote reference"/>
    <w:qFormat/>
    <w:uiPriority w:val="0"/>
    <w:rPr>
      <w:vertAlign w:val="superscript"/>
    </w:rPr>
  </w:style>
  <w:style w:type="character" w:customStyle="1" w:styleId="31">
    <w:name w:val="标题 4 字符"/>
    <w:basedOn w:val="24"/>
    <w:link w:val="6"/>
    <w:semiHidden/>
    <w:qFormat/>
    <w:uiPriority w:val="0"/>
    <w:rPr>
      <w:rFonts w:asciiTheme="majorHAnsi" w:hAnsiTheme="majorHAnsi" w:eastAsiaTheme="majorEastAsia" w:cstheme="majorBidi"/>
      <w:b/>
      <w:bCs/>
      <w:kern w:val="2"/>
      <w:sz w:val="28"/>
      <w:szCs w:val="28"/>
    </w:rPr>
  </w:style>
  <w:style w:type="character" w:customStyle="1" w:styleId="32">
    <w:name w:val="标题 1 字符"/>
    <w:link w:val="3"/>
    <w:qFormat/>
    <w:uiPriority w:val="0"/>
    <w:rPr>
      <w:rFonts w:eastAsia="黑体"/>
      <w:b/>
      <w:bCs/>
      <w:kern w:val="44"/>
      <w:sz w:val="24"/>
      <w:szCs w:val="44"/>
    </w:rPr>
  </w:style>
  <w:style w:type="character" w:customStyle="1" w:styleId="33">
    <w:name w:val="标题 2 字符"/>
    <w:link w:val="4"/>
    <w:qFormat/>
    <w:uiPriority w:val="9"/>
    <w:rPr>
      <w:rFonts w:ascii="Arial" w:hAnsi="Arial" w:eastAsia="黑体"/>
      <w:b/>
      <w:bCs/>
      <w:kern w:val="2"/>
      <w:sz w:val="21"/>
      <w:szCs w:val="32"/>
    </w:rPr>
  </w:style>
  <w:style w:type="character" w:customStyle="1" w:styleId="34">
    <w:name w:val="页眉 字符"/>
    <w:link w:val="16"/>
    <w:qFormat/>
    <w:uiPriority w:val="0"/>
    <w:rPr>
      <w:kern w:val="2"/>
      <w:sz w:val="18"/>
      <w:szCs w:val="18"/>
    </w:rPr>
  </w:style>
  <w:style w:type="character" w:customStyle="1" w:styleId="35">
    <w:name w:val="日期 字符"/>
    <w:link w:val="12"/>
    <w:qFormat/>
    <w:uiPriority w:val="0"/>
    <w:rPr>
      <w:kern w:val="2"/>
      <w:sz w:val="21"/>
      <w:szCs w:val="24"/>
    </w:rPr>
  </w:style>
  <w:style w:type="character" w:customStyle="1" w:styleId="36">
    <w:name w:val="正文文本缩进 字符"/>
    <w:link w:val="11"/>
    <w:qFormat/>
    <w:uiPriority w:val="0"/>
    <w:rPr>
      <w:kern w:val="2"/>
      <w:sz w:val="21"/>
      <w:szCs w:val="21"/>
    </w:rPr>
  </w:style>
  <w:style w:type="paragraph" w:customStyle="1" w:styleId="37">
    <w:name w:val="标题1"/>
    <w:basedOn w:val="3"/>
    <w:qFormat/>
    <w:uiPriority w:val="0"/>
  </w:style>
  <w:style w:type="paragraph" w:customStyle="1" w:styleId="38">
    <w:name w:val="Char Char2"/>
    <w:basedOn w:val="1"/>
    <w:qFormat/>
    <w:uiPriority w:val="0"/>
    <w:pPr>
      <w:spacing w:line="360" w:lineRule="auto"/>
    </w:pPr>
    <w:rPr>
      <w:rFonts w:ascii="宋体" w:hAnsi="宋体"/>
      <w:sz w:val="22"/>
    </w:rPr>
  </w:style>
  <w:style w:type="paragraph" w:customStyle="1" w:styleId="39">
    <w:name w:val="目录 11"/>
    <w:basedOn w:val="1"/>
    <w:next w:val="1"/>
    <w:qFormat/>
    <w:uiPriority w:val="39"/>
    <w:pPr>
      <w:tabs>
        <w:tab w:val="right" w:leader="dot" w:pos="8296"/>
      </w:tabs>
      <w:jc w:val="center"/>
    </w:pPr>
    <w:rPr>
      <w:rFonts w:eastAsia="黑体"/>
      <w:sz w:val="32"/>
      <w:szCs w:val="32"/>
    </w:rPr>
  </w:style>
  <w:style w:type="paragraph" w:customStyle="1" w:styleId="40">
    <w:name w:val="目录 21"/>
    <w:basedOn w:val="1"/>
    <w:next w:val="1"/>
    <w:qFormat/>
    <w:uiPriority w:val="39"/>
    <w:pPr>
      <w:tabs>
        <w:tab w:val="right" w:leader="dot" w:pos="8820"/>
      </w:tabs>
      <w:ind w:left="718" w:leftChars="342"/>
    </w:pPr>
  </w:style>
  <w:style w:type="character" w:customStyle="1" w:styleId="41">
    <w:name w:val="标题1 Char"/>
    <w:qFormat/>
    <w:uiPriority w:val="0"/>
    <w:rPr>
      <w:rFonts w:eastAsia="黑体"/>
      <w:b/>
      <w:bCs/>
      <w:kern w:val="44"/>
      <w:sz w:val="24"/>
      <w:szCs w:val="44"/>
      <w:lang w:val="en-US" w:eastAsia="zh-CN" w:bidi="ar-SA"/>
    </w:rPr>
  </w:style>
  <w:style w:type="character" w:customStyle="1" w:styleId="42">
    <w:name w:val="文档结构图 字符"/>
    <w:link w:val="9"/>
    <w:qFormat/>
    <w:uiPriority w:val="0"/>
    <w:rPr>
      <w:kern w:val="2"/>
      <w:sz w:val="21"/>
      <w:szCs w:val="24"/>
      <w:shd w:val="clear" w:color="auto" w:fill="000080"/>
    </w:rPr>
  </w:style>
  <w:style w:type="character" w:customStyle="1" w:styleId="43">
    <w:name w:val="脚注文本 字符"/>
    <w:link w:val="18"/>
    <w:qFormat/>
    <w:uiPriority w:val="0"/>
    <w:rPr>
      <w:kern w:val="2"/>
      <w:sz w:val="18"/>
      <w:szCs w:val="18"/>
    </w:rPr>
  </w:style>
  <w:style w:type="character" w:customStyle="1" w:styleId="44">
    <w:name w:val="尾注文本 字符"/>
    <w:link w:val="13"/>
    <w:qFormat/>
    <w:uiPriority w:val="0"/>
    <w:rPr>
      <w:kern w:val="2"/>
      <w:sz w:val="21"/>
      <w:szCs w:val="24"/>
    </w:rPr>
  </w:style>
  <w:style w:type="character" w:customStyle="1" w:styleId="45">
    <w:name w:val="批注文字 字符"/>
    <w:link w:val="10"/>
    <w:qFormat/>
    <w:uiPriority w:val="99"/>
    <w:rPr>
      <w:kern w:val="2"/>
      <w:sz w:val="21"/>
      <w:szCs w:val="24"/>
    </w:rPr>
  </w:style>
  <w:style w:type="character" w:customStyle="1" w:styleId="46">
    <w:name w:val="批注主题 字符"/>
    <w:link w:val="21"/>
    <w:qFormat/>
    <w:uiPriority w:val="0"/>
    <w:rPr>
      <w:b/>
      <w:bCs/>
      <w:kern w:val="2"/>
      <w:sz w:val="21"/>
      <w:szCs w:val="24"/>
    </w:rPr>
  </w:style>
  <w:style w:type="paragraph" w:customStyle="1" w:styleId="47">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48">
    <w:name w:val="CM18"/>
    <w:basedOn w:val="47"/>
    <w:next w:val="47"/>
    <w:qFormat/>
    <w:uiPriority w:val="0"/>
    <w:pPr>
      <w:spacing w:after="295"/>
    </w:pPr>
    <w:rPr>
      <w:rFonts w:cs="Times New Roman"/>
      <w:color w:val="auto"/>
    </w:rPr>
  </w:style>
  <w:style w:type="paragraph" w:customStyle="1" w:styleId="49">
    <w:name w:val="CM23"/>
    <w:basedOn w:val="47"/>
    <w:next w:val="47"/>
    <w:qFormat/>
    <w:uiPriority w:val="0"/>
    <w:pPr>
      <w:spacing w:after="375"/>
    </w:pPr>
    <w:rPr>
      <w:rFonts w:cs="Times New Roman"/>
      <w:color w:val="auto"/>
    </w:rPr>
  </w:style>
  <w:style w:type="paragraph" w:customStyle="1" w:styleId="50">
    <w:name w:val="CM25"/>
    <w:basedOn w:val="47"/>
    <w:next w:val="47"/>
    <w:qFormat/>
    <w:uiPriority w:val="0"/>
    <w:pPr>
      <w:spacing w:after="440"/>
    </w:pPr>
    <w:rPr>
      <w:rFonts w:cs="Times New Roman"/>
      <w:color w:val="auto"/>
    </w:rPr>
  </w:style>
  <w:style w:type="paragraph" w:customStyle="1" w:styleId="51">
    <w:name w:val="Char Char Char1 Char"/>
    <w:basedOn w:val="1"/>
    <w:qFormat/>
    <w:uiPriority w:val="0"/>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character" w:customStyle="1" w:styleId="53">
    <w:name w:val="发布"/>
    <w:qFormat/>
    <w:uiPriority w:val="0"/>
    <w:rPr>
      <w:rFonts w:ascii="黑体" w:eastAsia="黑体"/>
      <w:spacing w:val="22"/>
      <w:w w:val="100"/>
      <w:position w:val="3"/>
      <w:sz w:val="28"/>
    </w:rPr>
  </w:style>
  <w:style w:type="paragraph" w:customStyle="1" w:styleId="5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8">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character" w:customStyle="1" w:styleId="60">
    <w:name w:val="段 Char"/>
    <w:link w:val="61"/>
    <w:qFormat/>
    <w:locked/>
    <w:uiPriority w:val="0"/>
    <w:rPr>
      <w:rFonts w:ascii="宋体" w:hAnsi="宋体"/>
      <w:sz w:val="21"/>
      <w:lang w:val="en-US" w:eastAsia="zh-CN" w:bidi="ar-SA"/>
    </w:rPr>
  </w:style>
  <w:style w:type="paragraph" w:customStyle="1" w:styleId="61">
    <w:name w:val="段"/>
    <w:link w:val="60"/>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62">
    <w:name w:val="列出段落1"/>
    <w:basedOn w:val="1"/>
    <w:qFormat/>
    <w:uiPriority w:val="34"/>
    <w:pPr>
      <w:ind w:firstLine="420" w:firstLineChars="200"/>
    </w:pPr>
  </w:style>
  <w:style w:type="paragraph" w:customStyle="1" w:styleId="6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styleId="64">
    <w:name w:val="Placeholder Text"/>
    <w:basedOn w:val="24"/>
    <w:semiHidden/>
    <w:qFormat/>
    <w:uiPriority w:val="99"/>
    <w:rPr>
      <w:color w:val="808080"/>
    </w:rPr>
  </w:style>
  <w:style w:type="character" w:customStyle="1" w:styleId="65">
    <w:name w:val="页脚 字符"/>
    <w:basedOn w:val="24"/>
    <w:link w:val="15"/>
    <w:qFormat/>
    <w:uiPriority w:val="99"/>
    <w:rPr>
      <w:kern w:val="2"/>
      <w:sz w:val="18"/>
      <w:szCs w:val="18"/>
    </w:rPr>
  </w:style>
  <w:style w:type="paragraph" w:customStyle="1" w:styleId="6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7">
    <w:name w:val="标题 3 字符"/>
    <w:basedOn w:val="24"/>
    <w:link w:val="5"/>
    <w:semiHidden/>
    <w:qFormat/>
    <w:uiPriority w:val="0"/>
    <w:rPr>
      <w:b/>
      <w:bCs/>
      <w:kern w:val="2"/>
      <w:sz w:val="32"/>
      <w:szCs w:val="32"/>
    </w:rPr>
  </w:style>
  <w:style w:type="character" w:customStyle="1" w:styleId="68">
    <w:name w:val="标题 5 字符"/>
    <w:basedOn w:val="24"/>
    <w:link w:val="7"/>
    <w:semiHidden/>
    <w:qFormat/>
    <w:uiPriority w:val="0"/>
    <w:rPr>
      <w:b/>
      <w:bCs/>
      <w:kern w:val="2"/>
      <w:sz w:val="28"/>
      <w:szCs w:val="28"/>
    </w:rPr>
  </w:style>
  <w:style w:type="paragraph" w:customStyle="1" w:styleId="69">
    <w:name w:val="样式"/>
    <w:basedOn w:val="1"/>
    <w:next w:val="2"/>
    <w:qFormat/>
    <w:uiPriority w:val="34"/>
    <w:pPr>
      <w:adjustRightInd w:val="0"/>
      <w:snapToGrid w:val="0"/>
      <w:spacing w:line="360" w:lineRule="auto"/>
      <w:ind w:firstLine="420" w:firstLineChars="200"/>
    </w:pPr>
  </w:style>
  <w:style w:type="paragraph" w:customStyle="1" w:styleId="7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30D27-1B5E-49A0-B3DB-B1F23B5B2B76}">
  <ds:schemaRefs/>
</ds:datastoreItem>
</file>

<file path=docProps/app.xml><?xml version="1.0" encoding="utf-8"?>
<Properties xmlns="http://schemas.openxmlformats.org/officeDocument/2006/extended-properties" xmlns:vt="http://schemas.openxmlformats.org/officeDocument/2006/docPropsVTypes">
  <Template>Normal.dotm</Template>
  <Company>soft.netnest.com.cn</Company>
  <Pages>38</Pages>
  <Words>14828</Words>
  <Characters>16422</Characters>
  <Lines>210</Lines>
  <Paragraphs>59</Paragraphs>
  <TotalTime>3</TotalTime>
  <ScaleCrop>false</ScaleCrop>
  <LinksUpToDate>false</LinksUpToDate>
  <CharactersWithSpaces>17088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2024-08-29T14:39:00Z</dcterms:created>
  <dc:creator>软件仓库</dc:creator>
  <cp:lastModifiedBy>sgtyr</cp:lastModifiedBy>
  <cp:lastPrinted>2025-03-25T08:11:00Z</cp:lastPrinted>
  <dcterms:modified xsi:type="dcterms:W3CDTF">2025-10-09T14:54:55Z</dcterms:modified>
  <dc:title>中石化协产行发[2008]号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2B6A63191E7549E6A167B14510DA404E_13</vt:lpwstr>
  </property>
  <property fmtid="{D5CDD505-2E9C-101B-9397-08002B2CF9AE}" pid="4" name="KSOTemplateDocerSaveRecord">
    <vt:lpwstr>eyJoZGlkIjoiZjZmZTdjODU2OGRhNDAzOTFiMGRlOTY5YjA1MjFlM2QiLCJ1c2VySWQiOiIxMjQyMTMxMiJ9</vt:lpwstr>
  </property>
</Properties>
</file>