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8590" w:type="dxa"/>
        <w:jc w:val="center"/>
        <w:tblLayout w:type="fixed"/>
        <w:tblCellMar>
          <w:top w:w="0" w:type="dxa"/>
          <w:left w:w="108" w:type="dxa"/>
          <w:bottom w:w="0" w:type="dxa"/>
          <w:right w:w="108" w:type="dxa"/>
        </w:tblCellMar>
      </w:tblPr>
      <w:tblGrid>
        <w:gridCol w:w="8590"/>
      </w:tblGrid>
      <w:tr w14:paraId="058C7654">
        <w:tblPrEx>
          <w:tblCellMar>
            <w:top w:w="0" w:type="dxa"/>
            <w:left w:w="108" w:type="dxa"/>
            <w:bottom w:w="0" w:type="dxa"/>
            <w:right w:w="108" w:type="dxa"/>
          </w:tblCellMar>
        </w:tblPrEx>
        <w:trPr>
          <w:trHeight w:val="1533" w:hRule="atLeast"/>
          <w:jc w:val="center"/>
        </w:trPr>
        <w:tc>
          <w:tcPr>
            <w:tcW w:w="8590" w:type="dxa"/>
          </w:tcPr>
          <w:p w14:paraId="544BF28B">
            <w:pPr>
              <w:jc w:val="center"/>
              <w:rPr>
                <w:spacing w:val="20"/>
                <w:sz w:val="32"/>
              </w:rPr>
            </w:pPr>
          </w:p>
        </w:tc>
      </w:tr>
      <w:tr w14:paraId="4FA9EA3D">
        <w:tblPrEx>
          <w:tblCellMar>
            <w:top w:w="0" w:type="dxa"/>
            <w:left w:w="108" w:type="dxa"/>
            <w:bottom w:w="0" w:type="dxa"/>
            <w:right w:w="108" w:type="dxa"/>
          </w:tblCellMar>
        </w:tblPrEx>
        <w:trPr>
          <w:trHeight w:val="1421" w:hRule="atLeast"/>
          <w:jc w:val="center"/>
        </w:trPr>
        <w:tc>
          <w:tcPr>
            <w:tcW w:w="8590" w:type="dxa"/>
          </w:tcPr>
          <w:p w14:paraId="6902A47C">
            <w:pPr>
              <w:jc w:val="center"/>
              <w:rPr>
                <w:spacing w:val="20"/>
                <w:sz w:val="32"/>
              </w:rPr>
            </w:pPr>
            <w:r>
              <w:rPr>
                <w:rFonts w:hint="eastAsia" w:ascii="黑体" w:hAnsi="宋体" w:eastAsia="黑体"/>
                <w:sz w:val="48"/>
                <w:szCs w:val="48"/>
              </w:rPr>
              <w:t>回收锡及锡合金原料</w:t>
            </w:r>
          </w:p>
        </w:tc>
      </w:tr>
      <w:tr w14:paraId="6D03930C">
        <w:tblPrEx>
          <w:tblCellMar>
            <w:top w:w="0" w:type="dxa"/>
            <w:left w:w="108" w:type="dxa"/>
            <w:bottom w:w="0" w:type="dxa"/>
            <w:right w:w="108" w:type="dxa"/>
          </w:tblCellMar>
        </w:tblPrEx>
        <w:trPr>
          <w:trHeight w:val="1682" w:hRule="atLeast"/>
          <w:jc w:val="center"/>
        </w:trPr>
        <w:tc>
          <w:tcPr>
            <w:tcW w:w="8590" w:type="dxa"/>
          </w:tcPr>
          <w:p w14:paraId="31549A09">
            <w:pPr>
              <w:jc w:val="center"/>
              <w:rPr>
                <w:rFonts w:ascii="黑体" w:hAnsi="宋体" w:eastAsia="黑体"/>
                <w:sz w:val="52"/>
                <w:szCs w:val="52"/>
              </w:rPr>
            </w:pPr>
            <w:r>
              <w:rPr>
                <w:rFonts w:hint="eastAsia" w:ascii="黑体" w:hAnsi="宋体" w:eastAsia="黑体"/>
                <w:sz w:val="52"/>
                <w:szCs w:val="52"/>
              </w:rPr>
              <w:t>编制说明</w:t>
            </w:r>
          </w:p>
          <w:p w14:paraId="608C5C79">
            <w:pPr>
              <w:jc w:val="center"/>
              <w:rPr>
                <w:rFonts w:ascii="黑体" w:hAnsi="华文中宋" w:eastAsia="黑体"/>
                <w:sz w:val="28"/>
                <w:szCs w:val="28"/>
              </w:rPr>
            </w:pPr>
            <w:r>
              <w:rPr>
                <w:rFonts w:hint="eastAsia" w:ascii="黑体" w:hAnsi="华文中宋" w:eastAsia="黑体"/>
                <w:sz w:val="28"/>
                <w:szCs w:val="28"/>
              </w:rPr>
              <w:t>（预审稿）</w:t>
            </w:r>
          </w:p>
          <w:p w14:paraId="56BCB93B">
            <w:pPr>
              <w:jc w:val="center"/>
              <w:rPr>
                <w:rFonts w:hAnsi="华文中宋" w:eastAsia="华文中宋"/>
                <w:sz w:val="28"/>
                <w:szCs w:val="28"/>
              </w:rPr>
            </w:pPr>
          </w:p>
          <w:p w14:paraId="51E9778B">
            <w:pPr>
              <w:jc w:val="center"/>
              <w:rPr>
                <w:spacing w:val="20"/>
                <w:sz w:val="44"/>
              </w:rPr>
            </w:pPr>
          </w:p>
        </w:tc>
      </w:tr>
      <w:tr w14:paraId="29DDA82C">
        <w:tblPrEx>
          <w:tblCellMar>
            <w:top w:w="0" w:type="dxa"/>
            <w:left w:w="108" w:type="dxa"/>
            <w:bottom w:w="0" w:type="dxa"/>
            <w:right w:w="108" w:type="dxa"/>
          </w:tblCellMar>
        </w:tblPrEx>
        <w:trPr>
          <w:trHeight w:val="6475" w:hRule="atLeast"/>
          <w:jc w:val="center"/>
        </w:trPr>
        <w:tc>
          <w:tcPr>
            <w:tcW w:w="8590" w:type="dxa"/>
          </w:tcPr>
          <w:p w14:paraId="4A38BDC5">
            <w:pPr>
              <w:jc w:val="center"/>
              <w:rPr>
                <w:spacing w:val="20"/>
                <w:sz w:val="28"/>
              </w:rPr>
            </w:pPr>
          </w:p>
          <w:p w14:paraId="536A4B25">
            <w:pPr>
              <w:jc w:val="center"/>
              <w:rPr>
                <w:spacing w:val="20"/>
                <w:sz w:val="28"/>
              </w:rPr>
            </w:pPr>
          </w:p>
          <w:p w14:paraId="7C218321">
            <w:pPr>
              <w:jc w:val="center"/>
              <w:rPr>
                <w:spacing w:val="20"/>
                <w:sz w:val="28"/>
              </w:rPr>
            </w:pPr>
          </w:p>
          <w:p w14:paraId="1BA3555A">
            <w:pPr>
              <w:jc w:val="center"/>
              <w:rPr>
                <w:spacing w:val="20"/>
                <w:sz w:val="28"/>
              </w:rPr>
            </w:pPr>
          </w:p>
          <w:p w14:paraId="7487170E">
            <w:pPr>
              <w:jc w:val="center"/>
              <w:rPr>
                <w:spacing w:val="20"/>
                <w:sz w:val="28"/>
              </w:rPr>
            </w:pPr>
          </w:p>
          <w:p w14:paraId="7EB6F217">
            <w:pPr>
              <w:jc w:val="center"/>
              <w:rPr>
                <w:spacing w:val="20"/>
                <w:sz w:val="28"/>
              </w:rPr>
            </w:pPr>
          </w:p>
          <w:p w14:paraId="1D07A98F">
            <w:pPr>
              <w:rPr>
                <w:spacing w:val="20"/>
                <w:sz w:val="28"/>
              </w:rPr>
            </w:pPr>
          </w:p>
          <w:p w14:paraId="330BB365">
            <w:pPr>
              <w:spacing w:line="360" w:lineRule="auto"/>
              <w:jc w:val="center"/>
              <w:rPr>
                <w:rFonts w:eastAsia="华文中宋"/>
                <w:sz w:val="24"/>
              </w:rPr>
            </w:pPr>
            <w:r>
              <w:rPr>
                <w:rFonts w:hint="eastAsia" w:eastAsia="华文中宋"/>
                <w:sz w:val="24"/>
              </w:rPr>
              <w:t>主编单位:云南锡业股份有限公司锡业分公司</w:t>
            </w:r>
          </w:p>
          <w:p w14:paraId="4F8A7AF5">
            <w:pPr>
              <w:spacing w:line="360" w:lineRule="auto"/>
              <w:jc w:val="center"/>
              <w:rPr>
                <w:rFonts w:eastAsia="华文中宋"/>
                <w:sz w:val="28"/>
                <w:szCs w:val="28"/>
              </w:rPr>
            </w:pPr>
            <w:r>
              <w:rPr>
                <w:rFonts w:hint="eastAsia" w:eastAsia="华文中宋"/>
                <w:sz w:val="24"/>
              </w:rPr>
              <w:t>2025年9月</w:t>
            </w:r>
          </w:p>
        </w:tc>
      </w:tr>
      <w:tr w14:paraId="2F47302B">
        <w:tblPrEx>
          <w:tblCellMar>
            <w:top w:w="0" w:type="dxa"/>
            <w:left w:w="108" w:type="dxa"/>
            <w:bottom w:w="0" w:type="dxa"/>
            <w:right w:w="108" w:type="dxa"/>
          </w:tblCellMar>
        </w:tblPrEx>
        <w:trPr>
          <w:trHeight w:val="571" w:hRule="atLeast"/>
          <w:jc w:val="center"/>
        </w:trPr>
        <w:tc>
          <w:tcPr>
            <w:tcW w:w="8590" w:type="dxa"/>
          </w:tcPr>
          <w:p w14:paraId="07C8B678">
            <w:pPr>
              <w:rPr>
                <w:sz w:val="28"/>
              </w:rPr>
            </w:pPr>
          </w:p>
          <w:p w14:paraId="267BA890">
            <w:pPr>
              <w:rPr>
                <w:sz w:val="28"/>
              </w:rPr>
            </w:pPr>
          </w:p>
        </w:tc>
      </w:tr>
    </w:tbl>
    <w:p w14:paraId="7E7727D6">
      <w:pPr>
        <w:rPr>
          <w:b/>
          <w:bCs/>
          <w:sz w:val="28"/>
          <w:szCs w:val="28"/>
        </w:rPr>
      </w:pPr>
      <w:r>
        <w:rPr>
          <w:b/>
          <w:bCs/>
          <w:sz w:val="28"/>
          <w:szCs w:val="28"/>
        </w:rPr>
        <w:t>一、工作简况</w:t>
      </w:r>
    </w:p>
    <w:p w14:paraId="7DD3943C">
      <w:pPr>
        <w:spacing w:line="240" w:lineRule="atLeast"/>
        <w:ind w:firstLine="422" w:firstLineChars="200"/>
        <w:rPr>
          <w:b/>
          <w:szCs w:val="28"/>
        </w:rPr>
      </w:pPr>
      <w:r>
        <w:rPr>
          <w:rFonts w:hint="eastAsia"/>
          <w:b/>
          <w:szCs w:val="28"/>
        </w:rPr>
        <w:t>一）任务来源</w:t>
      </w:r>
    </w:p>
    <w:p w14:paraId="43AC5ADF">
      <w:pPr>
        <w:spacing w:line="240" w:lineRule="atLeast"/>
        <w:ind w:firstLine="420" w:firstLineChars="200"/>
      </w:pPr>
      <w:bookmarkStart w:id="0" w:name="_Hlk54893225"/>
      <w:r>
        <w:rPr>
          <w:rFonts w:hint="eastAsia"/>
        </w:rPr>
        <w:t>根据《国家标准委关于下达第九批推荐性国家标准计划及相关标准外文版计划的通知》（国标委发[2025]52号）文件要求，国家标准《回收锡及锡合金原料》修订工作（修订GB/T 21180-2007《锡及锡合金废料》）由云南锡业股份有限公司负责，有全国有色金属标准化技术委员会归口，计划号为20255120-T-610，项目周期16个月，项目截止时间为2027年2月。</w:t>
      </w:r>
    </w:p>
    <w:p w14:paraId="54490924">
      <w:pPr>
        <w:ind w:firstLine="420" w:firstLineChars="200"/>
        <w:rPr>
          <w:rFonts w:ascii="黑体" w:hAnsi="黑体" w:eastAsia="黑体" w:cs="黑体"/>
          <w:szCs w:val="21"/>
        </w:rPr>
      </w:pPr>
      <w:r>
        <w:rPr>
          <w:rFonts w:hint="eastAsia" w:ascii="黑体" w:hAnsi="黑体" w:eastAsia="黑体" w:cs="黑体"/>
          <w:szCs w:val="21"/>
        </w:rPr>
        <w:t>二） 制定背景</w:t>
      </w:r>
    </w:p>
    <w:p w14:paraId="58F0F59F">
      <w:pPr>
        <w:ind w:firstLine="420" w:firstLineChars="200"/>
        <w:rPr>
          <w:rFonts w:hint="eastAsia" w:ascii="黑体" w:hAnsi="宋体" w:eastAsia="黑体" w:cs="宋体"/>
          <w:bCs/>
          <w:szCs w:val="21"/>
        </w:rPr>
      </w:pPr>
      <w:r>
        <w:rPr>
          <w:rFonts w:hint="eastAsia" w:ascii="黑体" w:hAnsi="黑体" w:eastAsia="黑体" w:cs="黑体"/>
          <w:szCs w:val="21"/>
        </w:rPr>
        <w:t>2.1</w:t>
      </w:r>
      <w:r>
        <w:rPr>
          <w:rFonts w:hint="eastAsia" w:ascii="黑体" w:hAnsi="宋体" w:eastAsia="黑体" w:cs="宋体"/>
          <w:bCs/>
          <w:szCs w:val="21"/>
        </w:rPr>
        <w:t>目的和意义</w:t>
      </w:r>
    </w:p>
    <w:p w14:paraId="1DF29D16">
      <w:pPr>
        <w:spacing w:line="240" w:lineRule="atLeast"/>
        <w:ind w:firstLine="420" w:firstLineChars="200"/>
        <w:rPr>
          <w:rFonts w:hint="eastAsia"/>
          <w:kern w:val="0"/>
          <w:lang w:val="zh-TW" w:eastAsia="zh-TW" w:bidi="zh-TW"/>
        </w:rPr>
      </w:pPr>
      <w:r>
        <w:rPr>
          <w:rFonts w:hint="eastAsia"/>
          <w:kern w:val="0"/>
          <w:lang w:val="zh-TW" w:eastAsia="zh-TW" w:bidi="zh-TW"/>
        </w:rPr>
        <w:t>锡是全球稀缺资源，据美国地质调查局（USGS）统计，近20年全球锡资源储量不断收缩，2023年储量约为430万吨，同比下降6.5%，为近20年最低位，全球锡产量为30万吨/年，现有锡矿石资源仅够开采、冶炼十余年。锡是重要的战略资源，广泛应用于机械制造、航空航天、电子信息等领域。为了满足锡行业的可持续发展及供需平衡，回收锡及锡合金原料逐渐成为锡冶炼资源的重要方向，回收锡及锡合金原料行业的发展不仅利用锡的二次资源补充世界原生锡矿产资源的不足，又可以节能环保使环境免受污染。</w:t>
      </w:r>
    </w:p>
    <w:p w14:paraId="5431D86D">
      <w:pPr>
        <w:adjustRightInd w:val="0"/>
        <w:snapToGrid w:val="0"/>
        <w:spacing w:line="240" w:lineRule="atLeast"/>
        <w:ind w:firstLine="420" w:firstLineChars="200"/>
        <w:rPr>
          <w:rFonts w:hint="eastAsia"/>
          <w:color w:val="000000"/>
          <w:sz w:val="21"/>
          <w:szCs w:val="21"/>
        </w:rPr>
      </w:pPr>
      <w:r>
        <w:rPr>
          <w:rFonts w:hint="eastAsia"/>
          <w:color w:val="000000"/>
          <w:sz w:val="21"/>
          <w:szCs w:val="21"/>
        </w:rPr>
        <w:t>2021年7月1日，国家发改委印发《</w:t>
      </w:r>
      <w:r>
        <w:rPr>
          <w:rFonts w:hint="eastAsia"/>
          <w:color w:val="000000"/>
          <w:sz w:val="21"/>
          <w:szCs w:val="21"/>
          <w:lang w:eastAsia="zh-CN"/>
        </w:rPr>
        <w:t>“</w:t>
      </w:r>
      <w:r>
        <w:rPr>
          <w:rFonts w:hint="eastAsia"/>
          <w:color w:val="000000"/>
          <w:sz w:val="21"/>
          <w:szCs w:val="21"/>
        </w:rPr>
        <w:t>十四五</w:t>
      </w:r>
      <w:r>
        <w:rPr>
          <w:rFonts w:hint="eastAsia"/>
          <w:color w:val="000000"/>
          <w:sz w:val="21"/>
          <w:szCs w:val="21"/>
          <w:lang w:eastAsia="zh-CN"/>
        </w:rPr>
        <w:t>”</w:t>
      </w:r>
      <w:r>
        <w:rPr>
          <w:rFonts w:hint="eastAsia"/>
          <w:color w:val="000000"/>
          <w:sz w:val="21"/>
          <w:szCs w:val="21"/>
        </w:rPr>
        <w:t>循环经济发展规划》（发改环资﹝2021﹞969号），提出</w:t>
      </w:r>
      <w:r>
        <w:rPr>
          <w:color w:val="000000"/>
          <w:sz w:val="21"/>
          <w:szCs w:val="21"/>
        </w:rPr>
        <w:t>强化再生资源对战略性矿产资源供给保障能力；健全再生原料等标准规范完善循环经济标准体系。</w:t>
      </w:r>
    </w:p>
    <w:p w14:paraId="1DEF21DC">
      <w:pPr>
        <w:adjustRightInd w:val="0"/>
        <w:snapToGrid w:val="0"/>
        <w:spacing w:line="240" w:lineRule="atLeast"/>
        <w:ind w:firstLine="420" w:firstLineChars="200"/>
        <w:rPr>
          <w:color w:val="000000"/>
          <w:sz w:val="21"/>
          <w:szCs w:val="21"/>
        </w:rPr>
      </w:pPr>
      <w:r>
        <w:rPr>
          <w:rFonts w:hint="eastAsia"/>
          <w:color w:val="000000"/>
          <w:sz w:val="21"/>
          <w:szCs w:val="21"/>
        </w:rPr>
        <w:t>2021年10月24日，国务院印发《2030年前碳达峰行动方案》（国发〔2021〕23号），提出</w:t>
      </w:r>
      <w:r>
        <w:rPr>
          <w:color w:val="000000"/>
          <w:sz w:val="21"/>
          <w:szCs w:val="21"/>
        </w:rPr>
        <w:t>推动有色金属行业碳达峰。加快再生有色金属产业发展，完善废弃有色金属资源回收、分选和加工网络，提高再生有色金属产量。</w:t>
      </w:r>
    </w:p>
    <w:p w14:paraId="3AB5F11A">
      <w:pPr>
        <w:adjustRightInd w:val="0"/>
        <w:snapToGrid w:val="0"/>
        <w:spacing w:line="240" w:lineRule="atLeast"/>
        <w:ind w:firstLine="420" w:firstLineChars="200"/>
        <w:rPr>
          <w:color w:val="000000"/>
          <w:sz w:val="21"/>
          <w:szCs w:val="21"/>
        </w:rPr>
      </w:pPr>
      <w:r>
        <w:rPr>
          <w:rFonts w:hint="eastAsia"/>
          <w:color w:val="000000"/>
          <w:sz w:val="21"/>
          <w:szCs w:val="21"/>
        </w:rPr>
        <w:t>2021年12月21日，工业和信息化部、科技部、自然资源部印发</w:t>
      </w:r>
      <w:r>
        <w:rPr>
          <w:color w:val="000000"/>
          <w:sz w:val="21"/>
          <w:szCs w:val="21"/>
        </w:rPr>
        <w:t>《</w:t>
      </w:r>
      <w:r>
        <w:rPr>
          <w:rFonts w:hint="eastAsia"/>
          <w:color w:val="000000"/>
          <w:sz w:val="21"/>
          <w:szCs w:val="21"/>
          <w:lang w:eastAsia="zh-CN"/>
        </w:rPr>
        <w:t>“</w:t>
      </w:r>
      <w:r>
        <w:rPr>
          <w:color w:val="000000"/>
          <w:sz w:val="21"/>
          <w:szCs w:val="21"/>
        </w:rPr>
        <w:t>十四五</w:t>
      </w:r>
      <w:r>
        <w:rPr>
          <w:rFonts w:hint="eastAsia"/>
          <w:color w:val="000000"/>
          <w:sz w:val="21"/>
          <w:szCs w:val="21"/>
          <w:lang w:eastAsia="zh-CN"/>
        </w:rPr>
        <w:t>”“</w:t>
      </w:r>
      <w:r>
        <w:rPr>
          <w:color w:val="000000"/>
          <w:sz w:val="21"/>
          <w:szCs w:val="21"/>
        </w:rPr>
        <w:t>原材料工业发展规划</w:t>
      </w:r>
      <w:r>
        <w:rPr>
          <w:rFonts w:hint="eastAsia"/>
          <w:color w:val="000000"/>
          <w:sz w:val="21"/>
          <w:szCs w:val="21"/>
          <w:lang w:eastAsia="zh-CN"/>
        </w:rPr>
        <w:t>”</w:t>
      </w:r>
      <w:r>
        <w:rPr>
          <w:color w:val="000000"/>
          <w:sz w:val="21"/>
          <w:szCs w:val="21"/>
        </w:rPr>
        <w:t>》（工信部联规〔2021〕212号）</w:t>
      </w:r>
      <w:r>
        <w:rPr>
          <w:rFonts w:hint="eastAsia"/>
          <w:color w:val="000000"/>
          <w:sz w:val="21"/>
          <w:szCs w:val="21"/>
        </w:rPr>
        <w:t>，提出要扩展多元化资源供给渠道，推进优质再生资源进口。</w:t>
      </w:r>
    </w:p>
    <w:p w14:paraId="20213D06">
      <w:pPr>
        <w:adjustRightInd w:val="0"/>
        <w:snapToGrid w:val="0"/>
        <w:spacing w:line="240" w:lineRule="atLeast"/>
        <w:ind w:firstLine="420" w:firstLineChars="200"/>
        <w:rPr>
          <w:rFonts w:hint="eastAsia"/>
          <w:color w:val="000000"/>
          <w:sz w:val="21"/>
          <w:szCs w:val="21"/>
        </w:rPr>
      </w:pPr>
      <w:r>
        <w:rPr>
          <w:rFonts w:hint="eastAsia"/>
          <w:color w:val="000000"/>
          <w:sz w:val="21"/>
          <w:szCs w:val="21"/>
        </w:rPr>
        <w:t>2022年1月27日，工业和信息化部、国家发改委、科学技术部等八部门联合印发《关于加快推动工业资源综合利用的实施方案》（工信部联节〔2022〕9号），提出</w:t>
      </w:r>
      <w:r>
        <w:rPr>
          <w:color w:val="000000"/>
          <w:sz w:val="21"/>
          <w:szCs w:val="21"/>
        </w:rPr>
        <w:t>促进镍、钴、锂等战略性金属废碎料的高效再生利用，提升再生资源高值化利用水平；积极引导符合产品标准的再生原料进口。</w:t>
      </w:r>
    </w:p>
    <w:p w14:paraId="6EE2776B">
      <w:pPr>
        <w:adjustRightInd w:val="0"/>
        <w:snapToGrid w:val="0"/>
        <w:spacing w:line="240" w:lineRule="atLeast"/>
        <w:ind w:firstLine="420" w:firstLineChars="200"/>
        <w:rPr>
          <w:color w:val="000000"/>
          <w:sz w:val="21"/>
          <w:szCs w:val="21"/>
        </w:rPr>
      </w:pPr>
      <w:r>
        <w:rPr>
          <w:rFonts w:hint="eastAsia"/>
          <w:color w:val="000000"/>
          <w:sz w:val="21"/>
          <w:szCs w:val="21"/>
        </w:rPr>
        <w:t>2022年11月10日，工业和信息化部、国家发改委、生态环境部印发《有色金属行业碳达峰实施方案》（工信部联原〔2022〕153号），提出完善再生有色金属原料标准，鼓励企业进口高品质再生资源；到2025年，再生金属供应占比达24%以上。</w:t>
      </w:r>
    </w:p>
    <w:p w14:paraId="2F664DEC">
      <w:pPr>
        <w:adjustRightInd w:val="0"/>
        <w:snapToGrid w:val="0"/>
        <w:spacing w:line="240" w:lineRule="atLeast"/>
        <w:ind w:firstLine="420" w:firstLineChars="200"/>
        <w:rPr>
          <w:color w:val="000000"/>
          <w:sz w:val="21"/>
          <w:szCs w:val="21"/>
        </w:rPr>
      </w:pPr>
      <w:r>
        <w:rPr>
          <w:rFonts w:hint="eastAsia"/>
          <w:color w:val="000000"/>
          <w:sz w:val="21"/>
          <w:szCs w:val="21"/>
        </w:rPr>
        <w:t>2023年8月21日，工业和信息化部、国家发改委、海关总署等七部门联合印发《有色金属行业稳增长工作方案》（工信部联原〔2023〕130号），提出鼓励进口初级产品。完善再生原料标准体系，扩大优质再生原料进口范围和规模。</w:t>
      </w:r>
    </w:p>
    <w:p w14:paraId="513E7BE5">
      <w:pPr>
        <w:adjustRightInd w:val="0"/>
        <w:snapToGrid w:val="0"/>
        <w:spacing w:line="240" w:lineRule="atLeast"/>
        <w:ind w:firstLine="420" w:firstLineChars="200"/>
        <w:rPr>
          <w:rFonts w:hint="eastAsia"/>
          <w:kern w:val="0"/>
          <w:lang w:val="zh-TW" w:eastAsia="zh-TW" w:bidi="zh-TW"/>
        </w:rPr>
      </w:pPr>
      <w:r>
        <w:rPr>
          <w:rFonts w:hint="eastAsia"/>
          <w:color w:val="000000"/>
          <w:sz w:val="21"/>
          <w:szCs w:val="21"/>
        </w:rPr>
        <w:t>2</w:t>
      </w:r>
      <w:r>
        <w:rPr>
          <w:color w:val="000000"/>
          <w:sz w:val="21"/>
          <w:szCs w:val="21"/>
        </w:rPr>
        <w:t>024</w:t>
      </w:r>
      <w:r>
        <w:rPr>
          <w:rFonts w:hint="eastAsia"/>
          <w:color w:val="000000"/>
          <w:sz w:val="21"/>
          <w:szCs w:val="21"/>
        </w:rPr>
        <w:t>年2月6日，《国务院办公厅关于加快构建废弃物循环利用体系的意见》（国办发〔2024〕7号）提出到2030年，再生材料在原材料供给中的占比进一步提升，废弃物循环利用水平总体居于世界前列。</w:t>
      </w:r>
    </w:p>
    <w:p w14:paraId="62E67FC4">
      <w:pPr>
        <w:spacing w:line="240" w:lineRule="atLeast"/>
        <w:ind w:firstLine="420" w:firstLineChars="200"/>
        <w:rPr>
          <w:kern w:val="0"/>
          <w:lang w:val="zh-TW" w:eastAsia="zh-TW" w:bidi="zh-TW"/>
        </w:rPr>
      </w:pPr>
      <w:r>
        <w:rPr>
          <w:rFonts w:hint="eastAsia"/>
          <w:kern w:val="0"/>
          <w:lang w:val="zh-TW" w:eastAsia="zh-TW" w:bidi="zh-TW"/>
        </w:rPr>
        <w:t>我国是锡冶炼生产大国，开供开采的锡矿石存量有限，锡的需求量在持续增加，回收锡及锡合金原料作为冶炼锡的前端原料，据不完全统计在国内市场上具有3～5万吨/年的交易量，约占国内锡生产原料的1/3。回收锡及锡合金原料包括其他金属冶炼企业的副产品以及二次资源回收的环保企业生产的产品，如铅冶炼中的含锡黄渣，铜冶炼企业的含锡烟尘，电镀行业产生的退锡水锡泥，二次资源回收的电子材料废渣、玻璃锡渣、波峰焊锡渣等。由于锡的用途广泛，因此回收锡及锡合金原料中的常见的杂质元素较为复杂，有铜、铁、铅、砷、锑、铋、铟、银、锌、镉、镍、钴</w:t>
      </w:r>
      <w:r>
        <w:rPr>
          <w:rFonts w:hint="eastAsia"/>
          <w:kern w:val="0"/>
          <w:lang w:val="zh-TW" w:eastAsia="zh-CN" w:bidi="zh-TW"/>
        </w:rPr>
        <w:t>、</w:t>
      </w:r>
      <w:r>
        <w:rPr>
          <w:rFonts w:hint="eastAsia"/>
          <w:kern w:val="0"/>
          <w:lang w:val="en-US" w:eastAsia="zh-CN" w:bidi="zh-TW"/>
        </w:rPr>
        <w:t>锗</w:t>
      </w:r>
      <w:r>
        <w:rPr>
          <w:rFonts w:hint="eastAsia"/>
          <w:kern w:val="0"/>
          <w:lang w:val="zh-TW" w:eastAsia="zh-TW" w:bidi="zh-TW"/>
        </w:rPr>
        <w:t>等。</w:t>
      </w:r>
    </w:p>
    <w:p w14:paraId="5FA1E1A2">
      <w:pPr>
        <w:ind w:firstLine="420" w:firstLineChars="200"/>
        <w:rPr>
          <w:rFonts w:hint="eastAsia" w:ascii="黑体" w:hAnsi="黑体" w:eastAsia="黑体" w:cs="黑体"/>
          <w:szCs w:val="21"/>
        </w:rPr>
      </w:pPr>
      <w:r>
        <w:rPr>
          <w:rFonts w:hint="eastAsia" w:ascii="黑体" w:hAnsi="宋体" w:eastAsia="黑体" w:cs="宋体"/>
          <w:bCs/>
          <w:szCs w:val="21"/>
        </w:rPr>
        <w:t>2.2</w:t>
      </w:r>
      <w:r>
        <w:rPr>
          <w:rFonts w:hint="eastAsia" w:ascii="黑体" w:hAnsi="黑体" w:eastAsia="黑体" w:cs="黑体"/>
          <w:szCs w:val="21"/>
        </w:rPr>
        <w:t>项目的必要性简述</w:t>
      </w:r>
    </w:p>
    <w:p w14:paraId="4FE34FD8">
      <w:pPr>
        <w:spacing w:line="240" w:lineRule="atLeast"/>
        <w:ind w:firstLine="420" w:firstLineChars="200"/>
        <w:rPr>
          <w:rFonts w:hint="eastAsia" w:ascii="黑体" w:hAnsi="宋体" w:eastAsia="黑体" w:cs="宋体"/>
          <w:bCs/>
          <w:szCs w:val="21"/>
        </w:rPr>
      </w:pPr>
      <w:r>
        <w:rPr>
          <w:rFonts w:hint="eastAsia"/>
          <w:kern w:val="0"/>
          <w:lang w:val="zh-TW" w:eastAsia="zh-TW" w:bidi="zh-TW"/>
        </w:rPr>
        <w:t>回收锡及锡合金原料的冶炼过程中，杂质元素含量不同，处理的工艺流程也存在较大差异。比如砷、铋、锌、铜、镉等杂质元素含量高，会降低冶炼锡的回收率，导致冶炼渣和烟尘中含锡量偏高；锌元素含量高会引起冶炼锡温度高、能耗高，导致粗锡产品中锌含量偏高，需要增加排锌工艺；部分杂质元素还会加速设备腐蚀。为了生产出合格的粗锡产品，需要准确测量其中的杂质元素含量，优化出合理的冶炼工艺条件。</w:t>
      </w:r>
    </w:p>
    <w:p w14:paraId="169DCD63">
      <w:pPr>
        <w:spacing w:line="240" w:lineRule="atLeast"/>
        <w:ind w:firstLine="420" w:firstLineChars="200"/>
        <w:rPr>
          <w:kern w:val="0"/>
          <w:lang w:val="zh-TW" w:eastAsia="zh-TW" w:bidi="zh-TW"/>
        </w:rPr>
      </w:pPr>
      <w:r>
        <w:rPr>
          <w:rFonts w:hint="eastAsia"/>
          <w:kern w:val="0"/>
          <w:lang w:val="zh-TW" w:eastAsia="zh-TW" w:bidi="zh-TW"/>
        </w:rPr>
        <w:t>在回收锡及锡合金原料的交易过程中，砷、铋、锌、铜、镉元素含量作为扣款依据；铟、银</w:t>
      </w:r>
      <w:r>
        <w:rPr>
          <w:rFonts w:hint="eastAsia"/>
          <w:kern w:val="0"/>
          <w:lang w:val="zh-TW" w:bidi="zh-TW"/>
        </w:rPr>
        <w:t>、</w:t>
      </w:r>
      <w:r>
        <w:rPr>
          <w:rFonts w:hint="eastAsia"/>
          <w:kern w:val="0"/>
          <w:lang w:bidi="zh-TW"/>
        </w:rPr>
        <w:t>锗、锡</w:t>
      </w:r>
      <w:r>
        <w:rPr>
          <w:rFonts w:hint="eastAsia"/>
          <w:kern w:val="0"/>
          <w:lang w:val="zh-TW" w:eastAsia="zh-TW" w:bidi="zh-TW"/>
        </w:rPr>
        <w:t>等稀贵金属含量作为计价依据。由于缺乏回收锡及锡合金原料中杂质元素的分析方法标准，交易双方按照各自的经验检测其中杂质元素含量，检测结果存在较大差异，经常引起交易纠纷，回收锡及锡合金原料的交易量也在逐年增加，急需起草杂质元素的分析方法标准。</w:t>
      </w:r>
    </w:p>
    <w:p w14:paraId="4E138EEC">
      <w:pPr>
        <w:spacing w:line="240" w:lineRule="atLeast"/>
        <w:ind w:firstLine="420" w:firstLineChars="200"/>
        <w:rPr>
          <w:kern w:val="0"/>
          <w:lang w:val="zh-TW" w:eastAsia="zh-TW" w:bidi="zh-TW"/>
        </w:rPr>
      </w:pPr>
      <w:r>
        <w:rPr>
          <w:rFonts w:hint="eastAsia"/>
          <w:kern w:val="0"/>
          <w:lang w:val="zh-TW" w:eastAsia="zh-TW" w:bidi="zh-TW"/>
        </w:rPr>
        <w:t>锡物料中杂质元素含量的测定相关标准如下：</w:t>
      </w:r>
    </w:p>
    <w:p w14:paraId="34FCE970">
      <w:pPr>
        <w:spacing w:line="240" w:lineRule="atLeast"/>
        <w:ind w:firstLine="420" w:firstLineChars="200"/>
        <w:rPr>
          <w:kern w:val="0"/>
          <w:lang w:val="zh-TW" w:eastAsia="zh-TW" w:bidi="zh-TW"/>
        </w:rPr>
      </w:pPr>
      <w:r>
        <w:rPr>
          <w:rFonts w:hint="eastAsia"/>
          <w:kern w:val="0"/>
          <w:lang w:val="zh-TW" w:eastAsia="zh-TW" w:bidi="zh-TW"/>
        </w:rPr>
        <w:t>《GB/T 3260.11-2023  锡化学分析方法 第11部分：铜、铁、铋、铅、锑、砷、铝、锌、镉、银、镍和钴含量的测定 电感耦合等离子体原子发射光谱法》，铋、铅、锑、砷的测定范围为0.0020%～0.050%，铜、铁、铝、锌、镉、银、镍、钴的测定范围为0.0003%～0.050%。</w:t>
      </w:r>
    </w:p>
    <w:p w14:paraId="7CD08558">
      <w:pPr>
        <w:spacing w:line="240" w:lineRule="atLeast"/>
        <w:ind w:firstLine="420" w:firstLineChars="200"/>
        <w:rPr>
          <w:kern w:val="0"/>
          <w:lang w:val="zh-TW" w:eastAsia="zh-TW" w:bidi="zh-TW"/>
        </w:rPr>
      </w:pPr>
      <w:r>
        <w:rPr>
          <w:rFonts w:hint="eastAsia"/>
          <w:kern w:val="0"/>
          <w:lang w:val="zh-TW" w:eastAsia="zh-TW" w:bidi="zh-TW"/>
        </w:rPr>
        <w:t>《YS/T 746.17-2018 无铅锡基焊料化学分析方法 第17部分：银、铜、铅、铋、锑、铁、砷、锌、铝、镉、镍、铟量的测定 电感耦合等离子体原子发射光谱法》。杂质元素测定范围：0.0001%～5.00%。</w:t>
      </w:r>
    </w:p>
    <w:p w14:paraId="102A725E">
      <w:pPr>
        <w:spacing w:line="240" w:lineRule="atLeast"/>
        <w:ind w:firstLine="420" w:firstLineChars="200"/>
        <w:rPr>
          <w:kern w:val="0"/>
          <w:lang w:val="zh-TW" w:eastAsia="zh-TW" w:bidi="zh-TW"/>
        </w:rPr>
      </w:pPr>
      <w:r>
        <w:rPr>
          <w:rFonts w:hint="eastAsia"/>
          <w:kern w:val="0"/>
          <w:lang w:val="zh-TW" w:eastAsia="zh-TW" w:bidi="zh-TW"/>
        </w:rPr>
        <w:t>回收锡及锡合金原料中锡合金渣、锡尘、锡泥等锡含量为1.00%～85.00%，锡合金金属块原料、锡合金屑原料、化工渣等锡物料中锡含量为15.00%～99.50%，其中铜、铁、铅、砷含量为0.05%～10.00%，锑、铋含量为0.05%～5.00%，铟、银含量为0.01%～1.00%，锌、镉、镍、钴含量为0.05%～2.00%。回收锡及锡合金原料组成成分与锡锭、无铅锡基焊料、锡精矿、锡阳极泥、粗锡明显不同，测量范围、干扰消除方式也明显不同，不宜采用修订锡精矿、锡阳极泥、粗锡相关标准的方式进行。</w:t>
      </w:r>
    </w:p>
    <w:p w14:paraId="132E5388">
      <w:pPr>
        <w:spacing w:line="240" w:lineRule="atLeast"/>
        <w:ind w:firstLine="420" w:firstLineChars="200"/>
        <w:rPr>
          <w:kern w:val="0"/>
          <w:lang w:val="zh-TW" w:eastAsia="zh-TW" w:bidi="zh-TW"/>
        </w:rPr>
      </w:pPr>
      <w:r>
        <w:rPr>
          <w:rFonts w:hint="eastAsia"/>
          <w:kern w:val="0"/>
          <w:lang w:val="zh-TW" w:eastAsia="zh-TW" w:bidi="zh-TW"/>
        </w:rPr>
        <w:t>在实际工作中，应用现有锡相关的标准对回收锡及锡合金原料中杂质元素含量进行测定，并与生产与销售相关单位进行沟通交流，标准存在的问题统计如下：</w:t>
      </w:r>
    </w:p>
    <w:p w14:paraId="1826EB99">
      <w:pPr>
        <w:spacing w:line="240" w:lineRule="atLeast"/>
        <w:ind w:firstLine="420" w:firstLineChars="200"/>
        <w:rPr>
          <w:kern w:val="0"/>
          <w:lang w:val="zh-TW" w:eastAsia="zh-TW" w:bidi="zh-TW"/>
        </w:rPr>
      </w:pPr>
      <w:r>
        <w:rPr>
          <w:rFonts w:hint="eastAsia"/>
          <w:kern w:val="0"/>
          <w:lang w:val="zh-TW" w:eastAsia="zh-TW" w:bidi="zh-TW"/>
        </w:rPr>
        <w:t>《GB/T 3260.11-2023  锡化学分析方法 第11部分：铜、铁、铋、铅、锑、砷、铝、锌、镉、银、镍和钴含量的测定 电感耦合等离子体原子发射光谱法》，试料以氢氟酸（或盐酸）和硝酸混酸溶解。由于回收锡及锡合金原料中含有大量的偏锡酸，采用氢氟酸、盐酸、硝酸无法分解完全，导致砷、锑、铋、铟、银等杂质元素测定结果明显偏低。</w:t>
      </w:r>
    </w:p>
    <w:p w14:paraId="6558E46E">
      <w:pPr>
        <w:spacing w:line="240" w:lineRule="atLeast"/>
        <w:ind w:firstLine="420" w:firstLineChars="200"/>
        <w:rPr>
          <w:kern w:val="0"/>
          <w:lang w:val="zh-TW" w:eastAsia="zh-TW" w:bidi="zh-TW"/>
        </w:rPr>
      </w:pPr>
      <w:r>
        <w:rPr>
          <w:rFonts w:hint="eastAsia"/>
          <w:kern w:val="0"/>
          <w:lang w:val="zh-TW" w:eastAsia="zh-TW" w:bidi="zh-TW"/>
        </w:rPr>
        <w:t>《YS/T 746.17-2018 无铅锡基焊料化学分析方法 第17部分：银、铜、铅、铋、锑、铁、砷、锌、铝、镉、镍、铟量的测定 电感耦合等离子体原子发射光谱法》，试料以盐酸和硝酸溶解，由于回收锡及锡合金原料中含有大量的偏锡酸，采用氢氟酸、盐酸、硝酸无法分解完全，导致砷、锑、铋、铟、银等杂质元素测定结果明显偏低。</w:t>
      </w:r>
    </w:p>
    <w:p w14:paraId="5A8620BC">
      <w:pPr>
        <w:spacing w:line="240" w:lineRule="atLeast"/>
        <w:ind w:firstLine="420" w:firstLineChars="200"/>
        <w:rPr>
          <w:rFonts w:hint="eastAsia" w:ascii="黑体" w:hAnsi="黑体" w:eastAsia="黑体" w:cs="黑体"/>
          <w:szCs w:val="21"/>
        </w:rPr>
      </w:pPr>
      <w:r>
        <w:rPr>
          <w:rFonts w:hint="eastAsia"/>
          <w:kern w:val="0"/>
          <w:lang w:val="zh-TW" w:eastAsia="zh-TW" w:bidi="zh-TW"/>
        </w:rPr>
        <w:t>现有其他与锡类似的国家标准、行业标准中采用电感耦合等离子体发射光谱法测定杂质元素，一般采用盐酸、硝酸溶解，由于回收锡及锡合金原料大部分为偏锡酸渣，不溶于盐酸、硝酸，必须采用碱熔才能分解完全，于是现有标准不适应于回收锡及锡合金原料中</w:t>
      </w:r>
      <w:r>
        <w:rPr>
          <w:rFonts w:hint="eastAsia"/>
          <w:kern w:val="0"/>
          <w:lang w:val="en-US" w:eastAsia="zh-CN" w:bidi="zh-TW"/>
        </w:rPr>
        <w:t>多元素</w:t>
      </w:r>
      <w:r>
        <w:rPr>
          <w:rFonts w:hint="eastAsia"/>
          <w:kern w:val="0"/>
          <w:lang w:val="zh-TW" w:eastAsia="zh-TW" w:bidi="zh-TW"/>
        </w:rPr>
        <w:t>铜、铁、铅、砷、锑、铋、铟、银、锌、镉、镍、钴</w:t>
      </w:r>
      <w:r>
        <w:rPr>
          <w:rFonts w:hint="eastAsia"/>
          <w:kern w:val="0"/>
          <w:lang w:val="zh-TW" w:bidi="zh-TW"/>
        </w:rPr>
        <w:t>、</w:t>
      </w:r>
      <w:r>
        <w:rPr>
          <w:rFonts w:hint="eastAsia"/>
          <w:kern w:val="0"/>
          <w:lang w:bidi="zh-TW"/>
        </w:rPr>
        <w:t>锗、锡</w:t>
      </w:r>
      <w:r>
        <w:rPr>
          <w:rFonts w:hint="eastAsia"/>
          <w:kern w:val="0"/>
          <w:lang w:val="zh-TW" w:eastAsia="zh-TW" w:bidi="zh-TW"/>
        </w:rPr>
        <w:t>含量的测定。</w:t>
      </w:r>
    </w:p>
    <w:p w14:paraId="2A393631">
      <w:pPr>
        <w:ind w:firstLine="420" w:firstLineChars="200"/>
        <w:rPr>
          <w:rFonts w:hint="eastAsia" w:ascii="黑体" w:hAnsi="宋体" w:eastAsia="黑体" w:cs="宋体"/>
          <w:bCs/>
          <w:szCs w:val="21"/>
        </w:rPr>
      </w:pPr>
      <w:r>
        <w:rPr>
          <w:rFonts w:ascii="黑体" w:hAnsi="宋体" w:eastAsia="黑体" w:cs="宋体"/>
          <w:bCs/>
          <w:szCs w:val="21"/>
        </w:rPr>
        <w:t>2.3</w:t>
      </w:r>
      <w:r>
        <w:rPr>
          <w:rFonts w:hint="eastAsia" w:ascii="黑体" w:hAnsi="宋体" w:eastAsia="黑体" w:cs="宋体"/>
          <w:bCs/>
          <w:szCs w:val="21"/>
        </w:rPr>
        <w:t>项目的可行性阐述</w:t>
      </w:r>
    </w:p>
    <w:p w14:paraId="7B1780C1">
      <w:pPr>
        <w:adjustRightInd/>
        <w:snapToGrid/>
        <w:spacing w:line="240" w:lineRule="atLeast"/>
        <w:ind w:firstLine="420" w:firstLineChars="200"/>
        <w:jc w:val="left"/>
        <w:rPr>
          <w:rFonts w:hint="default"/>
          <w:kern w:val="0"/>
          <w:sz w:val="21"/>
          <w:lang w:val="en-US" w:eastAsia="zh-TW" w:bidi="zh-TW"/>
        </w:rPr>
      </w:pPr>
      <w:bookmarkStart w:id="1" w:name="OLE_LINK1"/>
      <w:r>
        <w:rPr>
          <w:rFonts w:hint="eastAsia" w:cs="Times New Roman"/>
          <w:kern w:val="0"/>
          <w:sz w:val="21"/>
          <w:lang w:val="en-US" w:eastAsia="zh-CN" w:bidi="zh-TW"/>
        </w:rPr>
        <w:t>公司常年从事</w:t>
      </w:r>
      <w:r>
        <w:rPr>
          <w:rFonts w:hint="eastAsia" w:ascii="Times New Roman" w:hAnsi="Times New Roman" w:eastAsia="宋体"/>
          <w:kern w:val="0"/>
          <w:szCs w:val="24"/>
          <w:lang w:val="zh-TW" w:eastAsia="zh-TW" w:bidi="zh-TW"/>
        </w:rPr>
        <w:t>回收锡及锡合金原料</w:t>
      </w:r>
      <w:r>
        <w:rPr>
          <w:rFonts w:hint="eastAsia" w:ascii="Times New Roman" w:hAnsi="Times New Roman" w:eastAsia="宋体"/>
          <w:kern w:val="0"/>
          <w:szCs w:val="24"/>
          <w:lang w:val="en-US" w:eastAsia="zh-CN" w:bidi="zh-TW"/>
        </w:rPr>
        <w:t>的检测与冶炼</w:t>
      </w:r>
      <w:r>
        <w:rPr>
          <w:rFonts w:hint="eastAsia" w:cs="Times New Roman"/>
          <w:kern w:val="0"/>
          <w:sz w:val="21"/>
          <w:lang w:val="en-US" w:eastAsia="zh-CN" w:bidi="zh-TW"/>
        </w:rPr>
        <w:t>，对于</w:t>
      </w:r>
      <w:r>
        <w:rPr>
          <w:rFonts w:hint="eastAsia" w:ascii="Times New Roman" w:hAnsi="Times New Roman" w:eastAsia="宋体"/>
          <w:kern w:val="0"/>
          <w:szCs w:val="24"/>
          <w:lang w:val="zh-TW" w:eastAsia="zh-TW" w:bidi="zh-TW"/>
        </w:rPr>
        <w:t>回收锡及锡合金原料中锡含量的测定</w:t>
      </w:r>
      <w:r>
        <w:rPr>
          <w:rFonts w:hint="eastAsia"/>
          <w:kern w:val="0"/>
          <w:szCs w:val="24"/>
          <w:lang w:val="zh-TW" w:eastAsia="zh-CN" w:bidi="zh-TW"/>
        </w:rPr>
        <w:t>，</w:t>
      </w:r>
      <w:r>
        <w:rPr>
          <w:rFonts w:hint="eastAsia"/>
          <w:kern w:val="0"/>
          <w:szCs w:val="24"/>
          <w:lang w:val="en-US" w:eastAsia="zh-CN" w:bidi="zh-TW"/>
        </w:rPr>
        <w:t>公司经常采用</w:t>
      </w:r>
      <w:r>
        <w:rPr>
          <w:rFonts w:hint="eastAsia" w:ascii="Times New Roman" w:hAnsi="Times New Roman" w:eastAsia="宋体"/>
          <w:kern w:val="0"/>
          <w:szCs w:val="24"/>
          <w:lang w:val="zh-TW" w:eastAsia="zh-TW" w:bidi="zh-TW"/>
        </w:rPr>
        <w:t>碘酸钾滴定法</w:t>
      </w:r>
      <w:bookmarkEnd w:id="1"/>
      <w:r>
        <w:rPr>
          <w:rFonts w:hint="eastAsia"/>
          <w:kern w:val="0"/>
          <w:szCs w:val="24"/>
          <w:lang w:val="zh-TW" w:eastAsia="zh-CN" w:bidi="zh-TW"/>
        </w:rPr>
        <w:t>、</w:t>
      </w:r>
      <w:r>
        <w:rPr>
          <w:rFonts w:hint="eastAsia"/>
          <w:kern w:val="0"/>
          <w:szCs w:val="24"/>
          <w:lang w:val="en-US" w:eastAsia="zh-CN" w:bidi="zh-TW"/>
        </w:rPr>
        <w:t>硝酸铅滴定法，方法成熟。</w:t>
      </w:r>
      <w:r>
        <w:rPr>
          <w:rFonts w:hint="eastAsia" w:ascii="Times New Roman" w:cs="Times New Roman"/>
          <w:kern w:val="0"/>
          <w:sz w:val="21"/>
          <w:lang w:val="zh-TW" w:eastAsia="zh-TW" w:bidi="zh-TW"/>
        </w:rPr>
        <w:t>公司拥有电感耦合等离子体发射光谱仪2台，及专门的仪器操作人员，近年来开展了电感耦合等离子体发射光谱法中测定回收锡物料中</w:t>
      </w:r>
      <w:r>
        <w:rPr>
          <w:rFonts w:hint="eastAsia" w:cs="Times New Roman"/>
          <w:kern w:val="0"/>
          <w:sz w:val="21"/>
          <w:lang w:val="en-US" w:eastAsia="zh-CN" w:bidi="zh-TW"/>
        </w:rPr>
        <w:t>多</w:t>
      </w:r>
      <w:r>
        <w:rPr>
          <w:rFonts w:hint="eastAsia" w:ascii="Times New Roman" w:cs="Times New Roman"/>
          <w:kern w:val="0"/>
          <w:sz w:val="21"/>
          <w:lang w:val="zh-TW" w:eastAsia="zh-TW" w:bidi="zh-TW"/>
        </w:rPr>
        <w:t>元素的研究</w:t>
      </w:r>
      <w:r>
        <w:rPr>
          <w:rFonts w:hint="eastAsia" w:cs="Times New Roman"/>
          <w:kern w:val="0"/>
          <w:sz w:val="21"/>
          <w:lang w:val="zh-TW" w:eastAsia="zh-CN" w:bidi="zh-TW"/>
        </w:rPr>
        <w:t>，</w:t>
      </w:r>
      <w:r>
        <w:rPr>
          <w:rFonts w:hint="eastAsia" w:cs="Times New Roman"/>
          <w:kern w:val="0"/>
          <w:sz w:val="21"/>
          <w:lang w:val="en-US" w:eastAsia="zh-CN" w:bidi="zh-TW"/>
        </w:rPr>
        <w:t>方法成熟</w:t>
      </w:r>
      <w:r>
        <w:rPr>
          <w:rFonts w:hint="eastAsia" w:ascii="Times New Roman" w:cs="Times New Roman"/>
          <w:kern w:val="0"/>
          <w:sz w:val="21"/>
          <w:lang w:val="zh-TW" w:eastAsia="zh-TW" w:bidi="zh-TW"/>
        </w:rPr>
        <w:t>，</w:t>
      </w:r>
      <w:r>
        <w:rPr>
          <w:rFonts w:hint="eastAsia" w:cs="Times New Roman"/>
          <w:kern w:val="0"/>
          <w:sz w:val="21"/>
          <w:lang w:val="en-US" w:eastAsia="zh-CN" w:bidi="zh-TW"/>
        </w:rPr>
        <w:t>形成了操作规程，并应用于回收锡及锡合金原料的测定，效果满意</w:t>
      </w:r>
      <w:r>
        <w:rPr>
          <w:rFonts w:hint="eastAsia" w:ascii="Times New Roman" w:cs="Times New Roman"/>
          <w:kern w:val="0"/>
          <w:sz w:val="21"/>
          <w:lang w:val="zh-TW" w:eastAsia="zh-TW" w:bidi="zh-TW"/>
        </w:rPr>
        <w:t>。</w:t>
      </w:r>
    </w:p>
    <w:p w14:paraId="6504A3BB">
      <w:pPr>
        <w:pStyle w:val="16"/>
        <w:ind w:firstLine="420" w:firstLineChars="200"/>
        <w:rPr>
          <w:rFonts w:ascii="黑体" w:hAnsi="黑体" w:eastAsia="黑体" w:cs="黑体"/>
          <w:szCs w:val="21"/>
        </w:rPr>
      </w:pPr>
      <w:r>
        <w:rPr>
          <w:rFonts w:hint="eastAsia" w:ascii="黑体" w:hAnsi="黑体" w:eastAsia="黑体" w:cs="黑体"/>
          <w:szCs w:val="21"/>
        </w:rPr>
        <w:t>三）起草过程</w:t>
      </w:r>
    </w:p>
    <w:p w14:paraId="4A812F5D">
      <w:pPr>
        <w:ind w:firstLine="420" w:firstLineChars="200"/>
        <w:rPr>
          <w:rFonts w:hint="eastAsia" w:ascii="黑体" w:hAnsi="宋体" w:eastAsia="黑体" w:cs="宋体"/>
          <w:bCs/>
          <w:kern w:val="2"/>
          <w:szCs w:val="21"/>
          <w:lang w:val="en-US" w:eastAsia="zh-CN"/>
        </w:rPr>
      </w:pPr>
      <w:r>
        <w:rPr>
          <w:rFonts w:ascii="黑体" w:hAnsi="宋体" w:eastAsia="黑体" w:cs="宋体"/>
          <w:bCs/>
          <w:kern w:val="2"/>
          <w:szCs w:val="21"/>
        </w:rPr>
        <w:t xml:space="preserve">3.1 </w:t>
      </w:r>
      <w:r>
        <w:rPr>
          <w:rFonts w:hint="default" w:ascii="黑体" w:hAnsi="宋体" w:eastAsia="黑体" w:cs="宋体"/>
          <w:bCs/>
          <w:kern w:val="2"/>
          <w:sz w:val="21"/>
          <w:szCs w:val="21"/>
        </w:rPr>
        <w:t>主要参加单位</w:t>
      </w:r>
      <w:r>
        <w:rPr>
          <w:rFonts w:hint="eastAsia" w:ascii="黑体" w:hAnsi="宋体" w:eastAsia="黑体" w:cs="宋体"/>
          <w:bCs/>
          <w:kern w:val="2"/>
          <w:sz w:val="21"/>
          <w:szCs w:val="21"/>
          <w:lang w:val="en-US" w:eastAsia="zh-CN"/>
        </w:rPr>
        <w:t>情况</w:t>
      </w:r>
    </w:p>
    <w:bookmarkEnd w:id="0"/>
    <w:p w14:paraId="18DFF1F8">
      <w:pPr>
        <w:spacing w:line="240" w:lineRule="atLeast"/>
        <w:ind w:firstLine="420" w:firstLineChars="200"/>
        <w:rPr>
          <w:rFonts w:hint="eastAsia"/>
        </w:rPr>
      </w:pPr>
    </w:p>
    <w:p w14:paraId="443E5BA3">
      <w:pPr>
        <w:spacing w:line="240" w:lineRule="atLeast"/>
        <w:ind w:firstLine="420" w:firstLineChars="200"/>
        <w:rPr>
          <w:rFonts w:hint="eastAsia" w:ascii="Times New Roman" w:hAnsi="Times New Roman" w:eastAsia="宋体" w:cs="Times New Roman"/>
          <w:sz w:val="21"/>
        </w:rPr>
      </w:pPr>
      <w:r>
        <w:rPr>
          <w:rFonts w:hint="eastAsia"/>
        </w:rPr>
        <w:t>云南锡业股份有限公司锡业分公司</w:t>
      </w:r>
      <w:r>
        <w:rPr>
          <w:rFonts w:hint="eastAsia" w:ascii="Times New Roman" w:hAnsi="Times New Roman" w:eastAsia="宋体" w:cs="Times New Roman"/>
          <w:sz w:val="21"/>
        </w:rPr>
        <w:t>，作为标准的牵头单位，负责组织开展标准的修订工作，包括前期调研、文献查询、框架内容调整、技术分析、样品收集和试验验证等工作，同时积极组织标准的任务落实、讨论、预审、审查等会议，根据专家提出的意见，能够带领编制组成员单位认真细致修改标准文本，对标准的研制过程具有决定性贡献。</w:t>
      </w:r>
    </w:p>
    <w:p w14:paraId="7257BB53">
      <w:pPr>
        <w:spacing w:line="240" w:lineRule="atLeast"/>
        <w:ind w:firstLine="420" w:firstLineChars="200"/>
        <w:rPr>
          <w:rFonts w:hint="eastAsia" w:ascii="Times New Roman" w:hAnsi="Times New Roman" w:eastAsia="宋体" w:cs="Times New Roman"/>
          <w:sz w:val="21"/>
        </w:rPr>
      </w:pPr>
      <w:r>
        <w:rPr>
          <w:rFonts w:hint="eastAsia" w:ascii="Times New Roman" w:hAnsi="Times New Roman" w:eastAsia="宋体" w:cs="Times New Roman"/>
          <w:sz w:val="21"/>
          <w:lang w:val="en-US" w:eastAsia="zh-CN"/>
        </w:rPr>
        <w:t>编制组成员还包括：</w:t>
      </w:r>
      <w:r>
        <w:rPr>
          <w:rFonts w:hint="eastAsia" w:ascii="Times New Roman" w:hAnsi="Times New Roman" w:eastAsia="宋体" w:cs="Times New Roman"/>
          <w:kern w:val="2"/>
          <w:szCs w:val="24"/>
        </w:rPr>
        <w:t>广西华锡集团股份有限公司、云南乘风有色金属股份有限公司、中国有色金属工业标准计量质量研究所</w:t>
      </w:r>
      <w:r>
        <w:rPr>
          <w:rFonts w:hint="eastAsia" w:ascii="Times New Roman" w:hAnsi="Times New Roman" w:eastAsia="宋体" w:cs="Times New Roman"/>
          <w:kern w:val="2"/>
          <w:szCs w:val="24"/>
          <w:lang w:eastAsia="zh-CN"/>
        </w:rPr>
        <w:t>、</w:t>
      </w:r>
      <w:r>
        <w:rPr>
          <w:rFonts w:hint="eastAsia" w:ascii="Times New Roman" w:hAnsi="Times New Roman" w:eastAsia="宋体" w:cs="Times New Roman"/>
          <w:sz w:val="21"/>
          <w:szCs w:val="24"/>
        </w:rPr>
        <w:t>江西铜业集团有限公司</w:t>
      </w:r>
      <w:r>
        <w:rPr>
          <w:rFonts w:hint="eastAsia" w:ascii="Times New Roman" w:hAnsi="Times New Roman" w:eastAsia="宋体" w:cs="Times New Roman"/>
          <w:kern w:val="2"/>
          <w:szCs w:val="24"/>
          <w:lang w:eastAsia="zh-CN"/>
        </w:rPr>
        <w:t>、</w:t>
      </w:r>
      <w:r>
        <w:rPr>
          <w:rFonts w:hint="eastAsia" w:ascii="Times New Roman" w:hAnsi="Times New Roman" w:eastAsia="宋体" w:cs="Times New Roman"/>
          <w:sz w:val="21"/>
          <w:szCs w:val="24"/>
          <w:vertAlign w:val="baseline"/>
          <w:lang w:val="en-US" w:eastAsia="zh-CN"/>
        </w:rPr>
        <w:t>湖南柿竹园有色金属有限责任公司郴州钨制品分公司、</w:t>
      </w:r>
      <w:r>
        <w:rPr>
          <w:rFonts w:hint="eastAsia" w:ascii="Times New Roman" w:hAnsi="Times New Roman" w:eastAsia="宋体" w:cs="Times New Roman"/>
          <w:vertAlign w:val="baseline"/>
        </w:rPr>
        <w:t>深圳市兴鸿泰锡业有限公司</w:t>
      </w:r>
      <w:r>
        <w:rPr>
          <w:rFonts w:hint="eastAsia" w:ascii="Times New Roman" w:hAnsi="Times New Roman" w:eastAsia="宋体" w:cs="Times New Roman"/>
          <w:sz w:val="21"/>
        </w:rPr>
        <w:t>等。</w:t>
      </w:r>
    </w:p>
    <w:p w14:paraId="338219F5">
      <w:pPr>
        <w:ind w:firstLine="420"/>
        <w:rPr>
          <w:rFonts w:hint="default" w:ascii="黑体" w:hAnsi="宋体" w:eastAsia="黑体" w:cs="宋体"/>
          <w:bCs/>
          <w:sz w:val="21"/>
          <w:szCs w:val="21"/>
          <w:lang w:val="en-US" w:eastAsia="zh-CN"/>
        </w:rPr>
      </w:pPr>
      <w:r>
        <w:rPr>
          <w:rFonts w:hint="default" w:ascii="黑体" w:hAnsi="宋体" w:eastAsia="黑体" w:cs="宋体"/>
          <w:bCs/>
          <w:sz w:val="21"/>
          <w:szCs w:val="21"/>
          <w:lang w:val="en-US" w:eastAsia="zh-CN"/>
        </w:rPr>
        <w:t>3.2单位简介</w:t>
      </w:r>
    </w:p>
    <w:p w14:paraId="1B0882B4">
      <w:pPr>
        <w:ind w:firstLine="420"/>
        <w:rPr>
          <w:rFonts w:hint="eastAsia" w:ascii="黑体" w:hAnsi="黑体" w:eastAsia="黑体" w:cs="黑体"/>
          <w:bCs/>
          <w:sz w:val="21"/>
          <w:szCs w:val="21"/>
        </w:rPr>
      </w:pPr>
      <w:r>
        <w:rPr>
          <w:rFonts w:hint="eastAsia" w:ascii="黑体" w:hAnsi="黑体" w:eastAsia="黑体" w:cs="黑体"/>
          <w:bCs/>
          <w:sz w:val="21"/>
          <w:szCs w:val="21"/>
          <w:lang w:val="en-US" w:eastAsia="zh-CN"/>
        </w:rPr>
        <w:t>3.2.1</w:t>
      </w:r>
      <w:r>
        <w:rPr>
          <w:rFonts w:hint="eastAsia" w:ascii="黑体" w:hAnsi="黑体" w:eastAsia="黑体" w:cs="黑体"/>
        </w:rPr>
        <w:t>云南锡业股份有限公司锡业分公司</w:t>
      </w:r>
    </w:p>
    <w:p w14:paraId="5EB49C6B">
      <w:pPr>
        <w:spacing w:line="240" w:lineRule="atLeast"/>
        <w:ind w:firstLine="420" w:firstLineChars="200"/>
      </w:pPr>
      <w:r>
        <w:rPr>
          <w:rFonts w:hint="eastAsia"/>
        </w:rPr>
        <w:t>云南锡业股份有限公司锡业分公司隶属云南锡业集团（控股）</w:t>
      </w:r>
      <w:r>
        <w:fldChar w:fldCharType="begin"/>
      </w:r>
      <w:r>
        <w:instrText xml:space="preserve"> HYPERLINK "https://baike.baidu.com/item/%E6%9C%89%E9%99%90%E8%B4%A3%E4%BB%BB%E5%85%AC%E5%8F%B8" \t "_blank" </w:instrText>
      </w:r>
      <w:r>
        <w:fldChar w:fldCharType="separate"/>
      </w:r>
      <w:r>
        <w:rPr>
          <w:rFonts w:hint="eastAsia"/>
        </w:rPr>
        <w:t>有限责任公司</w:t>
      </w:r>
      <w:r>
        <w:rPr>
          <w:rFonts w:hint="eastAsia"/>
        </w:rPr>
        <w:fldChar w:fldCharType="end"/>
      </w:r>
      <w:r>
        <w:rPr>
          <w:rFonts w:hint="eastAsia"/>
        </w:rPr>
        <w:t>。云锡控股公司是</w:t>
      </w:r>
      <w:r>
        <w:fldChar w:fldCharType="begin"/>
      </w:r>
      <w:r>
        <w:instrText xml:space="preserve"> HYPERLINK "https://baike.baidu.com/item/%E4%BA%91%E5%8D%97%E7%9C%81%E4%BA%BA%E6%B0%91%E6%94%BF%E5%BA%9C%E5%9B%BD%E6%9C%89%E8%B5%84%E4%BA%A7%E7%9B%91%E7%9D%A3%E7%AE%A1%E7%90%86%E5%A7%94%E5%91%98%E4%BC%9A/6065945" \t "_blank" </w:instrText>
      </w:r>
      <w:r>
        <w:fldChar w:fldCharType="separate"/>
      </w:r>
      <w:r>
        <w:t>云南省人民政府国有资产监督管理委员会</w:t>
      </w:r>
      <w:r>
        <w:fldChar w:fldCharType="end"/>
      </w:r>
      <w:r>
        <w:t>直接监管的省属重点国有企业，是世界锡生产企业中产业链最长、最完整的企业，国家520户重点企业之一、云南省重点培育的十大企业集团之一，在世界锡行业中排名第一。经过多年发展，云南锡业集团（控股）</w:t>
      </w:r>
      <w:r>
        <w:fldChar w:fldCharType="begin"/>
      </w:r>
      <w:r>
        <w:instrText xml:space="preserve"> HYPERLINK "https://baike.baidu.com/item/%E6%9C%89%E9%99%90%E8%B4%A3%E4%BB%BB%E5%85%AC%E5%8F%B8" \t "_blank" </w:instrText>
      </w:r>
      <w:r>
        <w:fldChar w:fldCharType="separate"/>
      </w:r>
      <w:r>
        <w:t>有限责任公司</w:t>
      </w:r>
      <w:r>
        <w:fldChar w:fldCharType="end"/>
      </w:r>
      <w:r>
        <w:t>已发展成拥有40多个全资、控股子公司，成为集</w:t>
      </w:r>
      <w:r>
        <w:fldChar w:fldCharType="begin"/>
      </w:r>
      <w:r>
        <w:instrText xml:space="preserve"> HYPERLINK "https://baike.baidu.com/item/%E5%9C%B0%E8%B4%A8%E5%8B%98%E6%8E%A2/1673180" \t "_blank" </w:instrText>
      </w:r>
      <w:r>
        <w:fldChar w:fldCharType="separate"/>
      </w:r>
      <w:r>
        <w:t>地质勘探</w:t>
      </w:r>
      <w:r>
        <w:fldChar w:fldCharType="end"/>
      </w:r>
      <w:r>
        <w:t>、采矿、选矿、冶炼、锡化工、砷化工、锡材深加工、有色金属新材料、机械制造、仓储运输、国际物流、科研设计和产业化开发等为一体的国有特大型有色金属联合企业，成为世界最大的锡生产、加工基地和世界最大的锡化工中心、世界最大的锡材</w:t>
      </w:r>
      <w:r>
        <w:fldChar w:fldCharType="begin"/>
      </w:r>
      <w:r>
        <w:instrText xml:space="preserve"> HYPERLINK "https://baike.baidu.com/item/%E5%8A%A0%E5%B7%A5%E4%B8%AD%E5%BF%83/474705" \t "_blank" </w:instrText>
      </w:r>
      <w:r>
        <w:fldChar w:fldCharType="separate"/>
      </w:r>
      <w:r>
        <w:t>加工中心</w:t>
      </w:r>
      <w:r>
        <w:fldChar w:fldCharType="end"/>
      </w:r>
      <w:r>
        <w:rPr>
          <w:rFonts w:hint="eastAsia"/>
        </w:rPr>
        <w:t>。</w:t>
      </w:r>
    </w:p>
    <w:p w14:paraId="162B5D66">
      <w:pPr>
        <w:spacing w:line="240" w:lineRule="atLeast"/>
        <w:ind w:firstLine="420" w:firstLineChars="200"/>
      </w:pPr>
      <w:r>
        <w:rPr>
          <w:rFonts w:hint="eastAsia"/>
        </w:rPr>
        <w:t>云锡公司拥有世界最长、最完整的锡产业链，是我国最大的锡生产、加工、出口基地，拥有国家认定企业技术中心、国家认可实验室，科技创新实力雄厚，成果丰硕。公司现有年产8万吨锡、10万吨铜、10万吨锌（锌精矿含锌）、2.4万吨锡化工产品、2.9万吨锡材产品的生产能力。主要产品有锡锭、铟锭、阴极铜、锡铅焊料及无铅焊料，锡材、锡基合金、有机锡及无机锡化工产品等14个系列660多个品种。公司是全球最大的锡产品生产商和供应商，2005年以来，公司锡金属产销量连续稳居全球第一，是国家锡产品主要研发和出口基地，产品远销日本、美国、欧洲等50多个国家和地区。</w:t>
      </w:r>
    </w:p>
    <w:p w14:paraId="491B4488">
      <w:pPr>
        <w:spacing w:line="240" w:lineRule="atLeast"/>
        <w:ind w:firstLine="420" w:firstLineChars="200"/>
      </w:pPr>
      <w:r>
        <w:rPr>
          <w:rFonts w:hint="eastAsia"/>
        </w:rPr>
        <w:t>云锡历来高度重视标准化建设，投入大量的人力、物力和财力，发挥世界领先的锡生产技术及研发优势，积极采用国际先进标准，完成了与锡有关的产品标准、分析方法、能源标准、二次原料回收利用等多项国家、行业标准的制、修订工作。2000年以来先后主持或参与制、修订了122个国家标准，36个行业标准，27个标准达到国际先进水平，87个标准达到国内先进水平，有多个标准填补了国内空白。为规范锡行业发展，提高产品质量及调整产业结构，开发新产品促进新的经济增长点，促进锡生产企业推进技术进步，节能减排，综合回收锡资源，提升锡产业竞争力发挥了积极作用。7个标准分别获中国有色金属工业科学技术二等奖、三等奖。</w:t>
      </w:r>
    </w:p>
    <w:p w14:paraId="2FA1DB70">
      <w:pPr>
        <w:spacing w:line="240" w:lineRule="atLeast"/>
        <w:ind w:firstLine="420" w:firstLineChars="200"/>
      </w:pPr>
      <w:r>
        <w:rPr>
          <w:rFonts w:hint="eastAsia"/>
        </w:rPr>
        <w:t>公司技术力量雄厚、质量、环境、安全保证体系齐全、检测设备和仪器齐全。具有各级各类专业技术职称人员3140人，占公司员工总人数的20.28%，其中：高级专业技术职称人员226人，中级专业技术职称人员905人，初级专业技术职称人员2009人。</w:t>
      </w:r>
      <w:r>
        <w:rPr>
          <w:rFonts w:hint="eastAsia"/>
          <w:lang w:val="zh-CN"/>
        </w:rPr>
        <w:t>管理人员</w:t>
      </w:r>
      <w:r>
        <w:rPr>
          <w:rFonts w:hint="eastAsia"/>
        </w:rPr>
        <w:t>2064</w:t>
      </w:r>
      <w:r>
        <w:rPr>
          <w:rFonts w:hint="eastAsia"/>
          <w:lang w:val="zh-CN"/>
        </w:rPr>
        <w:t>人，占公司员工总人数的</w:t>
      </w:r>
      <w:r>
        <w:rPr>
          <w:rFonts w:hint="eastAsia"/>
        </w:rPr>
        <w:t>13</w:t>
      </w:r>
      <w:r>
        <w:rPr>
          <w:rFonts w:hint="eastAsia"/>
          <w:lang w:val="zh-CN"/>
        </w:rPr>
        <w:t>%；研究生以上学历人员</w:t>
      </w:r>
      <w:r>
        <w:rPr>
          <w:rFonts w:hint="eastAsia"/>
        </w:rPr>
        <w:t>95</w:t>
      </w:r>
      <w:r>
        <w:rPr>
          <w:rFonts w:hint="eastAsia"/>
          <w:lang w:val="zh-CN"/>
        </w:rPr>
        <w:t>人，大学本科学历人员</w:t>
      </w:r>
      <w:r>
        <w:rPr>
          <w:rFonts w:hint="eastAsia"/>
        </w:rPr>
        <w:t>2133</w:t>
      </w:r>
      <w:r>
        <w:rPr>
          <w:rFonts w:hint="eastAsia"/>
          <w:lang w:val="zh-CN"/>
        </w:rPr>
        <w:t>人，具有管理、研发、引进、消化和创新技术的能力和实力。公司拥</w:t>
      </w:r>
      <w:r>
        <w:rPr>
          <w:rFonts w:hint="eastAsia"/>
        </w:rPr>
        <w:t>有从事锡金属冶炼，锡及锡合深加工整套成熟工艺，生产经验丰富，产品质量稳定，</w:t>
      </w:r>
      <w:r>
        <w:rPr>
          <w:rFonts w:hint="eastAsia"/>
          <w:lang w:val="de-DE"/>
        </w:rPr>
        <w:t>在长期的标准运用中进行了大量的科研工作，积累了丰富的经验。公司</w:t>
      </w:r>
      <w:r>
        <w:rPr>
          <w:rFonts w:hint="eastAsia"/>
        </w:rPr>
        <w:t>技术力量雄厚、质量保证体系齐全、检测设备和仪器齐全，完全具备主编起草本标准的资格、基础和条件。</w:t>
      </w:r>
    </w:p>
    <w:p w14:paraId="61719B7F">
      <w:pPr>
        <w:spacing w:line="240" w:lineRule="atLeast"/>
        <w:ind w:firstLine="420" w:firstLineChars="200"/>
        <w:rPr>
          <w:rFonts w:hint="eastAsia" w:ascii="黑体" w:hAnsi="黑体" w:eastAsia="黑体" w:cs="黑体"/>
          <w:kern w:val="2"/>
          <w:szCs w:val="24"/>
          <w:lang w:val="en-US" w:eastAsia="zh-CN"/>
        </w:rPr>
      </w:pPr>
      <w:r>
        <w:rPr>
          <w:rFonts w:hint="eastAsia"/>
          <w:lang w:val="zh-CN"/>
        </w:rPr>
        <w:t>下属单位云南锡业股份有限公司锡业分公司已获得CNAS认证，经常参与国家标准、行业标准的制修订及分析方法研究工作，起草了《锡化学分析方法》、《锡铅焊料化学分析方法》、《锡精矿化学分析方法》、《二氧化锡化学分析方法》等国家标准，以及《无铅锡基焊料化学分析方法》、《锡阳极泥化学分析方法》等行业标准。</w:t>
      </w:r>
    </w:p>
    <w:p w14:paraId="6D32C63F">
      <w:pPr>
        <w:spacing w:line="240" w:lineRule="atLeast"/>
        <w:ind w:firstLine="420" w:firstLineChars="200"/>
        <w:rPr>
          <w:rFonts w:hint="eastAsia" w:ascii="黑体" w:hAnsi="黑体" w:eastAsia="黑体" w:cs="黑体"/>
          <w:kern w:val="2"/>
          <w:szCs w:val="24"/>
          <w:lang w:val="en-US" w:eastAsia="zh-CN"/>
        </w:rPr>
      </w:pPr>
      <w:r>
        <w:rPr>
          <w:rFonts w:hint="eastAsia" w:ascii="黑体" w:hAnsi="黑体" w:eastAsia="黑体" w:cs="黑体"/>
          <w:kern w:val="2"/>
          <w:szCs w:val="24"/>
          <w:lang w:val="en-US" w:eastAsia="zh-CN"/>
        </w:rPr>
        <w:t>3.2.2</w:t>
      </w:r>
      <w:r>
        <w:rPr>
          <w:rFonts w:hint="eastAsia" w:ascii="黑体" w:hAnsi="黑体" w:eastAsia="黑体" w:cs="黑体"/>
          <w:kern w:val="2"/>
          <w:szCs w:val="24"/>
        </w:rPr>
        <w:t>广西华锡集团股份有限公司</w:t>
      </w:r>
    </w:p>
    <w:p w14:paraId="080EAF9C">
      <w:pPr>
        <w:spacing w:line="240" w:lineRule="atLeast"/>
        <w:ind w:firstLine="420" w:firstLineChars="200"/>
        <w:rPr>
          <w:rFonts w:hint="eastAsia" w:ascii="黑体" w:hAnsi="黑体" w:eastAsia="黑体" w:cs="黑体"/>
          <w:kern w:val="2"/>
          <w:szCs w:val="21"/>
          <w:lang w:val="en-US" w:eastAsia="zh-CN"/>
        </w:rPr>
      </w:pPr>
      <w:r>
        <w:rPr>
          <w:rFonts w:ascii="宋体" w:hAnsi="宋体" w:eastAsia="宋体" w:cs="宋体"/>
          <w:sz w:val="21"/>
          <w:szCs w:val="21"/>
        </w:rPr>
        <w:t>广西华锡集团股份有限公司是一家具有重要影响力的有色金属矿业企业，公司前身为大厂矿务局，成立于1952年。1994年，被列为全国现代企业制度百家试点企业之一，“中华之锡”（China-tin）品牌正式亮相。2008年，改制为广西华锡集团股份有限公司。2023年，与南宁化工股份有限公司完成重大资产重组，其控股子公司广西华锡有色金属股份有限公司在上海证券交易所上市，股票代码600301。</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广西华锡现由广西壮族自治区人民政府国有资产监督管理委员会直接监管，是广西北部湾国际港务集团有限公司的控股子公司，注册资本15.8亿元，资产规模近百亿元。总部设在广西柳州市。</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广西华锡业务涵盖有色金属勘探、开采、选矿、冶炼、深加工等，拥有完整的 “探矿、采矿、选矿、冶炼、深加工、新材料”全产业链。主要产品为锡、锌、铅锑精矿，并通过委外加工模式生产锡、锌锭，同时涉足工程监理业务。</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广西华锡拥有丰富的矿产资源，已探明和控制的锡、锌、锑、铅、铟、银等矿石量达11.6亿吨，综合金属量超过450万吨。其中，铟储量居世界第一位，锡占广西总量的70%多，约占全国总量的三分之一，锌占广西总量的60%强，居全国第二位。</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广西华锡是亚洲最大的锡多金属矿选矿基地，已形成年采选250万吨矿石、年冶炼2.5万吨锡、60吨铟、4万吨铅、6万吨锌、70吨银的生产能力。</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广西华锡拥有4个国家级科研平台，6个省部级科研平台，国家和行业标准30余项，国家发明专利90余项，拥有国家唯一的铟锡资源高效利用国家工程实验室，多项技术成果在世界同行业处于领先水平。</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广西华锡先后荣获国家科技进步奖15项，省部级科技进步奖70余项。还曾获得“全国资源综合利用先进企业”</w:t>
      </w:r>
      <w:r>
        <w:rPr>
          <w:rFonts w:hint="eastAsia" w:ascii="宋体" w:hAnsi="宋体" w:cs="宋体"/>
          <w:sz w:val="21"/>
          <w:szCs w:val="21"/>
          <w:lang w:eastAsia="zh-CN"/>
        </w:rPr>
        <w:t>、</w:t>
      </w:r>
      <w:r>
        <w:rPr>
          <w:rFonts w:ascii="宋体" w:hAnsi="宋体" w:eastAsia="宋体" w:cs="宋体"/>
          <w:sz w:val="21"/>
          <w:szCs w:val="21"/>
        </w:rPr>
        <w:t>“全国五一劳动奖状”等荣誉称号。</w:t>
      </w:r>
    </w:p>
    <w:p w14:paraId="4231E390">
      <w:pPr>
        <w:spacing w:line="240" w:lineRule="atLeast"/>
        <w:ind w:firstLine="420" w:firstLineChars="200"/>
        <w:rPr>
          <w:rFonts w:hint="eastAsia" w:ascii="黑体" w:hAnsi="黑体" w:eastAsia="黑体" w:cs="黑体"/>
          <w:lang w:val="zh-CN"/>
        </w:rPr>
      </w:pPr>
      <w:r>
        <w:rPr>
          <w:rFonts w:hint="eastAsia" w:ascii="黑体" w:hAnsi="黑体" w:eastAsia="黑体" w:cs="黑体"/>
          <w:kern w:val="2"/>
          <w:szCs w:val="24"/>
          <w:lang w:val="en-US" w:eastAsia="zh-CN"/>
        </w:rPr>
        <w:t>3.2.3</w:t>
      </w:r>
      <w:r>
        <w:rPr>
          <w:rFonts w:hint="eastAsia" w:ascii="黑体" w:hAnsi="黑体" w:eastAsia="黑体" w:cs="黑体"/>
          <w:kern w:val="2"/>
          <w:szCs w:val="24"/>
        </w:rPr>
        <w:t>云南乘风有色金属股份有限公司</w:t>
      </w:r>
    </w:p>
    <w:p w14:paraId="216DE07D">
      <w:pPr>
        <w:spacing w:line="240" w:lineRule="atLeast"/>
        <w:ind w:firstLine="420" w:firstLineChars="200"/>
        <w:rPr>
          <w:rFonts w:hint="eastAsia"/>
          <w:szCs w:val="21"/>
          <w:lang w:val="zh-CN"/>
        </w:rPr>
      </w:pPr>
      <w:r>
        <w:rPr>
          <w:rFonts w:ascii="宋体" w:hAnsi="宋体" w:eastAsia="宋体" w:cs="宋体"/>
          <w:sz w:val="21"/>
          <w:szCs w:val="21"/>
        </w:rPr>
        <w:t>云南乘风有色金属股份有限公司是一家具有一定规模和影响力的有色金属企业，公司始建于1994年，2003年9月22日，正式成立云南乘风有色金属股份有限公司。</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云南乘风位于云南省红河哈尼族彝族自治州个旧市，法定代表人为万希立，注册资本为10357.5万元，实缴资本10357.5万元，企业类型为股份有限公司（非上市、自然人投资或控股），是高新技术企业、专精特新中小企业。</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云南乘风主要从事有色金属及矿产品冶炼、加工、销售，金、银、铟等稀贵金属综合回收、销售，化工原料及产品的销售，货物的进出口及技术进出口。</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具备年产能3万吨的中型锡冶炼企业，多年来精锡产量保持在20000吨以上，市场占有率10%以上。</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云南乘风拥有58项专利，配置完善了炼前处理、还原熔炼、精炼、综合回收、环保治理为一体的生产流程体系，工艺技术先进，设备装备精良。</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云南乘风是中国有色金属工业协会锡业分会理事单位、国际锡业协会（ITA）中国会员。曾荣获红河州政府质量奖、中国有色金属工业科学技术二等奖等荣誉称号。</w:t>
      </w:r>
    </w:p>
    <w:p w14:paraId="5F54499D">
      <w:pPr>
        <w:spacing w:line="240" w:lineRule="atLeast"/>
        <w:ind w:firstLine="420" w:firstLineChars="200"/>
        <w:rPr>
          <w:rFonts w:hint="eastAsia" w:ascii="黑体" w:hAnsi="黑体" w:eastAsia="黑体" w:cs="黑体"/>
          <w:lang w:val="en-US" w:eastAsia="zh-CN"/>
        </w:rPr>
      </w:pPr>
      <w:r>
        <w:rPr>
          <w:rFonts w:hint="eastAsia" w:ascii="黑体" w:hAnsi="黑体" w:eastAsia="黑体" w:cs="黑体"/>
          <w:lang w:val="en-US" w:eastAsia="zh-CN"/>
        </w:rPr>
        <w:t>3.2.4</w:t>
      </w:r>
      <w:r>
        <w:rPr>
          <w:rFonts w:hint="eastAsia" w:ascii="黑体" w:hAnsi="黑体" w:eastAsia="黑体" w:cs="黑体"/>
          <w:kern w:val="2"/>
          <w:szCs w:val="24"/>
        </w:rPr>
        <w:t>中国有色金属工业标准计量质量研究所</w:t>
      </w:r>
    </w:p>
    <w:p w14:paraId="68F5B5E8">
      <w:pPr>
        <w:spacing w:line="240" w:lineRule="atLeast"/>
        <w:ind w:firstLine="420" w:firstLineChars="200"/>
        <w:rPr>
          <w:rFonts w:hint="eastAsia"/>
          <w:lang w:val="zh-CN"/>
        </w:rPr>
      </w:pPr>
      <w:r>
        <w:rPr>
          <w:rFonts w:ascii="宋体" w:hAnsi="宋体" w:eastAsia="宋体" w:cs="宋体"/>
          <w:sz w:val="21"/>
          <w:szCs w:val="21"/>
        </w:rPr>
        <w:t>中国有色金属工业标准计量质量研究所是隶属于有色金属技术经济研究院有限责任公司的非盈利事业单位，是中国有色金属行业专职从事标准、质量、计量等工作的综合性科技服务机构。负责归口管理我国有色金属、稀土及半导体材料国家标准、行业标准、协会标准及国家军用标准的项目计划、制修订和复审工作；承担并组织运行国际标准化组织 ISO/TC26 铜及铜合金、ISO/TC79/SC5 镁及镁合金等五个技术委员会秘书处，开展国际标准化工作；负责有色金属标准样品的鉴定、评审等管理工作；组织制修订有色金属行业计量技术规范，开展检验检测机构资质认定（计量认证）有色评审组相关管理工作；组织开展有色金属行业优秀质量管理小组、质量信得过班组建设、用户满意度测评及全国有色金属产品质量品牌培育活动；以有色金属工业科技查新中心名义，面向全国有色工业系统及相关行业开展科技查新咨询工作</w:t>
      </w:r>
      <w:r>
        <w:rPr>
          <w:rFonts w:hint="eastAsia" w:ascii="宋体" w:hAnsi="宋体" w:cs="宋体"/>
          <w:sz w:val="21"/>
          <w:szCs w:val="21"/>
          <w:lang w:eastAsia="zh-CN"/>
        </w:rPr>
        <w:t>，</w:t>
      </w:r>
      <w:r>
        <w:rPr>
          <w:rFonts w:ascii="宋体" w:hAnsi="宋体" w:eastAsia="宋体" w:cs="宋体"/>
          <w:sz w:val="21"/>
          <w:szCs w:val="21"/>
        </w:rPr>
        <w:t>是全国有色金属标准化技术委员会、全国稀土标准化技术委员会、全国半导体材料设备和材料标准化技术委员会材料分技术委员会、全国标准样品技术委员会有色金属分委员会和有色金属行业计量技术委员会秘书处挂靠单位。</w:t>
      </w:r>
    </w:p>
    <w:p w14:paraId="68E3F7E5">
      <w:pPr>
        <w:spacing w:line="240" w:lineRule="atLeast"/>
        <w:ind w:firstLine="420" w:firstLineChars="200"/>
        <w:rPr>
          <w:rFonts w:hint="eastAsia" w:ascii="黑体" w:hAnsi="黑体" w:eastAsia="黑体" w:cs="黑体"/>
          <w:sz w:val="21"/>
          <w:szCs w:val="24"/>
          <w:lang w:val="en-US" w:eastAsia="zh-CN"/>
        </w:rPr>
      </w:pPr>
      <w:r>
        <w:rPr>
          <w:rFonts w:hint="eastAsia" w:ascii="黑体" w:hAnsi="黑体" w:eastAsia="黑体" w:cs="黑体"/>
          <w:sz w:val="21"/>
          <w:szCs w:val="24"/>
          <w:lang w:val="en-US" w:eastAsia="zh-CN"/>
        </w:rPr>
        <w:t>3.2.5</w:t>
      </w:r>
      <w:r>
        <w:rPr>
          <w:rFonts w:hint="eastAsia" w:ascii="黑体" w:hAnsi="黑体" w:eastAsia="黑体" w:cs="黑体"/>
          <w:sz w:val="21"/>
          <w:szCs w:val="24"/>
        </w:rPr>
        <w:t>江西铜业集团有限公司</w:t>
      </w:r>
    </w:p>
    <w:p w14:paraId="0C8B735A">
      <w:pPr>
        <w:spacing w:line="240" w:lineRule="atLeast"/>
        <w:ind w:firstLine="420" w:firstLineChars="200"/>
        <w:rPr>
          <w:rFonts w:hint="eastAsia"/>
          <w:szCs w:val="21"/>
          <w:lang w:val="zh-CN"/>
        </w:rPr>
      </w:pPr>
      <w:r>
        <w:rPr>
          <w:rFonts w:ascii="宋体" w:hAnsi="宋体" w:eastAsia="宋体" w:cs="宋体"/>
          <w:sz w:val="21"/>
          <w:szCs w:val="21"/>
        </w:rPr>
        <w:t>江西铜业集团有限公司是中国有色金属行业特大型集团公司及全球铜业领军企业。公司成立于1979年6月26日，前身是江西铜基地。1997年，江铜H股在香港和伦敦同时挂牌上市。2002年，江西铜业在上海证券交易所挂牌上市。2008年，公司发行分离交易可转债，实现整体上市。2017年，完成公司制改革，成为国有独资公司。2019年，战略并购恒邦股份，进入双上市平台企业。</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江西铜业</w:t>
      </w:r>
      <w:r>
        <w:rPr>
          <w:rFonts w:hint="eastAsia" w:ascii="宋体" w:hAnsi="宋体" w:cs="宋体"/>
          <w:sz w:val="21"/>
          <w:szCs w:val="21"/>
          <w:lang w:val="en-US" w:eastAsia="zh-CN"/>
        </w:rPr>
        <w:t>公司</w:t>
      </w:r>
      <w:r>
        <w:rPr>
          <w:rFonts w:ascii="宋体" w:hAnsi="宋体" w:eastAsia="宋体" w:cs="宋体"/>
          <w:sz w:val="21"/>
          <w:szCs w:val="21"/>
        </w:rPr>
        <w:t>总部位于江西省贵溪市，是国有独资有限责任公司，实控人为江西省国资委。其旗下江西铜业股份有限公司在沪港伦三地上市，股票代码分别为 600362（上海）、00358（香港）。</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江西铜业全力打造铜、铅锌、稀土、黄金、硫化工、稀散金属、金融、贸易、物流、技术服务十大板块，业务涵盖矿产资源的勘查、开采、冶炼、压延加工、深加工及相关技术，金融、贸易、期货经纪、进出口等。</w:t>
      </w:r>
      <w:r>
        <w:rPr>
          <w:rFonts w:ascii="宋体" w:hAnsi="宋体" w:eastAsia="宋体" w:cs="宋体"/>
          <w:sz w:val="21"/>
          <w:szCs w:val="21"/>
        </w:rPr>
        <w:br w:type="textWrapping"/>
      </w:r>
      <w:r>
        <w:rPr>
          <w:rFonts w:hint="eastAsia" w:ascii="宋体" w:hAnsi="宋体" w:cs="宋体"/>
          <w:sz w:val="21"/>
          <w:szCs w:val="21"/>
          <w:lang w:val="en-US" w:eastAsia="zh-CN"/>
        </w:rPr>
        <w:t xml:space="preserve">    </w:t>
      </w:r>
      <w:r>
        <w:rPr>
          <w:rFonts w:ascii="宋体" w:hAnsi="宋体" w:eastAsia="宋体" w:cs="宋体"/>
          <w:sz w:val="21"/>
          <w:szCs w:val="21"/>
        </w:rPr>
        <w:t>截至2024年末，公司100%所有权保有铜金属量889.91万吨，联合控制权益资源量1312万吨；保有黄金239.08吨，联合控制权益资源量97.26吨；白银8252.6吨等。其主力矿山德兴铜矿是亚洲最大露天铜矿。</w:t>
      </w:r>
      <w:r>
        <w:rPr>
          <w:rFonts w:ascii="宋体" w:hAnsi="宋体" w:eastAsia="宋体" w:cs="宋体"/>
          <w:sz w:val="21"/>
          <w:szCs w:val="21"/>
        </w:rPr>
        <w:br w:type="textWrapping"/>
      </w:r>
      <w:r>
        <w:rPr>
          <w:rFonts w:hint="eastAsia" w:ascii="宋体" w:hAnsi="宋体" w:cs="宋体"/>
          <w:sz w:val="21"/>
          <w:szCs w:val="21"/>
          <w:lang w:val="en-US" w:eastAsia="zh-CN"/>
        </w:rPr>
        <w:t xml:space="preserve">    </w:t>
      </w:r>
      <w:r>
        <w:rPr>
          <w:rFonts w:ascii="宋体" w:hAnsi="宋体" w:eastAsia="宋体" w:cs="宋体"/>
          <w:sz w:val="21"/>
          <w:szCs w:val="21"/>
        </w:rPr>
        <w:t>江西铜业是中国最大的阴极铜生产商，阴极铜产能超200万吨/年。贵溪冶炼厂全球技术领先，铜冶炼综合能耗达国际顶尖水平。2024年生产阴极铜229.19万吨、黄金118.26吨、白银1214.18吨、硫酸604.12万吨、铜加工产品189.28万吨。</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江西铜业连续12年入选《财富》世界500强，2024年排名第157位。中国市场每七吨铜中，就有一吨产自江铜。</w:t>
      </w:r>
      <w:r>
        <w:rPr>
          <w:rFonts w:ascii="宋体" w:hAnsi="宋体" w:eastAsia="宋体" w:cs="宋体"/>
          <w:sz w:val="21"/>
          <w:szCs w:val="21"/>
        </w:rPr>
        <w:br w:type="textWrapping"/>
      </w:r>
      <w:r>
        <w:rPr>
          <w:rFonts w:hint="eastAsia" w:ascii="宋体" w:hAnsi="宋体" w:cs="宋体"/>
          <w:sz w:val="21"/>
          <w:szCs w:val="21"/>
          <w:lang w:val="en-US" w:eastAsia="zh-CN"/>
        </w:rPr>
        <w:t xml:space="preserve">    </w:t>
      </w:r>
      <w:r>
        <w:rPr>
          <w:rFonts w:ascii="宋体" w:hAnsi="宋体" w:eastAsia="宋体" w:cs="宋体"/>
          <w:sz w:val="21"/>
          <w:szCs w:val="21"/>
        </w:rPr>
        <w:t>江西铜业拥有35项专利，闪速炉作业率等指标全球领先。2022年，成功掌握4微米极薄锂电铜箔工业化制造关键技术，成为国内少数能批量生产该产品的铜箔制造商之一。</w:t>
      </w:r>
    </w:p>
    <w:p w14:paraId="27E81E32">
      <w:pPr>
        <w:spacing w:line="240" w:lineRule="atLeast"/>
        <w:ind w:firstLine="420" w:firstLineChars="200"/>
        <w:rPr>
          <w:rFonts w:hint="eastAsia" w:ascii="黑体" w:hAnsi="黑体" w:eastAsia="黑体" w:cs="黑体"/>
          <w:sz w:val="21"/>
          <w:szCs w:val="24"/>
          <w:vertAlign w:val="baseline"/>
          <w:lang w:val="en-US" w:eastAsia="zh-CN"/>
        </w:rPr>
      </w:pPr>
      <w:r>
        <w:rPr>
          <w:rFonts w:hint="eastAsia" w:ascii="黑体" w:hAnsi="黑体" w:eastAsia="黑体" w:cs="黑体"/>
          <w:sz w:val="21"/>
          <w:szCs w:val="24"/>
          <w:lang w:val="en-US" w:eastAsia="zh-CN"/>
        </w:rPr>
        <w:t>3.2.6</w:t>
      </w:r>
      <w:r>
        <w:rPr>
          <w:rFonts w:hint="eastAsia" w:ascii="黑体" w:hAnsi="黑体" w:eastAsia="黑体" w:cs="黑体"/>
          <w:sz w:val="21"/>
          <w:szCs w:val="24"/>
          <w:vertAlign w:val="baseline"/>
          <w:lang w:val="en-US" w:eastAsia="zh-CN"/>
        </w:rPr>
        <w:t>湖南柿竹园有色金属有限责任公司郴州钨制品分公司</w:t>
      </w:r>
    </w:p>
    <w:p w14:paraId="0AEFB777">
      <w:pPr>
        <w:spacing w:line="240" w:lineRule="atLeast"/>
        <w:ind w:firstLine="420" w:firstLineChars="200"/>
        <w:rPr>
          <w:rFonts w:hint="eastAsia" w:ascii="黑体" w:hAnsi="黑体" w:eastAsia="黑体" w:cs="黑体"/>
          <w:sz w:val="21"/>
          <w:szCs w:val="21"/>
          <w:vertAlign w:val="baseline"/>
          <w:lang w:val="en-US" w:eastAsia="zh-CN"/>
        </w:rPr>
      </w:pPr>
      <w:r>
        <w:rPr>
          <w:rFonts w:ascii="宋体" w:hAnsi="宋体" w:eastAsia="宋体" w:cs="宋体"/>
          <w:sz w:val="21"/>
          <w:szCs w:val="21"/>
        </w:rPr>
        <w:t>湖南柿竹园有色金属有限责任公司郴州钨制品分公司是中钨高新的直属企业、中国五矿的重要骨干子企业和重要的钨制品生产、科研、经营基地。公司前身为郴州钻石钨制品有限责任公司，于2001年12月成立，2003年7月1日投产。2020年7月23日，变更为湖南柿竹园有色金属有限责任公司郴州钨制品分公司。</w:t>
      </w:r>
      <w:r>
        <w:rPr>
          <w:rFonts w:ascii="宋体" w:hAnsi="宋体" w:eastAsia="宋体" w:cs="宋体"/>
          <w:sz w:val="21"/>
          <w:szCs w:val="21"/>
        </w:rPr>
        <w:br w:type="textWrapping"/>
      </w:r>
      <w:r>
        <w:rPr>
          <w:rFonts w:hint="eastAsia" w:ascii="宋体" w:hAnsi="宋体" w:cs="宋体"/>
          <w:sz w:val="21"/>
          <w:szCs w:val="21"/>
          <w:lang w:val="en-US" w:eastAsia="zh-CN"/>
        </w:rPr>
        <w:t xml:space="preserve">    公司</w:t>
      </w:r>
      <w:r>
        <w:rPr>
          <w:rFonts w:ascii="宋体" w:hAnsi="宋体" w:eastAsia="宋体" w:cs="宋体"/>
          <w:sz w:val="21"/>
          <w:szCs w:val="21"/>
        </w:rPr>
        <w:t>位于郴州市苏仙区白露塘镇新江路，负责人为申志均，公司人员规模为100-199人，参保人数170人。</w:t>
      </w:r>
      <w:r>
        <w:rPr>
          <w:rFonts w:hint="eastAsia" w:ascii="宋体" w:hAnsi="宋体" w:cs="宋体"/>
          <w:sz w:val="21"/>
          <w:szCs w:val="21"/>
          <w:lang w:val="en-US" w:eastAsia="zh-CN"/>
        </w:rPr>
        <w:t>公司从事</w:t>
      </w:r>
      <w:r>
        <w:rPr>
          <w:rFonts w:ascii="宋体" w:hAnsi="宋体" w:eastAsia="宋体" w:cs="宋体"/>
          <w:sz w:val="21"/>
          <w:szCs w:val="21"/>
        </w:rPr>
        <w:t>有色金属矿的冶炼、加工、销售及相关产品生产、销售。拥有世界一流的“碱分解-酸性萃取”生产工艺，年产仲钨酸铵两万吨。2024年，该公司APT产量突破15000吨，获得湖南省工业制造企业单项冠军。其特种钨基新材料粉末智能生产线一期工程自投产以来，年产能可达到1800吨，三期工程全部建成投产后，高性能的特种钨基新材料粉末产能将达到1万吨/年。</w:t>
      </w:r>
      <w:r>
        <w:rPr>
          <w:rFonts w:ascii="宋体" w:hAnsi="宋体" w:eastAsia="宋体" w:cs="宋体"/>
          <w:sz w:val="21"/>
          <w:szCs w:val="21"/>
        </w:rPr>
        <w:br w:type="textWrapping"/>
      </w:r>
      <w:r>
        <w:rPr>
          <w:rFonts w:hint="eastAsia" w:ascii="宋体" w:hAnsi="宋体" w:cs="宋体"/>
          <w:sz w:val="21"/>
          <w:szCs w:val="21"/>
          <w:lang w:val="en-US" w:eastAsia="zh-CN"/>
        </w:rPr>
        <w:t xml:space="preserve">    </w:t>
      </w:r>
      <w:r>
        <w:rPr>
          <w:rFonts w:ascii="宋体" w:hAnsi="宋体" w:eastAsia="宋体" w:cs="宋体"/>
          <w:sz w:val="21"/>
          <w:szCs w:val="21"/>
        </w:rPr>
        <w:t>公司建有先进的钨制品生产技术实验室、市级企业技术中心、分析测试中心。已通过ISO9001质量管理体系、GB/T28001职业健康安全管理体系和ISO14001环境管理体系等三大体系认证。公司参与完成“国家科技进步一等奖”一项，荣获“湖南省科学技术进步二等奖”2项等，拥有国家发明专利6项，主持修订了7项行业国家标准。</w:t>
      </w:r>
      <w:r>
        <w:rPr>
          <w:rFonts w:ascii="宋体" w:hAnsi="宋体" w:eastAsia="宋体" w:cs="宋体"/>
          <w:sz w:val="21"/>
          <w:szCs w:val="21"/>
        </w:rPr>
        <w:br w:type="textWrapping"/>
      </w:r>
      <w:r>
        <w:rPr>
          <w:rFonts w:hint="eastAsia" w:ascii="宋体" w:hAnsi="宋体" w:cs="宋体"/>
          <w:sz w:val="21"/>
          <w:szCs w:val="21"/>
          <w:lang w:val="en-US" w:eastAsia="zh-CN"/>
        </w:rPr>
        <w:t xml:space="preserve">   公司</w:t>
      </w:r>
      <w:r>
        <w:rPr>
          <w:rFonts w:ascii="宋体" w:hAnsi="宋体" w:eastAsia="宋体" w:cs="宋体"/>
          <w:sz w:val="21"/>
          <w:szCs w:val="21"/>
        </w:rPr>
        <w:t>是全亚洲生产量最大、产品规格品种最全、生产指标最优，本质安全和环保治理水平领先的钨制品生产制造企业，产品主要客户为株洲硬质合金、自贡硬质合金、世泰科、南昌硬质合金、厦门金鹭、山特维克和肯纳等。</w:t>
      </w:r>
    </w:p>
    <w:p w14:paraId="108D4BF8">
      <w:pPr>
        <w:spacing w:line="240" w:lineRule="atLeast"/>
        <w:ind w:firstLine="420" w:firstLineChars="200"/>
        <w:rPr>
          <w:rFonts w:hint="eastAsia" w:ascii="黑体" w:hAnsi="黑体" w:eastAsia="黑体" w:cs="黑体"/>
          <w:lang w:val="en-US"/>
        </w:rPr>
      </w:pPr>
      <w:r>
        <w:rPr>
          <w:rFonts w:hint="eastAsia" w:ascii="黑体" w:hAnsi="黑体" w:eastAsia="黑体" w:cs="黑体"/>
          <w:sz w:val="21"/>
          <w:szCs w:val="24"/>
          <w:lang w:val="en-US" w:eastAsia="zh-CN"/>
        </w:rPr>
        <w:t>3.2.7</w:t>
      </w:r>
      <w:r>
        <w:rPr>
          <w:rFonts w:hint="eastAsia" w:ascii="黑体" w:hAnsi="黑体" w:eastAsia="黑体" w:cs="黑体"/>
          <w:vertAlign w:val="baseline"/>
        </w:rPr>
        <w:t>深圳市兴鸿泰锡业有限公司</w:t>
      </w:r>
    </w:p>
    <w:p w14:paraId="1E832081">
      <w:pPr>
        <w:spacing w:line="240" w:lineRule="atLeast"/>
        <w:ind w:firstLine="420" w:firstLineChars="200"/>
        <w:rPr>
          <w:rFonts w:hint="eastAsia"/>
        </w:rPr>
      </w:pPr>
      <w:r>
        <w:rPr>
          <w:rFonts w:ascii="宋体" w:hAnsi="宋体" w:eastAsia="宋体" w:cs="宋体"/>
          <w:sz w:val="21"/>
          <w:szCs w:val="21"/>
        </w:rPr>
        <w:t>深圳市兴鸿泰锡业有限公司是一家在有色金属焊锡制品领域具有一定影响力的企业，公司成立于2009年4月23日，位于深圳市龙华区龙华街道玉翠社区和平路和平工业园9号1层～3层，法定代表人为邢璧凡，注册资本1500万元，实缴资本1000万元，公司人员规模为100-199人，参保人数146人。</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公司</w:t>
      </w:r>
      <w:r>
        <w:rPr>
          <w:rFonts w:ascii="宋体" w:hAnsi="宋体" w:eastAsia="宋体" w:cs="宋体"/>
          <w:sz w:val="21"/>
          <w:szCs w:val="21"/>
        </w:rPr>
        <w:t>是国家高新技术企业、专精特新中小企业，也是中国电子材料行业电子锡焊料专业十强企业，焊料行业国家标准起草单位，国内首批获得中国电子技术标准研究院“产品合格证书”的企业。</w:t>
      </w:r>
      <w:r>
        <w:rPr>
          <w:rFonts w:ascii="宋体" w:hAnsi="宋体" w:eastAsia="宋体" w:cs="宋体"/>
          <w:sz w:val="21"/>
          <w:szCs w:val="21"/>
        </w:rPr>
        <w:br w:type="textWrapping"/>
      </w:r>
      <w:r>
        <w:rPr>
          <w:rFonts w:hint="eastAsia" w:ascii="宋体" w:hAnsi="宋体" w:cs="宋体"/>
          <w:sz w:val="21"/>
          <w:szCs w:val="21"/>
          <w:lang w:val="en-US" w:eastAsia="zh-CN"/>
        </w:rPr>
        <w:t xml:space="preserve">    公司</w:t>
      </w:r>
      <w:r>
        <w:rPr>
          <w:rFonts w:ascii="宋体" w:hAnsi="宋体" w:eastAsia="宋体" w:cs="宋体"/>
          <w:sz w:val="21"/>
          <w:szCs w:val="21"/>
        </w:rPr>
        <w:t>主要从事焊锡制品的生产与销售，产品包括锡条、锡丝、锡膏、预成型焊片、增材合金等，同时开展国内商业、物资供销业，以及货物及技术进出口业务。</w:t>
      </w:r>
      <w:r>
        <w:rPr>
          <w:rFonts w:ascii="宋体" w:hAnsi="宋体" w:eastAsia="宋体" w:cs="宋体"/>
          <w:sz w:val="21"/>
          <w:szCs w:val="21"/>
        </w:rPr>
        <w:br w:type="textWrapping"/>
      </w:r>
      <w:r>
        <w:rPr>
          <w:rFonts w:hint="eastAsia" w:ascii="宋体" w:hAnsi="宋体" w:cs="宋体"/>
          <w:sz w:val="21"/>
          <w:szCs w:val="21"/>
          <w:lang w:val="en-US" w:eastAsia="zh-CN"/>
        </w:rPr>
        <w:t xml:space="preserve">    </w:t>
      </w:r>
      <w:r>
        <w:rPr>
          <w:rFonts w:ascii="宋体" w:hAnsi="宋体" w:eastAsia="宋体" w:cs="宋体"/>
          <w:sz w:val="21"/>
          <w:szCs w:val="21"/>
        </w:rPr>
        <w:t>公司拥有40多项发明及实用专利，与华南理工大学共建钎焊材料研发中心，建立了硕士工作站及研究生实习基地，还获得了ISO9001质量管理体系、ISO14001环境管理体系等多项国际管理体系认证。</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公司累计为6000多家企业提供优质的产品一站式综合服务，其产品在军工、精密机械、医疗设备、电子电器、汽车等行业广泛应用，在国内焊锡行业具有较高的知名度和市场份额。</w:t>
      </w:r>
      <w:r>
        <w:rPr>
          <w:rFonts w:ascii="宋体" w:hAnsi="宋体" w:eastAsia="宋体" w:cs="宋体"/>
          <w:sz w:val="21"/>
          <w:szCs w:val="21"/>
        </w:rPr>
        <w:br w:type="textWrapping"/>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公司连续6年荣获“焊锡行业国家标准起草单位”，还获得了“广东知名品牌”</w:t>
      </w:r>
      <w:r>
        <w:rPr>
          <w:rFonts w:hint="eastAsia" w:ascii="宋体" w:hAnsi="宋体" w:cs="宋体"/>
          <w:sz w:val="21"/>
          <w:szCs w:val="21"/>
          <w:lang w:eastAsia="zh-CN"/>
        </w:rPr>
        <w:t>、</w:t>
      </w:r>
      <w:r>
        <w:rPr>
          <w:rFonts w:ascii="宋体" w:hAnsi="宋体" w:eastAsia="宋体" w:cs="宋体"/>
          <w:sz w:val="21"/>
          <w:szCs w:val="21"/>
        </w:rPr>
        <w:t>“深圳知名品牌”</w:t>
      </w:r>
      <w:r>
        <w:rPr>
          <w:rFonts w:hint="eastAsia" w:ascii="宋体" w:hAnsi="宋体" w:cs="宋体"/>
          <w:sz w:val="21"/>
          <w:szCs w:val="21"/>
          <w:lang w:eastAsia="zh-CN"/>
        </w:rPr>
        <w:t>、</w:t>
      </w:r>
      <w:r>
        <w:rPr>
          <w:rFonts w:ascii="宋体" w:hAnsi="宋体" w:eastAsia="宋体" w:cs="宋体"/>
          <w:sz w:val="21"/>
          <w:szCs w:val="21"/>
        </w:rPr>
        <w:t>“湾区知名品牌”等荣誉称号。</w:t>
      </w:r>
    </w:p>
    <w:p w14:paraId="71D0D322">
      <w:pPr>
        <w:spacing w:line="360" w:lineRule="auto"/>
        <w:ind w:firstLine="210" w:firstLineChars="100"/>
        <w:jc w:val="center"/>
        <w:rPr>
          <w:rFonts w:eastAsia="黑体"/>
          <w:szCs w:val="22"/>
        </w:rPr>
      </w:pPr>
      <w:r>
        <w:rPr>
          <w:rFonts w:eastAsia="黑体"/>
          <w:szCs w:val="22"/>
        </w:rPr>
        <w:t>表1主要起草及工作职责</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5437"/>
      </w:tblGrid>
      <w:tr w14:paraId="1363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085" w:type="dxa"/>
            <w:noWrap/>
            <w:vAlign w:val="center"/>
          </w:tcPr>
          <w:p w14:paraId="55C1DE62">
            <w:pPr>
              <w:spacing w:line="360" w:lineRule="auto"/>
              <w:jc w:val="center"/>
              <w:rPr>
                <w:color w:val="000000"/>
                <w:sz w:val="18"/>
                <w:szCs w:val="18"/>
              </w:rPr>
            </w:pPr>
            <w:r>
              <w:rPr>
                <w:rFonts w:hint="eastAsia"/>
                <w:color w:val="000000"/>
                <w:sz w:val="18"/>
                <w:szCs w:val="18"/>
              </w:rPr>
              <w:t>起草人</w:t>
            </w:r>
          </w:p>
        </w:tc>
        <w:tc>
          <w:tcPr>
            <w:tcW w:w="5437" w:type="dxa"/>
            <w:noWrap/>
            <w:vAlign w:val="center"/>
          </w:tcPr>
          <w:p w14:paraId="088C6EBE">
            <w:pPr>
              <w:spacing w:line="360" w:lineRule="auto"/>
              <w:jc w:val="center"/>
              <w:rPr>
                <w:color w:val="000000"/>
                <w:sz w:val="18"/>
                <w:szCs w:val="18"/>
              </w:rPr>
            </w:pPr>
            <w:r>
              <w:rPr>
                <w:rFonts w:hint="eastAsia"/>
                <w:color w:val="000000"/>
                <w:sz w:val="18"/>
                <w:szCs w:val="18"/>
              </w:rPr>
              <w:t>工作职责</w:t>
            </w:r>
          </w:p>
        </w:tc>
      </w:tr>
      <w:tr w14:paraId="32E4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noWrap/>
            <w:vAlign w:val="center"/>
          </w:tcPr>
          <w:p w14:paraId="76CF128A">
            <w:pPr>
              <w:jc w:val="left"/>
              <w:rPr>
                <w:sz w:val="18"/>
                <w:szCs w:val="18"/>
              </w:rPr>
            </w:pPr>
          </w:p>
        </w:tc>
        <w:tc>
          <w:tcPr>
            <w:tcW w:w="5437" w:type="dxa"/>
            <w:noWrap/>
            <w:vAlign w:val="center"/>
          </w:tcPr>
          <w:p w14:paraId="7E17FA8F">
            <w:pPr>
              <w:rPr>
                <w:sz w:val="18"/>
                <w:szCs w:val="18"/>
              </w:rPr>
            </w:pPr>
            <w:r>
              <w:rPr>
                <w:rFonts w:hint="eastAsia"/>
                <w:sz w:val="18"/>
                <w:szCs w:val="18"/>
              </w:rPr>
              <w:t>主起草，负责标准的工作指导，协调联系标准编制组成员，负责提出分析标准制订的实验方案、试验报告，负责统一样品的制备与发放，汇总精密度数据，并进行数据处理，在标准完善过程中，调动编制组成员单位收集样品各项数据，组织进行验证试验，带领编制组成员单位认真细致修改标准文本及编制说明，并进行广泛的意见征集，负责在标准预审会、审定会上进行项目介绍与答辩，最终形成报批稿。</w:t>
            </w:r>
          </w:p>
        </w:tc>
      </w:tr>
      <w:tr w14:paraId="1C5D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noWrap/>
            <w:vAlign w:val="center"/>
          </w:tcPr>
          <w:p w14:paraId="24729480">
            <w:pPr>
              <w:rPr>
                <w:sz w:val="18"/>
                <w:szCs w:val="18"/>
              </w:rPr>
            </w:pPr>
          </w:p>
        </w:tc>
        <w:tc>
          <w:tcPr>
            <w:tcW w:w="5437" w:type="dxa"/>
            <w:noWrap/>
            <w:vAlign w:val="center"/>
          </w:tcPr>
          <w:p w14:paraId="7F1D5654">
            <w:pPr>
              <w:rPr>
                <w:sz w:val="18"/>
                <w:szCs w:val="18"/>
              </w:rPr>
            </w:pPr>
            <w:r>
              <w:rPr>
                <w:rFonts w:hint="eastAsia" w:ascii="宋体" w:hAnsi="宋体" w:cs="宋体"/>
                <w:color w:val="000000"/>
                <w:kern w:val="0"/>
                <w:sz w:val="18"/>
                <w:szCs w:val="18"/>
              </w:rPr>
              <w:t>负责方法的一验工作，对主起草单位试验报告中的条件试验进行验证，并完成回收率、精密度数据。</w:t>
            </w:r>
          </w:p>
        </w:tc>
      </w:tr>
      <w:tr w14:paraId="45C9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3085" w:type="dxa"/>
            <w:noWrap/>
            <w:vAlign w:val="center"/>
          </w:tcPr>
          <w:p w14:paraId="1EF8B324">
            <w:pPr>
              <w:rPr>
                <w:sz w:val="18"/>
                <w:szCs w:val="18"/>
              </w:rPr>
            </w:pPr>
          </w:p>
        </w:tc>
        <w:tc>
          <w:tcPr>
            <w:tcW w:w="5437" w:type="dxa"/>
            <w:noWrap/>
            <w:vAlign w:val="center"/>
          </w:tcPr>
          <w:p w14:paraId="427572A2">
            <w:pPr>
              <w:rPr>
                <w:sz w:val="18"/>
                <w:szCs w:val="18"/>
              </w:rPr>
            </w:pPr>
            <w:r>
              <w:rPr>
                <w:rFonts w:hint="eastAsia" w:ascii="宋体" w:hAnsi="宋体" w:cs="宋体"/>
                <w:color w:val="000000"/>
                <w:kern w:val="0"/>
                <w:sz w:val="18"/>
                <w:szCs w:val="18"/>
              </w:rPr>
              <w:t>负责二验，提供精密度数据。</w:t>
            </w:r>
          </w:p>
        </w:tc>
      </w:tr>
    </w:tbl>
    <w:p w14:paraId="60598890">
      <w:pPr>
        <w:spacing w:line="240" w:lineRule="atLeast"/>
        <w:rPr>
          <w:rFonts w:asciiTheme="minorEastAsia" w:hAnsiTheme="minorEastAsia"/>
          <w:szCs w:val="21"/>
        </w:rPr>
      </w:pPr>
    </w:p>
    <w:p w14:paraId="39FD66A1">
      <w:pPr>
        <w:spacing w:line="240" w:lineRule="atLeast"/>
        <w:ind w:firstLine="422" w:firstLineChars="200"/>
        <w:rPr>
          <w:b/>
          <w:szCs w:val="28"/>
        </w:rPr>
      </w:pPr>
      <w:r>
        <w:rPr>
          <w:rFonts w:hint="eastAsia"/>
          <w:b/>
          <w:szCs w:val="28"/>
        </w:rPr>
        <w:t>3.2主要工作过程</w:t>
      </w:r>
    </w:p>
    <w:p w14:paraId="6DAC072E">
      <w:pPr>
        <w:spacing w:line="240" w:lineRule="atLeast"/>
        <w:ind w:firstLine="420" w:firstLineChars="200"/>
      </w:pPr>
      <w:r>
        <w:rPr>
          <w:rFonts w:hint="eastAsia"/>
        </w:rPr>
        <w:t>云南锡业股份有限公司锡业分公司</w:t>
      </w:r>
      <w:r>
        <w:rPr>
          <w:rFonts w:hint="eastAsia" w:ascii="宋体" w:hAnsi="宋体"/>
        </w:rPr>
        <w:t>在接到标准制定任务后，成立了标准编制组，并召开了标准项目编制启动会议，对标准编写工作进行了部署和分工，主要工作过程经历了以下几个阶段。</w:t>
      </w:r>
    </w:p>
    <w:p w14:paraId="3E8282E2">
      <w:pPr>
        <w:spacing w:line="240" w:lineRule="atLeast"/>
        <w:ind w:firstLine="422" w:firstLineChars="200"/>
        <w:rPr>
          <w:rFonts w:hint="eastAsia"/>
          <w:b/>
        </w:rPr>
      </w:pPr>
      <w:r>
        <w:rPr>
          <w:rFonts w:hint="eastAsia"/>
          <w:b/>
        </w:rPr>
        <w:t>3.2.1立项阶段</w:t>
      </w:r>
    </w:p>
    <w:p w14:paraId="67172ABF">
      <w:pPr>
        <w:pStyle w:val="2"/>
        <w:ind w:firstLine="420" w:firstLineChars="200"/>
        <w:rPr>
          <w:rFonts w:hint="eastAsia"/>
          <w:b/>
        </w:rPr>
      </w:pPr>
      <w:r>
        <w:rPr>
          <w:rFonts w:hint="eastAsia" w:ascii="Times New Roman" w:hAnsi="Times New Roman"/>
          <w:b w:val="0"/>
          <w:bCs w:val="0"/>
          <w:kern w:val="2"/>
          <w:sz w:val="21"/>
          <w:szCs w:val="24"/>
          <w:lang w:val="en-US" w:eastAsia="zh-CN"/>
        </w:rPr>
        <w:t>2023年10月向全国有色金属标准化技术委员会提交了项目建议书和项目申报书。</w:t>
      </w:r>
    </w:p>
    <w:p w14:paraId="2D1A5E4B">
      <w:pPr>
        <w:spacing w:line="240" w:lineRule="atLeast"/>
        <w:ind w:firstLine="422" w:firstLineChars="200"/>
        <w:rPr>
          <w:rFonts w:hint="eastAsia"/>
          <w:b/>
        </w:rPr>
      </w:pPr>
      <w:r>
        <w:rPr>
          <w:rFonts w:hint="eastAsia"/>
          <w:b/>
        </w:rPr>
        <w:t>3.2.2起草阶段</w:t>
      </w:r>
    </w:p>
    <w:p w14:paraId="7A762E7A">
      <w:pPr>
        <w:pStyle w:val="2"/>
        <w:ind w:firstLine="420" w:firstLineChars="200"/>
        <w:rPr>
          <w:rFonts w:hint="default" w:ascii="Times New Roman" w:hAnsi="Times New Roman" w:eastAsia="宋体"/>
          <w:b w:val="0"/>
          <w:bCs w:val="0"/>
          <w:kern w:val="2"/>
          <w:sz w:val="21"/>
          <w:szCs w:val="24"/>
          <w:lang w:val="en-US" w:eastAsia="zh-CN"/>
        </w:rPr>
      </w:pPr>
      <w:r>
        <w:rPr>
          <w:rFonts w:hint="eastAsia" w:ascii="Times New Roman" w:hAnsi="Times New Roman"/>
          <w:b w:val="0"/>
          <w:bCs w:val="0"/>
          <w:kern w:val="2"/>
          <w:sz w:val="21"/>
          <w:szCs w:val="24"/>
          <w:lang w:val="en-US" w:eastAsia="zh-CN"/>
        </w:rPr>
        <w:t>2023年11月，我司采用现场调研、电话联系、电子邮件等方式，向锡行业上下游相关企业收集较为常见的回收锡及锡合金物料的工艺情况，于2024年2月形成标准草案。</w:t>
      </w:r>
    </w:p>
    <w:p w14:paraId="4EEACC1D">
      <w:pPr>
        <w:spacing w:line="240" w:lineRule="atLeast"/>
        <w:ind w:firstLine="422" w:firstLineChars="200"/>
        <w:rPr>
          <w:rFonts w:hint="eastAsia"/>
          <w:b/>
        </w:rPr>
      </w:pPr>
      <w:r>
        <w:rPr>
          <w:rFonts w:hint="eastAsia"/>
          <w:b/>
        </w:rPr>
        <w:t>3.2.3征求意见阶段</w:t>
      </w:r>
    </w:p>
    <w:p w14:paraId="511AD320">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2024年有色标委会发布了关于开展国家标准《回收锡及锡合金原料》修订数据调研函，我公司与行业内共22个单位联系并</w:t>
      </w:r>
      <w:r>
        <w:rPr>
          <w:rFonts w:hint="eastAsia" w:ascii="宋体" w:hAnsi="宋体" w:eastAsia="宋体" w:cs="宋体"/>
          <w:sz w:val="21"/>
          <w:szCs w:val="21"/>
        </w:rPr>
        <w:t>发送征求意见稿</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截止到2024年4月30日</w:t>
      </w:r>
      <w:r>
        <w:rPr>
          <w:rFonts w:hint="eastAsia" w:ascii="宋体" w:hAnsi="宋体" w:eastAsia="宋体" w:cs="宋体"/>
          <w:sz w:val="21"/>
          <w:szCs w:val="21"/>
        </w:rPr>
        <w:t xml:space="preserve">收到征求意见稿后,回函的单位数: </w:t>
      </w:r>
      <w:r>
        <w:rPr>
          <w:rFonts w:hint="eastAsia" w:ascii="宋体" w:hAnsi="宋体" w:eastAsia="宋体" w:cs="宋体"/>
          <w:sz w:val="21"/>
          <w:szCs w:val="21"/>
          <w:lang w:val="en-US" w:eastAsia="zh-CN"/>
        </w:rPr>
        <w:t>6</w:t>
      </w:r>
      <w:r>
        <w:rPr>
          <w:rFonts w:hint="eastAsia" w:ascii="宋体" w:hAnsi="宋体" w:eastAsia="宋体" w:cs="宋体"/>
          <w:sz w:val="21"/>
          <w:szCs w:val="21"/>
        </w:rPr>
        <w:t>个</w:t>
      </w:r>
      <w:r>
        <w:rPr>
          <w:rFonts w:hint="eastAsia" w:ascii="宋体" w:hAnsi="宋体" w:eastAsia="宋体" w:cs="宋体"/>
          <w:sz w:val="21"/>
          <w:szCs w:val="21"/>
          <w:lang w:eastAsia="zh-CN"/>
        </w:rPr>
        <w:t>，</w:t>
      </w:r>
      <w:r>
        <w:rPr>
          <w:rFonts w:hint="eastAsia" w:ascii="宋体" w:hAnsi="宋体" w:eastAsia="宋体" w:cs="宋体"/>
          <w:sz w:val="21"/>
          <w:szCs w:val="21"/>
        </w:rPr>
        <w:t xml:space="preserve">收到征求意见稿后,回函并有建议或意见的单位数: </w:t>
      </w:r>
      <w:r>
        <w:rPr>
          <w:rFonts w:hint="eastAsia" w:ascii="宋体" w:hAnsi="宋体" w:eastAsia="宋体" w:cs="宋体"/>
          <w:sz w:val="21"/>
          <w:szCs w:val="21"/>
          <w:lang w:val="en-US" w:eastAsia="zh-CN"/>
        </w:rPr>
        <w:t>3</w:t>
      </w:r>
      <w:r>
        <w:rPr>
          <w:rFonts w:hint="eastAsia" w:ascii="宋体" w:hAnsi="宋体" w:eastAsia="宋体" w:cs="宋体"/>
          <w:sz w:val="21"/>
          <w:szCs w:val="21"/>
        </w:rPr>
        <w:t>个</w:t>
      </w:r>
      <w:r>
        <w:rPr>
          <w:rFonts w:hint="eastAsia" w:ascii="宋体" w:hAnsi="宋体" w:eastAsia="宋体" w:cs="宋体"/>
          <w:sz w:val="21"/>
          <w:szCs w:val="21"/>
          <w:lang w:eastAsia="zh-CN"/>
        </w:rPr>
        <w:t>，</w:t>
      </w:r>
      <w:r>
        <w:rPr>
          <w:rFonts w:hint="eastAsia" w:ascii="宋体" w:hAnsi="宋体" w:eastAsia="宋体" w:cs="宋体"/>
          <w:sz w:val="21"/>
          <w:szCs w:val="21"/>
        </w:rPr>
        <w:t>没有回函的单位数:</w:t>
      </w:r>
      <w:r>
        <w:rPr>
          <w:rFonts w:hint="eastAsia" w:ascii="宋体" w:hAnsi="宋体" w:eastAsia="宋体" w:cs="宋体"/>
          <w:sz w:val="21"/>
          <w:szCs w:val="21"/>
          <w:lang w:val="en-US" w:eastAsia="zh-CN"/>
        </w:rPr>
        <w:t>16</w:t>
      </w:r>
      <w:r>
        <w:rPr>
          <w:rFonts w:hint="eastAsia" w:ascii="宋体" w:hAnsi="宋体" w:eastAsia="宋体" w:cs="宋体"/>
          <w:sz w:val="21"/>
          <w:szCs w:val="21"/>
        </w:rPr>
        <w:t>个</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意见采纳情况如下：</w:t>
      </w:r>
    </w:p>
    <w:p w14:paraId="60303538">
      <w:pPr>
        <w:spacing w:before="0" w:beforeLines="-2147483648" w:after="0" w:afterLines="-2147483648" w:line="360" w:lineRule="auto"/>
        <w:ind w:firstLine="210" w:firstLineChars="100"/>
        <w:jc w:val="center"/>
        <w:rPr>
          <w:rFonts w:ascii="Times New Roman" w:hAnsi="Times New Roman" w:eastAsia="黑体" w:cs="Times New Roman"/>
          <w:b w:val="0"/>
          <w:sz w:val="21"/>
          <w:szCs w:val="22"/>
        </w:rPr>
      </w:pPr>
      <w:r>
        <w:rPr>
          <w:rFonts w:hint="eastAsia" w:ascii="Times New Roman" w:hAnsi="Times New Roman" w:eastAsia="黑体" w:cs="Times New Roman"/>
          <w:b w:val="0"/>
          <w:sz w:val="21"/>
          <w:szCs w:val="22"/>
          <w:lang w:val="en-US" w:eastAsia="zh-CN"/>
        </w:rPr>
        <w:t>表2 征求意见</w:t>
      </w:r>
      <w:r>
        <w:rPr>
          <w:rFonts w:ascii="Times New Roman" w:hAnsi="Times New Roman" w:eastAsia="黑体" w:cs="Times New Roman"/>
          <w:b w:val="0"/>
          <w:sz w:val="21"/>
          <w:szCs w:val="22"/>
        </w:rPr>
        <w:t>汇总表</w:t>
      </w:r>
    </w:p>
    <w:tbl>
      <w:tblPr>
        <w:tblStyle w:val="31"/>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960"/>
        <w:gridCol w:w="2819"/>
        <w:gridCol w:w="1909"/>
        <w:gridCol w:w="1680"/>
        <w:gridCol w:w="1116"/>
      </w:tblGrid>
      <w:tr w14:paraId="06EE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14:paraId="23AF08BA">
            <w:pPr>
              <w:jc w:val="center"/>
              <w:rPr>
                <w:rFonts w:hint="eastAsia" w:eastAsia="宋体"/>
                <w:sz w:val="18"/>
                <w:szCs w:val="18"/>
                <w:vertAlign w:val="baseline"/>
                <w:lang w:val="en-US" w:eastAsia="zh-CN"/>
              </w:rPr>
            </w:pPr>
            <w:r>
              <w:rPr>
                <w:rFonts w:hint="eastAsia"/>
                <w:sz w:val="18"/>
                <w:szCs w:val="18"/>
                <w:vertAlign w:val="baseline"/>
                <w:lang w:val="en-US" w:eastAsia="zh-CN"/>
              </w:rPr>
              <w:t>序号</w:t>
            </w:r>
          </w:p>
        </w:tc>
        <w:tc>
          <w:tcPr>
            <w:tcW w:w="960" w:type="dxa"/>
            <w:vAlign w:val="center"/>
          </w:tcPr>
          <w:p w14:paraId="19563AA2">
            <w:pPr>
              <w:jc w:val="center"/>
              <w:rPr>
                <w:sz w:val="18"/>
                <w:szCs w:val="18"/>
              </w:rPr>
            </w:pPr>
            <w:r>
              <w:rPr>
                <w:rFonts w:hint="eastAsia"/>
                <w:sz w:val="18"/>
                <w:szCs w:val="18"/>
              </w:rPr>
              <w:t>标准</w:t>
            </w:r>
            <w:r>
              <w:rPr>
                <w:sz w:val="18"/>
                <w:szCs w:val="18"/>
              </w:rPr>
              <w:t>章</w:t>
            </w:r>
          </w:p>
          <w:p w14:paraId="1D76A3DA">
            <w:pPr>
              <w:jc w:val="center"/>
              <w:rPr>
                <w:rFonts w:hint="eastAsia" w:eastAsia="宋体"/>
                <w:sz w:val="18"/>
                <w:szCs w:val="18"/>
                <w:vertAlign w:val="baseline"/>
                <w:lang w:val="en-US" w:eastAsia="zh-CN"/>
              </w:rPr>
            </w:pPr>
            <w:r>
              <w:rPr>
                <w:rFonts w:hint="eastAsia"/>
                <w:sz w:val="18"/>
                <w:szCs w:val="18"/>
              </w:rPr>
              <w:t>节</w:t>
            </w:r>
            <w:r>
              <w:rPr>
                <w:sz w:val="18"/>
                <w:szCs w:val="18"/>
              </w:rPr>
              <w:t>编号</w:t>
            </w:r>
          </w:p>
        </w:tc>
        <w:tc>
          <w:tcPr>
            <w:tcW w:w="2819" w:type="dxa"/>
            <w:vAlign w:val="center"/>
          </w:tcPr>
          <w:p w14:paraId="64DD6F25">
            <w:pPr>
              <w:jc w:val="center"/>
              <w:rPr>
                <w:sz w:val="18"/>
                <w:szCs w:val="18"/>
                <w:vertAlign w:val="baseline"/>
              </w:rPr>
            </w:pPr>
            <w:r>
              <w:rPr>
                <w:sz w:val="18"/>
                <w:szCs w:val="18"/>
              </w:rPr>
              <w:t>意见内容</w:t>
            </w:r>
          </w:p>
        </w:tc>
        <w:tc>
          <w:tcPr>
            <w:tcW w:w="1909" w:type="dxa"/>
            <w:vAlign w:val="center"/>
          </w:tcPr>
          <w:p w14:paraId="4EE97E7E">
            <w:pPr>
              <w:jc w:val="center"/>
              <w:rPr>
                <w:sz w:val="18"/>
                <w:szCs w:val="18"/>
                <w:vertAlign w:val="baseline"/>
              </w:rPr>
            </w:pPr>
            <w:r>
              <w:rPr>
                <w:sz w:val="18"/>
                <w:szCs w:val="18"/>
              </w:rPr>
              <w:t>提出单位</w:t>
            </w:r>
          </w:p>
        </w:tc>
        <w:tc>
          <w:tcPr>
            <w:tcW w:w="1680" w:type="dxa"/>
            <w:vAlign w:val="center"/>
          </w:tcPr>
          <w:p w14:paraId="7E1D2E84">
            <w:pPr>
              <w:spacing w:line="360" w:lineRule="auto"/>
              <w:jc w:val="center"/>
              <w:rPr>
                <w:sz w:val="18"/>
                <w:szCs w:val="18"/>
                <w:vertAlign w:val="baseline"/>
              </w:rPr>
            </w:pPr>
            <w:r>
              <w:rPr>
                <w:sz w:val="18"/>
                <w:szCs w:val="18"/>
              </w:rPr>
              <w:t>处理意见</w:t>
            </w:r>
          </w:p>
        </w:tc>
        <w:tc>
          <w:tcPr>
            <w:tcW w:w="1116" w:type="dxa"/>
            <w:vAlign w:val="center"/>
          </w:tcPr>
          <w:p w14:paraId="43AC5926">
            <w:pPr>
              <w:spacing w:line="360" w:lineRule="auto"/>
              <w:jc w:val="center"/>
              <w:rPr>
                <w:sz w:val="18"/>
                <w:szCs w:val="18"/>
                <w:vertAlign w:val="baseline"/>
              </w:rPr>
            </w:pPr>
            <w:r>
              <w:rPr>
                <w:sz w:val="18"/>
                <w:szCs w:val="18"/>
              </w:rPr>
              <w:t>备注</w:t>
            </w:r>
          </w:p>
        </w:tc>
      </w:tr>
      <w:tr w14:paraId="4D26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14:paraId="56BF1A6C">
            <w:pPr>
              <w:jc w:val="center"/>
              <w:rPr>
                <w:rFonts w:hint="eastAsia" w:eastAsia="宋体"/>
                <w:sz w:val="18"/>
                <w:szCs w:val="18"/>
                <w:vertAlign w:val="baseline"/>
                <w:lang w:val="en-US" w:eastAsia="zh-CN"/>
              </w:rPr>
            </w:pPr>
            <w:r>
              <w:rPr>
                <w:rFonts w:hint="eastAsia"/>
                <w:sz w:val="18"/>
                <w:szCs w:val="18"/>
                <w:vertAlign w:val="baseline"/>
                <w:lang w:val="en-US" w:eastAsia="zh-CN"/>
              </w:rPr>
              <w:t>1</w:t>
            </w:r>
          </w:p>
        </w:tc>
        <w:tc>
          <w:tcPr>
            <w:tcW w:w="960" w:type="dxa"/>
            <w:vAlign w:val="center"/>
          </w:tcPr>
          <w:p w14:paraId="6C3B08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2819" w:type="dxa"/>
            <w:vAlign w:val="center"/>
          </w:tcPr>
          <w:p w14:paraId="66566882">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Style w:val="57"/>
                <w:sz w:val="18"/>
                <w:szCs w:val="18"/>
                <w:lang w:val="en-US" w:eastAsia="zh-CN" w:bidi="ar"/>
              </w:rPr>
              <w:t>新增</w:t>
            </w:r>
            <w:r>
              <w:rPr>
                <w:rStyle w:val="200"/>
                <w:sz w:val="18"/>
                <w:szCs w:val="18"/>
                <w:lang w:val="en-US" w:eastAsia="zh-CN" w:bidi="ar"/>
              </w:rPr>
              <w:t>回收锡及锡合金渣、尘、泥料组别“钨锡矿富集渣，粒度≤1mm，水份≤40%，含锡1%≤Sn＜20%,无其他夹杂物及油污</w:t>
            </w:r>
            <w:r>
              <w:rPr>
                <w:rStyle w:val="59"/>
                <w:sz w:val="18"/>
                <w:szCs w:val="18"/>
                <w:lang w:val="en-US" w:eastAsia="zh-CN" w:bidi="ar"/>
              </w:rPr>
              <w:t>”。</w:t>
            </w:r>
          </w:p>
        </w:tc>
        <w:tc>
          <w:tcPr>
            <w:tcW w:w="1909" w:type="dxa"/>
            <w:vAlign w:val="center"/>
          </w:tcPr>
          <w:p w14:paraId="47B8B7B1">
            <w:pPr>
              <w:jc w:val="center"/>
              <w:rPr>
                <w:sz w:val="18"/>
                <w:szCs w:val="18"/>
                <w:vertAlign w:val="baseline"/>
              </w:rPr>
            </w:pPr>
            <w:r>
              <w:rPr>
                <w:rFonts w:hint="eastAsia"/>
                <w:color w:val="000000"/>
                <w:sz w:val="18"/>
                <w:szCs w:val="18"/>
                <w:vertAlign w:val="baseline"/>
                <w:lang w:val="en-US" w:eastAsia="zh-CN"/>
              </w:rPr>
              <w:t>湖南柿竹园有色金属有限责任公司郴州钨制品分公司</w:t>
            </w:r>
          </w:p>
        </w:tc>
        <w:tc>
          <w:tcPr>
            <w:tcW w:w="1680" w:type="dxa"/>
            <w:vAlign w:val="center"/>
          </w:tcPr>
          <w:p w14:paraId="1AA6C5A3">
            <w:pPr>
              <w:jc w:val="center"/>
              <w:rPr>
                <w:rFonts w:hint="eastAsia" w:eastAsia="宋体"/>
                <w:sz w:val="18"/>
                <w:szCs w:val="18"/>
                <w:vertAlign w:val="baseline"/>
                <w:lang w:val="en-US" w:eastAsia="zh-CN"/>
              </w:rPr>
            </w:pPr>
            <w:r>
              <w:rPr>
                <w:rFonts w:hint="eastAsia"/>
                <w:sz w:val="18"/>
                <w:szCs w:val="18"/>
                <w:vertAlign w:val="baseline"/>
                <w:lang w:val="en-US" w:eastAsia="zh-CN"/>
              </w:rPr>
              <w:t>采纳</w:t>
            </w:r>
          </w:p>
        </w:tc>
        <w:tc>
          <w:tcPr>
            <w:tcW w:w="1116" w:type="dxa"/>
            <w:vAlign w:val="center"/>
          </w:tcPr>
          <w:p w14:paraId="2A97F03F">
            <w:pPr>
              <w:jc w:val="center"/>
              <w:rPr>
                <w:sz w:val="18"/>
                <w:szCs w:val="18"/>
                <w:vertAlign w:val="baseline"/>
              </w:rPr>
            </w:pPr>
          </w:p>
        </w:tc>
      </w:tr>
      <w:tr w14:paraId="4958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14:paraId="2C393332">
            <w:pPr>
              <w:jc w:val="center"/>
              <w:rPr>
                <w:rFonts w:hint="eastAsia" w:eastAsia="宋体"/>
                <w:sz w:val="18"/>
                <w:szCs w:val="18"/>
                <w:vertAlign w:val="baseline"/>
                <w:lang w:val="en-US" w:eastAsia="zh-CN"/>
              </w:rPr>
            </w:pPr>
            <w:r>
              <w:rPr>
                <w:rFonts w:hint="eastAsia"/>
                <w:sz w:val="18"/>
                <w:szCs w:val="18"/>
                <w:vertAlign w:val="baseline"/>
                <w:lang w:val="en-US" w:eastAsia="zh-CN"/>
              </w:rPr>
              <w:t>2</w:t>
            </w:r>
          </w:p>
        </w:tc>
        <w:tc>
          <w:tcPr>
            <w:tcW w:w="960" w:type="dxa"/>
            <w:vAlign w:val="center"/>
          </w:tcPr>
          <w:p w14:paraId="0C1414A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2819" w:type="dxa"/>
            <w:vAlign w:val="center"/>
          </w:tcPr>
          <w:p w14:paraId="396EBA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新增回收锡及锡合金渣、尘、泥料组别“锡箔灰，粒度≤1mm，水份≤10%，含锡8%≤Sn＜30%,无其他夹杂物及油污”。</w:t>
            </w:r>
          </w:p>
        </w:tc>
        <w:tc>
          <w:tcPr>
            <w:tcW w:w="1909" w:type="dxa"/>
            <w:vAlign w:val="center"/>
          </w:tcPr>
          <w:p w14:paraId="4D90DFF7">
            <w:pPr>
              <w:jc w:val="center"/>
              <w:rPr>
                <w:sz w:val="18"/>
                <w:szCs w:val="18"/>
                <w:vertAlign w:val="baseline"/>
              </w:rPr>
            </w:pPr>
            <w:r>
              <w:rPr>
                <w:rFonts w:hint="eastAsia" w:ascii="宋体" w:hAnsi="宋体"/>
                <w:sz w:val="18"/>
                <w:szCs w:val="18"/>
                <w:lang w:val="en-US" w:eastAsia="zh-CN"/>
              </w:rPr>
              <w:t>广东汉合有色金属有限公司</w:t>
            </w:r>
          </w:p>
        </w:tc>
        <w:tc>
          <w:tcPr>
            <w:tcW w:w="1680" w:type="dxa"/>
            <w:vAlign w:val="center"/>
          </w:tcPr>
          <w:p w14:paraId="2442A89B">
            <w:pPr>
              <w:jc w:val="center"/>
              <w:rPr>
                <w:sz w:val="18"/>
                <w:szCs w:val="18"/>
                <w:vertAlign w:val="baseline"/>
              </w:rPr>
            </w:pPr>
            <w:r>
              <w:rPr>
                <w:rFonts w:hint="eastAsia"/>
                <w:sz w:val="18"/>
                <w:szCs w:val="18"/>
                <w:vertAlign w:val="baseline"/>
                <w:lang w:val="en-US" w:eastAsia="zh-CN"/>
              </w:rPr>
              <w:t>采纳</w:t>
            </w:r>
          </w:p>
        </w:tc>
        <w:tc>
          <w:tcPr>
            <w:tcW w:w="1116" w:type="dxa"/>
            <w:vAlign w:val="center"/>
          </w:tcPr>
          <w:p w14:paraId="28F11CC6">
            <w:pPr>
              <w:jc w:val="center"/>
              <w:rPr>
                <w:sz w:val="18"/>
                <w:szCs w:val="18"/>
                <w:vertAlign w:val="baseline"/>
              </w:rPr>
            </w:pPr>
          </w:p>
        </w:tc>
      </w:tr>
      <w:tr w14:paraId="4BD9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14:paraId="1BEA5C48">
            <w:pPr>
              <w:jc w:val="center"/>
              <w:rPr>
                <w:rFonts w:hint="eastAsia" w:eastAsia="宋体"/>
                <w:sz w:val="18"/>
                <w:szCs w:val="18"/>
                <w:vertAlign w:val="baseline"/>
                <w:lang w:val="en-US" w:eastAsia="zh-CN"/>
              </w:rPr>
            </w:pPr>
            <w:r>
              <w:rPr>
                <w:rFonts w:hint="eastAsia"/>
                <w:sz w:val="18"/>
                <w:szCs w:val="18"/>
                <w:vertAlign w:val="baseline"/>
                <w:lang w:val="en-US" w:eastAsia="zh-CN"/>
              </w:rPr>
              <w:t>3</w:t>
            </w:r>
          </w:p>
        </w:tc>
        <w:tc>
          <w:tcPr>
            <w:tcW w:w="960" w:type="dxa"/>
            <w:vAlign w:val="center"/>
          </w:tcPr>
          <w:p w14:paraId="148E031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w:t>
            </w:r>
          </w:p>
        </w:tc>
        <w:tc>
          <w:tcPr>
            <w:tcW w:w="2819" w:type="dxa"/>
            <w:vAlign w:val="center"/>
          </w:tcPr>
          <w:p w14:paraId="7719F6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建议回收锡及锡合金原料中“不应带油、带水”。</w:t>
            </w:r>
          </w:p>
        </w:tc>
        <w:tc>
          <w:tcPr>
            <w:tcW w:w="1909" w:type="dxa"/>
            <w:vAlign w:val="center"/>
          </w:tcPr>
          <w:p w14:paraId="3C5B17FE">
            <w:pPr>
              <w:jc w:val="center"/>
              <w:rPr>
                <w:sz w:val="18"/>
                <w:szCs w:val="18"/>
                <w:vertAlign w:val="baseline"/>
              </w:rPr>
            </w:pPr>
            <w:r>
              <w:rPr>
                <w:rFonts w:hint="eastAsia"/>
                <w:sz w:val="18"/>
                <w:szCs w:val="18"/>
                <w:vertAlign w:val="baseline"/>
              </w:rPr>
              <w:t>深圳市兴鸿泰锡业有限公司</w:t>
            </w:r>
          </w:p>
        </w:tc>
        <w:tc>
          <w:tcPr>
            <w:tcW w:w="1680" w:type="dxa"/>
            <w:vAlign w:val="center"/>
          </w:tcPr>
          <w:p w14:paraId="1197599E">
            <w:pPr>
              <w:jc w:val="center"/>
              <w:rPr>
                <w:sz w:val="18"/>
                <w:szCs w:val="18"/>
                <w:vertAlign w:val="baseline"/>
              </w:rPr>
            </w:pPr>
            <w:r>
              <w:rPr>
                <w:rFonts w:hint="eastAsia"/>
                <w:sz w:val="18"/>
                <w:szCs w:val="18"/>
                <w:vertAlign w:val="baseline"/>
                <w:lang w:val="en-US" w:eastAsia="zh-CN"/>
              </w:rPr>
              <w:t>采纳</w:t>
            </w:r>
          </w:p>
        </w:tc>
        <w:tc>
          <w:tcPr>
            <w:tcW w:w="1116" w:type="dxa"/>
            <w:vAlign w:val="center"/>
          </w:tcPr>
          <w:p w14:paraId="0E9468BB">
            <w:pPr>
              <w:jc w:val="center"/>
              <w:rPr>
                <w:sz w:val="18"/>
                <w:szCs w:val="18"/>
                <w:vertAlign w:val="baseline"/>
              </w:rPr>
            </w:pPr>
          </w:p>
        </w:tc>
      </w:tr>
      <w:tr w14:paraId="11C4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14:paraId="0F5812CF">
            <w:pPr>
              <w:jc w:val="center"/>
              <w:rPr>
                <w:rFonts w:hint="eastAsia" w:eastAsia="宋体"/>
                <w:sz w:val="18"/>
                <w:szCs w:val="18"/>
                <w:vertAlign w:val="baseline"/>
                <w:lang w:val="en-US" w:eastAsia="zh-CN"/>
              </w:rPr>
            </w:pPr>
            <w:r>
              <w:rPr>
                <w:rFonts w:hint="eastAsia"/>
                <w:sz w:val="18"/>
                <w:szCs w:val="18"/>
                <w:vertAlign w:val="baseline"/>
                <w:lang w:val="en-US" w:eastAsia="zh-CN"/>
              </w:rPr>
              <w:t>4</w:t>
            </w:r>
          </w:p>
        </w:tc>
        <w:tc>
          <w:tcPr>
            <w:tcW w:w="960" w:type="dxa"/>
            <w:vAlign w:val="center"/>
          </w:tcPr>
          <w:p w14:paraId="218ABE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w:t>
            </w:r>
          </w:p>
        </w:tc>
        <w:tc>
          <w:tcPr>
            <w:tcW w:w="2819" w:type="dxa"/>
            <w:vAlign w:val="center"/>
          </w:tcPr>
          <w:p w14:paraId="287C95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建议回收锡及锡合金原料的洁净度用目视检验，增加“非锡及锡合金原料夹杂物含量小于0.5%”。</w:t>
            </w:r>
          </w:p>
        </w:tc>
        <w:tc>
          <w:tcPr>
            <w:tcW w:w="1909" w:type="dxa"/>
            <w:vAlign w:val="center"/>
          </w:tcPr>
          <w:p w14:paraId="058FE661">
            <w:pPr>
              <w:jc w:val="center"/>
              <w:rPr>
                <w:sz w:val="18"/>
                <w:szCs w:val="18"/>
                <w:vertAlign w:val="baseline"/>
              </w:rPr>
            </w:pPr>
            <w:r>
              <w:rPr>
                <w:rFonts w:hint="eastAsia"/>
                <w:sz w:val="18"/>
                <w:szCs w:val="18"/>
                <w:vertAlign w:val="baseline"/>
              </w:rPr>
              <w:t>深圳市兴鸿泰锡业有限公司</w:t>
            </w:r>
          </w:p>
        </w:tc>
        <w:tc>
          <w:tcPr>
            <w:tcW w:w="1680" w:type="dxa"/>
            <w:vAlign w:val="center"/>
          </w:tcPr>
          <w:p w14:paraId="0856F40E">
            <w:pPr>
              <w:jc w:val="center"/>
              <w:rPr>
                <w:sz w:val="18"/>
                <w:szCs w:val="18"/>
                <w:vertAlign w:val="baseline"/>
              </w:rPr>
            </w:pPr>
            <w:r>
              <w:rPr>
                <w:rFonts w:hint="eastAsia"/>
                <w:sz w:val="18"/>
                <w:szCs w:val="18"/>
                <w:vertAlign w:val="baseline"/>
                <w:lang w:val="en-US" w:eastAsia="zh-CN"/>
              </w:rPr>
              <w:t>采纳</w:t>
            </w:r>
          </w:p>
        </w:tc>
        <w:tc>
          <w:tcPr>
            <w:tcW w:w="1116" w:type="dxa"/>
            <w:vAlign w:val="center"/>
          </w:tcPr>
          <w:p w14:paraId="5B11255A">
            <w:pPr>
              <w:jc w:val="center"/>
              <w:rPr>
                <w:sz w:val="18"/>
                <w:szCs w:val="18"/>
                <w:vertAlign w:val="baseline"/>
              </w:rPr>
            </w:pPr>
          </w:p>
        </w:tc>
      </w:tr>
      <w:tr w14:paraId="2DD3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14:paraId="320E0D99">
            <w:pPr>
              <w:jc w:val="center"/>
              <w:rPr>
                <w:rFonts w:hint="eastAsia" w:eastAsia="宋体"/>
                <w:sz w:val="18"/>
                <w:szCs w:val="18"/>
                <w:vertAlign w:val="baseline"/>
                <w:lang w:val="en-US" w:eastAsia="zh-CN"/>
              </w:rPr>
            </w:pPr>
            <w:r>
              <w:rPr>
                <w:rFonts w:hint="eastAsia"/>
                <w:sz w:val="18"/>
                <w:szCs w:val="18"/>
                <w:vertAlign w:val="baseline"/>
                <w:lang w:val="en-US" w:eastAsia="zh-CN"/>
              </w:rPr>
              <w:t>5</w:t>
            </w:r>
          </w:p>
        </w:tc>
        <w:tc>
          <w:tcPr>
            <w:tcW w:w="960" w:type="dxa"/>
            <w:vAlign w:val="center"/>
          </w:tcPr>
          <w:p w14:paraId="65F0A6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w:t>
            </w:r>
          </w:p>
        </w:tc>
        <w:tc>
          <w:tcPr>
            <w:tcW w:w="2819" w:type="dxa"/>
            <w:vAlign w:val="center"/>
          </w:tcPr>
          <w:p w14:paraId="3D3EE41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回收锡及锡合金原料可由“双方”质量检验部门“抽”检，也可委托“具备相应资质的第三方”进行检验，且质量证明书内有检测杂质元素含量”。</w:t>
            </w:r>
          </w:p>
        </w:tc>
        <w:tc>
          <w:tcPr>
            <w:tcW w:w="1909" w:type="dxa"/>
            <w:vAlign w:val="center"/>
          </w:tcPr>
          <w:p w14:paraId="0259AC98">
            <w:pPr>
              <w:jc w:val="center"/>
              <w:rPr>
                <w:sz w:val="18"/>
                <w:szCs w:val="18"/>
                <w:vertAlign w:val="baseline"/>
              </w:rPr>
            </w:pPr>
            <w:r>
              <w:rPr>
                <w:rFonts w:hint="eastAsia"/>
                <w:sz w:val="18"/>
                <w:szCs w:val="18"/>
                <w:vertAlign w:val="baseline"/>
              </w:rPr>
              <w:t>深圳市兴鸿泰锡业有限公司</w:t>
            </w:r>
          </w:p>
        </w:tc>
        <w:tc>
          <w:tcPr>
            <w:tcW w:w="1680" w:type="dxa"/>
            <w:vAlign w:val="center"/>
          </w:tcPr>
          <w:p w14:paraId="00012AC7">
            <w:pPr>
              <w:jc w:val="center"/>
              <w:rPr>
                <w:sz w:val="18"/>
                <w:szCs w:val="18"/>
                <w:vertAlign w:val="baseline"/>
              </w:rPr>
            </w:pPr>
            <w:r>
              <w:rPr>
                <w:rFonts w:hint="eastAsia"/>
                <w:sz w:val="18"/>
                <w:szCs w:val="18"/>
                <w:vertAlign w:val="baseline"/>
                <w:lang w:val="en-US" w:eastAsia="zh-CN"/>
              </w:rPr>
              <w:t>采纳</w:t>
            </w:r>
          </w:p>
        </w:tc>
        <w:tc>
          <w:tcPr>
            <w:tcW w:w="1116" w:type="dxa"/>
            <w:vAlign w:val="center"/>
          </w:tcPr>
          <w:p w14:paraId="5EC0CEF6">
            <w:pPr>
              <w:jc w:val="center"/>
              <w:rPr>
                <w:sz w:val="18"/>
                <w:szCs w:val="18"/>
                <w:vertAlign w:val="baseline"/>
              </w:rPr>
            </w:pPr>
          </w:p>
        </w:tc>
      </w:tr>
      <w:tr w14:paraId="17B9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14:paraId="7B881000">
            <w:pPr>
              <w:jc w:val="center"/>
              <w:rPr>
                <w:rFonts w:hint="default"/>
                <w:sz w:val="18"/>
                <w:szCs w:val="18"/>
                <w:vertAlign w:val="baseline"/>
                <w:lang w:val="en-US" w:eastAsia="zh-CN"/>
              </w:rPr>
            </w:pPr>
            <w:r>
              <w:rPr>
                <w:rFonts w:hint="eastAsia"/>
                <w:sz w:val="18"/>
                <w:szCs w:val="18"/>
                <w:vertAlign w:val="baseline"/>
                <w:lang w:val="en-US" w:eastAsia="zh-CN"/>
              </w:rPr>
              <w:t>6</w:t>
            </w:r>
          </w:p>
        </w:tc>
        <w:tc>
          <w:tcPr>
            <w:tcW w:w="960" w:type="dxa"/>
            <w:vAlign w:val="center"/>
          </w:tcPr>
          <w:p w14:paraId="7B631D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w:t>
            </w:r>
          </w:p>
        </w:tc>
        <w:tc>
          <w:tcPr>
            <w:tcW w:w="2819" w:type="dxa"/>
            <w:vAlign w:val="center"/>
          </w:tcPr>
          <w:p w14:paraId="7AB046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d)建议分为“毛重”及“净重”，并增加“锡含量%”标识。</w:t>
            </w:r>
          </w:p>
        </w:tc>
        <w:tc>
          <w:tcPr>
            <w:tcW w:w="1909" w:type="dxa"/>
            <w:vAlign w:val="center"/>
          </w:tcPr>
          <w:p w14:paraId="4D2B07DA">
            <w:pPr>
              <w:jc w:val="center"/>
              <w:rPr>
                <w:sz w:val="18"/>
                <w:szCs w:val="18"/>
                <w:vertAlign w:val="baseline"/>
              </w:rPr>
            </w:pPr>
            <w:r>
              <w:rPr>
                <w:rFonts w:hint="eastAsia"/>
                <w:sz w:val="18"/>
                <w:szCs w:val="18"/>
                <w:vertAlign w:val="baseline"/>
              </w:rPr>
              <w:t>深圳市兴鸿泰锡业有限公司</w:t>
            </w:r>
          </w:p>
        </w:tc>
        <w:tc>
          <w:tcPr>
            <w:tcW w:w="1680" w:type="dxa"/>
            <w:vAlign w:val="center"/>
          </w:tcPr>
          <w:p w14:paraId="7BB6CED5">
            <w:pPr>
              <w:jc w:val="center"/>
              <w:rPr>
                <w:rFonts w:hint="default" w:eastAsia="宋体"/>
                <w:sz w:val="18"/>
                <w:szCs w:val="18"/>
                <w:vertAlign w:val="baseline"/>
                <w:lang w:val="en-US" w:eastAsia="zh-CN"/>
              </w:rPr>
            </w:pPr>
            <w:r>
              <w:rPr>
                <w:rFonts w:hint="eastAsia"/>
                <w:sz w:val="18"/>
                <w:szCs w:val="18"/>
                <w:vertAlign w:val="baseline"/>
                <w:lang w:val="en-US" w:eastAsia="zh-CN"/>
              </w:rPr>
              <w:t>采纳</w:t>
            </w:r>
          </w:p>
        </w:tc>
        <w:tc>
          <w:tcPr>
            <w:tcW w:w="1116" w:type="dxa"/>
            <w:vAlign w:val="center"/>
          </w:tcPr>
          <w:p w14:paraId="37A5CF3A">
            <w:pPr>
              <w:jc w:val="center"/>
              <w:rPr>
                <w:sz w:val="18"/>
                <w:szCs w:val="18"/>
                <w:vertAlign w:val="baseline"/>
              </w:rPr>
            </w:pPr>
          </w:p>
        </w:tc>
      </w:tr>
      <w:tr w14:paraId="7B1B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14:paraId="0D470B63">
            <w:pPr>
              <w:jc w:val="center"/>
              <w:rPr>
                <w:rFonts w:hint="default"/>
                <w:sz w:val="18"/>
                <w:szCs w:val="18"/>
                <w:vertAlign w:val="baseline"/>
                <w:lang w:val="en-US" w:eastAsia="zh-CN"/>
              </w:rPr>
            </w:pPr>
            <w:r>
              <w:rPr>
                <w:rFonts w:hint="eastAsia"/>
                <w:sz w:val="18"/>
                <w:szCs w:val="18"/>
                <w:vertAlign w:val="baseline"/>
                <w:lang w:val="en-US" w:eastAsia="zh-CN"/>
              </w:rPr>
              <w:t>7</w:t>
            </w:r>
          </w:p>
        </w:tc>
        <w:tc>
          <w:tcPr>
            <w:tcW w:w="960" w:type="dxa"/>
            <w:vAlign w:val="center"/>
          </w:tcPr>
          <w:p w14:paraId="646CC7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7.2.1</w:t>
            </w:r>
          </w:p>
        </w:tc>
        <w:tc>
          <w:tcPr>
            <w:tcW w:w="2819" w:type="dxa"/>
            <w:vAlign w:val="center"/>
          </w:tcPr>
          <w:p w14:paraId="46781C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建议增加“便于搬运”的包装方式供货。</w:t>
            </w:r>
          </w:p>
        </w:tc>
        <w:tc>
          <w:tcPr>
            <w:tcW w:w="1909" w:type="dxa"/>
            <w:vAlign w:val="center"/>
          </w:tcPr>
          <w:p w14:paraId="2AB3B504">
            <w:pPr>
              <w:jc w:val="center"/>
              <w:rPr>
                <w:sz w:val="18"/>
                <w:szCs w:val="18"/>
                <w:vertAlign w:val="baseline"/>
              </w:rPr>
            </w:pPr>
            <w:r>
              <w:rPr>
                <w:rFonts w:hint="eastAsia"/>
                <w:sz w:val="18"/>
                <w:szCs w:val="18"/>
                <w:vertAlign w:val="baseline"/>
              </w:rPr>
              <w:t>深圳市兴鸿泰锡业有限公司</w:t>
            </w:r>
          </w:p>
        </w:tc>
        <w:tc>
          <w:tcPr>
            <w:tcW w:w="1680" w:type="dxa"/>
            <w:vAlign w:val="center"/>
          </w:tcPr>
          <w:p w14:paraId="30E1120D">
            <w:pPr>
              <w:jc w:val="center"/>
              <w:rPr>
                <w:rFonts w:hint="eastAsia" w:eastAsia="宋体"/>
                <w:sz w:val="18"/>
                <w:szCs w:val="18"/>
                <w:vertAlign w:val="baseline"/>
                <w:lang w:val="en-US" w:eastAsia="zh-CN"/>
              </w:rPr>
            </w:pPr>
            <w:r>
              <w:rPr>
                <w:rFonts w:hint="eastAsia"/>
                <w:sz w:val="18"/>
                <w:szCs w:val="18"/>
                <w:vertAlign w:val="baseline"/>
                <w:lang w:val="en-US" w:eastAsia="zh-CN"/>
              </w:rPr>
              <w:t>采纳</w:t>
            </w:r>
          </w:p>
        </w:tc>
        <w:tc>
          <w:tcPr>
            <w:tcW w:w="1116" w:type="dxa"/>
            <w:vAlign w:val="center"/>
          </w:tcPr>
          <w:p w14:paraId="47FA1D9F">
            <w:pPr>
              <w:jc w:val="center"/>
              <w:rPr>
                <w:sz w:val="18"/>
                <w:szCs w:val="18"/>
                <w:vertAlign w:val="baseline"/>
              </w:rPr>
            </w:pPr>
          </w:p>
        </w:tc>
      </w:tr>
      <w:tr w14:paraId="7A5C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14:paraId="4FC83E7F">
            <w:pPr>
              <w:jc w:val="center"/>
              <w:rPr>
                <w:rFonts w:hint="default"/>
                <w:sz w:val="18"/>
                <w:szCs w:val="18"/>
                <w:vertAlign w:val="baseline"/>
                <w:lang w:val="en-US" w:eastAsia="zh-CN"/>
              </w:rPr>
            </w:pPr>
            <w:r>
              <w:rPr>
                <w:rFonts w:hint="eastAsia"/>
                <w:sz w:val="18"/>
                <w:szCs w:val="18"/>
                <w:vertAlign w:val="baseline"/>
                <w:lang w:val="en-US" w:eastAsia="zh-CN"/>
              </w:rPr>
              <w:t>8</w:t>
            </w:r>
          </w:p>
        </w:tc>
        <w:tc>
          <w:tcPr>
            <w:tcW w:w="960" w:type="dxa"/>
            <w:vAlign w:val="center"/>
          </w:tcPr>
          <w:p w14:paraId="5FAB98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w:t>
            </w:r>
          </w:p>
        </w:tc>
        <w:tc>
          <w:tcPr>
            <w:tcW w:w="2819" w:type="dxa"/>
            <w:vAlign w:val="center"/>
          </w:tcPr>
          <w:p w14:paraId="1B10B2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每批回收锡及锡合金原料应附有随“行”文件。</w:t>
            </w:r>
          </w:p>
        </w:tc>
        <w:tc>
          <w:tcPr>
            <w:tcW w:w="1909" w:type="dxa"/>
            <w:vAlign w:val="center"/>
          </w:tcPr>
          <w:p w14:paraId="43BFC786">
            <w:pPr>
              <w:jc w:val="center"/>
              <w:rPr>
                <w:sz w:val="18"/>
                <w:szCs w:val="18"/>
                <w:vertAlign w:val="baseline"/>
              </w:rPr>
            </w:pPr>
            <w:r>
              <w:rPr>
                <w:rFonts w:hint="eastAsia"/>
                <w:sz w:val="18"/>
                <w:szCs w:val="18"/>
                <w:vertAlign w:val="baseline"/>
              </w:rPr>
              <w:t>深圳市兴鸿泰锡业有限公司</w:t>
            </w:r>
          </w:p>
        </w:tc>
        <w:tc>
          <w:tcPr>
            <w:tcW w:w="1680" w:type="dxa"/>
            <w:vAlign w:val="center"/>
          </w:tcPr>
          <w:p w14:paraId="5B5DFDA6">
            <w:pPr>
              <w:jc w:val="center"/>
              <w:rPr>
                <w:rFonts w:hint="default" w:eastAsia="宋体"/>
                <w:sz w:val="18"/>
                <w:szCs w:val="18"/>
                <w:vertAlign w:val="baseline"/>
                <w:lang w:val="en-US" w:eastAsia="zh-CN"/>
              </w:rPr>
            </w:pPr>
            <w:r>
              <w:rPr>
                <w:rFonts w:hint="eastAsia"/>
                <w:sz w:val="18"/>
                <w:szCs w:val="18"/>
                <w:vertAlign w:val="baseline"/>
                <w:lang w:val="en-US" w:eastAsia="zh-CN"/>
              </w:rPr>
              <w:t>采纳</w:t>
            </w:r>
          </w:p>
        </w:tc>
        <w:tc>
          <w:tcPr>
            <w:tcW w:w="1116" w:type="dxa"/>
            <w:vAlign w:val="center"/>
          </w:tcPr>
          <w:p w14:paraId="00DBC7FF">
            <w:pPr>
              <w:jc w:val="center"/>
              <w:rPr>
                <w:sz w:val="18"/>
                <w:szCs w:val="18"/>
                <w:vertAlign w:val="baseline"/>
              </w:rPr>
            </w:pPr>
          </w:p>
        </w:tc>
      </w:tr>
      <w:tr w14:paraId="4E77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14:paraId="61435074">
            <w:pPr>
              <w:jc w:val="center"/>
              <w:rPr>
                <w:rFonts w:hint="default"/>
                <w:sz w:val="18"/>
                <w:szCs w:val="18"/>
                <w:vertAlign w:val="baseline"/>
                <w:lang w:val="en-US" w:eastAsia="zh-CN"/>
              </w:rPr>
            </w:pPr>
            <w:r>
              <w:rPr>
                <w:rFonts w:hint="eastAsia"/>
                <w:sz w:val="18"/>
                <w:szCs w:val="18"/>
                <w:vertAlign w:val="baseline"/>
                <w:lang w:val="en-US" w:eastAsia="zh-CN"/>
              </w:rPr>
              <w:t>9</w:t>
            </w:r>
          </w:p>
        </w:tc>
        <w:tc>
          <w:tcPr>
            <w:tcW w:w="960" w:type="dxa"/>
            <w:vAlign w:val="center"/>
          </w:tcPr>
          <w:p w14:paraId="1E44E2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w:t>
            </w:r>
          </w:p>
        </w:tc>
        <w:tc>
          <w:tcPr>
            <w:tcW w:w="2819" w:type="dxa"/>
            <w:vAlign w:val="center"/>
          </w:tcPr>
          <w:p w14:paraId="174F94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f)建议增加使用注意事项。</w:t>
            </w:r>
          </w:p>
        </w:tc>
        <w:tc>
          <w:tcPr>
            <w:tcW w:w="1909" w:type="dxa"/>
            <w:vAlign w:val="center"/>
          </w:tcPr>
          <w:p w14:paraId="75630F60">
            <w:pPr>
              <w:jc w:val="center"/>
              <w:rPr>
                <w:sz w:val="18"/>
                <w:szCs w:val="18"/>
                <w:vertAlign w:val="baseline"/>
              </w:rPr>
            </w:pPr>
            <w:r>
              <w:rPr>
                <w:rFonts w:hint="eastAsia"/>
                <w:sz w:val="18"/>
                <w:szCs w:val="18"/>
                <w:vertAlign w:val="baseline"/>
              </w:rPr>
              <w:t>深圳市兴鸿泰锡业有限公司</w:t>
            </w:r>
          </w:p>
        </w:tc>
        <w:tc>
          <w:tcPr>
            <w:tcW w:w="1680" w:type="dxa"/>
            <w:vAlign w:val="center"/>
          </w:tcPr>
          <w:p w14:paraId="24D717AC">
            <w:pPr>
              <w:jc w:val="center"/>
              <w:rPr>
                <w:rFonts w:hint="default" w:eastAsia="宋体"/>
                <w:sz w:val="18"/>
                <w:szCs w:val="18"/>
                <w:vertAlign w:val="baseline"/>
                <w:lang w:val="en-US" w:eastAsia="zh-CN"/>
              </w:rPr>
            </w:pPr>
            <w:r>
              <w:rPr>
                <w:rFonts w:hint="eastAsia"/>
                <w:sz w:val="18"/>
                <w:szCs w:val="18"/>
                <w:vertAlign w:val="baseline"/>
                <w:lang w:val="en-US" w:eastAsia="zh-CN"/>
              </w:rPr>
              <w:t>未采纳，未详细列出注意事项内容</w:t>
            </w:r>
          </w:p>
        </w:tc>
        <w:tc>
          <w:tcPr>
            <w:tcW w:w="1116" w:type="dxa"/>
            <w:vAlign w:val="center"/>
          </w:tcPr>
          <w:p w14:paraId="4F8783F8">
            <w:pPr>
              <w:jc w:val="center"/>
              <w:rPr>
                <w:sz w:val="18"/>
                <w:szCs w:val="18"/>
                <w:vertAlign w:val="baseline"/>
              </w:rPr>
            </w:pPr>
          </w:p>
        </w:tc>
      </w:tr>
    </w:tbl>
    <w:p w14:paraId="54D05BD8">
      <w:pPr>
        <w:rPr>
          <w:sz w:val="18"/>
          <w:szCs w:val="18"/>
        </w:rPr>
      </w:pPr>
      <w:r>
        <w:rPr>
          <w:rFonts w:hint="eastAsia"/>
          <w:sz w:val="18"/>
          <w:szCs w:val="18"/>
        </w:rPr>
        <w:t xml:space="preserve">说明:(1)发送&lt;征求意见稿&gt;的单位个数:     </w:t>
      </w:r>
      <w:r>
        <w:rPr>
          <w:rFonts w:hint="eastAsia"/>
          <w:sz w:val="18"/>
          <w:szCs w:val="18"/>
          <w:lang w:val="en-US" w:eastAsia="zh-CN"/>
        </w:rPr>
        <w:t>22</w:t>
      </w:r>
      <w:r>
        <w:rPr>
          <w:rFonts w:hint="eastAsia"/>
          <w:sz w:val="18"/>
          <w:szCs w:val="18"/>
        </w:rPr>
        <w:t>个</w:t>
      </w:r>
    </w:p>
    <w:p w14:paraId="524D6198">
      <w:pPr>
        <w:rPr>
          <w:sz w:val="18"/>
          <w:szCs w:val="18"/>
        </w:rPr>
      </w:pPr>
      <w:r>
        <w:rPr>
          <w:rFonts w:hint="eastAsia"/>
          <w:sz w:val="18"/>
          <w:szCs w:val="18"/>
        </w:rPr>
        <w:tab/>
      </w:r>
      <w:r>
        <w:rPr>
          <w:rFonts w:hint="eastAsia"/>
          <w:sz w:val="18"/>
          <w:szCs w:val="18"/>
        </w:rPr>
        <w:t xml:space="preserve">(2)收到&lt;征求意见稿&gt;后,回函的单位数:   </w:t>
      </w:r>
      <w:r>
        <w:rPr>
          <w:rFonts w:hint="eastAsia"/>
          <w:sz w:val="18"/>
          <w:szCs w:val="18"/>
          <w:lang w:val="en-US" w:eastAsia="zh-CN"/>
        </w:rPr>
        <w:t>6</w:t>
      </w:r>
      <w:r>
        <w:rPr>
          <w:rFonts w:hint="eastAsia"/>
          <w:sz w:val="18"/>
          <w:szCs w:val="18"/>
        </w:rPr>
        <w:t>个</w:t>
      </w:r>
    </w:p>
    <w:p w14:paraId="2BC8B49E">
      <w:pPr>
        <w:rPr>
          <w:sz w:val="18"/>
          <w:szCs w:val="18"/>
        </w:rPr>
      </w:pPr>
      <w:r>
        <w:rPr>
          <w:rFonts w:hint="eastAsia"/>
          <w:sz w:val="18"/>
          <w:szCs w:val="18"/>
        </w:rPr>
        <w:tab/>
      </w:r>
      <w:r>
        <w:rPr>
          <w:rFonts w:hint="eastAsia"/>
          <w:sz w:val="18"/>
          <w:szCs w:val="18"/>
        </w:rPr>
        <w:t xml:space="preserve">(3)收到&lt;征求意见稿&gt;后,回函并有建议或意见的单位数:  </w:t>
      </w:r>
      <w:r>
        <w:rPr>
          <w:rFonts w:hint="eastAsia"/>
          <w:sz w:val="18"/>
          <w:szCs w:val="18"/>
          <w:lang w:val="en-US" w:eastAsia="zh-CN"/>
        </w:rPr>
        <w:t>3</w:t>
      </w:r>
      <w:r>
        <w:rPr>
          <w:rFonts w:hint="eastAsia"/>
          <w:sz w:val="18"/>
          <w:szCs w:val="18"/>
        </w:rPr>
        <w:t>个</w:t>
      </w:r>
    </w:p>
    <w:p w14:paraId="668466FE">
      <w:pPr>
        <w:spacing w:line="240" w:lineRule="auto"/>
        <w:ind w:firstLine="0" w:firstLineChars="0"/>
        <w:rPr>
          <w:rFonts w:hint="eastAsia"/>
          <w:b/>
        </w:rPr>
      </w:pPr>
      <w:r>
        <w:rPr>
          <w:rFonts w:hint="eastAsia"/>
          <w:sz w:val="18"/>
          <w:szCs w:val="18"/>
        </w:rPr>
        <w:tab/>
      </w:r>
      <w:r>
        <w:rPr>
          <w:rFonts w:hint="eastAsia"/>
          <w:sz w:val="18"/>
          <w:szCs w:val="18"/>
        </w:rPr>
        <w:t xml:space="preserve">(4)没有回函的单位数:     </w:t>
      </w:r>
      <w:r>
        <w:rPr>
          <w:rFonts w:hint="eastAsia"/>
          <w:sz w:val="18"/>
          <w:szCs w:val="18"/>
          <w:lang w:val="en-US" w:eastAsia="zh-CN"/>
        </w:rPr>
        <w:t>16</w:t>
      </w:r>
      <w:r>
        <w:rPr>
          <w:rFonts w:hint="eastAsia"/>
          <w:sz w:val="18"/>
          <w:szCs w:val="18"/>
        </w:rPr>
        <w:t>个</w:t>
      </w:r>
    </w:p>
    <w:p w14:paraId="42F8A503">
      <w:pPr>
        <w:pStyle w:val="2"/>
      </w:pPr>
      <w:bookmarkStart w:id="2" w:name="_GoBack"/>
      <w:bookmarkEnd w:id="2"/>
    </w:p>
    <w:p w14:paraId="5FE6D594">
      <w:pPr>
        <w:spacing w:line="240" w:lineRule="atLeast"/>
        <w:ind w:firstLine="422" w:firstLineChars="200"/>
        <w:rPr>
          <w:b/>
        </w:rPr>
      </w:pPr>
      <w:r>
        <w:rPr>
          <w:rFonts w:hint="eastAsia"/>
          <w:b/>
        </w:rPr>
        <w:t>3.2.3 审查阶段</w:t>
      </w:r>
    </w:p>
    <w:p w14:paraId="18BDEC2D">
      <w:pPr>
        <w:spacing w:line="240" w:lineRule="atLeast"/>
        <w:ind w:firstLine="422" w:firstLineChars="200"/>
        <w:rPr>
          <w:b/>
        </w:rPr>
      </w:pPr>
      <w:r>
        <w:rPr>
          <w:rFonts w:hint="eastAsia"/>
          <w:b/>
        </w:rPr>
        <w:t>3.2.3 报批阶段</w:t>
      </w:r>
    </w:p>
    <w:p w14:paraId="5EB54F99">
      <w:pPr>
        <w:ind w:firstLine="420" w:firstLineChars="200"/>
      </w:pPr>
    </w:p>
    <w:p w14:paraId="5287130B">
      <w:pPr>
        <w:rPr>
          <w:b/>
          <w:bCs/>
          <w:sz w:val="28"/>
          <w:szCs w:val="28"/>
        </w:rPr>
      </w:pPr>
      <w:r>
        <w:rPr>
          <w:b/>
          <w:bCs/>
          <w:sz w:val="28"/>
          <w:szCs w:val="28"/>
        </w:rPr>
        <w:t>二、</w:t>
      </w:r>
      <w:r>
        <w:rPr>
          <w:rFonts w:hint="eastAsia"/>
          <w:b/>
          <w:bCs/>
          <w:sz w:val="28"/>
          <w:szCs w:val="28"/>
        </w:rPr>
        <w:t>标准编制原则、主要内容及其确定依据</w:t>
      </w:r>
    </w:p>
    <w:p w14:paraId="2F61AB58">
      <w:pPr>
        <w:pStyle w:val="27"/>
        <w:autoSpaceDE w:val="0"/>
        <w:snapToGrid w:val="0"/>
        <w:spacing w:before="0" w:beforeAutospacing="0" w:after="0" w:afterAutospacing="0" w:line="360" w:lineRule="auto"/>
        <w:rPr>
          <w:rFonts w:cs="宋体"/>
          <w:sz w:val="21"/>
          <w:szCs w:val="21"/>
        </w:rPr>
      </w:pPr>
      <w:r>
        <w:rPr>
          <w:rFonts w:hint="eastAsia" w:ascii="黑体" w:hAnsi="黑体" w:eastAsia="黑体" w:cs="黑体"/>
          <w:sz w:val="21"/>
          <w:szCs w:val="21"/>
        </w:rPr>
        <w:t>一）标准编制原则</w:t>
      </w:r>
    </w:p>
    <w:p w14:paraId="033BA361">
      <w:pPr>
        <w:spacing w:line="240" w:lineRule="atLeast"/>
        <w:ind w:firstLine="422" w:firstLineChars="200"/>
        <w:rPr>
          <w:b/>
          <w:szCs w:val="28"/>
        </w:rPr>
      </w:pPr>
      <w:r>
        <w:rPr>
          <w:rFonts w:hint="eastAsia"/>
          <w:b/>
          <w:szCs w:val="28"/>
          <w:lang w:val="en-US" w:eastAsia="zh-CN"/>
        </w:rPr>
        <w:t>2.1</w:t>
      </w:r>
      <w:r>
        <w:rPr>
          <w:rFonts w:hint="eastAsia"/>
          <w:b/>
          <w:szCs w:val="28"/>
        </w:rPr>
        <w:t>.1符合性</w:t>
      </w:r>
    </w:p>
    <w:p w14:paraId="21B2145A">
      <w:pPr>
        <w:spacing w:line="240" w:lineRule="atLeast"/>
        <w:ind w:firstLine="420" w:firstLineChars="200"/>
        <w:rPr>
          <w:szCs w:val="28"/>
        </w:rPr>
      </w:pPr>
      <w:r>
        <w:rPr>
          <w:rFonts w:hint="eastAsia"/>
          <w:szCs w:val="28"/>
        </w:rPr>
        <w:t>该标准按照</w:t>
      </w:r>
      <w:r>
        <w:rPr>
          <w:szCs w:val="28"/>
        </w:rPr>
        <w:t>GB/T1.1</w:t>
      </w:r>
      <w:r>
        <w:rPr>
          <w:rFonts w:hint="eastAsia"/>
          <w:szCs w:val="28"/>
        </w:rPr>
        <w:t>-</w:t>
      </w:r>
      <w:r>
        <w:rPr>
          <w:szCs w:val="28"/>
        </w:rPr>
        <w:softHyphen/>
      </w:r>
      <w:r>
        <w:rPr>
          <w:szCs w:val="28"/>
        </w:rPr>
        <w:t>202</w:t>
      </w:r>
      <w:r>
        <w:rPr>
          <w:rFonts w:hint="eastAsia"/>
          <w:szCs w:val="28"/>
        </w:rPr>
        <w:t>0 《标准化工作导则第1部分：标准化文件的结构和起草规则》、</w:t>
      </w:r>
      <w:r>
        <w:rPr>
          <w:szCs w:val="28"/>
        </w:rPr>
        <w:t>GB/T 20001.4</w:t>
      </w:r>
      <w:r>
        <w:rPr>
          <w:rFonts w:hint="eastAsia"/>
          <w:szCs w:val="28"/>
        </w:rPr>
        <w:t>-</w:t>
      </w:r>
      <w:r>
        <w:rPr>
          <w:szCs w:val="28"/>
        </w:rPr>
        <w:softHyphen/>
      </w:r>
      <w:r>
        <w:rPr>
          <w:szCs w:val="28"/>
        </w:rPr>
        <w:t>2015</w:t>
      </w:r>
      <w:r>
        <w:rPr>
          <w:rFonts w:hint="eastAsia"/>
          <w:szCs w:val="28"/>
        </w:rPr>
        <w:t>《标准编写规则第4部分：试验方法标准》、</w:t>
      </w:r>
      <w:r>
        <w:rPr>
          <w:szCs w:val="28"/>
        </w:rPr>
        <w:t>GB/T 6379.2</w:t>
      </w:r>
      <w:r>
        <w:rPr>
          <w:rFonts w:hint="eastAsia"/>
          <w:szCs w:val="28"/>
        </w:rPr>
        <w:t>-</w:t>
      </w:r>
      <w:r>
        <w:rPr>
          <w:szCs w:val="28"/>
        </w:rPr>
        <w:softHyphen/>
      </w:r>
      <w:r>
        <w:rPr>
          <w:szCs w:val="28"/>
        </w:rPr>
        <w:t>2004</w:t>
      </w:r>
      <w:r>
        <w:rPr>
          <w:rFonts w:hint="eastAsia"/>
          <w:szCs w:val="28"/>
        </w:rPr>
        <w:t>《测量方法与结果的准确度》的要求进行了编写。</w:t>
      </w:r>
    </w:p>
    <w:p w14:paraId="578F348D">
      <w:pPr>
        <w:spacing w:line="240" w:lineRule="atLeast"/>
        <w:ind w:firstLine="422" w:firstLineChars="200"/>
        <w:rPr>
          <w:b/>
          <w:szCs w:val="28"/>
        </w:rPr>
      </w:pPr>
      <w:r>
        <w:rPr>
          <w:rFonts w:hint="eastAsia"/>
          <w:b/>
          <w:szCs w:val="28"/>
          <w:lang w:val="en-US" w:eastAsia="zh-CN"/>
        </w:rPr>
        <w:t>2.1</w:t>
      </w:r>
      <w:r>
        <w:rPr>
          <w:rFonts w:hint="eastAsia"/>
          <w:b/>
          <w:szCs w:val="28"/>
        </w:rPr>
        <w:t>.2合理性</w:t>
      </w:r>
    </w:p>
    <w:p w14:paraId="4FB23BC5">
      <w:pPr>
        <w:spacing w:line="240" w:lineRule="atLeast"/>
        <w:ind w:firstLine="420" w:firstLineChars="200"/>
        <w:rPr>
          <w:szCs w:val="28"/>
        </w:rPr>
      </w:pPr>
      <w:r>
        <w:rPr>
          <w:rFonts w:hint="eastAsia"/>
          <w:szCs w:val="28"/>
        </w:rPr>
        <w:t>反映当前国内各生产企业的技术水平，宜于应用，经济上合理，兼顾现有资源的合理配置。</w:t>
      </w:r>
    </w:p>
    <w:p w14:paraId="530AE8B0">
      <w:pPr>
        <w:spacing w:line="240" w:lineRule="atLeast"/>
        <w:ind w:firstLine="422" w:firstLineChars="200"/>
        <w:rPr>
          <w:b/>
          <w:szCs w:val="28"/>
        </w:rPr>
      </w:pPr>
      <w:r>
        <w:rPr>
          <w:rFonts w:hint="eastAsia"/>
          <w:b/>
          <w:szCs w:val="28"/>
          <w:lang w:val="en-US" w:eastAsia="zh-CN"/>
        </w:rPr>
        <w:t>2.</w:t>
      </w:r>
      <w:r>
        <w:rPr>
          <w:rFonts w:hint="eastAsia"/>
          <w:b/>
          <w:szCs w:val="28"/>
          <w:lang w:val="en-US" w:eastAsia="zh-CN"/>
        </w:rPr>
        <w:t>1</w:t>
      </w:r>
      <w:r>
        <w:rPr>
          <w:rFonts w:hint="eastAsia"/>
          <w:b/>
          <w:szCs w:val="28"/>
        </w:rPr>
        <w:t>.3先进性</w:t>
      </w:r>
    </w:p>
    <w:p w14:paraId="01554DE2">
      <w:pPr>
        <w:spacing w:line="240" w:lineRule="atLeast"/>
        <w:ind w:firstLine="420" w:firstLineChars="200"/>
        <w:rPr>
          <w:szCs w:val="28"/>
        </w:rPr>
      </w:pPr>
      <w:r>
        <w:rPr>
          <w:rFonts w:hint="eastAsia"/>
          <w:szCs w:val="28"/>
        </w:rPr>
        <w:t>通过充分调研，采用操作简便、精密度和准确好、在行业内普及的分析方法，能很好地满足行业对回收</w:t>
      </w:r>
      <w:r>
        <w:rPr>
          <w:rFonts w:hint="eastAsia" w:ascii="宋体" w:hAnsi="宋体" w:cs="宋体"/>
          <w:szCs w:val="21"/>
        </w:rPr>
        <w:t>锡及锡合金废料</w:t>
      </w:r>
      <w:r>
        <w:rPr>
          <w:rFonts w:hint="eastAsia"/>
          <w:szCs w:val="28"/>
        </w:rPr>
        <w:t>的分析测试需求，提高了本文件的可操作性和先进性。</w:t>
      </w:r>
    </w:p>
    <w:p w14:paraId="6B4FA6DC">
      <w:pPr>
        <w:widowControl/>
        <w:tabs>
          <w:tab w:val="left" w:pos="675"/>
        </w:tabs>
        <w:spacing w:beforeLines="50" w:afterLines="50"/>
        <w:outlineLvl w:val="1"/>
        <w:rPr>
          <w:rFonts w:eastAsia="黑体"/>
          <w:szCs w:val="20"/>
        </w:rPr>
      </w:pPr>
      <w:r>
        <w:rPr>
          <w:rFonts w:hint="eastAsia" w:eastAsia="黑体"/>
          <w:szCs w:val="20"/>
        </w:rPr>
        <w:t>二）标准主要内容及其确定依据</w:t>
      </w:r>
    </w:p>
    <w:p w14:paraId="50599030">
      <w:pPr>
        <w:spacing w:line="240" w:lineRule="atLeast"/>
        <w:ind w:firstLine="422" w:firstLineChars="200"/>
        <w:jc w:val="left"/>
        <w:rPr>
          <w:rFonts w:hint="eastAsia"/>
          <w:b/>
          <w:bCs/>
          <w:kern w:val="0"/>
          <w:lang w:bidi="zh-TW"/>
        </w:rPr>
      </w:pPr>
      <w:r>
        <w:rPr>
          <w:rFonts w:hint="eastAsia"/>
          <w:b/>
          <w:bCs/>
          <w:kern w:val="0"/>
          <w:lang w:val="en-US" w:eastAsia="zh-CN" w:bidi="zh-TW"/>
        </w:rPr>
        <w:t>2</w:t>
      </w:r>
      <w:r>
        <w:rPr>
          <w:rFonts w:hint="eastAsia"/>
          <w:b/>
          <w:bCs/>
          <w:kern w:val="0"/>
          <w:lang w:bidi="zh-TW"/>
        </w:rPr>
        <w:t>.1锡量的测定</w:t>
      </w:r>
    </w:p>
    <w:p w14:paraId="4DB70C7F">
      <w:pPr>
        <w:spacing w:line="240" w:lineRule="atLeast"/>
        <w:ind w:firstLine="422" w:firstLineChars="200"/>
        <w:jc w:val="left"/>
        <w:rPr>
          <w:rFonts w:hint="default" w:eastAsia="宋体"/>
          <w:b/>
          <w:bCs/>
          <w:kern w:val="0"/>
          <w:lang w:val="en-US" w:eastAsia="zh-CN" w:bidi="zh-TW"/>
        </w:rPr>
      </w:pPr>
      <w:r>
        <w:rPr>
          <w:rFonts w:hint="eastAsia"/>
          <w:b/>
          <w:bCs/>
          <w:kern w:val="0"/>
          <w:lang w:val="en-US" w:eastAsia="zh-CN" w:bidi="zh-TW"/>
        </w:rPr>
        <w:t>2.1.1碘酸钾滴定法</w:t>
      </w:r>
    </w:p>
    <w:p w14:paraId="001FFF51">
      <w:pPr>
        <w:pStyle w:val="54"/>
        <w:rPr>
          <w:rFonts w:hint="eastAsia"/>
          <w:kern w:val="0"/>
          <w:lang w:val="zh-TW" w:bidi="zh-TW"/>
        </w:rPr>
      </w:pPr>
      <w:r>
        <w:rPr>
          <w:rFonts w:hint="eastAsia"/>
          <w:kern w:val="0"/>
          <w:lang w:val="zh-TW" w:eastAsia="zh-TW" w:bidi="zh-TW"/>
        </w:rPr>
        <w:t>测定范围：1.00%～80.00%</w:t>
      </w:r>
      <w:r>
        <w:rPr>
          <w:rFonts w:hint="eastAsia"/>
          <w:kern w:val="0"/>
          <w:lang w:val="zh-TW" w:bidi="zh-TW"/>
        </w:rPr>
        <w:t>。</w:t>
      </w:r>
    </w:p>
    <w:p w14:paraId="04D77F07">
      <w:pPr>
        <w:pStyle w:val="54"/>
        <w:rPr>
          <w:rFonts w:hint="eastAsia"/>
          <w:kern w:val="0"/>
          <w:lang w:val="zh-TW" w:eastAsia="zh-TW" w:bidi="zh-TW"/>
        </w:rPr>
      </w:pPr>
      <w:r>
        <w:rPr>
          <w:rFonts w:hint="eastAsia" w:hAnsi="宋体" w:cs="Times New Roman"/>
          <w:szCs w:val="21"/>
        </w:rPr>
        <w:t>主要原理：</w:t>
      </w:r>
      <w:r>
        <w:rPr>
          <w:rFonts w:hint="eastAsia"/>
          <w:kern w:val="0"/>
          <w:lang w:val="zh-TW" w:eastAsia="zh-TW" w:bidi="zh-TW"/>
        </w:rPr>
        <w:t>试料以锌粉－氢氧化钠熔融，盐酸浸取，用铁粉置换分离铜、锑、砷、钨等干扰元素，用铝粒将四价锡还原为二价锡，以淀粉作指示剂，用碘酸钾标准溶液滴定溶液滴定至试液为浅蓝色为终点。</w:t>
      </w:r>
    </w:p>
    <w:p w14:paraId="751C14AD">
      <w:pPr>
        <w:ind w:firstLine="422"/>
        <w:rPr>
          <w:rFonts w:hint="eastAsia" w:eastAsia="宋体"/>
          <w:b/>
          <w:bCs/>
          <w:kern w:val="0"/>
          <w:lang w:val="en-US" w:eastAsia="zh-CN" w:bidi="zh-TW"/>
        </w:rPr>
      </w:pPr>
      <w:r>
        <w:rPr>
          <w:rFonts w:hint="eastAsia"/>
          <w:b/>
          <w:bCs/>
          <w:kern w:val="0"/>
          <w:lang w:val="en-US" w:eastAsia="zh-CN" w:bidi="zh-TW"/>
        </w:rPr>
        <w:t>2.1.2硝酸铅滴定法</w:t>
      </w:r>
    </w:p>
    <w:p w14:paraId="089E1D57">
      <w:pPr>
        <w:spacing w:line="240" w:lineRule="atLeast"/>
        <w:ind w:firstLine="420" w:firstLineChars="200"/>
        <w:jc w:val="left"/>
        <w:rPr>
          <w:rFonts w:hint="eastAsia"/>
          <w:kern w:val="0"/>
          <w:lang w:val="zh-TW" w:bidi="zh-TW"/>
        </w:rPr>
      </w:pPr>
      <w:r>
        <w:rPr>
          <w:rFonts w:hint="eastAsia"/>
          <w:kern w:val="0"/>
          <w:lang w:val="zh-TW" w:eastAsia="zh-TW" w:bidi="zh-TW"/>
        </w:rPr>
        <w:t>测量范围：20.00%～99.00%</w:t>
      </w:r>
      <w:r>
        <w:rPr>
          <w:rFonts w:hint="eastAsia"/>
          <w:kern w:val="0"/>
          <w:lang w:val="zh-TW" w:bidi="zh-TW"/>
        </w:rPr>
        <w:t>。</w:t>
      </w:r>
    </w:p>
    <w:p w14:paraId="484E9706">
      <w:pPr>
        <w:spacing w:line="240" w:lineRule="atLeast"/>
        <w:ind w:firstLine="420" w:firstLineChars="200"/>
        <w:jc w:val="left"/>
        <w:rPr>
          <w:kern w:val="0"/>
          <w:lang w:val="zh-TW" w:eastAsia="zh-TW" w:bidi="zh-TW"/>
        </w:rPr>
      </w:pPr>
      <w:r>
        <w:rPr>
          <w:rFonts w:hint="eastAsia" w:hAnsi="宋体" w:cs="Times New Roman"/>
          <w:szCs w:val="21"/>
        </w:rPr>
        <w:t>主要原理：</w:t>
      </w:r>
      <w:r>
        <w:rPr>
          <w:rFonts w:hint="eastAsia"/>
          <w:kern w:val="0"/>
          <w:lang w:val="zh-TW" w:eastAsia="zh-TW" w:bidi="zh-TW"/>
        </w:rPr>
        <w:t>试料用少量盐酸加稀硝酸分解，在pH1～4，以EDTA络合锡（Ⅳ）等金属离子，加入氟化铵定量地释放出与锡络合的EDTA</w:t>
      </w:r>
      <w:r>
        <w:rPr>
          <w:rFonts w:hint="eastAsia"/>
          <w:kern w:val="0"/>
          <w:lang w:val="zh-TW" w:bidi="zh-TW"/>
        </w:rPr>
        <w:t>，</w:t>
      </w:r>
      <w:r>
        <w:rPr>
          <w:rFonts w:hint="eastAsia"/>
          <w:kern w:val="0"/>
          <w:lang w:val="zh-TW" w:eastAsia="zh-TW" w:bidi="zh-TW"/>
        </w:rPr>
        <w:t>再调节pH5～6，以二甲酚橙为指示剂，用硝酸铅溶液滴定过量的EDTA，用硝酸铅标准溶液滴定至紫红色为终点。</w:t>
      </w:r>
    </w:p>
    <w:p w14:paraId="3E4955D0">
      <w:pPr>
        <w:spacing w:line="240" w:lineRule="atLeast"/>
        <w:ind w:firstLine="422" w:firstLineChars="200"/>
        <w:jc w:val="left"/>
        <w:rPr>
          <w:b/>
          <w:bCs/>
          <w:kern w:val="0"/>
          <w:lang w:bidi="zh-TW"/>
        </w:rPr>
      </w:pPr>
      <w:r>
        <w:rPr>
          <w:rFonts w:hint="eastAsia"/>
          <w:b/>
          <w:bCs/>
          <w:kern w:val="0"/>
          <w:lang w:val="en-US" w:eastAsia="zh-CN" w:bidi="zh-TW"/>
        </w:rPr>
        <w:t>2.2多元素</w:t>
      </w:r>
      <w:r>
        <w:rPr>
          <w:rFonts w:hint="eastAsia"/>
          <w:b/>
          <w:bCs/>
          <w:kern w:val="0"/>
          <w:lang w:bidi="zh-TW"/>
        </w:rPr>
        <w:t>的测定</w:t>
      </w:r>
    </w:p>
    <w:p w14:paraId="26393630">
      <w:pPr>
        <w:adjustRightInd w:val="0"/>
        <w:snapToGrid w:val="0"/>
        <w:spacing w:line="240" w:lineRule="atLeast"/>
        <w:ind w:firstLine="420" w:firstLineChars="200"/>
        <w:jc w:val="left"/>
        <w:rPr>
          <w:rFonts w:hAnsi="宋体"/>
          <w:bCs/>
          <w:szCs w:val="21"/>
        </w:rPr>
      </w:pPr>
      <w:r>
        <w:rPr>
          <w:rFonts w:hint="eastAsia" w:hAnsi="宋体"/>
          <w:bCs/>
          <w:szCs w:val="21"/>
        </w:rPr>
        <w:t>铜、铁、铅、砷测定范围</w:t>
      </w:r>
      <w:r>
        <w:rPr>
          <w:rFonts w:hint="eastAsia" w:hAnsi="宋体"/>
          <w:bCs/>
          <w:szCs w:val="21"/>
          <w:lang w:eastAsia="zh-CN"/>
        </w:rPr>
        <w:t>：</w:t>
      </w:r>
      <w:r>
        <w:rPr>
          <w:rFonts w:hint="eastAsia" w:hAnsi="宋体"/>
          <w:bCs/>
          <w:szCs w:val="21"/>
        </w:rPr>
        <w:t>0.05%～10.00%</w:t>
      </w:r>
      <w:r>
        <w:rPr>
          <w:rFonts w:hint="eastAsia" w:hAnsi="宋体"/>
          <w:bCs/>
          <w:szCs w:val="21"/>
          <w:lang w:eastAsia="zh-CN"/>
        </w:rPr>
        <w:t>；</w:t>
      </w:r>
      <w:r>
        <w:rPr>
          <w:rFonts w:hint="eastAsia" w:hAnsi="宋体"/>
          <w:bCs/>
          <w:szCs w:val="21"/>
        </w:rPr>
        <w:t>锑、铋测定范围</w:t>
      </w:r>
      <w:r>
        <w:rPr>
          <w:rFonts w:hint="eastAsia" w:hAnsi="宋体"/>
          <w:bCs/>
          <w:szCs w:val="21"/>
          <w:lang w:eastAsia="zh-CN"/>
        </w:rPr>
        <w:t>：</w:t>
      </w:r>
      <w:r>
        <w:rPr>
          <w:rFonts w:hint="eastAsia" w:hAnsi="宋体"/>
          <w:bCs/>
          <w:szCs w:val="21"/>
        </w:rPr>
        <w:t>0.05%～5.00%</w:t>
      </w:r>
      <w:r>
        <w:rPr>
          <w:rFonts w:hint="eastAsia" w:hAnsi="宋体"/>
          <w:bCs/>
          <w:szCs w:val="21"/>
          <w:lang w:eastAsia="zh-CN"/>
        </w:rPr>
        <w:t>；</w:t>
      </w:r>
      <w:r>
        <w:rPr>
          <w:rFonts w:hint="eastAsia" w:hAnsi="宋体"/>
          <w:bCs/>
          <w:szCs w:val="21"/>
        </w:rPr>
        <w:t>铟、银、锗测定范围</w:t>
      </w:r>
      <w:r>
        <w:rPr>
          <w:rFonts w:hint="eastAsia" w:hAnsi="宋体"/>
          <w:bCs/>
          <w:szCs w:val="21"/>
          <w:lang w:eastAsia="zh-CN"/>
        </w:rPr>
        <w:t>：</w:t>
      </w:r>
      <w:r>
        <w:rPr>
          <w:rFonts w:hint="eastAsia" w:hAnsi="宋体"/>
          <w:bCs/>
          <w:szCs w:val="21"/>
        </w:rPr>
        <w:t>0.01%～1.00%</w:t>
      </w:r>
      <w:r>
        <w:rPr>
          <w:rFonts w:hint="eastAsia" w:hAnsi="宋体"/>
          <w:bCs/>
          <w:szCs w:val="21"/>
          <w:lang w:eastAsia="zh-CN"/>
        </w:rPr>
        <w:t>；</w:t>
      </w:r>
      <w:r>
        <w:rPr>
          <w:rFonts w:hint="eastAsia" w:hAnsi="宋体"/>
          <w:bCs/>
          <w:szCs w:val="21"/>
        </w:rPr>
        <w:t>锌、镉、镍、钴测定范围</w:t>
      </w:r>
      <w:r>
        <w:rPr>
          <w:rFonts w:hint="eastAsia" w:hAnsi="宋体"/>
          <w:bCs/>
          <w:szCs w:val="21"/>
          <w:lang w:eastAsia="zh-CN"/>
        </w:rPr>
        <w:t>：</w:t>
      </w:r>
      <w:r>
        <w:rPr>
          <w:rFonts w:hint="eastAsia" w:hAnsi="宋体"/>
          <w:bCs/>
          <w:szCs w:val="21"/>
        </w:rPr>
        <w:t>0.05%～2.00%</w:t>
      </w:r>
      <w:r>
        <w:rPr>
          <w:rFonts w:hint="eastAsia" w:hAnsi="宋体"/>
          <w:bCs/>
          <w:szCs w:val="21"/>
          <w:lang w:eastAsia="zh-CN"/>
        </w:rPr>
        <w:t>；</w:t>
      </w:r>
      <w:r>
        <w:rPr>
          <w:rFonts w:hint="eastAsia" w:hAnsi="宋体"/>
          <w:bCs/>
          <w:szCs w:val="21"/>
        </w:rPr>
        <w:t>锡测定范围为0.50%～3.00%</w:t>
      </w:r>
      <w:r>
        <w:rPr>
          <w:rFonts w:hAnsi="宋体"/>
          <w:bCs/>
          <w:szCs w:val="21"/>
        </w:rPr>
        <w:t>。</w:t>
      </w:r>
    </w:p>
    <w:p w14:paraId="2F3919C4">
      <w:pPr>
        <w:adjustRightInd w:val="0"/>
        <w:snapToGrid w:val="0"/>
        <w:spacing w:beforeLines="-2147483648" w:afterLines="-2147483648" w:line="240" w:lineRule="atLeast"/>
        <w:ind w:firstLine="420" w:firstLineChars="200"/>
        <w:jc w:val="left"/>
        <w:rPr>
          <w:rFonts w:hint="eastAsia"/>
          <w:kern w:val="0"/>
          <w:lang w:val="zh-TW" w:eastAsia="zh-TW" w:bidi="zh-TW"/>
        </w:rPr>
      </w:pPr>
      <w:r>
        <w:rPr>
          <w:rFonts w:hint="eastAsia" w:hAnsi="宋体" w:cs="Times New Roman"/>
          <w:szCs w:val="21"/>
        </w:rPr>
        <w:t>主要原理：</w:t>
      </w:r>
      <w:r>
        <w:rPr>
          <w:rFonts w:hint="eastAsia"/>
          <w:kern w:val="0"/>
          <w:lang w:val="zh-TW" w:eastAsia="zh-TW" w:bidi="zh-TW"/>
        </w:rPr>
        <w:t>试料以过氧化钠覆盖于马弗炉中6</w:t>
      </w:r>
      <w:r>
        <w:rPr>
          <w:rFonts w:hint="eastAsia"/>
          <w:kern w:val="0"/>
          <w:lang w:bidi="zh-TW"/>
        </w:rPr>
        <w:t>5</w:t>
      </w:r>
      <w:r>
        <w:rPr>
          <w:rFonts w:hint="eastAsia"/>
          <w:kern w:val="0"/>
          <w:lang w:val="zh-TW" w:eastAsia="zh-TW" w:bidi="zh-TW"/>
        </w:rPr>
        <w:t>0℃熔融10分钟，采用盐酸、硝酸混酸溶解后，在酸介质中，于电感耦合等离子体原子发射光谱仪上测定各元素发射强度，按工作曲线法计算各元素的质量分数。锡的干扰采用基体匹配消除。</w:t>
      </w:r>
    </w:p>
    <w:p w14:paraId="4F8C778E">
      <w:pPr>
        <w:adjustRightInd w:val="0"/>
        <w:snapToGrid w:val="0"/>
        <w:spacing w:beforeLines="-2147483648" w:afterLines="-2147483648" w:line="240" w:lineRule="atLeast"/>
        <w:ind w:firstLine="420" w:firstLineChars="200"/>
        <w:jc w:val="left"/>
        <w:rPr>
          <w:rFonts w:ascii="宋体" w:hAnsi="宋体" w:cs="宋体"/>
          <w:color w:val="000000"/>
          <w:kern w:val="0"/>
          <w:szCs w:val="20"/>
        </w:rPr>
      </w:pPr>
      <w:r>
        <w:rPr>
          <w:rFonts w:hint="eastAsia" w:ascii="宋体" w:hAnsi="宋体" w:cs="宋体"/>
          <w:color w:val="000000"/>
          <w:kern w:val="0"/>
          <w:szCs w:val="20"/>
        </w:rPr>
        <w:t>因此在标准的制定过程中选用</w:t>
      </w:r>
      <w:r>
        <w:rPr>
          <w:rFonts w:hint="eastAsia" w:ascii="宋体" w:hAnsi="宋体" w:cs="宋体"/>
          <w:color w:val="000000"/>
          <w:kern w:val="0"/>
          <w:szCs w:val="20"/>
          <w:lang w:val="en-US" w:eastAsia="zh-CN"/>
        </w:rPr>
        <w:t>10</w:t>
      </w:r>
      <w:r>
        <w:rPr>
          <w:rFonts w:hint="eastAsia" w:ascii="宋体" w:hAnsi="宋体" w:cs="宋体"/>
          <w:color w:val="000000"/>
          <w:kern w:val="0"/>
          <w:szCs w:val="20"/>
        </w:rPr>
        <w:t>个样品，主要对元素的种类</w:t>
      </w:r>
      <w:r>
        <w:rPr>
          <w:rFonts w:hint="eastAsia" w:ascii="宋体" w:hAnsi="宋体" w:cs="宋体"/>
          <w:color w:val="000000"/>
          <w:kern w:val="0"/>
          <w:szCs w:val="20"/>
          <w:lang w:eastAsia="zh-CN"/>
        </w:rPr>
        <w:t>、</w:t>
      </w:r>
      <w:r>
        <w:rPr>
          <w:rFonts w:hint="eastAsia" w:ascii="宋体" w:hAnsi="宋体" w:cs="宋体"/>
          <w:color w:val="000000"/>
          <w:kern w:val="0"/>
          <w:szCs w:val="20"/>
        </w:rPr>
        <w:t>测定范围</w:t>
      </w:r>
      <w:r>
        <w:rPr>
          <w:rFonts w:hint="eastAsia" w:ascii="宋体" w:hAnsi="宋体" w:cs="宋体"/>
          <w:color w:val="000000"/>
          <w:kern w:val="0"/>
          <w:szCs w:val="20"/>
          <w:lang w:eastAsia="zh-CN"/>
        </w:rPr>
        <w:t>、</w:t>
      </w:r>
      <w:r>
        <w:rPr>
          <w:rFonts w:hint="eastAsia" w:ascii="宋体" w:hAnsi="宋体" w:cs="宋体"/>
          <w:color w:val="000000"/>
          <w:kern w:val="0"/>
          <w:szCs w:val="20"/>
        </w:rPr>
        <w:t>样品前处理方法</w:t>
      </w:r>
      <w:r>
        <w:rPr>
          <w:rFonts w:hint="eastAsia" w:ascii="宋体" w:hAnsi="宋体" w:cs="宋体"/>
          <w:color w:val="000000"/>
          <w:kern w:val="0"/>
          <w:szCs w:val="20"/>
          <w:lang w:eastAsia="zh-CN"/>
        </w:rPr>
        <w:t>、</w:t>
      </w:r>
      <w:r>
        <w:rPr>
          <w:rFonts w:hint="eastAsia" w:ascii="宋体" w:hAnsi="宋体" w:cs="宋体"/>
          <w:color w:val="000000"/>
          <w:kern w:val="0"/>
          <w:szCs w:val="20"/>
        </w:rPr>
        <w:t>介质试验</w:t>
      </w:r>
      <w:r>
        <w:rPr>
          <w:rFonts w:hint="eastAsia" w:ascii="宋体" w:hAnsi="宋体" w:cs="宋体"/>
          <w:color w:val="000000"/>
          <w:kern w:val="0"/>
          <w:szCs w:val="20"/>
          <w:lang w:eastAsia="zh-CN"/>
        </w:rPr>
        <w:t>、</w:t>
      </w:r>
      <w:r>
        <w:rPr>
          <w:rFonts w:hint="eastAsia" w:ascii="宋体" w:hAnsi="宋体" w:cs="宋体"/>
          <w:color w:val="000000"/>
          <w:kern w:val="0"/>
          <w:szCs w:val="20"/>
        </w:rPr>
        <w:t>基体干扰试验</w:t>
      </w:r>
      <w:r>
        <w:rPr>
          <w:rFonts w:hint="eastAsia" w:ascii="宋体" w:hAnsi="宋体" w:cs="宋体"/>
          <w:color w:val="000000"/>
          <w:kern w:val="0"/>
          <w:szCs w:val="20"/>
          <w:lang w:eastAsia="zh-CN"/>
        </w:rPr>
        <w:t>、</w:t>
      </w:r>
      <w:r>
        <w:rPr>
          <w:rFonts w:hint="eastAsia" w:ascii="宋体" w:hAnsi="宋体" w:cs="宋体"/>
          <w:color w:val="000000"/>
          <w:kern w:val="0"/>
          <w:szCs w:val="20"/>
        </w:rPr>
        <w:t>精密度</w:t>
      </w:r>
      <w:r>
        <w:rPr>
          <w:rFonts w:hint="eastAsia" w:ascii="宋体" w:hAnsi="宋体" w:cs="宋体"/>
          <w:color w:val="000000"/>
          <w:kern w:val="0"/>
          <w:szCs w:val="20"/>
          <w:lang w:eastAsia="zh-CN"/>
        </w:rPr>
        <w:t>、</w:t>
      </w:r>
      <w:r>
        <w:rPr>
          <w:rFonts w:hint="eastAsia" w:ascii="宋体" w:hAnsi="宋体" w:cs="宋体"/>
          <w:color w:val="000000"/>
          <w:kern w:val="0"/>
          <w:szCs w:val="20"/>
        </w:rPr>
        <w:t>加标回收率等几个方面进行了确认。</w:t>
      </w:r>
      <w:r>
        <w:rPr>
          <w:rFonts w:hint="eastAsia"/>
          <w:kern w:val="0"/>
          <w:lang w:val="zh-TW" w:eastAsia="zh-TW" w:bidi="zh-TW"/>
        </w:rPr>
        <w:t>经实验验证用于回收锡物料中0.011%～10.92%的</w:t>
      </w:r>
      <w:r>
        <w:rPr>
          <w:rFonts w:hint="eastAsia"/>
          <w:kern w:val="0"/>
          <w:lang w:val="en-US" w:eastAsia="zh-CN" w:bidi="zh-TW"/>
        </w:rPr>
        <w:t>多</w:t>
      </w:r>
      <w:r>
        <w:rPr>
          <w:rFonts w:hint="eastAsia"/>
          <w:kern w:val="0"/>
          <w:lang w:val="zh-TW" w:eastAsia="zh-TW" w:bidi="zh-TW"/>
        </w:rPr>
        <w:t>元素铜、铁、铅、砷、锑、铋、铟、银、锌、镉、镍、钴</w:t>
      </w:r>
      <w:r>
        <w:rPr>
          <w:rFonts w:hint="eastAsia"/>
          <w:kern w:val="0"/>
          <w:lang w:val="zh-TW" w:bidi="zh-TW"/>
        </w:rPr>
        <w:t>、</w:t>
      </w:r>
      <w:r>
        <w:rPr>
          <w:rFonts w:hint="eastAsia"/>
          <w:kern w:val="0"/>
          <w:lang w:bidi="zh-TW"/>
        </w:rPr>
        <w:t>锗、锡</w:t>
      </w:r>
      <w:r>
        <w:rPr>
          <w:rFonts w:hint="eastAsia"/>
          <w:kern w:val="0"/>
          <w:lang w:val="zh-TW" w:eastAsia="zh-TW" w:bidi="zh-TW"/>
        </w:rPr>
        <w:t>含量的测定，相对标准偏差（RSD）在0.49%～4.91%之间，加标回收率加标回收率在97.21%～101.77%之间。</w:t>
      </w:r>
    </w:p>
    <w:p w14:paraId="3299A24D">
      <w:pPr>
        <w:widowControl/>
        <w:numPr>
          <w:ilvl w:val="0"/>
          <w:numId w:val="1"/>
        </w:numPr>
        <w:tabs>
          <w:tab w:val="left" w:pos="675"/>
        </w:tabs>
        <w:spacing w:beforeLines="50" w:afterLines="50"/>
        <w:outlineLvl w:val="1"/>
        <w:rPr>
          <w:rFonts w:eastAsia="黑体"/>
          <w:szCs w:val="20"/>
        </w:rPr>
      </w:pPr>
      <w:r>
        <w:rPr>
          <w:rFonts w:hint="eastAsia" w:eastAsia="黑体"/>
          <w:szCs w:val="20"/>
        </w:rPr>
        <w:t>修订前后技术内容对比</w:t>
      </w:r>
    </w:p>
    <w:p w14:paraId="03516987">
      <w:pPr>
        <w:ind w:firstLine="420" w:firstLineChars="200"/>
        <w:rPr>
          <w:rFonts w:hint="eastAsia" w:ascii="宋体" w:hAnsi="宋体" w:eastAsiaTheme="minorEastAsia"/>
          <w:szCs w:val="21"/>
          <w:lang w:val="en-US" w:eastAsia="zh-CN"/>
        </w:rPr>
      </w:pPr>
      <w:r>
        <w:rPr>
          <w:rFonts w:hint="eastAsia" w:ascii="宋体" w:hAnsi="宋体" w:eastAsiaTheme="minorEastAsia"/>
          <w:szCs w:val="21"/>
          <w:lang w:val="en-US" w:eastAsia="zh-CN"/>
        </w:rPr>
        <w:t>修订前后技术内容对比见表3。</w:t>
      </w:r>
    </w:p>
    <w:p w14:paraId="71A552AB">
      <w:pPr>
        <w:spacing w:line="240" w:lineRule="auto"/>
        <w:ind w:left="0" w:leftChars="0" w:firstLine="0" w:firstLineChars="0"/>
        <w:jc w:val="center"/>
        <w:rPr>
          <w:rFonts w:hint="eastAsia" w:asciiTheme="minorEastAsia" w:hAnsiTheme="minorEastAsia" w:eastAsiaTheme="minorEastAsia" w:cstheme="minorEastAsia"/>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3修订前后技术内容对比</w:t>
      </w:r>
      <w:r>
        <w:rPr>
          <w:rFonts w:hint="eastAsia" w:ascii="宋体" w:hAnsi="宋体"/>
          <w:szCs w:val="21"/>
          <w:lang w:val="en-US" w:eastAsia="zh-CN"/>
        </w:rPr>
        <w:t xml:space="preserve">      </w:t>
      </w:r>
      <w:r>
        <w:rPr>
          <w:rFonts w:hint="eastAsia" w:ascii="宋体" w:hAnsi="宋体" w:eastAsiaTheme="minorEastAsia"/>
          <w:szCs w:val="21"/>
          <w:lang w:val="en-US" w:eastAsia="zh-CN"/>
        </w:rPr>
        <w:t xml:space="preserve"> </w:t>
      </w:r>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06"/>
        <w:gridCol w:w="2760"/>
        <w:gridCol w:w="3849"/>
      </w:tblGrid>
      <w:tr w14:paraId="1C1B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85" w:type="dxa"/>
            <w:vAlign w:val="center"/>
          </w:tcPr>
          <w:p w14:paraId="30BD8AC0">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序号</w:t>
            </w:r>
          </w:p>
        </w:tc>
        <w:tc>
          <w:tcPr>
            <w:tcW w:w="1206" w:type="dxa"/>
            <w:vAlign w:val="center"/>
          </w:tcPr>
          <w:p w14:paraId="632D76FF">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修改内容</w:t>
            </w:r>
          </w:p>
        </w:tc>
        <w:tc>
          <w:tcPr>
            <w:tcW w:w="2760" w:type="dxa"/>
            <w:vAlign w:val="center"/>
          </w:tcPr>
          <w:p w14:paraId="1FA4E0DD">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修改前</w:t>
            </w:r>
          </w:p>
        </w:tc>
        <w:tc>
          <w:tcPr>
            <w:tcW w:w="3849" w:type="dxa"/>
            <w:vAlign w:val="center"/>
          </w:tcPr>
          <w:p w14:paraId="45D97999">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修改后</w:t>
            </w:r>
          </w:p>
        </w:tc>
      </w:tr>
      <w:tr w14:paraId="7123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85" w:type="dxa"/>
            <w:vAlign w:val="center"/>
          </w:tcPr>
          <w:p w14:paraId="586C7902">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206" w:type="dxa"/>
            <w:vAlign w:val="center"/>
          </w:tcPr>
          <w:p w14:paraId="0EB0AF04">
            <w:pPr>
              <w:spacing w:line="0" w:lineRule="atLeast"/>
              <w:jc w:val="center"/>
              <w:rPr>
                <w:rFonts w:hint="eastAsia" w:ascii="宋体" w:hAnsi="宋体" w:eastAsia="宋体" w:cs="宋体"/>
                <w:sz w:val="18"/>
                <w:szCs w:val="18"/>
                <w:vertAlign w:val="baseline"/>
              </w:rPr>
            </w:pPr>
            <w:r>
              <w:rPr>
                <w:rFonts w:hint="eastAsia" w:ascii="宋体" w:hAnsi="宋体" w:cs="宋体"/>
                <w:sz w:val="18"/>
                <w:szCs w:val="18"/>
              </w:rPr>
              <w:t>更改了标准名称</w:t>
            </w:r>
          </w:p>
        </w:tc>
        <w:tc>
          <w:tcPr>
            <w:tcW w:w="2760" w:type="dxa"/>
            <w:vAlign w:val="center"/>
          </w:tcPr>
          <w:p w14:paraId="0AB78D66">
            <w:pPr>
              <w:spacing w:line="0" w:lineRule="atLeast"/>
              <w:jc w:val="center"/>
              <w:rPr>
                <w:rFonts w:hint="eastAsia" w:ascii="宋体" w:hAnsi="宋体" w:eastAsia="宋体" w:cs="宋体"/>
                <w:sz w:val="18"/>
                <w:szCs w:val="18"/>
                <w:vertAlign w:val="baseline"/>
              </w:rPr>
            </w:pPr>
            <w:r>
              <w:rPr>
                <w:rFonts w:hint="eastAsia" w:ascii="宋体" w:hAnsi="宋体" w:cs="宋体"/>
                <w:sz w:val="18"/>
                <w:szCs w:val="18"/>
              </w:rPr>
              <w:t>锡及锡合金废料</w:t>
            </w:r>
          </w:p>
        </w:tc>
        <w:tc>
          <w:tcPr>
            <w:tcW w:w="3849" w:type="dxa"/>
            <w:vAlign w:val="center"/>
          </w:tcPr>
          <w:p w14:paraId="69A5FBEA">
            <w:pPr>
              <w:spacing w:line="0" w:lineRule="atLeast"/>
              <w:jc w:val="center"/>
              <w:rPr>
                <w:rFonts w:hint="eastAsia" w:ascii="宋体" w:hAnsi="宋体" w:eastAsia="宋体" w:cs="宋体"/>
                <w:sz w:val="18"/>
                <w:szCs w:val="18"/>
                <w:vertAlign w:val="baseline"/>
              </w:rPr>
            </w:pPr>
            <w:r>
              <w:rPr>
                <w:rFonts w:hint="eastAsia" w:ascii="宋体" w:hAnsi="宋体" w:cs="宋体"/>
                <w:sz w:val="18"/>
                <w:szCs w:val="18"/>
              </w:rPr>
              <w:t>回收锡及锡合金原料</w:t>
            </w:r>
          </w:p>
        </w:tc>
      </w:tr>
      <w:tr w14:paraId="1A73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85" w:type="dxa"/>
            <w:vAlign w:val="center"/>
          </w:tcPr>
          <w:p w14:paraId="746A0D2F">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1206" w:type="dxa"/>
            <w:vAlign w:val="center"/>
          </w:tcPr>
          <w:p w14:paraId="786A80CF">
            <w:pPr>
              <w:spacing w:line="0" w:lineRule="atLeast"/>
              <w:jc w:val="center"/>
              <w:rPr>
                <w:rFonts w:hint="eastAsia" w:ascii="宋体" w:hAnsi="宋体" w:eastAsia="宋体" w:cs="宋体"/>
                <w:sz w:val="18"/>
                <w:szCs w:val="18"/>
                <w:vertAlign w:val="baseline"/>
              </w:rPr>
            </w:pPr>
            <w:r>
              <w:rPr>
                <w:rFonts w:hint="eastAsia" w:ascii="宋体" w:hAnsi="宋体" w:cs="宋体"/>
                <w:sz w:val="18"/>
                <w:szCs w:val="18"/>
              </w:rPr>
              <w:t>更改了</w:t>
            </w:r>
            <w:r>
              <w:rPr>
                <w:rFonts w:hint="eastAsia" w:ascii="宋体" w:hAnsi="宋体" w:cs="宋体"/>
                <w:color w:val="000000" w:themeColor="text1"/>
                <w:sz w:val="18"/>
                <w:szCs w:val="18"/>
              </w:rPr>
              <w:t>适用范围</w:t>
            </w:r>
          </w:p>
        </w:tc>
        <w:tc>
          <w:tcPr>
            <w:tcW w:w="2760" w:type="dxa"/>
            <w:vAlign w:val="center"/>
          </w:tcPr>
          <w:p w14:paraId="6DD27EE9">
            <w:pPr>
              <w:spacing w:line="0" w:lineRule="atLeast"/>
              <w:jc w:val="both"/>
              <w:rPr>
                <w:rFonts w:hint="eastAsia" w:ascii="宋体" w:hAnsi="宋体" w:eastAsia="宋体" w:cs="宋体"/>
                <w:sz w:val="18"/>
                <w:szCs w:val="18"/>
                <w:vertAlign w:val="baseline"/>
                <w:lang w:val="en-US" w:eastAsia="zh-CN"/>
              </w:rPr>
            </w:pPr>
            <w:r>
              <w:rPr>
                <w:rFonts w:ascii="宋体" w:hAnsi="宋体" w:eastAsia="宋体" w:cs="宋体"/>
                <w:sz w:val="18"/>
                <w:szCs w:val="18"/>
              </w:rPr>
              <w:t>本标准适用于锡及锡合金废料的国内外贸易、再生有色金属熔炼企业，也适用于加工制造企业产生的锡及锡合金废料。</w:t>
            </w:r>
          </w:p>
        </w:tc>
        <w:tc>
          <w:tcPr>
            <w:tcW w:w="3849" w:type="dxa"/>
            <w:vAlign w:val="center"/>
          </w:tcPr>
          <w:p w14:paraId="33E2CB02">
            <w:pPr>
              <w:spacing w:line="0" w:lineRule="atLeast"/>
              <w:jc w:val="left"/>
              <w:rPr>
                <w:rFonts w:hint="eastAsia" w:ascii="宋体" w:hAnsi="宋体" w:eastAsia="宋体" w:cs="宋体"/>
                <w:sz w:val="18"/>
                <w:szCs w:val="18"/>
                <w:vertAlign w:val="baseline"/>
              </w:rPr>
            </w:pPr>
            <w:r>
              <w:rPr>
                <w:rFonts w:hint="eastAsia" w:ascii="宋体" w:hAnsi="宋体" w:cs="宋体"/>
                <w:color w:val="000000" w:themeColor="text1"/>
                <w:sz w:val="18"/>
                <w:szCs w:val="18"/>
              </w:rPr>
              <w:t>本文件适用于回收锡及锡合金原料的回收、贸易与利用</w:t>
            </w:r>
            <w:r>
              <w:rPr>
                <w:rFonts w:hint="eastAsia" w:ascii="宋体" w:hAnsi="宋体" w:cs="宋体"/>
                <w:color w:val="000000" w:themeColor="text1"/>
                <w:sz w:val="18"/>
                <w:szCs w:val="18"/>
                <w:lang w:eastAsia="zh-CN"/>
              </w:rPr>
              <w:t>。</w:t>
            </w:r>
          </w:p>
        </w:tc>
      </w:tr>
      <w:tr w14:paraId="3C1B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85" w:type="dxa"/>
            <w:vAlign w:val="center"/>
          </w:tcPr>
          <w:p w14:paraId="2D8846FB">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1206" w:type="dxa"/>
            <w:vAlign w:val="center"/>
          </w:tcPr>
          <w:p w14:paraId="25A7BCDD">
            <w:pPr>
              <w:spacing w:line="0" w:lineRule="atLeast"/>
              <w:jc w:val="center"/>
              <w:rPr>
                <w:rFonts w:hint="eastAsia" w:ascii="宋体" w:hAnsi="宋体" w:eastAsia="宋体" w:cs="宋体"/>
                <w:sz w:val="18"/>
                <w:szCs w:val="18"/>
                <w:vertAlign w:val="baseline"/>
              </w:rPr>
            </w:pPr>
            <w:r>
              <w:rPr>
                <w:rFonts w:hint="eastAsia" w:ascii="宋体" w:hAnsi="宋体" w:eastAsia="宋体" w:cs="宋体"/>
                <w:color w:val="000000" w:themeColor="text1"/>
                <w:sz w:val="18"/>
                <w:szCs w:val="18"/>
              </w:rPr>
              <w:t>更改了回收锡及锡合金原料的分类</w:t>
            </w:r>
          </w:p>
        </w:tc>
        <w:tc>
          <w:tcPr>
            <w:tcW w:w="2760" w:type="dxa"/>
            <w:vAlign w:val="center"/>
          </w:tcPr>
          <w:p w14:paraId="5CDC0B06">
            <w:pPr>
              <w:spacing w:line="0" w:lineRule="atLeast"/>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部分内容缺失</w:t>
            </w:r>
          </w:p>
        </w:tc>
        <w:tc>
          <w:tcPr>
            <w:tcW w:w="3849" w:type="dxa"/>
            <w:vAlign w:val="center"/>
          </w:tcPr>
          <w:p w14:paraId="70217D0A">
            <w:pPr>
              <w:spacing w:line="0" w:lineRule="atLeast"/>
              <w:jc w:val="left"/>
              <w:rPr>
                <w:rFonts w:hint="eastAsia" w:ascii="宋体" w:hAnsi="宋体" w:eastAsia="宋体" w:cs="宋体"/>
                <w:sz w:val="18"/>
                <w:szCs w:val="18"/>
                <w:vertAlign w:val="baseline"/>
              </w:rPr>
            </w:pPr>
            <w:r>
              <w:rPr>
                <w:rFonts w:hint="eastAsia" w:ascii="宋体" w:hAnsi="宋体" w:eastAsia="宋体" w:cs="宋体"/>
                <w:color w:val="000000" w:themeColor="text1"/>
                <w:sz w:val="18"/>
                <w:szCs w:val="18"/>
              </w:rPr>
              <w:t>新增</w:t>
            </w:r>
            <w:r>
              <w:rPr>
                <w:rFonts w:hint="eastAsia" w:ascii="宋体" w:hAnsi="宋体" w:cs="宋体"/>
                <w:sz w:val="18"/>
                <w:szCs w:val="18"/>
              </w:rPr>
              <w:t>回收锡及锡合金渣、尘、泥料组别中的种类，</w:t>
            </w:r>
            <w:r>
              <w:rPr>
                <w:rFonts w:hint="eastAsia" w:ascii="宋体" w:hAnsi="宋体" w:cs="宋体"/>
                <w:kern w:val="0"/>
                <w:sz w:val="18"/>
                <w:szCs w:val="18"/>
              </w:rPr>
              <w:t>更改了</w:t>
            </w:r>
            <w:r>
              <w:rPr>
                <w:rFonts w:hint="eastAsia" w:ascii="宋体" w:hAnsi="宋体" w:cs="宋体"/>
                <w:sz w:val="18"/>
                <w:szCs w:val="18"/>
              </w:rPr>
              <w:t>精炼渣、锡尘、锡泥种类的含锡要</w:t>
            </w:r>
            <w:r>
              <w:rPr>
                <w:rFonts w:hint="eastAsia" w:ascii="宋体" w:hAnsi="宋体" w:cs="宋体"/>
                <w:sz w:val="18"/>
                <w:szCs w:val="18"/>
                <w:lang w:val="en-US" w:eastAsia="zh-CN"/>
              </w:rPr>
              <w:t>求。</w:t>
            </w:r>
          </w:p>
        </w:tc>
      </w:tr>
      <w:tr w14:paraId="6349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85" w:type="dxa"/>
            <w:vAlign w:val="center"/>
          </w:tcPr>
          <w:p w14:paraId="585AA42E">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1206" w:type="dxa"/>
            <w:vAlign w:val="center"/>
          </w:tcPr>
          <w:p w14:paraId="378B475C">
            <w:pPr>
              <w:spacing w:line="0" w:lineRule="atLeast"/>
              <w:jc w:val="center"/>
              <w:rPr>
                <w:rFonts w:hint="eastAsia" w:ascii="宋体" w:hAnsi="宋体" w:eastAsia="宋体" w:cs="宋体"/>
                <w:sz w:val="18"/>
                <w:szCs w:val="18"/>
                <w:vertAlign w:val="baseline"/>
              </w:rPr>
            </w:pPr>
            <w:r>
              <w:rPr>
                <w:rFonts w:hint="eastAsia" w:ascii="宋体" w:hAnsi="宋体" w:eastAsia="宋体" w:cs="宋体"/>
                <w:color w:val="000000" w:themeColor="text1"/>
                <w:sz w:val="18"/>
                <w:szCs w:val="18"/>
              </w:rPr>
              <w:t>更改了技术要求</w:t>
            </w:r>
          </w:p>
        </w:tc>
        <w:tc>
          <w:tcPr>
            <w:tcW w:w="2760" w:type="dxa"/>
            <w:vAlign w:val="center"/>
          </w:tcPr>
          <w:p w14:paraId="64394A1C">
            <w:pPr>
              <w:spacing w:line="0" w:lineRule="atLeast"/>
              <w:jc w:val="both"/>
              <w:rPr>
                <w:rFonts w:ascii="宋体" w:hAnsi="宋体" w:eastAsia="宋体" w:cs="宋体"/>
                <w:sz w:val="18"/>
                <w:szCs w:val="18"/>
              </w:rPr>
            </w:pPr>
            <w:r>
              <w:rPr>
                <w:rFonts w:ascii="宋体" w:hAnsi="宋体" w:eastAsia="宋体" w:cs="宋体"/>
                <w:sz w:val="18"/>
                <w:szCs w:val="18"/>
              </w:rPr>
              <w:t>4 要求</w:t>
            </w:r>
            <w:r>
              <w:rPr>
                <w:rFonts w:ascii="宋体" w:hAnsi="宋体" w:eastAsia="宋体" w:cs="宋体"/>
                <w:sz w:val="18"/>
                <w:szCs w:val="18"/>
              </w:rPr>
              <w:br w:type="textWrapping"/>
            </w:r>
            <w:r>
              <w:rPr>
                <w:rFonts w:ascii="宋体" w:hAnsi="宋体" w:eastAsia="宋体" w:cs="宋体"/>
                <w:sz w:val="18"/>
                <w:szCs w:val="18"/>
              </w:rPr>
              <w:t>4.1 锡及锡合金废料应按本标准规定的类别、组别和级别进行回收和贸易，不同的类别、组别和级别不应相互混合。本标准未列入的其他锡废料归入相近的类别中。</w:t>
            </w:r>
          </w:p>
          <w:p w14:paraId="03CFA7B5">
            <w:pPr>
              <w:spacing w:line="0" w:lineRule="atLeast"/>
              <w:jc w:val="both"/>
              <w:rPr>
                <w:rFonts w:ascii="宋体" w:hAnsi="宋体" w:eastAsia="宋体" w:cs="宋体"/>
                <w:sz w:val="18"/>
                <w:szCs w:val="18"/>
              </w:rPr>
            </w:pPr>
            <w:r>
              <w:rPr>
                <w:rFonts w:ascii="宋体" w:hAnsi="宋体" w:eastAsia="宋体" w:cs="宋体"/>
                <w:sz w:val="18"/>
                <w:szCs w:val="18"/>
              </w:rPr>
              <w:t>4.2 锡及锡合金废料中不允许混有密封容器、易燃、易爆物品、有毒、腐蚀性、医疗废物和带有放射性物品。</w:t>
            </w:r>
          </w:p>
          <w:p w14:paraId="150B4849">
            <w:pPr>
              <w:spacing w:line="0" w:lineRule="atLeast"/>
              <w:jc w:val="both"/>
              <w:rPr>
                <w:rFonts w:ascii="宋体" w:hAnsi="宋体" w:eastAsia="宋体" w:cs="宋体"/>
                <w:sz w:val="18"/>
                <w:szCs w:val="18"/>
              </w:rPr>
            </w:pPr>
            <w:r>
              <w:rPr>
                <w:rFonts w:ascii="宋体" w:hAnsi="宋体" w:eastAsia="宋体" w:cs="宋体"/>
                <w:sz w:val="18"/>
                <w:szCs w:val="18"/>
              </w:rPr>
              <w:t>4.3 含锡的废旧武器零部件应由供方做安全检查处理方可供货。</w:t>
            </w:r>
          </w:p>
          <w:p w14:paraId="526B725B">
            <w:pPr>
              <w:spacing w:line="0" w:lineRule="atLeast"/>
              <w:jc w:val="both"/>
              <w:rPr>
                <w:rFonts w:ascii="宋体" w:hAnsi="宋体" w:eastAsia="宋体" w:cs="宋体"/>
                <w:sz w:val="18"/>
                <w:szCs w:val="18"/>
              </w:rPr>
            </w:pPr>
            <w:r>
              <w:rPr>
                <w:rFonts w:ascii="宋体" w:hAnsi="宋体" w:eastAsia="宋体" w:cs="宋体"/>
                <w:sz w:val="18"/>
                <w:szCs w:val="18"/>
              </w:rPr>
              <w:t>4.4 混入废锡的国家文物，应按照国家有关规定处理。</w:t>
            </w:r>
          </w:p>
          <w:p w14:paraId="48442EAA">
            <w:pPr>
              <w:spacing w:line="0" w:lineRule="atLeast"/>
              <w:jc w:val="both"/>
              <w:rPr>
                <w:rFonts w:ascii="宋体" w:hAnsi="宋体" w:eastAsia="宋体" w:cs="宋体"/>
                <w:sz w:val="18"/>
                <w:szCs w:val="18"/>
              </w:rPr>
            </w:pPr>
            <w:r>
              <w:rPr>
                <w:rFonts w:ascii="宋体" w:hAnsi="宋体" w:eastAsia="宋体" w:cs="宋体"/>
                <w:sz w:val="18"/>
                <w:szCs w:val="18"/>
              </w:rPr>
              <w:t>4.5 锡及锡合金废料表面的杂物应予以清除。</w:t>
            </w:r>
          </w:p>
          <w:p w14:paraId="64843B37">
            <w:pPr>
              <w:spacing w:line="0" w:lineRule="atLeast"/>
              <w:jc w:val="both"/>
              <w:rPr>
                <w:rFonts w:ascii="宋体" w:hAnsi="宋体" w:eastAsia="宋体" w:cs="宋体"/>
                <w:sz w:val="18"/>
                <w:szCs w:val="18"/>
              </w:rPr>
            </w:pPr>
            <w:r>
              <w:rPr>
                <w:rFonts w:ascii="宋体" w:hAnsi="宋体" w:eastAsia="宋体" w:cs="宋体"/>
                <w:sz w:val="18"/>
                <w:szCs w:val="18"/>
              </w:rPr>
              <w:t>4.6 锡及锡合金块状废料的最大外形尺寸，本标准不作具体规定，但可在不妨碍运输的情况下，由供需双方协商确定，并在合同中注明。</w:t>
            </w:r>
          </w:p>
          <w:p w14:paraId="3E9BFC69">
            <w:pPr>
              <w:spacing w:line="0" w:lineRule="atLeast"/>
              <w:jc w:val="both"/>
              <w:rPr>
                <w:rFonts w:hint="eastAsia" w:ascii="宋体" w:hAnsi="宋体" w:eastAsia="宋体" w:cs="宋体"/>
                <w:sz w:val="18"/>
                <w:szCs w:val="18"/>
                <w:vertAlign w:val="baseline"/>
              </w:rPr>
            </w:pPr>
            <w:r>
              <w:rPr>
                <w:rFonts w:ascii="宋体" w:hAnsi="宋体" w:eastAsia="宋体" w:cs="宋体"/>
                <w:sz w:val="18"/>
                <w:szCs w:val="18"/>
              </w:rPr>
              <w:t>4.7 需方有其他特殊要求时可由供需双方商定，并在合同中注明。</w:t>
            </w:r>
          </w:p>
        </w:tc>
        <w:tc>
          <w:tcPr>
            <w:tcW w:w="3849" w:type="dxa"/>
            <w:vAlign w:val="center"/>
          </w:tcPr>
          <w:p w14:paraId="01D9E271">
            <w:pPr>
              <w:spacing w:line="0" w:lineRule="atLeast"/>
              <w:jc w:val="left"/>
              <w:rPr>
                <w:rFonts w:hint="eastAsia" w:ascii="宋体" w:hAnsi="宋体" w:eastAsia="宋体" w:cs="宋体"/>
                <w:sz w:val="18"/>
                <w:szCs w:val="18"/>
                <w:vertAlign w:val="baseline"/>
              </w:rPr>
            </w:pPr>
            <w:r>
              <w:rPr>
                <w:rFonts w:ascii="宋体" w:hAnsi="宋体" w:eastAsia="宋体" w:cs="宋体"/>
                <w:sz w:val="18"/>
                <w:szCs w:val="18"/>
              </w:rPr>
              <w:t>5 技术要求</w:t>
            </w:r>
            <w:r>
              <w:rPr>
                <w:rFonts w:ascii="宋体" w:hAnsi="宋体" w:eastAsia="宋体" w:cs="宋体"/>
                <w:sz w:val="18"/>
                <w:szCs w:val="18"/>
              </w:rPr>
              <w:br w:type="textWrapping"/>
            </w:r>
            <w:r>
              <w:rPr>
                <w:rFonts w:ascii="宋体" w:hAnsi="宋体" w:eastAsia="宋体" w:cs="宋体"/>
                <w:sz w:val="18"/>
                <w:szCs w:val="18"/>
              </w:rPr>
              <w:t>5.1 外观质量</w:t>
            </w:r>
            <w:r>
              <w:rPr>
                <w:rFonts w:ascii="宋体" w:hAnsi="宋体" w:eastAsia="宋体" w:cs="宋体"/>
                <w:sz w:val="18"/>
                <w:szCs w:val="18"/>
              </w:rPr>
              <w:br w:type="textWrapping"/>
            </w:r>
            <w:r>
              <w:rPr>
                <w:rFonts w:ascii="宋体" w:hAnsi="宋体" w:eastAsia="宋体" w:cs="宋体"/>
                <w:sz w:val="18"/>
                <w:szCs w:val="18"/>
              </w:rPr>
              <w:t>回收原料的外观应干净，无明显夹杂物。</w:t>
            </w:r>
            <w:r>
              <w:rPr>
                <w:rFonts w:ascii="宋体" w:hAnsi="宋体" w:eastAsia="宋体" w:cs="宋体"/>
                <w:sz w:val="18"/>
                <w:szCs w:val="18"/>
              </w:rPr>
              <w:br w:type="textWrapping"/>
            </w:r>
            <w:r>
              <w:rPr>
                <w:rFonts w:ascii="宋体" w:hAnsi="宋体" w:eastAsia="宋体" w:cs="宋体"/>
                <w:sz w:val="18"/>
                <w:szCs w:val="18"/>
              </w:rPr>
              <w:t>5.2 放射性污染物</w:t>
            </w:r>
            <w:r>
              <w:rPr>
                <w:rFonts w:ascii="宋体" w:hAnsi="宋体" w:eastAsia="宋体" w:cs="宋体"/>
                <w:sz w:val="18"/>
                <w:szCs w:val="18"/>
              </w:rPr>
              <w:br w:type="textWrapping"/>
            </w:r>
            <w:r>
              <w:rPr>
                <w:rFonts w:ascii="宋体" w:hAnsi="宋体" w:eastAsia="宋体" w:cs="宋体"/>
                <w:sz w:val="18"/>
                <w:szCs w:val="18"/>
              </w:rPr>
              <w:t>回收原料中不应混有放射性物质。</w:t>
            </w:r>
            <w:r>
              <w:rPr>
                <w:rFonts w:ascii="宋体" w:hAnsi="宋体" w:eastAsia="宋体" w:cs="宋体"/>
                <w:sz w:val="18"/>
                <w:szCs w:val="18"/>
              </w:rPr>
              <w:br w:type="textWrapping"/>
            </w:r>
            <w:r>
              <w:rPr>
                <w:rFonts w:ascii="宋体" w:hAnsi="宋体" w:eastAsia="宋体" w:cs="宋体"/>
                <w:sz w:val="18"/>
                <w:szCs w:val="18"/>
              </w:rPr>
              <w:t>5.3 危险废物</w:t>
            </w:r>
            <w:r>
              <w:rPr>
                <w:rFonts w:ascii="宋体" w:hAnsi="宋体" w:eastAsia="宋体" w:cs="宋体"/>
                <w:sz w:val="18"/>
                <w:szCs w:val="18"/>
              </w:rPr>
              <w:br w:type="textWrapping"/>
            </w:r>
            <w:r>
              <w:rPr>
                <w:rFonts w:ascii="宋体" w:hAnsi="宋体" w:eastAsia="宋体" w:cs="宋体"/>
                <w:sz w:val="18"/>
                <w:szCs w:val="18"/>
              </w:rPr>
              <w:t>5.3.1回收原料中不应混有易燃、易爆、有毒、有腐蚀性等国家法规规定的危险物质。</w:t>
            </w:r>
            <w:r>
              <w:rPr>
                <w:rFonts w:ascii="宋体" w:hAnsi="宋体" w:eastAsia="宋体" w:cs="宋体"/>
                <w:sz w:val="18"/>
                <w:szCs w:val="18"/>
              </w:rPr>
              <w:br w:type="textWrapping"/>
            </w:r>
            <w:r>
              <w:rPr>
                <w:rFonts w:ascii="宋体" w:hAnsi="宋体" w:eastAsia="宋体" w:cs="宋体"/>
                <w:sz w:val="18"/>
                <w:szCs w:val="18"/>
              </w:rPr>
              <w:t>5.3.2回收原料中不应混有医疗废物、密封容器、废弃炸弹等其他危险废物。</w:t>
            </w:r>
            <w:r>
              <w:rPr>
                <w:rFonts w:ascii="宋体" w:hAnsi="宋体" w:eastAsia="宋体" w:cs="宋体"/>
                <w:sz w:val="18"/>
                <w:szCs w:val="18"/>
              </w:rPr>
              <w:br w:type="textWrapping"/>
            </w:r>
            <w:r>
              <w:rPr>
                <w:rFonts w:ascii="宋体" w:hAnsi="宋体" w:eastAsia="宋体" w:cs="宋体"/>
                <w:sz w:val="18"/>
                <w:szCs w:val="18"/>
              </w:rPr>
              <w:t>5.4 夹杂物</w:t>
            </w:r>
            <w:r>
              <w:rPr>
                <w:rFonts w:ascii="宋体" w:hAnsi="宋体" w:eastAsia="宋体" w:cs="宋体"/>
                <w:sz w:val="18"/>
                <w:szCs w:val="18"/>
              </w:rPr>
              <w:br w:type="textWrapping"/>
            </w:r>
            <w:r>
              <w:rPr>
                <w:rFonts w:ascii="宋体" w:hAnsi="宋体" w:eastAsia="宋体" w:cs="宋体"/>
                <w:sz w:val="18"/>
                <w:szCs w:val="18"/>
              </w:rPr>
              <w:t>回收原料中夹杂物含量要求应符合表1的规定，其中夹杂和沾染的粉状物(粉尘、污泥、油污、结晶盐、金属氧化物、纤维末等)的质量分数应不大于1.0%。</w:t>
            </w:r>
            <w:r>
              <w:rPr>
                <w:rFonts w:ascii="宋体" w:hAnsi="宋体" w:eastAsia="宋体" w:cs="宋体"/>
                <w:sz w:val="18"/>
                <w:szCs w:val="18"/>
              </w:rPr>
              <w:br w:type="textWrapping"/>
            </w:r>
            <w:r>
              <w:rPr>
                <w:rFonts w:ascii="宋体" w:hAnsi="宋体" w:eastAsia="宋体" w:cs="宋体"/>
                <w:sz w:val="18"/>
                <w:szCs w:val="18"/>
              </w:rPr>
              <w:t>5.5 挥发物</w:t>
            </w:r>
            <w:r>
              <w:rPr>
                <w:rFonts w:ascii="宋体" w:hAnsi="宋体" w:eastAsia="宋体" w:cs="宋体"/>
                <w:sz w:val="18"/>
                <w:szCs w:val="18"/>
              </w:rPr>
              <w:br w:type="textWrapping"/>
            </w:r>
            <w:r>
              <w:rPr>
                <w:rFonts w:ascii="宋体" w:hAnsi="宋体" w:eastAsia="宋体" w:cs="宋体"/>
                <w:sz w:val="18"/>
                <w:szCs w:val="18"/>
              </w:rPr>
              <w:t>回收原料的挥发物中的水分应由供需双方协商。</w:t>
            </w:r>
            <w:r>
              <w:rPr>
                <w:rFonts w:ascii="宋体" w:hAnsi="宋体" w:eastAsia="宋体" w:cs="宋体"/>
                <w:sz w:val="18"/>
                <w:szCs w:val="18"/>
              </w:rPr>
              <w:br w:type="textWrapping"/>
            </w:r>
            <w:r>
              <w:rPr>
                <w:rFonts w:ascii="宋体" w:hAnsi="宋体" w:eastAsia="宋体" w:cs="宋体"/>
                <w:sz w:val="18"/>
                <w:szCs w:val="18"/>
              </w:rPr>
              <w:t>5.6 化学成分</w:t>
            </w:r>
            <w:r>
              <w:rPr>
                <w:rFonts w:ascii="宋体" w:hAnsi="宋体" w:eastAsia="宋体" w:cs="宋体"/>
                <w:sz w:val="18"/>
                <w:szCs w:val="18"/>
              </w:rPr>
              <w:br w:type="textWrapping"/>
            </w:r>
            <w:r>
              <w:rPr>
                <w:rFonts w:ascii="宋体" w:hAnsi="宋体" w:eastAsia="宋体" w:cs="宋体"/>
                <w:sz w:val="18"/>
                <w:szCs w:val="18"/>
              </w:rPr>
              <w:t>回收原料中锡的化学成分含量应符合表1的规定。</w:t>
            </w:r>
            <w:r>
              <w:rPr>
                <w:rFonts w:ascii="宋体" w:hAnsi="宋体" w:eastAsia="宋体" w:cs="宋体"/>
                <w:sz w:val="18"/>
                <w:szCs w:val="18"/>
              </w:rPr>
              <w:br w:type="textWrapping"/>
            </w:r>
            <w:r>
              <w:rPr>
                <w:rFonts w:ascii="宋体" w:hAnsi="宋体" w:eastAsia="宋体" w:cs="宋体"/>
                <w:sz w:val="18"/>
                <w:szCs w:val="18"/>
              </w:rPr>
              <w:t>5.7 其他要求</w:t>
            </w:r>
            <w:r>
              <w:rPr>
                <w:rFonts w:ascii="宋体" w:hAnsi="宋体" w:eastAsia="宋体" w:cs="宋体"/>
                <w:sz w:val="18"/>
                <w:szCs w:val="18"/>
              </w:rPr>
              <w:br w:type="textWrapping"/>
            </w:r>
            <w:r>
              <w:rPr>
                <w:rFonts w:ascii="宋体" w:hAnsi="宋体" w:eastAsia="宋体" w:cs="宋体"/>
                <w:sz w:val="18"/>
                <w:szCs w:val="18"/>
              </w:rPr>
              <w:t>5.7.1混入回收原料的国家文物，应按照国家有关规定处理。</w:t>
            </w:r>
            <w:r>
              <w:rPr>
                <w:rFonts w:ascii="宋体" w:hAnsi="宋体" w:eastAsia="宋体" w:cs="宋体"/>
                <w:sz w:val="18"/>
                <w:szCs w:val="18"/>
              </w:rPr>
              <w:br w:type="textWrapping"/>
            </w:r>
            <w:r>
              <w:rPr>
                <w:rFonts w:ascii="宋体" w:hAnsi="宋体" w:eastAsia="宋体" w:cs="宋体"/>
                <w:sz w:val="18"/>
                <w:szCs w:val="18"/>
              </w:rPr>
              <w:t>5.7.2回收原料的形状和尺寸，本文件不作具体规定，应在不妨碍运输的情况下，由供需双方协商确定，并在订货单中注明。</w:t>
            </w:r>
            <w:r>
              <w:rPr>
                <w:rFonts w:ascii="宋体" w:hAnsi="宋体" w:eastAsia="宋体" w:cs="宋体"/>
                <w:sz w:val="18"/>
                <w:szCs w:val="18"/>
              </w:rPr>
              <w:br w:type="textWrapping"/>
            </w:r>
            <w:r>
              <w:rPr>
                <w:rFonts w:ascii="宋体" w:hAnsi="宋体" w:eastAsia="宋体" w:cs="宋体"/>
                <w:sz w:val="18"/>
                <w:szCs w:val="18"/>
              </w:rPr>
              <w:t>5.7.3如需方有其他特殊要求时，由供需双方协商确定，并在订货单中注明。</w:t>
            </w:r>
          </w:p>
        </w:tc>
      </w:tr>
      <w:tr w14:paraId="25CA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85" w:type="dxa"/>
            <w:vAlign w:val="center"/>
          </w:tcPr>
          <w:p w14:paraId="22C5104A">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1206" w:type="dxa"/>
            <w:vAlign w:val="center"/>
          </w:tcPr>
          <w:p w14:paraId="5457B49A">
            <w:pPr>
              <w:spacing w:line="0" w:lineRule="atLeast"/>
              <w:jc w:val="center"/>
              <w:rPr>
                <w:rFonts w:hint="eastAsia" w:ascii="宋体" w:hAnsi="宋体" w:eastAsia="宋体" w:cs="宋体"/>
                <w:sz w:val="18"/>
                <w:szCs w:val="18"/>
                <w:vertAlign w:val="baseline"/>
              </w:rPr>
            </w:pPr>
            <w:r>
              <w:rPr>
                <w:rFonts w:hint="eastAsia" w:ascii="宋体" w:hAnsi="宋体" w:eastAsia="宋体" w:cs="宋体"/>
                <w:color w:val="000000" w:themeColor="text1"/>
                <w:sz w:val="18"/>
                <w:szCs w:val="18"/>
              </w:rPr>
              <w:t>更改了</w:t>
            </w:r>
            <w:r>
              <w:rPr>
                <w:rFonts w:hint="eastAsia" w:ascii="宋体" w:hAnsi="宋体" w:eastAsia="宋体" w:cs="宋体"/>
                <w:sz w:val="18"/>
                <w:szCs w:val="18"/>
              </w:rPr>
              <w:t>试验方法</w:t>
            </w:r>
          </w:p>
        </w:tc>
        <w:tc>
          <w:tcPr>
            <w:tcW w:w="2760" w:type="dxa"/>
            <w:vAlign w:val="center"/>
          </w:tcPr>
          <w:p w14:paraId="141CF054">
            <w:pPr>
              <w:spacing w:line="0" w:lineRule="atLeast"/>
              <w:jc w:val="left"/>
              <w:rPr>
                <w:rFonts w:ascii="宋体" w:hAnsi="宋体" w:eastAsia="宋体" w:cs="宋体"/>
                <w:sz w:val="18"/>
                <w:szCs w:val="18"/>
              </w:rPr>
            </w:pPr>
            <w:r>
              <w:rPr>
                <w:rFonts w:ascii="宋体" w:hAnsi="宋体" w:eastAsia="宋体" w:cs="宋体"/>
                <w:sz w:val="18"/>
                <w:szCs w:val="18"/>
              </w:rPr>
              <w:t>5 试验方法</w:t>
            </w:r>
            <w:r>
              <w:rPr>
                <w:rFonts w:ascii="宋体" w:hAnsi="宋体" w:eastAsia="宋体" w:cs="宋体"/>
                <w:sz w:val="18"/>
                <w:szCs w:val="18"/>
              </w:rPr>
              <w:br w:type="textWrapping"/>
            </w:r>
            <w:r>
              <w:rPr>
                <w:rFonts w:ascii="宋体" w:hAnsi="宋体" w:eastAsia="宋体" w:cs="宋体"/>
                <w:sz w:val="18"/>
                <w:szCs w:val="18"/>
              </w:rPr>
              <w:t>5.1</w:t>
            </w:r>
            <w:r>
              <w:rPr>
                <w:rFonts w:hint="eastAsia" w:ascii="宋体" w:hAnsi="宋体" w:cs="宋体"/>
                <w:sz w:val="18"/>
                <w:szCs w:val="18"/>
                <w:lang w:eastAsia="zh-CN"/>
              </w:rPr>
              <w:t xml:space="preserve"> </w:t>
            </w:r>
            <w:r>
              <w:rPr>
                <w:rFonts w:ascii="宋体" w:hAnsi="宋体" w:eastAsia="宋体" w:cs="宋体"/>
                <w:sz w:val="18"/>
                <w:szCs w:val="18"/>
              </w:rPr>
              <w:t>锡及锡合金废料的洁净程度用目视检验。</w:t>
            </w:r>
          </w:p>
          <w:p w14:paraId="7B98E00C">
            <w:pPr>
              <w:spacing w:line="0" w:lineRule="atLeast"/>
              <w:jc w:val="left"/>
              <w:rPr>
                <w:rFonts w:ascii="宋体" w:hAnsi="宋体" w:eastAsia="宋体" w:cs="宋体"/>
                <w:sz w:val="18"/>
                <w:szCs w:val="18"/>
              </w:rPr>
            </w:pPr>
            <w:r>
              <w:rPr>
                <w:rFonts w:ascii="宋体" w:hAnsi="宋体" w:eastAsia="宋体" w:cs="宋体"/>
                <w:sz w:val="18"/>
                <w:szCs w:val="18"/>
              </w:rPr>
              <w:t>5.2</w:t>
            </w:r>
            <w:r>
              <w:rPr>
                <w:rFonts w:hint="eastAsia" w:ascii="宋体" w:hAnsi="宋体" w:cs="宋体"/>
                <w:sz w:val="18"/>
                <w:szCs w:val="18"/>
                <w:lang w:eastAsia="zh-CN"/>
              </w:rPr>
              <w:t xml:space="preserve"> </w:t>
            </w:r>
            <w:r>
              <w:rPr>
                <w:rFonts w:ascii="宋体" w:hAnsi="宋体" w:eastAsia="宋体" w:cs="宋体"/>
                <w:sz w:val="18"/>
                <w:szCs w:val="18"/>
              </w:rPr>
              <w:t>各种锡及锡合金废料根据化学成分不同，分别按GB/T</w:t>
            </w:r>
            <w:r>
              <w:rPr>
                <w:rFonts w:hint="eastAsia" w:ascii="宋体" w:hAnsi="宋体" w:cs="宋体"/>
                <w:sz w:val="18"/>
                <w:szCs w:val="18"/>
                <w:lang w:eastAsia="zh-CN"/>
              </w:rPr>
              <w:t xml:space="preserve"> </w:t>
            </w:r>
            <w:r>
              <w:rPr>
                <w:rFonts w:ascii="宋体" w:hAnsi="宋体" w:eastAsia="宋体" w:cs="宋体"/>
                <w:sz w:val="18"/>
                <w:szCs w:val="18"/>
              </w:rPr>
              <w:t>1819、GB/T</w:t>
            </w:r>
            <w:r>
              <w:rPr>
                <w:rFonts w:hint="eastAsia" w:ascii="宋体" w:hAnsi="宋体" w:cs="宋体"/>
                <w:sz w:val="18"/>
                <w:szCs w:val="18"/>
                <w:lang w:eastAsia="zh-CN"/>
              </w:rPr>
              <w:t>、</w:t>
            </w:r>
            <w:r>
              <w:rPr>
                <w:rFonts w:ascii="宋体" w:hAnsi="宋体" w:eastAsia="宋体" w:cs="宋体"/>
                <w:sz w:val="18"/>
                <w:szCs w:val="18"/>
              </w:rPr>
              <w:t>3260、GB/T</w:t>
            </w:r>
            <w:r>
              <w:rPr>
                <w:rFonts w:hint="eastAsia" w:ascii="宋体" w:hAnsi="宋体" w:cs="宋体"/>
                <w:sz w:val="18"/>
                <w:szCs w:val="18"/>
                <w:lang w:val="en-US" w:eastAsia="zh-CN"/>
              </w:rPr>
              <w:t xml:space="preserve"> </w:t>
            </w:r>
            <w:r>
              <w:rPr>
                <w:rFonts w:ascii="宋体" w:hAnsi="宋体" w:eastAsia="宋体" w:cs="宋体"/>
                <w:sz w:val="18"/>
                <w:szCs w:val="18"/>
              </w:rPr>
              <w:t>10574、YS/T</w:t>
            </w:r>
            <w:r>
              <w:rPr>
                <w:rFonts w:hint="eastAsia" w:ascii="宋体" w:hAnsi="宋体" w:cs="宋体"/>
                <w:sz w:val="18"/>
                <w:szCs w:val="18"/>
                <w:lang w:eastAsia="zh-CN"/>
              </w:rPr>
              <w:t xml:space="preserve"> </w:t>
            </w:r>
            <w:r>
              <w:rPr>
                <w:rFonts w:ascii="宋体" w:hAnsi="宋体" w:eastAsia="宋体" w:cs="宋体"/>
                <w:sz w:val="18"/>
                <w:szCs w:val="18"/>
              </w:rPr>
              <w:t>475.1的方法进行分析。</w:t>
            </w:r>
          </w:p>
          <w:p w14:paraId="3571C05F">
            <w:pPr>
              <w:spacing w:line="0" w:lineRule="atLeast"/>
              <w:jc w:val="left"/>
              <w:rPr>
                <w:rFonts w:hint="eastAsia" w:ascii="宋体" w:hAnsi="宋体" w:eastAsia="宋体" w:cs="宋体"/>
                <w:sz w:val="18"/>
                <w:szCs w:val="18"/>
                <w:vertAlign w:val="baseline"/>
              </w:rPr>
            </w:pPr>
            <w:r>
              <w:rPr>
                <w:rFonts w:ascii="宋体" w:hAnsi="宋体" w:eastAsia="宋体" w:cs="宋体"/>
                <w:sz w:val="18"/>
                <w:szCs w:val="18"/>
              </w:rPr>
              <w:t>5.3</w:t>
            </w:r>
            <w:r>
              <w:rPr>
                <w:rFonts w:hint="eastAsia" w:ascii="宋体" w:hAnsi="宋体" w:cs="宋体"/>
                <w:sz w:val="18"/>
                <w:szCs w:val="18"/>
                <w:lang w:eastAsia="zh-CN"/>
              </w:rPr>
              <w:t xml:space="preserve"> </w:t>
            </w:r>
            <w:r>
              <w:rPr>
                <w:rFonts w:ascii="宋体" w:hAnsi="宋体" w:eastAsia="宋体" w:cs="宋体"/>
                <w:sz w:val="18"/>
                <w:szCs w:val="18"/>
              </w:rPr>
              <w:t>锡及锡合金废料中杂质的扣除方法、外形尺寸及单块重量的测量方法等本标准中未规定的试验方法，由供需双方协商确定。5.4</w:t>
            </w:r>
            <w:r>
              <w:rPr>
                <w:rFonts w:hint="eastAsia" w:ascii="宋体" w:hAnsi="宋体" w:cs="宋体"/>
                <w:sz w:val="18"/>
                <w:szCs w:val="18"/>
                <w:lang w:eastAsia="zh-CN"/>
              </w:rPr>
              <w:t xml:space="preserve"> </w:t>
            </w:r>
            <w:r>
              <w:rPr>
                <w:rFonts w:ascii="宋体" w:hAnsi="宋体" w:eastAsia="宋体" w:cs="宋体"/>
                <w:sz w:val="18"/>
                <w:szCs w:val="18"/>
              </w:rPr>
              <w:t>锡及锡合金废料中对环境造成影响的夹杂物和放射性污染物的控制按照GB</w:t>
            </w:r>
            <w:r>
              <w:rPr>
                <w:rFonts w:hint="eastAsia" w:ascii="宋体" w:hAnsi="宋体" w:cs="宋体"/>
                <w:sz w:val="18"/>
                <w:szCs w:val="18"/>
                <w:lang w:val="en-US" w:eastAsia="zh-CN"/>
              </w:rPr>
              <w:t xml:space="preserve"> </w:t>
            </w:r>
            <w:r>
              <w:rPr>
                <w:rFonts w:ascii="宋体" w:hAnsi="宋体" w:eastAsia="宋体" w:cs="宋体"/>
                <w:sz w:val="18"/>
                <w:szCs w:val="18"/>
              </w:rPr>
              <w:t>16487.2、GB 16487.7</w:t>
            </w:r>
            <w:r>
              <w:rPr>
                <w:rFonts w:hint="eastAsia" w:ascii="宋体" w:hAnsi="宋体" w:cs="宋体"/>
                <w:sz w:val="18"/>
                <w:szCs w:val="18"/>
                <w:lang w:eastAsia="zh-CN"/>
              </w:rPr>
              <w:t xml:space="preserve"> </w:t>
            </w:r>
            <w:r>
              <w:rPr>
                <w:rFonts w:ascii="宋体" w:hAnsi="宋体" w:eastAsia="宋体" w:cs="宋体"/>
                <w:sz w:val="18"/>
                <w:szCs w:val="18"/>
              </w:rPr>
              <w:t>的规定进行。</w:t>
            </w:r>
          </w:p>
        </w:tc>
        <w:tc>
          <w:tcPr>
            <w:tcW w:w="3849" w:type="dxa"/>
            <w:vAlign w:val="center"/>
          </w:tcPr>
          <w:p w14:paraId="61F5BD0F">
            <w:pPr>
              <w:spacing w:line="0" w:lineRule="atLeast"/>
              <w:jc w:val="left"/>
              <w:rPr>
                <w:rFonts w:hint="eastAsia" w:ascii="宋体" w:hAnsi="宋体" w:eastAsia="宋体" w:cs="宋体"/>
                <w:sz w:val="18"/>
                <w:szCs w:val="18"/>
                <w:vertAlign w:val="baseline"/>
              </w:rPr>
            </w:pPr>
            <w:r>
              <w:rPr>
                <w:rFonts w:ascii="宋体" w:hAnsi="宋体" w:eastAsia="宋体" w:cs="宋体"/>
                <w:sz w:val="18"/>
                <w:szCs w:val="18"/>
              </w:rPr>
              <w:t>6 试验方法</w:t>
            </w:r>
            <w:r>
              <w:rPr>
                <w:rFonts w:ascii="宋体" w:hAnsi="宋体" w:eastAsia="宋体" w:cs="宋体"/>
                <w:sz w:val="18"/>
                <w:szCs w:val="18"/>
              </w:rPr>
              <w:br w:type="textWrapping"/>
            </w:r>
            <w:r>
              <w:rPr>
                <w:rFonts w:ascii="宋体" w:hAnsi="宋体" w:eastAsia="宋体" w:cs="宋体"/>
                <w:sz w:val="18"/>
                <w:szCs w:val="18"/>
              </w:rPr>
              <w:t>6.1回收锡及锡合金原料的外观质量用目视法进行检査。</w:t>
            </w:r>
            <w:r>
              <w:rPr>
                <w:rFonts w:ascii="宋体" w:hAnsi="宋体" w:eastAsia="宋体" w:cs="宋体"/>
                <w:sz w:val="18"/>
                <w:szCs w:val="18"/>
              </w:rPr>
              <w:br w:type="textWrapping"/>
            </w:r>
            <w:r>
              <w:rPr>
                <w:rFonts w:ascii="宋体" w:hAnsi="宋体" w:eastAsia="宋体" w:cs="宋体"/>
                <w:sz w:val="18"/>
                <w:szCs w:val="18"/>
              </w:rPr>
              <w:t>6.2各种回收锡及锡合金原料根据化学成分不同，分别按照附录A、附录B、附录C的规定进行测试。</w:t>
            </w:r>
            <w:r>
              <w:rPr>
                <w:rFonts w:ascii="宋体" w:hAnsi="宋体" w:eastAsia="宋体" w:cs="宋体"/>
                <w:sz w:val="18"/>
                <w:szCs w:val="18"/>
              </w:rPr>
              <w:br w:type="textWrapping"/>
            </w:r>
            <w:r>
              <w:rPr>
                <w:rFonts w:ascii="宋体" w:hAnsi="宋体" w:eastAsia="宋体" w:cs="宋体"/>
                <w:sz w:val="18"/>
                <w:szCs w:val="18"/>
              </w:rPr>
              <w:t>6.3回收锡及锡合金原料中杂质的扣除方法、外形尺寸及单块重量的测量方法等及本文件中未规定的试验方法由供需双方协商确定。</w:t>
            </w:r>
            <w:r>
              <w:rPr>
                <w:rFonts w:ascii="宋体" w:hAnsi="宋体" w:eastAsia="宋体" w:cs="宋体"/>
                <w:sz w:val="18"/>
                <w:szCs w:val="18"/>
              </w:rPr>
              <w:br w:type="textWrapping"/>
            </w:r>
            <w:r>
              <w:rPr>
                <w:rFonts w:ascii="宋体" w:hAnsi="宋体" w:eastAsia="宋体" w:cs="宋体"/>
                <w:sz w:val="18"/>
                <w:szCs w:val="18"/>
              </w:rPr>
              <w:t>6.4回收锡及锡合金原料中对环境造成影响的夹杂物和放射性污染的控制按照GB 16487.2、GB 16487.7的规定进行。</w:t>
            </w:r>
          </w:p>
        </w:tc>
      </w:tr>
      <w:tr w14:paraId="08F0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85" w:type="dxa"/>
            <w:vAlign w:val="center"/>
          </w:tcPr>
          <w:p w14:paraId="1E8A2784">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1206" w:type="dxa"/>
            <w:vAlign w:val="center"/>
          </w:tcPr>
          <w:p w14:paraId="2A7F2DCA">
            <w:pPr>
              <w:spacing w:line="0" w:lineRule="atLeast"/>
              <w:jc w:val="center"/>
              <w:rPr>
                <w:rFonts w:hint="eastAsia" w:ascii="宋体" w:hAnsi="宋体" w:eastAsia="宋体" w:cs="宋体"/>
                <w:sz w:val="18"/>
                <w:szCs w:val="18"/>
                <w:vertAlign w:val="baseline"/>
              </w:rPr>
            </w:pPr>
            <w:r>
              <w:rPr>
                <w:rFonts w:hint="eastAsia" w:ascii="宋体" w:hAnsi="宋体" w:eastAsia="宋体" w:cs="宋体"/>
                <w:sz w:val="18"/>
                <w:szCs w:val="18"/>
              </w:rPr>
              <w:t>更改了检验规则</w:t>
            </w:r>
          </w:p>
        </w:tc>
        <w:tc>
          <w:tcPr>
            <w:tcW w:w="2760" w:type="dxa"/>
            <w:vAlign w:val="center"/>
          </w:tcPr>
          <w:p w14:paraId="1408C486">
            <w:pPr>
              <w:spacing w:line="0" w:lineRule="atLeast"/>
              <w:jc w:val="left"/>
              <w:rPr>
                <w:rFonts w:hint="eastAsia" w:ascii="宋体" w:hAnsi="宋体" w:eastAsia="宋体" w:cs="宋体"/>
                <w:sz w:val="18"/>
                <w:szCs w:val="18"/>
                <w:vertAlign w:val="baseline"/>
              </w:rPr>
            </w:pPr>
            <w:r>
              <w:rPr>
                <w:rFonts w:ascii="宋体" w:hAnsi="宋体" w:eastAsia="宋体" w:cs="宋体"/>
                <w:sz w:val="18"/>
                <w:szCs w:val="18"/>
              </w:rPr>
              <w:t>6 检验规则</w:t>
            </w:r>
            <w:r>
              <w:rPr>
                <w:rFonts w:ascii="宋体" w:hAnsi="宋体" w:eastAsia="宋体" w:cs="宋体"/>
                <w:sz w:val="18"/>
                <w:szCs w:val="18"/>
              </w:rPr>
              <w:br w:type="textWrapping"/>
            </w:r>
            <w:r>
              <w:rPr>
                <w:rFonts w:ascii="宋体" w:hAnsi="宋体" w:eastAsia="宋体" w:cs="宋体"/>
                <w:sz w:val="18"/>
                <w:szCs w:val="18"/>
              </w:rPr>
              <w:t>6.1 检查和验收</w:t>
            </w:r>
            <w:r>
              <w:rPr>
                <w:rFonts w:ascii="宋体" w:hAnsi="宋体" w:eastAsia="宋体" w:cs="宋体"/>
                <w:sz w:val="18"/>
                <w:szCs w:val="18"/>
              </w:rPr>
              <w:br w:type="textWrapping"/>
            </w:r>
            <w:r>
              <w:rPr>
                <w:rFonts w:ascii="宋体" w:hAnsi="宋体" w:eastAsia="宋体" w:cs="宋体"/>
                <w:sz w:val="18"/>
                <w:szCs w:val="18"/>
              </w:rPr>
              <w:t>6.1.1 锡及锡合金废料应由供方质量检验部门进行检验，也可委托其他质量检验部门进行检验，保证其质量符合本标准的规定，并提供质量证明书。6.1.2 需方应对收到的锡及锡合金废料按照本标准或订货单（或合同）的规定进行检验，如检验结果与本标准或订货单（或合同）的规定不符时，应单独封存，并在收到之日起 30 天内向供方提出，由供需双方协商解决。</w:t>
            </w:r>
            <w:r>
              <w:rPr>
                <w:rFonts w:ascii="宋体" w:hAnsi="宋体" w:eastAsia="宋体" w:cs="宋体"/>
                <w:sz w:val="18"/>
                <w:szCs w:val="18"/>
              </w:rPr>
              <w:br w:type="textWrapping"/>
            </w:r>
            <w:r>
              <w:rPr>
                <w:rFonts w:ascii="宋体" w:hAnsi="宋体" w:eastAsia="宋体" w:cs="宋体"/>
                <w:sz w:val="18"/>
                <w:szCs w:val="18"/>
              </w:rPr>
              <w:t>6.2 组批</w:t>
            </w:r>
            <w:r>
              <w:rPr>
                <w:rFonts w:ascii="宋体" w:hAnsi="宋体" w:eastAsia="宋体" w:cs="宋体"/>
                <w:sz w:val="18"/>
                <w:szCs w:val="18"/>
              </w:rPr>
              <w:br w:type="textWrapping"/>
            </w:r>
            <w:r>
              <w:rPr>
                <w:rFonts w:ascii="宋体" w:hAnsi="宋体" w:eastAsia="宋体" w:cs="宋体"/>
                <w:sz w:val="18"/>
                <w:szCs w:val="18"/>
              </w:rPr>
              <w:t>锡及锡合金废料应成批提交检验，每批应由同一类别、同一组别、同一名称和同一级别组成。</w:t>
            </w:r>
            <w:r>
              <w:rPr>
                <w:rFonts w:ascii="宋体" w:hAnsi="宋体" w:eastAsia="宋体" w:cs="宋体"/>
                <w:sz w:val="18"/>
                <w:szCs w:val="18"/>
              </w:rPr>
              <w:br w:type="textWrapping"/>
            </w:r>
            <w:r>
              <w:rPr>
                <w:rFonts w:ascii="宋体" w:hAnsi="宋体" w:eastAsia="宋体" w:cs="宋体"/>
                <w:sz w:val="18"/>
                <w:szCs w:val="18"/>
              </w:rPr>
              <w:t>6.3 取、制样及其他</w:t>
            </w:r>
            <w:r>
              <w:rPr>
                <w:rFonts w:ascii="宋体" w:hAnsi="宋体" w:eastAsia="宋体" w:cs="宋体"/>
                <w:sz w:val="18"/>
                <w:szCs w:val="18"/>
              </w:rPr>
              <w:br w:type="textWrapping"/>
            </w:r>
            <w:r>
              <w:rPr>
                <w:rFonts w:ascii="宋体" w:hAnsi="宋体" w:eastAsia="宋体" w:cs="宋体"/>
                <w:sz w:val="18"/>
                <w:szCs w:val="18"/>
              </w:rPr>
              <w:t>锡及锡合金废料的取样、制样方法以及其他相关事宜由供需双方协商确认。</w:t>
            </w:r>
          </w:p>
        </w:tc>
        <w:tc>
          <w:tcPr>
            <w:tcW w:w="3849" w:type="dxa"/>
            <w:vAlign w:val="center"/>
          </w:tcPr>
          <w:p w14:paraId="39DE715D">
            <w:pPr>
              <w:spacing w:line="0" w:lineRule="atLeast"/>
              <w:jc w:val="left"/>
              <w:rPr>
                <w:rFonts w:hint="eastAsia" w:ascii="宋体" w:hAnsi="宋体" w:eastAsia="宋体" w:cs="宋体"/>
                <w:sz w:val="18"/>
                <w:szCs w:val="18"/>
                <w:vertAlign w:val="baseline"/>
              </w:rPr>
            </w:pPr>
            <w:r>
              <w:rPr>
                <w:rFonts w:ascii="宋体" w:hAnsi="宋体" w:eastAsia="宋体" w:cs="宋体"/>
                <w:sz w:val="18"/>
                <w:szCs w:val="18"/>
              </w:rPr>
              <w:t>7 检验规则</w:t>
            </w:r>
            <w:r>
              <w:rPr>
                <w:rFonts w:ascii="宋体" w:hAnsi="宋体" w:eastAsia="宋体" w:cs="宋体"/>
                <w:sz w:val="18"/>
                <w:szCs w:val="18"/>
              </w:rPr>
              <w:br w:type="textWrapping"/>
            </w:r>
            <w:r>
              <w:rPr>
                <w:rFonts w:ascii="宋体" w:hAnsi="宋体" w:eastAsia="宋体" w:cs="宋体"/>
                <w:sz w:val="18"/>
                <w:szCs w:val="18"/>
              </w:rPr>
              <w:t>7.1检查和验收</w:t>
            </w:r>
            <w:r>
              <w:rPr>
                <w:rFonts w:ascii="宋体" w:hAnsi="宋体" w:eastAsia="宋体" w:cs="宋体"/>
                <w:sz w:val="18"/>
                <w:szCs w:val="18"/>
              </w:rPr>
              <w:br w:type="textWrapping"/>
            </w:r>
            <w:r>
              <w:rPr>
                <w:rFonts w:ascii="宋体" w:hAnsi="宋体" w:eastAsia="宋体" w:cs="宋体"/>
                <w:sz w:val="18"/>
                <w:szCs w:val="18"/>
              </w:rPr>
              <w:t>7.1.1回收原料应由供方或第三方检验机构进行检验，应保证其质量符合本文件及订货单的规定。</w:t>
            </w:r>
            <w:r>
              <w:rPr>
                <w:rFonts w:ascii="宋体" w:hAnsi="宋体" w:eastAsia="宋体" w:cs="宋体"/>
                <w:sz w:val="18"/>
                <w:szCs w:val="18"/>
              </w:rPr>
              <w:br w:type="textWrapping"/>
            </w:r>
            <w:r>
              <w:rPr>
                <w:rFonts w:ascii="宋体" w:hAnsi="宋体" w:eastAsia="宋体" w:cs="宋体"/>
                <w:sz w:val="18"/>
                <w:szCs w:val="18"/>
              </w:rPr>
              <w:t>7.1.2需方应对收到的回收锡及锡合金原料按照本文件或订货单的规定进行检验，如检验结果与本文件或订货单的规定不符时，应单独封存，并在收到之日起30天内向供方提出，由供需双方协商解决。如需仲裁，应由供需双方在需方共同取样处理。</w:t>
            </w:r>
            <w:r>
              <w:rPr>
                <w:rFonts w:ascii="宋体" w:hAnsi="宋体" w:eastAsia="宋体" w:cs="宋体"/>
                <w:sz w:val="18"/>
                <w:szCs w:val="18"/>
              </w:rPr>
              <w:br w:type="textWrapping"/>
            </w:r>
            <w:r>
              <w:rPr>
                <w:rFonts w:ascii="宋体" w:hAnsi="宋体" w:eastAsia="宋体" w:cs="宋体"/>
                <w:sz w:val="18"/>
                <w:szCs w:val="18"/>
              </w:rPr>
              <w:t>7.2组批</w:t>
            </w:r>
            <w:r>
              <w:rPr>
                <w:rFonts w:ascii="宋体" w:hAnsi="宋体" w:eastAsia="宋体" w:cs="宋体"/>
                <w:sz w:val="18"/>
                <w:szCs w:val="18"/>
              </w:rPr>
              <w:br w:type="textWrapping"/>
            </w:r>
            <w:r>
              <w:rPr>
                <w:rFonts w:ascii="宋体" w:hAnsi="宋体" w:eastAsia="宋体" w:cs="宋体"/>
                <w:sz w:val="18"/>
                <w:szCs w:val="18"/>
              </w:rPr>
              <w:t>7.2.1回收锡及锡合金原料应成批提交检验，每批应由同一类别、同一组别、同一名称、同一级别的回收原料组成。</w:t>
            </w:r>
            <w:r>
              <w:rPr>
                <w:rFonts w:ascii="宋体" w:hAnsi="宋体" w:eastAsia="宋体" w:cs="宋体"/>
                <w:sz w:val="18"/>
                <w:szCs w:val="18"/>
              </w:rPr>
              <w:br w:type="textWrapping"/>
            </w:r>
            <w:r>
              <w:rPr>
                <w:rFonts w:ascii="宋体" w:hAnsi="宋体" w:eastAsia="宋体" w:cs="宋体"/>
                <w:sz w:val="18"/>
                <w:szCs w:val="18"/>
              </w:rPr>
              <w:t>7.3检验项目和取样</w:t>
            </w:r>
            <w:r>
              <w:rPr>
                <w:rFonts w:ascii="宋体" w:hAnsi="宋体" w:eastAsia="宋体" w:cs="宋体"/>
                <w:sz w:val="18"/>
                <w:szCs w:val="18"/>
              </w:rPr>
              <w:br w:type="textWrapping"/>
            </w:r>
            <w:r>
              <w:rPr>
                <w:rFonts w:ascii="宋体" w:hAnsi="宋体" w:eastAsia="宋体" w:cs="宋体"/>
                <w:sz w:val="18"/>
                <w:szCs w:val="18"/>
              </w:rPr>
              <w:t>7.3.1每批回收锡及锡合金原料的检验项目应包括：锡、铜、铁、铅、砷、锑、铋、铟、银、锌、镉、镍、钴、锗。</w:t>
            </w:r>
            <w:r>
              <w:rPr>
                <w:rFonts w:ascii="宋体" w:hAnsi="宋体" w:eastAsia="宋体" w:cs="宋体"/>
                <w:sz w:val="18"/>
                <w:szCs w:val="18"/>
              </w:rPr>
              <w:br w:type="textWrapping"/>
            </w:r>
            <w:r>
              <w:rPr>
                <w:rFonts w:ascii="宋体" w:hAnsi="宋体" w:eastAsia="宋体" w:cs="宋体"/>
                <w:sz w:val="18"/>
                <w:szCs w:val="18"/>
              </w:rPr>
              <w:t>7.3.2回收锡及锡合金原料的取样、制样以及其他相关事宜由供需双方协商确定。</w:t>
            </w:r>
          </w:p>
        </w:tc>
      </w:tr>
      <w:tr w14:paraId="4EFC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85" w:type="dxa"/>
            <w:vAlign w:val="center"/>
          </w:tcPr>
          <w:p w14:paraId="236B0ED5">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206" w:type="dxa"/>
            <w:vAlign w:val="center"/>
          </w:tcPr>
          <w:p w14:paraId="1154C897">
            <w:pPr>
              <w:spacing w:line="0" w:lineRule="atLeast"/>
              <w:jc w:val="center"/>
              <w:rPr>
                <w:rFonts w:hint="eastAsia" w:ascii="宋体" w:hAnsi="宋体" w:eastAsia="宋体" w:cs="宋体"/>
                <w:sz w:val="18"/>
                <w:szCs w:val="18"/>
                <w:vertAlign w:val="baseline"/>
              </w:rPr>
            </w:pPr>
            <w:r>
              <w:rPr>
                <w:rFonts w:hint="eastAsia" w:ascii="宋体" w:hAnsi="宋体" w:eastAsia="宋体" w:cs="宋体"/>
                <w:sz w:val="18"/>
                <w:szCs w:val="18"/>
              </w:rPr>
              <w:t>更改了标志、包装、运输、贮存和随行文件的内容</w:t>
            </w:r>
          </w:p>
        </w:tc>
        <w:tc>
          <w:tcPr>
            <w:tcW w:w="2760" w:type="dxa"/>
            <w:vAlign w:val="center"/>
          </w:tcPr>
          <w:p w14:paraId="16D61835">
            <w:pPr>
              <w:spacing w:line="0" w:lineRule="atLeast"/>
              <w:jc w:val="left"/>
              <w:rPr>
                <w:rFonts w:hint="eastAsia" w:ascii="宋体" w:hAnsi="宋体" w:eastAsia="宋体" w:cs="宋体"/>
                <w:sz w:val="18"/>
                <w:szCs w:val="18"/>
                <w:vertAlign w:val="baseline"/>
              </w:rPr>
            </w:pPr>
            <w:r>
              <w:rPr>
                <w:rFonts w:ascii="宋体" w:hAnsi="宋体" w:eastAsia="宋体" w:cs="宋体"/>
                <w:sz w:val="18"/>
                <w:szCs w:val="18"/>
              </w:rPr>
              <w:t>7 标志、包装、运输和贮存</w:t>
            </w:r>
            <w:r>
              <w:rPr>
                <w:rFonts w:ascii="宋体" w:hAnsi="宋体" w:eastAsia="宋体" w:cs="宋体"/>
                <w:sz w:val="18"/>
                <w:szCs w:val="18"/>
              </w:rPr>
              <w:br w:type="textWrapping"/>
            </w:r>
            <w:r>
              <w:rPr>
                <w:rFonts w:ascii="宋体" w:hAnsi="宋体" w:eastAsia="宋体" w:cs="宋体"/>
                <w:sz w:val="18"/>
                <w:szCs w:val="18"/>
              </w:rPr>
              <w:t>7.1 标志</w:t>
            </w:r>
            <w:r>
              <w:rPr>
                <w:rFonts w:ascii="宋体" w:hAnsi="宋体" w:eastAsia="宋体" w:cs="宋体"/>
                <w:sz w:val="18"/>
                <w:szCs w:val="18"/>
              </w:rPr>
              <w:br w:type="textWrapping"/>
            </w:r>
            <w:r>
              <w:rPr>
                <w:rFonts w:ascii="宋体" w:hAnsi="宋体" w:eastAsia="宋体" w:cs="宋体"/>
                <w:sz w:val="18"/>
                <w:szCs w:val="18"/>
              </w:rPr>
              <w:t>每批锡及锡合金废料要附有标签，其上注明：a) 供方名称；b)锡及锡合金废料名称；c)批号；d)批重。</w:t>
            </w:r>
            <w:r>
              <w:rPr>
                <w:rFonts w:ascii="宋体" w:hAnsi="宋体" w:eastAsia="宋体" w:cs="宋体"/>
                <w:sz w:val="18"/>
                <w:szCs w:val="18"/>
              </w:rPr>
              <w:br w:type="textWrapping"/>
            </w:r>
            <w:r>
              <w:rPr>
                <w:rFonts w:ascii="宋体" w:hAnsi="宋体" w:eastAsia="宋体" w:cs="宋体"/>
                <w:sz w:val="18"/>
                <w:szCs w:val="18"/>
              </w:rPr>
              <w:t>7.2 包装</w:t>
            </w:r>
            <w:r>
              <w:rPr>
                <w:rFonts w:ascii="宋体" w:hAnsi="宋体" w:eastAsia="宋体" w:cs="宋体"/>
                <w:sz w:val="18"/>
                <w:szCs w:val="18"/>
              </w:rPr>
              <w:br w:type="textWrapping"/>
            </w:r>
            <w:r>
              <w:rPr>
                <w:rFonts w:ascii="宋体" w:hAnsi="宋体" w:eastAsia="宋体" w:cs="宋体"/>
                <w:sz w:val="18"/>
                <w:szCs w:val="18"/>
              </w:rPr>
              <w:t>7.2.1 经供需双方协商确定，锡及锡合金块状废料可以打包或压块方式供货，锡及锡合金屑、锡渣、锡灰、锡泥等均应包装后交货。7.2.2 锡及锡合金废料的包装方式、尺寸和重量由供需双方协商确定，并在合同中注明。</w:t>
            </w:r>
            <w:r>
              <w:rPr>
                <w:rFonts w:ascii="宋体" w:hAnsi="宋体" w:eastAsia="宋体" w:cs="宋体"/>
                <w:sz w:val="18"/>
                <w:szCs w:val="18"/>
              </w:rPr>
              <w:br w:type="textWrapping"/>
            </w:r>
            <w:r>
              <w:rPr>
                <w:rFonts w:ascii="宋体" w:hAnsi="宋体" w:eastAsia="宋体" w:cs="宋体"/>
                <w:sz w:val="18"/>
                <w:szCs w:val="18"/>
              </w:rPr>
              <w:t>7.3 运输和贮存</w:t>
            </w:r>
            <w:r>
              <w:rPr>
                <w:rFonts w:ascii="宋体" w:hAnsi="宋体" w:eastAsia="宋体" w:cs="宋体"/>
                <w:sz w:val="18"/>
                <w:szCs w:val="18"/>
              </w:rPr>
              <w:br w:type="textWrapping"/>
            </w:r>
            <w:r>
              <w:rPr>
                <w:rFonts w:ascii="宋体" w:hAnsi="宋体" w:eastAsia="宋体" w:cs="宋体"/>
                <w:sz w:val="18"/>
                <w:szCs w:val="18"/>
              </w:rPr>
              <w:t>7.3.1 不同类别的锡及锡合金废料在运输过程中不应混装。7.3.2 化工废锡渣（泥）在运输、装卸、堆放过程中，严禁混入爆炸物、易燃物、垃圾、腐蚀物和有毒、放射性物品，也不得用以上物品污染的装卸工具装运，应有必要的防雨、防雪、防火设施。</w:t>
            </w:r>
            <w:r>
              <w:rPr>
                <w:rFonts w:ascii="宋体" w:hAnsi="宋体" w:eastAsia="宋体" w:cs="宋体"/>
                <w:sz w:val="18"/>
                <w:szCs w:val="18"/>
              </w:rPr>
              <w:br w:type="textWrapping"/>
            </w:r>
            <w:r>
              <w:rPr>
                <w:rFonts w:ascii="宋体" w:hAnsi="宋体" w:eastAsia="宋体" w:cs="宋体"/>
                <w:sz w:val="18"/>
                <w:szCs w:val="18"/>
              </w:rPr>
              <w:t>7.4 质量证明书</w:t>
            </w:r>
            <w:r>
              <w:rPr>
                <w:rFonts w:ascii="宋体" w:hAnsi="宋体" w:eastAsia="宋体" w:cs="宋体"/>
                <w:sz w:val="18"/>
                <w:szCs w:val="18"/>
              </w:rPr>
              <w:br w:type="textWrapping"/>
            </w:r>
            <w:r>
              <w:rPr>
                <w:rFonts w:ascii="宋体" w:hAnsi="宋体" w:eastAsia="宋体" w:cs="宋体"/>
                <w:sz w:val="18"/>
                <w:szCs w:val="18"/>
              </w:rPr>
              <w:t>锡及锡合金废料交货时，应附有质量证明书，其上注明：a) 供方名称；b) 锡及锡合金废料名称；c) 锡及锡合金废料类别、组别、级别；d) 批号及批重；e) 发货日期；f) 检验结果及质量检验部门的印记；g) 本标准编号。</w:t>
            </w:r>
            <w:r>
              <w:rPr>
                <w:rFonts w:ascii="宋体" w:hAnsi="宋体" w:eastAsia="宋体" w:cs="宋体"/>
                <w:sz w:val="18"/>
                <w:szCs w:val="18"/>
              </w:rPr>
              <w:br w:type="textWrapping"/>
            </w:r>
            <w:r>
              <w:rPr>
                <w:rFonts w:ascii="宋体" w:hAnsi="宋体" w:eastAsia="宋体" w:cs="宋体"/>
                <w:sz w:val="18"/>
                <w:szCs w:val="18"/>
              </w:rPr>
              <w:t>十、8 订货单（或合同）内容</w:t>
            </w:r>
            <w:r>
              <w:rPr>
                <w:rFonts w:ascii="宋体" w:hAnsi="宋体" w:eastAsia="宋体" w:cs="宋体"/>
                <w:sz w:val="18"/>
                <w:szCs w:val="18"/>
              </w:rPr>
              <w:br w:type="textWrapping"/>
            </w:r>
            <w:r>
              <w:rPr>
                <w:rFonts w:ascii="宋体" w:hAnsi="宋体" w:eastAsia="宋体" w:cs="宋体"/>
                <w:sz w:val="18"/>
                <w:szCs w:val="18"/>
              </w:rPr>
              <w:t>本标准所列产品的订货单（或合同）内应包括下列内容：a) 锡及锡合金废料名称；b) 类别、组别、级别、供应状态；c) 杂质元素含量等特殊要求；d) 重量；e) 本标准编号；f) 其他。</w:t>
            </w:r>
          </w:p>
        </w:tc>
        <w:tc>
          <w:tcPr>
            <w:tcW w:w="3849" w:type="dxa"/>
            <w:vAlign w:val="center"/>
          </w:tcPr>
          <w:p w14:paraId="224574DD">
            <w:pPr>
              <w:spacing w:line="0" w:lineRule="atLeast"/>
              <w:jc w:val="left"/>
              <w:rPr>
                <w:rFonts w:ascii="宋体" w:hAnsi="宋体" w:eastAsia="宋体" w:cs="宋体"/>
                <w:sz w:val="18"/>
                <w:szCs w:val="18"/>
              </w:rPr>
            </w:pPr>
            <w:r>
              <w:rPr>
                <w:rFonts w:ascii="宋体" w:hAnsi="宋体" w:eastAsia="宋体" w:cs="宋体"/>
                <w:sz w:val="18"/>
                <w:szCs w:val="18"/>
              </w:rPr>
              <w:t>8 标志、包装、运输、贮存及随行文件</w:t>
            </w:r>
            <w:r>
              <w:rPr>
                <w:rFonts w:ascii="宋体" w:hAnsi="宋体" w:eastAsia="宋体" w:cs="宋体"/>
                <w:sz w:val="18"/>
                <w:szCs w:val="18"/>
              </w:rPr>
              <w:br w:type="textWrapping"/>
            </w:r>
            <w:r>
              <w:rPr>
                <w:rFonts w:ascii="宋体" w:hAnsi="宋体" w:eastAsia="宋体" w:cs="宋体"/>
                <w:sz w:val="18"/>
                <w:szCs w:val="18"/>
              </w:rPr>
              <w:t>8.1标志</w:t>
            </w:r>
            <w:r>
              <w:rPr>
                <w:rFonts w:ascii="宋体" w:hAnsi="宋体" w:eastAsia="宋体" w:cs="宋体"/>
                <w:sz w:val="18"/>
                <w:szCs w:val="18"/>
              </w:rPr>
              <w:br w:type="textWrapping"/>
            </w:r>
            <w:r>
              <w:rPr>
                <w:rFonts w:ascii="宋体" w:hAnsi="宋体" w:eastAsia="宋体" w:cs="宋体"/>
                <w:sz w:val="18"/>
                <w:szCs w:val="18"/>
              </w:rPr>
              <w:t>每批回收锡及锡合金原料应附有标签，其上注明：a)供方名称；b)回收锡及锡合金原料名称；c)锡含量；d)批号；e)毛重及净重；f)本文件编号。</w:t>
            </w:r>
            <w:r>
              <w:rPr>
                <w:rFonts w:ascii="宋体" w:hAnsi="宋体" w:eastAsia="宋体" w:cs="宋体"/>
                <w:sz w:val="18"/>
                <w:szCs w:val="18"/>
              </w:rPr>
              <w:br w:type="textWrapping"/>
            </w:r>
            <w:r>
              <w:rPr>
                <w:rFonts w:ascii="宋体" w:hAnsi="宋体" w:eastAsia="宋体" w:cs="宋体"/>
                <w:sz w:val="18"/>
                <w:szCs w:val="18"/>
              </w:rPr>
              <w:t>8.2包装</w:t>
            </w:r>
            <w:r>
              <w:rPr>
                <w:rFonts w:ascii="宋体" w:hAnsi="宋体" w:eastAsia="宋体" w:cs="宋体"/>
                <w:sz w:val="18"/>
                <w:szCs w:val="18"/>
              </w:rPr>
              <w:br w:type="textWrapping"/>
            </w:r>
            <w:r>
              <w:rPr>
                <w:rFonts w:ascii="宋体" w:hAnsi="宋体" w:eastAsia="宋体" w:cs="宋体"/>
                <w:sz w:val="18"/>
                <w:szCs w:val="18"/>
              </w:rPr>
              <w:t>8.2.1经供需双方协商确定，回收锡及锡合金原料可以打包或压块等便于搬运的方式供货，锡及锡合金屑原料、锡渣、锡尘、锡泥等应包装后交货。</w:t>
            </w:r>
            <w:r>
              <w:rPr>
                <w:rFonts w:ascii="宋体" w:hAnsi="宋体" w:eastAsia="宋体" w:cs="宋体"/>
                <w:sz w:val="18"/>
                <w:szCs w:val="18"/>
              </w:rPr>
              <w:br w:type="textWrapping"/>
            </w:r>
            <w:r>
              <w:rPr>
                <w:rFonts w:ascii="宋体" w:hAnsi="宋体" w:eastAsia="宋体" w:cs="宋体"/>
                <w:sz w:val="18"/>
                <w:szCs w:val="18"/>
              </w:rPr>
              <w:t>8.2.2回收锡及锡合金原料的其他包装方式、尺寸和重量由供需双方协商确定，并在订货单中注明。</w:t>
            </w:r>
            <w:r>
              <w:rPr>
                <w:rFonts w:ascii="宋体" w:hAnsi="宋体" w:eastAsia="宋体" w:cs="宋体"/>
                <w:sz w:val="18"/>
                <w:szCs w:val="18"/>
              </w:rPr>
              <w:br w:type="textWrapping"/>
            </w:r>
            <w:r>
              <w:rPr>
                <w:rFonts w:ascii="宋体" w:hAnsi="宋体" w:eastAsia="宋体" w:cs="宋体"/>
                <w:sz w:val="18"/>
                <w:szCs w:val="18"/>
              </w:rPr>
              <w:t>8.3运输和贮存</w:t>
            </w:r>
            <w:r>
              <w:rPr>
                <w:rFonts w:ascii="宋体" w:hAnsi="宋体" w:eastAsia="宋体" w:cs="宋体"/>
                <w:sz w:val="18"/>
                <w:szCs w:val="18"/>
              </w:rPr>
              <w:br w:type="textWrapping"/>
            </w:r>
            <w:r>
              <w:rPr>
                <w:rFonts w:ascii="宋体" w:hAnsi="宋体" w:eastAsia="宋体" w:cs="宋体"/>
                <w:sz w:val="18"/>
                <w:szCs w:val="18"/>
              </w:rPr>
              <w:t>8.3.1不同类别的回收锡及锡合金原料在运输过程中不应混装。</w:t>
            </w:r>
            <w:r>
              <w:rPr>
                <w:rFonts w:ascii="宋体" w:hAnsi="宋体" w:eastAsia="宋体" w:cs="宋体"/>
                <w:sz w:val="18"/>
                <w:szCs w:val="18"/>
              </w:rPr>
              <w:br w:type="textWrapping"/>
            </w:r>
            <w:r>
              <w:rPr>
                <w:rFonts w:ascii="宋体" w:hAnsi="宋体" w:eastAsia="宋体" w:cs="宋体"/>
                <w:sz w:val="18"/>
                <w:szCs w:val="18"/>
              </w:rPr>
              <w:t>8.3.2回收原料在运输、装卸、堆放过程中，严禁混入爆炸物、易燃物、垃圾、腐蚀物和有毒、放射性物品，也不应用以上物品污染的装卸工具装运，有特殊要求时，应有防雨、防雪、防火设施。</w:t>
            </w:r>
            <w:r>
              <w:rPr>
                <w:rFonts w:ascii="宋体" w:hAnsi="宋体" w:eastAsia="宋体" w:cs="宋体"/>
                <w:sz w:val="18"/>
                <w:szCs w:val="18"/>
              </w:rPr>
              <w:br w:type="textWrapping"/>
            </w:r>
            <w:r>
              <w:rPr>
                <w:rFonts w:ascii="宋体" w:hAnsi="宋体" w:eastAsia="宋体" w:cs="宋体"/>
                <w:sz w:val="18"/>
                <w:szCs w:val="18"/>
              </w:rPr>
              <w:t>8.4随行文件</w:t>
            </w:r>
            <w:r>
              <w:rPr>
                <w:rFonts w:ascii="宋体" w:hAnsi="宋体" w:eastAsia="宋体" w:cs="宋体"/>
                <w:sz w:val="18"/>
                <w:szCs w:val="18"/>
              </w:rPr>
              <w:br w:type="textWrapping"/>
            </w:r>
            <w:r>
              <w:rPr>
                <w:rFonts w:ascii="宋体" w:hAnsi="宋体" w:eastAsia="宋体" w:cs="宋体"/>
                <w:sz w:val="18"/>
                <w:szCs w:val="18"/>
              </w:rPr>
              <w:t>每批回收锡及锡合金原料应附有随行文件，其中除应包括供方信息、锡及锡合金回收资源信息、本文件编号、出厂日期或包装日期外，还宜包括：</w:t>
            </w:r>
            <w:r>
              <w:rPr>
                <w:rFonts w:ascii="宋体" w:hAnsi="宋体" w:eastAsia="宋体" w:cs="宋体"/>
                <w:sz w:val="18"/>
                <w:szCs w:val="18"/>
              </w:rPr>
              <w:br w:type="textWrapping"/>
            </w:r>
            <w:r>
              <w:rPr>
                <w:rFonts w:ascii="宋体" w:hAnsi="宋体" w:eastAsia="宋体" w:cs="宋体"/>
                <w:sz w:val="18"/>
                <w:szCs w:val="18"/>
              </w:rPr>
              <w:t>a） 质量保证书：原料特点（主要工艺来源）；</w:t>
            </w:r>
            <w:r>
              <w:rPr>
                <w:rFonts w:ascii="宋体" w:hAnsi="宋体" w:eastAsia="宋体" w:cs="宋体"/>
                <w:sz w:val="18"/>
                <w:szCs w:val="18"/>
              </w:rPr>
              <w:br w:type="textWrapping"/>
            </w:r>
            <w:r>
              <w:rPr>
                <w:rFonts w:ascii="宋体" w:hAnsi="宋体" w:eastAsia="宋体" w:cs="宋体"/>
                <w:sz w:val="18"/>
                <w:szCs w:val="18"/>
              </w:rPr>
              <w:t>原料类别、组别、级别；原料供方技术监督部门检印的各项分析检验结果。</w:t>
            </w:r>
            <w:r>
              <w:rPr>
                <w:rFonts w:ascii="宋体" w:hAnsi="宋体" w:eastAsia="宋体" w:cs="宋体"/>
                <w:sz w:val="18"/>
                <w:szCs w:val="18"/>
              </w:rPr>
              <w:br w:type="textWrapping"/>
            </w:r>
            <w:r>
              <w:rPr>
                <w:rFonts w:ascii="宋体" w:hAnsi="宋体" w:eastAsia="宋体" w:cs="宋体"/>
                <w:sz w:val="18"/>
                <w:szCs w:val="18"/>
              </w:rPr>
              <w:t>b）批量或批号；c）</w:t>
            </w:r>
            <w:r>
              <w:rPr>
                <w:rFonts w:ascii="宋体" w:hAnsi="宋体" w:eastAsia="宋体" w:cs="宋体"/>
                <w:sz w:val="18"/>
                <w:szCs w:val="18"/>
              </w:rPr>
              <w:tab/>
            </w:r>
            <w:r>
              <w:rPr>
                <w:rFonts w:ascii="宋体" w:hAnsi="宋体" w:eastAsia="宋体" w:cs="宋体"/>
                <w:sz w:val="18"/>
                <w:szCs w:val="18"/>
              </w:rPr>
              <w:t>检验日期；d）检验员签章或盖章；e）发货日期；f）原料搬运、使用、贮存方法等；</w:t>
            </w:r>
          </w:p>
          <w:p w14:paraId="4D9FEFD0">
            <w:pPr>
              <w:spacing w:line="0" w:lineRule="atLeast"/>
              <w:jc w:val="left"/>
              <w:rPr>
                <w:rFonts w:hint="eastAsia" w:ascii="宋体" w:hAnsi="宋体" w:eastAsia="宋体" w:cs="宋体"/>
                <w:sz w:val="18"/>
                <w:szCs w:val="18"/>
                <w:vertAlign w:val="baseline"/>
              </w:rPr>
            </w:pPr>
            <w:r>
              <w:rPr>
                <w:rFonts w:ascii="宋体" w:hAnsi="宋体" w:eastAsia="宋体" w:cs="宋体"/>
                <w:sz w:val="18"/>
                <w:szCs w:val="18"/>
              </w:rPr>
              <w:t>9 订货单内容</w:t>
            </w:r>
            <w:r>
              <w:rPr>
                <w:rFonts w:ascii="宋体" w:hAnsi="宋体" w:eastAsia="宋体" w:cs="宋体"/>
                <w:sz w:val="18"/>
                <w:szCs w:val="18"/>
              </w:rPr>
              <w:br w:type="textWrapping"/>
            </w:r>
            <w:r>
              <w:rPr>
                <w:rFonts w:ascii="宋体" w:hAnsi="宋体" w:eastAsia="宋体" w:cs="宋体"/>
                <w:sz w:val="18"/>
                <w:szCs w:val="18"/>
              </w:rPr>
              <w:t>需方可根据自身的需要，在订购本文件所列产品的订货单内，列出以下内容：a)回收锡及锡合金原料名称；b)类别、组别、级别、供应状态；c)毛重或净重；d)本文件编号；e)本文件中供需双方协商确定的其他特殊要求。f)其他。</w:t>
            </w:r>
          </w:p>
        </w:tc>
      </w:tr>
      <w:tr w14:paraId="00DF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85" w:type="dxa"/>
            <w:vAlign w:val="center"/>
          </w:tcPr>
          <w:p w14:paraId="17E52D14">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1206" w:type="dxa"/>
            <w:vAlign w:val="center"/>
          </w:tcPr>
          <w:p w14:paraId="486FF7A2">
            <w:pPr>
              <w:spacing w:line="0" w:lineRule="atLeast"/>
              <w:jc w:val="center"/>
              <w:rPr>
                <w:rFonts w:hint="eastAsia" w:ascii="宋体" w:hAnsi="宋体" w:eastAsia="宋体" w:cs="宋体"/>
                <w:sz w:val="18"/>
                <w:szCs w:val="18"/>
                <w:vertAlign w:val="baseline"/>
              </w:rPr>
            </w:pPr>
            <w:r>
              <w:rPr>
                <w:rFonts w:hint="eastAsia" w:ascii="宋体" w:hAnsi="宋体" w:eastAsia="宋体" w:cs="宋体"/>
                <w:sz w:val="18"/>
                <w:szCs w:val="18"/>
              </w:rPr>
              <w:t>增加了规范性附录A</w:t>
            </w:r>
          </w:p>
        </w:tc>
        <w:tc>
          <w:tcPr>
            <w:tcW w:w="2760" w:type="dxa"/>
            <w:vAlign w:val="center"/>
          </w:tcPr>
          <w:p w14:paraId="08178656">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无</w:t>
            </w:r>
          </w:p>
        </w:tc>
        <w:tc>
          <w:tcPr>
            <w:tcW w:w="3849" w:type="dxa"/>
            <w:vAlign w:val="center"/>
          </w:tcPr>
          <w:p w14:paraId="09E80BE5">
            <w:pPr>
              <w:spacing w:line="0" w:lineRule="atLeast"/>
              <w:jc w:val="left"/>
              <w:rPr>
                <w:rFonts w:hint="eastAsia" w:ascii="宋体" w:hAnsi="宋体" w:eastAsia="宋体" w:cs="宋体"/>
                <w:sz w:val="18"/>
                <w:szCs w:val="18"/>
                <w:vertAlign w:val="baseline"/>
              </w:rPr>
            </w:pPr>
            <w:r>
              <w:rPr>
                <w:rFonts w:hint="eastAsia" w:ascii="宋体" w:hAnsi="宋体" w:eastAsia="宋体" w:cs="宋体"/>
                <w:sz w:val="18"/>
                <w:szCs w:val="18"/>
              </w:rPr>
              <w:t>规范性附录A“回收锡及锡合金原料中锡含量的测定 碘酸钾滴定法”</w:t>
            </w:r>
          </w:p>
        </w:tc>
      </w:tr>
      <w:tr w14:paraId="1EF0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85" w:type="dxa"/>
            <w:vAlign w:val="center"/>
          </w:tcPr>
          <w:p w14:paraId="2012BED6">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1206" w:type="dxa"/>
            <w:vAlign w:val="center"/>
          </w:tcPr>
          <w:p w14:paraId="26C50C14">
            <w:pPr>
              <w:spacing w:line="0" w:lineRule="atLeast"/>
              <w:jc w:val="center"/>
              <w:rPr>
                <w:rFonts w:hint="eastAsia" w:ascii="宋体" w:hAnsi="宋体" w:eastAsia="宋体" w:cs="宋体"/>
                <w:sz w:val="18"/>
                <w:szCs w:val="18"/>
                <w:vertAlign w:val="baseline"/>
              </w:rPr>
            </w:pPr>
            <w:r>
              <w:rPr>
                <w:rFonts w:hint="eastAsia" w:ascii="宋体" w:hAnsi="宋体" w:eastAsia="宋体" w:cs="宋体"/>
                <w:sz w:val="18"/>
                <w:szCs w:val="18"/>
              </w:rPr>
              <w:t>增加了规范性附录B</w:t>
            </w:r>
          </w:p>
        </w:tc>
        <w:tc>
          <w:tcPr>
            <w:tcW w:w="2760" w:type="dxa"/>
            <w:vAlign w:val="center"/>
          </w:tcPr>
          <w:p w14:paraId="615E8320">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无</w:t>
            </w:r>
          </w:p>
        </w:tc>
        <w:tc>
          <w:tcPr>
            <w:tcW w:w="3849" w:type="dxa"/>
            <w:vAlign w:val="center"/>
          </w:tcPr>
          <w:p w14:paraId="5CB3B999">
            <w:pPr>
              <w:spacing w:line="0" w:lineRule="atLeast"/>
              <w:jc w:val="left"/>
              <w:rPr>
                <w:rFonts w:hint="eastAsia" w:ascii="宋体" w:hAnsi="宋体" w:eastAsia="宋体" w:cs="宋体"/>
                <w:sz w:val="18"/>
                <w:szCs w:val="18"/>
                <w:vertAlign w:val="baseline"/>
              </w:rPr>
            </w:pPr>
            <w:r>
              <w:rPr>
                <w:rFonts w:hint="eastAsia" w:ascii="宋体" w:hAnsi="宋体" w:eastAsia="宋体" w:cs="宋体"/>
                <w:sz w:val="18"/>
                <w:szCs w:val="18"/>
              </w:rPr>
              <w:t>规范性附录B“回收锡及锡合金原料中锡含量的测定 硝酸铅滴定法”</w:t>
            </w:r>
          </w:p>
        </w:tc>
      </w:tr>
      <w:tr w14:paraId="529E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85" w:type="dxa"/>
            <w:vAlign w:val="center"/>
          </w:tcPr>
          <w:p w14:paraId="4471C525">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1206" w:type="dxa"/>
            <w:vAlign w:val="center"/>
          </w:tcPr>
          <w:p w14:paraId="7ED7AA6D">
            <w:pPr>
              <w:spacing w:line="0" w:lineRule="atLeast"/>
              <w:jc w:val="center"/>
              <w:rPr>
                <w:rFonts w:hint="eastAsia" w:ascii="宋体" w:hAnsi="宋体" w:eastAsia="宋体" w:cs="宋体"/>
                <w:sz w:val="18"/>
                <w:szCs w:val="18"/>
                <w:vertAlign w:val="baseline"/>
              </w:rPr>
            </w:pPr>
            <w:r>
              <w:rPr>
                <w:rFonts w:hint="eastAsia" w:ascii="宋体" w:hAnsi="宋体" w:eastAsia="宋体" w:cs="宋体"/>
                <w:sz w:val="18"/>
                <w:szCs w:val="18"/>
              </w:rPr>
              <w:t>增加了规范性附录C</w:t>
            </w:r>
          </w:p>
        </w:tc>
        <w:tc>
          <w:tcPr>
            <w:tcW w:w="2760" w:type="dxa"/>
            <w:vAlign w:val="center"/>
          </w:tcPr>
          <w:p w14:paraId="296E862E">
            <w:pPr>
              <w:spacing w:line="0" w:lineRule="atLeas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无</w:t>
            </w:r>
          </w:p>
        </w:tc>
        <w:tc>
          <w:tcPr>
            <w:tcW w:w="3849" w:type="dxa"/>
            <w:vAlign w:val="center"/>
          </w:tcPr>
          <w:p w14:paraId="701151F4">
            <w:pPr>
              <w:spacing w:line="0" w:lineRule="atLeast"/>
              <w:jc w:val="left"/>
              <w:rPr>
                <w:rFonts w:hint="eastAsia" w:ascii="宋体" w:hAnsi="宋体" w:eastAsia="宋体" w:cs="宋体"/>
                <w:sz w:val="18"/>
                <w:szCs w:val="18"/>
                <w:vertAlign w:val="baseline"/>
              </w:rPr>
            </w:pPr>
            <w:r>
              <w:rPr>
                <w:rFonts w:hint="eastAsia" w:ascii="宋体" w:hAnsi="宋体" w:eastAsia="宋体" w:cs="宋体"/>
                <w:sz w:val="18"/>
                <w:szCs w:val="18"/>
              </w:rPr>
              <w:t>规范性附录C“回收锡及锡合金原料中</w:t>
            </w:r>
            <w:r>
              <w:rPr>
                <w:rFonts w:hint="eastAsia" w:ascii="宋体" w:hAnsi="宋体" w:eastAsia="宋体" w:cs="宋体"/>
                <w:sz w:val="18"/>
                <w:szCs w:val="18"/>
                <w:lang w:val="en-US" w:eastAsia="zh-CN"/>
              </w:rPr>
              <w:t>多</w:t>
            </w:r>
            <w:r>
              <w:rPr>
                <w:rFonts w:hint="eastAsia" w:ascii="宋体" w:hAnsi="宋体" w:eastAsia="宋体" w:cs="宋体"/>
                <w:sz w:val="18"/>
                <w:szCs w:val="18"/>
              </w:rPr>
              <w:t>元素含量的测定 电感耦合等离子体发射光谱法”</w:t>
            </w:r>
          </w:p>
        </w:tc>
      </w:tr>
    </w:tbl>
    <w:p w14:paraId="03543534">
      <w:pPr>
        <w:spacing w:line="0" w:lineRule="atLeast"/>
        <w:ind w:left="609" w:leftChars="190" w:hanging="210" w:hangingChars="100"/>
        <w:rPr>
          <w:rFonts w:hint="eastAsia" w:asciiTheme="minorEastAsia" w:hAnsiTheme="minorEastAsia" w:eastAsiaTheme="minorEastAsia" w:cstheme="minorEastAsia"/>
          <w:szCs w:val="21"/>
        </w:rPr>
      </w:pPr>
    </w:p>
    <w:p w14:paraId="644AF375">
      <w:pPr>
        <w:rPr>
          <w:b/>
          <w:bCs/>
          <w:sz w:val="28"/>
          <w:szCs w:val="28"/>
        </w:rPr>
      </w:pPr>
      <w:r>
        <w:rPr>
          <w:rFonts w:hint="eastAsia"/>
          <w:b/>
          <w:bCs/>
          <w:sz w:val="28"/>
          <w:szCs w:val="28"/>
        </w:rPr>
        <w:t>三、试验验证的分析、综述报告和预期的效益</w:t>
      </w:r>
    </w:p>
    <w:p w14:paraId="1E1ED844">
      <w:pPr>
        <w:spacing w:line="240" w:lineRule="atLeast"/>
        <w:ind w:firstLine="422" w:firstLineChars="200"/>
        <w:rPr>
          <w:b/>
          <w:bCs/>
          <w:szCs w:val="28"/>
        </w:rPr>
      </w:pPr>
      <w:r>
        <w:rPr>
          <w:rFonts w:hint="eastAsia"/>
          <w:b/>
          <w:bCs/>
          <w:szCs w:val="28"/>
        </w:rPr>
        <w:t>3.1主要内容</w:t>
      </w:r>
    </w:p>
    <w:p w14:paraId="5C87FA68">
      <w:pPr>
        <w:spacing w:line="240" w:lineRule="atLeast"/>
        <w:ind w:firstLine="420" w:firstLineChars="200"/>
        <w:rPr>
          <w:rFonts w:ascii="宋体" w:hAnsi="宋体" w:cs="宋体"/>
        </w:rPr>
      </w:pPr>
      <w:r>
        <w:rPr>
          <w:rFonts w:hint="eastAsia"/>
          <w:szCs w:val="28"/>
        </w:rPr>
        <w:t>本文件是对GB/T 21180-2007《锡及锡合金废料》的修订。并且在充分调研了锡及锡合金废料生产和应用的实际情况以及相关标准、文献的基础上完成的。</w:t>
      </w:r>
      <w:r>
        <w:rPr>
          <w:rFonts w:ascii="宋体" w:hAnsi="宋体" w:cs="宋体"/>
        </w:rPr>
        <w:t>通过试验确定了</w:t>
      </w:r>
      <w:r>
        <w:rPr>
          <w:rFonts w:hint="eastAsia" w:ascii="宋体" w:hAnsi="宋体" w:cs="宋体"/>
        </w:rPr>
        <w:t>测定范围、试样、分析操作步骤、</w:t>
      </w:r>
      <w:r>
        <w:rPr>
          <w:rFonts w:ascii="宋体" w:hAnsi="宋体" w:cs="宋体"/>
        </w:rPr>
        <w:t>试验数据处理</w:t>
      </w:r>
      <w:r>
        <w:rPr>
          <w:rFonts w:hint="eastAsia" w:ascii="宋体" w:hAnsi="宋体" w:cs="宋体"/>
        </w:rPr>
        <w:t>等技术内容；通过样品验证及</w:t>
      </w:r>
      <w:r>
        <w:rPr>
          <w:rFonts w:ascii="宋体" w:hAnsi="宋体" w:cs="宋体"/>
        </w:rPr>
        <w:t>精密度试验</w:t>
      </w:r>
      <w:r>
        <w:rPr>
          <w:rFonts w:hint="eastAsia" w:ascii="宋体" w:hAnsi="宋体" w:cs="宋体"/>
        </w:rPr>
        <w:t>确定了方法的重复性</w:t>
      </w:r>
      <w:r>
        <w:rPr>
          <w:rFonts w:ascii="宋体" w:hAnsi="宋体" w:cs="宋体"/>
        </w:rPr>
        <w:t>限和再现性限</w:t>
      </w:r>
      <w:r>
        <w:rPr>
          <w:rFonts w:hint="eastAsia" w:ascii="宋体" w:hAnsi="宋体" w:cs="宋体"/>
        </w:rPr>
        <w:t>。本标准具有技术指标适用、方法操作简单、分析结果准确、分析效率高</w:t>
      </w:r>
      <w:r>
        <w:rPr>
          <w:rFonts w:ascii="宋体" w:hAnsi="宋体" w:cs="宋体"/>
        </w:rPr>
        <w:t>等优点</w:t>
      </w:r>
      <w:r>
        <w:rPr>
          <w:rFonts w:hint="eastAsia" w:ascii="宋体" w:hAnsi="宋体" w:cs="宋体"/>
        </w:rPr>
        <w:t>。</w:t>
      </w:r>
    </w:p>
    <w:p w14:paraId="63CB573E">
      <w:pPr>
        <w:spacing w:line="240" w:lineRule="atLeast"/>
        <w:ind w:firstLine="420" w:firstLineChars="200"/>
        <w:rPr>
          <w:szCs w:val="28"/>
        </w:rPr>
      </w:pPr>
      <w:r>
        <w:rPr>
          <w:rFonts w:hint="eastAsia"/>
          <w:szCs w:val="28"/>
        </w:rPr>
        <w:t>本文件代替GB/T 21180-2007《锡及锡合金废料》。本文件与GB/T 21180-2007相比，主要变化如下：</w:t>
      </w:r>
    </w:p>
    <w:p w14:paraId="5FD48CC1">
      <w:pPr>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a）更改了标准名称，由“</w:t>
      </w:r>
      <w:r>
        <w:rPr>
          <w:rFonts w:hint="eastAsia" w:ascii="宋体" w:hAnsi="宋体" w:cs="宋体"/>
          <w:szCs w:val="21"/>
        </w:rPr>
        <w:t>锡及锡合金</w:t>
      </w:r>
      <w:r>
        <w:rPr>
          <w:rFonts w:hint="eastAsia" w:ascii="宋体" w:hAnsi="宋体"/>
          <w:szCs w:val="21"/>
        </w:rPr>
        <w:t>废料”更改为“回收</w:t>
      </w:r>
      <w:r>
        <w:rPr>
          <w:rFonts w:hint="eastAsia" w:ascii="宋体" w:hAnsi="宋体" w:cs="宋体"/>
          <w:szCs w:val="21"/>
        </w:rPr>
        <w:t>锡及锡合金</w:t>
      </w:r>
      <w:r>
        <w:rPr>
          <w:rFonts w:hint="eastAsia" w:ascii="宋体" w:hAnsi="宋体"/>
          <w:szCs w:val="21"/>
        </w:rPr>
        <w:t>原料”；</w:t>
      </w:r>
    </w:p>
    <w:p w14:paraId="7FBD71B4">
      <w:pPr>
        <w:spacing w:line="0" w:lineRule="atLeast"/>
        <w:ind w:left="840" w:leftChars="200" w:hanging="420" w:hangingChars="200"/>
        <w:rPr>
          <w:rFonts w:hint="eastAsia" w:ascii="宋体" w:hAnsi="宋体"/>
          <w:szCs w:val="21"/>
        </w:rPr>
      </w:pPr>
      <w:r>
        <w:rPr>
          <w:rFonts w:hint="eastAsia" w:ascii="宋体" w:hAnsi="宋体"/>
          <w:szCs w:val="21"/>
        </w:rPr>
        <w:t>b）更改了</w:t>
      </w:r>
      <w:r>
        <w:rPr>
          <w:rFonts w:hint="eastAsia" w:cs="宋体"/>
          <w:color w:val="000000" w:themeColor="text1"/>
          <w:szCs w:val="21"/>
        </w:rPr>
        <w:t>适用范围为“本文件适用于回收锡及锡合金原料的回收、贸易与利用”</w:t>
      </w:r>
      <w:r>
        <w:rPr>
          <w:rFonts w:hint="eastAsia" w:ascii="宋体" w:hAnsi="宋体"/>
          <w:szCs w:val="21"/>
        </w:rPr>
        <w:t>；</w:t>
      </w:r>
    </w:p>
    <w:p w14:paraId="27CF4A19">
      <w:pPr>
        <w:widowControl/>
        <w:ind w:left="630" w:leftChars="200" w:hanging="210" w:hangingChars="100"/>
        <w:jc w:val="left"/>
        <w:rPr>
          <w:rFonts w:hint="eastAsia"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c）更改了回收锡及锡合金原料的分类，新增</w:t>
      </w:r>
      <w:r>
        <w:rPr>
          <w:rFonts w:hint="eastAsia" w:ascii="宋体" w:hAnsi="宋体" w:cs="宋体"/>
          <w:szCs w:val="21"/>
        </w:rPr>
        <w:t>回收锡及锡合金渣、尘、泥料组别中的种类，</w:t>
      </w:r>
      <w:r>
        <w:rPr>
          <w:rFonts w:hint="eastAsia" w:ascii="宋体" w:hAnsi="宋体" w:cs="宋体"/>
          <w:kern w:val="0"/>
          <w:szCs w:val="21"/>
        </w:rPr>
        <w:t>更改了</w:t>
      </w:r>
      <w:r>
        <w:rPr>
          <w:rFonts w:hint="eastAsia" w:ascii="宋体" w:hAnsi="宋体" w:cs="宋体"/>
          <w:szCs w:val="21"/>
        </w:rPr>
        <w:t>精炼渣、锡尘、锡泥种类的含锡要求</w:t>
      </w:r>
      <w:r>
        <w:rPr>
          <w:rFonts w:hint="eastAsia" w:asciiTheme="minorEastAsia" w:hAnsiTheme="minorEastAsia" w:eastAsiaTheme="minorEastAsia" w:cstheme="minorEastAsia"/>
          <w:color w:val="000000" w:themeColor="text1"/>
          <w:szCs w:val="21"/>
        </w:rPr>
        <w:t>；</w:t>
      </w:r>
    </w:p>
    <w:p w14:paraId="64B0295D">
      <w:pPr>
        <w:spacing w:line="0" w:lineRule="atLeast"/>
        <w:ind w:left="840" w:leftChars="200" w:hanging="420" w:hangingChars="200"/>
        <w:rPr>
          <w:rFonts w:hint="eastAsia"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d）更改了技术要求；</w:t>
      </w:r>
    </w:p>
    <w:p w14:paraId="0C1FFB56">
      <w:pPr>
        <w:spacing w:line="0" w:lineRule="atLeast"/>
        <w:ind w:left="840" w:leftChars="200" w:hanging="420" w:hangingChars="200"/>
        <w:rPr>
          <w:rFonts w:hint="eastAsia" w:ascii="宋体" w:hAnsi="宋体" w:cs="宋体"/>
          <w:szCs w:val="21"/>
        </w:rPr>
      </w:pPr>
      <w:r>
        <w:rPr>
          <w:rFonts w:hint="eastAsia" w:ascii="宋体" w:hAnsi="宋体" w:cs="宋体"/>
          <w:szCs w:val="21"/>
        </w:rPr>
        <w:t>e）</w:t>
      </w:r>
      <w:r>
        <w:rPr>
          <w:rFonts w:hint="eastAsia" w:asciiTheme="minorEastAsia" w:hAnsiTheme="minorEastAsia" w:eastAsiaTheme="minorEastAsia" w:cstheme="minorEastAsia"/>
          <w:color w:val="000000" w:themeColor="text1"/>
          <w:szCs w:val="21"/>
        </w:rPr>
        <w:t>更改了</w:t>
      </w:r>
      <w:r>
        <w:rPr>
          <w:rFonts w:hint="eastAsia" w:asciiTheme="minorEastAsia" w:hAnsiTheme="minorEastAsia" w:eastAsiaTheme="minorEastAsia" w:cstheme="minorEastAsia"/>
          <w:szCs w:val="21"/>
        </w:rPr>
        <w:t>试验方法</w:t>
      </w:r>
      <w:r>
        <w:rPr>
          <w:rFonts w:hint="eastAsia" w:ascii="宋体" w:hAnsi="宋体" w:cs="宋体"/>
          <w:szCs w:val="21"/>
        </w:rPr>
        <w:t>；</w:t>
      </w:r>
    </w:p>
    <w:p w14:paraId="3E949CBF">
      <w:pPr>
        <w:spacing w:line="0" w:lineRule="atLeast"/>
        <w:ind w:firstLine="420" w:firstLineChars="200"/>
        <w:rPr>
          <w:rFonts w:hint="eastAsia" w:asciiTheme="minorEastAsia" w:hAnsiTheme="minorEastAsia" w:cstheme="minorEastAsia"/>
          <w:szCs w:val="21"/>
        </w:rPr>
      </w:pPr>
      <w:r>
        <w:rPr>
          <w:rFonts w:hint="eastAsia" w:ascii="宋体" w:hAnsi="宋体" w:cs="宋体"/>
          <w:szCs w:val="21"/>
        </w:rPr>
        <w:t>f）</w:t>
      </w:r>
      <w:r>
        <w:rPr>
          <w:rFonts w:hint="eastAsia" w:asciiTheme="minorEastAsia" w:hAnsiTheme="minorEastAsia" w:eastAsiaTheme="minorEastAsia" w:cstheme="minorEastAsia"/>
          <w:szCs w:val="21"/>
        </w:rPr>
        <w:t>更改了检验规则</w:t>
      </w:r>
      <w:r>
        <w:rPr>
          <w:rFonts w:hint="eastAsia" w:ascii="宋体" w:hAnsi="宋体"/>
          <w:szCs w:val="21"/>
        </w:rPr>
        <w:t>；</w:t>
      </w:r>
    </w:p>
    <w:p w14:paraId="05555F5D">
      <w:pPr>
        <w:spacing w:line="0" w:lineRule="atLeast"/>
        <w:ind w:firstLine="420" w:firstLineChars="200"/>
        <w:rPr>
          <w:rFonts w:hint="eastAsia" w:ascii="宋体" w:hAnsi="宋体"/>
          <w:szCs w:val="21"/>
        </w:rPr>
      </w:pPr>
      <w:r>
        <w:rPr>
          <w:rFonts w:hint="eastAsia" w:asciiTheme="minorEastAsia" w:hAnsiTheme="minorEastAsia" w:eastAsiaTheme="minorEastAsia" w:cstheme="minorEastAsia"/>
          <w:szCs w:val="21"/>
        </w:rPr>
        <w:t>g）更改了标志、包装、运输、贮存和随行文件的内容</w:t>
      </w:r>
      <w:r>
        <w:rPr>
          <w:rFonts w:hint="eastAsia" w:ascii="宋体" w:hAnsi="宋体"/>
          <w:szCs w:val="21"/>
        </w:rPr>
        <w:t>；</w:t>
      </w:r>
    </w:p>
    <w:p w14:paraId="7C1B7D4C">
      <w:pPr>
        <w:spacing w:line="0" w:lineRule="atLeas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h）增加了规范性附录A“回收锡及锡合金原料中锡含量的测定 碘酸钾滴定法”；</w:t>
      </w:r>
    </w:p>
    <w:p w14:paraId="1FF96AF1">
      <w:pPr>
        <w:spacing w:line="0" w:lineRule="atLeas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i）增加了规范性附录B“回收锡及锡合金原料中锡含量的测定 硝酸铅滴定法”；</w:t>
      </w:r>
    </w:p>
    <w:p w14:paraId="7D92FB35">
      <w:pPr>
        <w:spacing w:line="0" w:lineRule="atLeast"/>
        <w:ind w:left="609" w:leftChars="190" w:hanging="210" w:hangingChars="1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j）增加了规范性附录C“回收锡及锡合金原料中</w:t>
      </w:r>
      <w:r>
        <w:rPr>
          <w:rFonts w:hint="eastAsia" w:asciiTheme="minorEastAsia" w:hAnsiTheme="minorEastAsia" w:eastAsiaTheme="minorEastAsia" w:cstheme="minorEastAsia"/>
          <w:szCs w:val="21"/>
          <w:lang w:val="en-US" w:eastAsia="zh-CN"/>
        </w:rPr>
        <w:t>多</w:t>
      </w:r>
      <w:r>
        <w:rPr>
          <w:rFonts w:hint="eastAsia" w:asciiTheme="minorEastAsia" w:hAnsiTheme="minorEastAsia" w:eastAsiaTheme="minorEastAsia" w:cstheme="minorEastAsia"/>
          <w:szCs w:val="21"/>
        </w:rPr>
        <w:t>元素含量的测定 电感耦合等离子体发射光谱法”</w:t>
      </w:r>
      <w:r>
        <w:rPr>
          <w:rFonts w:hint="eastAsia" w:asciiTheme="minorEastAsia" w:hAnsiTheme="minorEastAsia" w:eastAsiaTheme="minorEastAsia" w:cstheme="minorEastAsia"/>
          <w:szCs w:val="21"/>
          <w:lang w:eastAsia="zh-CN"/>
        </w:rPr>
        <w:t>。</w:t>
      </w:r>
    </w:p>
    <w:p w14:paraId="53721FD9">
      <w:pPr>
        <w:spacing w:line="240" w:lineRule="atLeast"/>
        <w:ind w:firstLine="422" w:firstLineChars="200"/>
        <w:rPr>
          <w:szCs w:val="21"/>
        </w:rPr>
      </w:pPr>
      <w:r>
        <w:rPr>
          <w:rFonts w:hint="eastAsia"/>
          <w:b/>
          <w:bCs/>
          <w:szCs w:val="28"/>
        </w:rPr>
        <w:t>3.2原料分类</w:t>
      </w:r>
    </w:p>
    <w:p w14:paraId="4FB2A075">
      <w:pPr>
        <w:ind w:firstLine="435"/>
        <w:rPr>
          <w:rFonts w:ascii="宋体" w:hAnsi="宋体"/>
          <w:szCs w:val="21"/>
        </w:rPr>
      </w:pPr>
      <w:r>
        <w:rPr>
          <w:rFonts w:hint="eastAsia"/>
          <w:szCs w:val="21"/>
        </w:rPr>
        <w:t>根据锡及合金产品在各行业生产、加工和使用后产生的废件，结合回收锡及锡合金原料收购企业提供的分捡情况及加工处理技术要求。按回收锡及锡合金原料的化学成分、物理形态、存在方式分为4个大类。即：</w:t>
      </w:r>
      <w:r>
        <w:rPr>
          <w:rFonts w:hint="eastAsia" w:ascii="宋体" w:hAnsi="宋体"/>
          <w:szCs w:val="21"/>
        </w:rPr>
        <w:t>Ⅰ类  回收</w:t>
      </w:r>
      <w:r>
        <w:rPr>
          <w:rFonts w:hint="eastAsia" w:ascii="宋体" w:hAnsi="宋体" w:cs="宋体"/>
          <w:kern w:val="0"/>
          <w:szCs w:val="21"/>
        </w:rPr>
        <w:t>锡及锡合金</w:t>
      </w:r>
      <w:r>
        <w:rPr>
          <w:rFonts w:hint="eastAsia" w:ascii="宋体" w:hAnsi="宋体"/>
          <w:szCs w:val="21"/>
        </w:rPr>
        <w:t>金属块原料；Ⅱ类  回收含锡焊料原料；Ⅲ类  回收</w:t>
      </w:r>
      <w:r>
        <w:rPr>
          <w:rFonts w:hint="eastAsia" w:ascii="宋体" w:hAnsi="宋体" w:cs="宋体"/>
          <w:kern w:val="0"/>
          <w:szCs w:val="21"/>
        </w:rPr>
        <w:t>锡及锡合金屑</w:t>
      </w:r>
      <w:r>
        <w:rPr>
          <w:rFonts w:hint="eastAsia" w:ascii="宋体" w:hAnsi="宋体"/>
          <w:szCs w:val="21"/>
        </w:rPr>
        <w:t>原料；Ⅳ类  回收锡及锡合金</w:t>
      </w:r>
      <w:r>
        <w:rPr>
          <w:rFonts w:hint="eastAsia" w:ascii="宋体" w:hAnsi="宋体" w:cs="宋体"/>
          <w:kern w:val="0"/>
          <w:szCs w:val="21"/>
        </w:rPr>
        <w:t>渣、尘、泥</w:t>
      </w:r>
      <w:r>
        <w:rPr>
          <w:rFonts w:hint="eastAsia" w:ascii="宋体" w:hAnsi="宋体"/>
          <w:szCs w:val="21"/>
        </w:rPr>
        <w:t>料。</w:t>
      </w:r>
    </w:p>
    <w:p w14:paraId="66F9FACD">
      <w:pPr>
        <w:ind w:firstLine="435"/>
        <w:rPr>
          <w:szCs w:val="28"/>
        </w:rPr>
      </w:pPr>
      <w:r>
        <w:rPr>
          <w:rFonts w:hint="eastAsia" w:ascii="宋体" w:hAnsi="宋体"/>
          <w:szCs w:val="21"/>
        </w:rPr>
        <w:t>按四类废料中的类型分成不同组别，每组按回收锡及锡合金原料的名称来区别不同级别，详见表</w:t>
      </w:r>
      <w:r>
        <w:rPr>
          <w:rFonts w:hint="eastAsia" w:ascii="宋体" w:hAnsi="宋体"/>
          <w:szCs w:val="21"/>
          <w:lang w:val="en-US" w:eastAsia="zh-CN"/>
        </w:rPr>
        <w:t>4</w:t>
      </w:r>
      <w:r>
        <w:rPr>
          <w:rFonts w:hint="eastAsia" w:ascii="宋体" w:hAnsi="宋体"/>
          <w:szCs w:val="21"/>
        </w:rPr>
        <w:t>所示。</w:t>
      </w:r>
    </w:p>
    <w:p w14:paraId="266080CF">
      <w:pPr>
        <w:jc w:val="center"/>
        <w:rPr>
          <w:rFonts w:ascii="宋体" w:hAnsi="宋体"/>
          <w:szCs w:val="21"/>
        </w:rPr>
      </w:pPr>
      <w:r>
        <w:rPr>
          <w:rFonts w:hint="eastAsia" w:ascii="黑体" w:hAnsi="黑体" w:eastAsia="黑体" w:cs="黑体"/>
          <w:szCs w:val="21"/>
        </w:rPr>
        <w:t>表</w:t>
      </w:r>
      <w:r>
        <w:rPr>
          <w:rFonts w:hint="eastAsia" w:ascii="黑体" w:hAnsi="黑体" w:eastAsia="黑体" w:cs="黑体"/>
          <w:szCs w:val="21"/>
          <w:lang w:val="en-US" w:eastAsia="zh-CN"/>
        </w:rPr>
        <w:t>4</w:t>
      </w:r>
      <w:r>
        <w:rPr>
          <w:rFonts w:hint="eastAsia" w:ascii="黑体" w:hAnsi="黑体" w:eastAsia="黑体" w:cs="黑体"/>
          <w:szCs w:val="21"/>
        </w:rPr>
        <w:t>回收锡及锡合金原料分类表</w:t>
      </w:r>
    </w:p>
    <w:tbl>
      <w:tblPr>
        <w:tblStyle w:val="30"/>
        <w:tblW w:w="9160" w:type="dxa"/>
        <w:jc w:val="center"/>
        <w:tblLayout w:type="fixed"/>
        <w:tblCellMar>
          <w:top w:w="0" w:type="dxa"/>
          <w:left w:w="108" w:type="dxa"/>
          <w:bottom w:w="0" w:type="dxa"/>
          <w:right w:w="108" w:type="dxa"/>
        </w:tblCellMar>
      </w:tblPr>
      <w:tblGrid>
        <w:gridCol w:w="1111"/>
        <w:gridCol w:w="952"/>
        <w:gridCol w:w="1587"/>
        <w:gridCol w:w="1269"/>
        <w:gridCol w:w="4241"/>
      </w:tblGrid>
      <w:tr w14:paraId="228370A2">
        <w:tblPrEx>
          <w:tblCellMar>
            <w:top w:w="0" w:type="dxa"/>
            <w:left w:w="108" w:type="dxa"/>
            <w:bottom w:w="0" w:type="dxa"/>
            <w:right w:w="108" w:type="dxa"/>
          </w:tblCellMar>
        </w:tblPrEx>
        <w:trPr>
          <w:trHeight w:val="323" w:hRule="atLeast"/>
          <w:jc w:val="center"/>
        </w:trPr>
        <w:tc>
          <w:tcPr>
            <w:tcW w:w="3650" w:type="dxa"/>
            <w:gridSpan w:val="3"/>
            <w:tcBorders>
              <w:top w:val="single" w:color="auto" w:sz="4" w:space="0"/>
              <w:left w:val="single" w:color="auto" w:sz="4" w:space="0"/>
              <w:bottom w:val="single" w:color="auto" w:sz="4" w:space="0"/>
              <w:right w:val="single" w:color="auto" w:sz="4" w:space="0"/>
            </w:tcBorders>
            <w:noWrap/>
            <w:vAlign w:val="center"/>
          </w:tcPr>
          <w:p w14:paraId="7057D625">
            <w:pPr>
              <w:widowControl/>
              <w:jc w:val="center"/>
              <w:rPr>
                <w:rFonts w:ascii="宋体" w:hAnsi="宋体" w:cs="宋体"/>
                <w:kern w:val="0"/>
                <w:sz w:val="18"/>
                <w:szCs w:val="18"/>
              </w:rPr>
            </w:pPr>
            <w:r>
              <w:rPr>
                <w:rFonts w:hint="eastAsia" w:ascii="宋体" w:hAnsi="宋体" w:cs="宋体"/>
                <w:kern w:val="0"/>
                <w:sz w:val="18"/>
                <w:szCs w:val="18"/>
              </w:rPr>
              <w:t>分          类</w:t>
            </w:r>
          </w:p>
        </w:tc>
        <w:tc>
          <w:tcPr>
            <w:tcW w:w="551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72E2B14">
            <w:pPr>
              <w:widowControl/>
              <w:jc w:val="center"/>
              <w:rPr>
                <w:rFonts w:ascii="宋体" w:hAnsi="宋体" w:cs="宋体"/>
                <w:kern w:val="0"/>
                <w:sz w:val="18"/>
                <w:szCs w:val="18"/>
              </w:rPr>
            </w:pPr>
            <w:r>
              <w:rPr>
                <w:rFonts w:hint="eastAsia" w:ascii="宋体" w:hAnsi="宋体" w:cs="宋体"/>
                <w:kern w:val="0"/>
                <w:sz w:val="18"/>
                <w:szCs w:val="18"/>
              </w:rPr>
              <w:t>要          求</w:t>
            </w:r>
          </w:p>
        </w:tc>
      </w:tr>
      <w:tr w14:paraId="15CF7A94">
        <w:tblPrEx>
          <w:tblCellMar>
            <w:top w:w="0" w:type="dxa"/>
            <w:left w:w="108" w:type="dxa"/>
            <w:bottom w:w="0" w:type="dxa"/>
            <w:right w:w="108" w:type="dxa"/>
          </w:tblCellMar>
        </w:tblPrEx>
        <w:trPr>
          <w:trHeight w:val="323" w:hRule="atLeast"/>
          <w:jc w:val="center"/>
        </w:trPr>
        <w:tc>
          <w:tcPr>
            <w:tcW w:w="1111" w:type="dxa"/>
            <w:tcBorders>
              <w:top w:val="nil"/>
              <w:left w:val="single" w:color="auto" w:sz="4" w:space="0"/>
              <w:bottom w:val="single" w:color="auto" w:sz="4" w:space="0"/>
              <w:right w:val="single" w:color="auto" w:sz="4" w:space="0"/>
            </w:tcBorders>
            <w:noWrap/>
            <w:vAlign w:val="center"/>
          </w:tcPr>
          <w:p w14:paraId="192604A9">
            <w:pPr>
              <w:widowControl/>
              <w:jc w:val="center"/>
              <w:rPr>
                <w:rFonts w:ascii="宋体" w:hAnsi="宋体" w:cs="宋体"/>
                <w:kern w:val="0"/>
                <w:sz w:val="18"/>
                <w:szCs w:val="18"/>
              </w:rPr>
            </w:pPr>
            <w:r>
              <w:rPr>
                <w:rFonts w:hint="eastAsia" w:ascii="宋体" w:hAnsi="宋体" w:cs="宋体"/>
                <w:kern w:val="0"/>
                <w:sz w:val="18"/>
                <w:szCs w:val="18"/>
              </w:rPr>
              <w:t>类  别</w:t>
            </w:r>
          </w:p>
        </w:tc>
        <w:tc>
          <w:tcPr>
            <w:tcW w:w="952" w:type="dxa"/>
            <w:tcBorders>
              <w:top w:val="nil"/>
              <w:left w:val="nil"/>
              <w:bottom w:val="single" w:color="auto" w:sz="4" w:space="0"/>
              <w:right w:val="single" w:color="auto" w:sz="4" w:space="0"/>
            </w:tcBorders>
            <w:noWrap/>
            <w:vAlign w:val="center"/>
          </w:tcPr>
          <w:p w14:paraId="67D404AA">
            <w:pPr>
              <w:widowControl/>
              <w:jc w:val="center"/>
              <w:rPr>
                <w:rFonts w:ascii="宋体" w:hAnsi="宋体" w:cs="宋体"/>
                <w:kern w:val="0"/>
                <w:sz w:val="18"/>
                <w:szCs w:val="18"/>
              </w:rPr>
            </w:pPr>
            <w:r>
              <w:rPr>
                <w:rFonts w:hint="eastAsia" w:ascii="宋体" w:hAnsi="宋体" w:cs="宋体"/>
                <w:kern w:val="0"/>
                <w:sz w:val="18"/>
                <w:szCs w:val="18"/>
              </w:rPr>
              <w:t>组  别</w:t>
            </w:r>
          </w:p>
        </w:tc>
        <w:tc>
          <w:tcPr>
            <w:tcW w:w="1587" w:type="dxa"/>
            <w:tcBorders>
              <w:top w:val="nil"/>
              <w:left w:val="nil"/>
              <w:bottom w:val="single" w:color="auto" w:sz="4" w:space="0"/>
              <w:right w:val="single" w:color="auto" w:sz="4" w:space="0"/>
            </w:tcBorders>
            <w:noWrap/>
            <w:vAlign w:val="center"/>
          </w:tcPr>
          <w:p w14:paraId="23DA7FF6">
            <w:pPr>
              <w:widowControl/>
              <w:jc w:val="center"/>
              <w:rPr>
                <w:rFonts w:ascii="宋体" w:hAnsi="宋体" w:cs="宋体"/>
                <w:kern w:val="0"/>
                <w:sz w:val="18"/>
                <w:szCs w:val="18"/>
              </w:rPr>
            </w:pPr>
            <w:r>
              <w:rPr>
                <w:rFonts w:hint="eastAsia" w:ascii="宋体" w:hAnsi="宋体" w:cs="宋体"/>
                <w:kern w:val="0"/>
                <w:sz w:val="18"/>
                <w:szCs w:val="18"/>
              </w:rPr>
              <w:t>废料名称</w:t>
            </w:r>
          </w:p>
        </w:tc>
        <w:tc>
          <w:tcPr>
            <w:tcW w:w="5510" w:type="dxa"/>
            <w:gridSpan w:val="2"/>
            <w:vMerge w:val="continue"/>
            <w:tcBorders>
              <w:top w:val="nil"/>
              <w:left w:val="nil"/>
              <w:bottom w:val="single" w:color="auto" w:sz="4" w:space="0"/>
              <w:right w:val="single" w:color="auto" w:sz="4" w:space="0"/>
            </w:tcBorders>
            <w:noWrap/>
            <w:vAlign w:val="center"/>
          </w:tcPr>
          <w:p w14:paraId="0C577DF1">
            <w:pPr>
              <w:widowControl/>
              <w:jc w:val="left"/>
              <w:rPr>
                <w:rFonts w:ascii="宋体" w:hAnsi="宋体" w:cs="宋体"/>
                <w:kern w:val="0"/>
                <w:sz w:val="18"/>
                <w:szCs w:val="18"/>
              </w:rPr>
            </w:pPr>
          </w:p>
        </w:tc>
      </w:tr>
      <w:tr w14:paraId="6A9B9945">
        <w:tblPrEx>
          <w:tblCellMar>
            <w:top w:w="0" w:type="dxa"/>
            <w:left w:w="108" w:type="dxa"/>
            <w:bottom w:w="0" w:type="dxa"/>
            <w:right w:w="108" w:type="dxa"/>
          </w:tblCellMar>
        </w:tblPrEx>
        <w:trPr>
          <w:trHeight w:val="625" w:hRule="atLeast"/>
          <w:jc w:val="center"/>
        </w:trPr>
        <w:tc>
          <w:tcPr>
            <w:tcW w:w="1111" w:type="dxa"/>
            <w:vMerge w:val="restart"/>
            <w:tcBorders>
              <w:top w:val="nil"/>
              <w:left w:val="single" w:color="auto" w:sz="4" w:space="0"/>
              <w:bottom w:val="single" w:color="auto" w:sz="4" w:space="0"/>
              <w:right w:val="single" w:color="auto" w:sz="4" w:space="0"/>
            </w:tcBorders>
            <w:noWrap/>
            <w:vAlign w:val="center"/>
          </w:tcPr>
          <w:p w14:paraId="5A93AF0C">
            <w:pPr>
              <w:widowControl/>
              <w:jc w:val="center"/>
              <w:rPr>
                <w:rFonts w:ascii="宋体" w:hAnsi="宋体" w:cs="宋体"/>
                <w:kern w:val="0"/>
                <w:sz w:val="18"/>
                <w:szCs w:val="18"/>
              </w:rPr>
            </w:pPr>
            <w:r>
              <w:rPr>
                <w:rFonts w:hint="eastAsia" w:ascii="宋体" w:hAnsi="宋体" w:cs="宋体"/>
                <w:kern w:val="0"/>
                <w:sz w:val="18"/>
                <w:szCs w:val="18"/>
              </w:rPr>
              <w:t>I</w:t>
            </w:r>
            <w:r>
              <w:rPr>
                <w:rFonts w:hint="eastAsia" w:ascii="宋体" w:hAnsi="宋体"/>
                <w:sz w:val="18"/>
                <w:szCs w:val="18"/>
              </w:rPr>
              <w:t>回收</w:t>
            </w:r>
            <w:r>
              <w:rPr>
                <w:rFonts w:hint="eastAsia" w:ascii="宋体" w:hAnsi="宋体" w:cs="宋体"/>
                <w:kern w:val="0"/>
                <w:sz w:val="18"/>
                <w:szCs w:val="18"/>
              </w:rPr>
              <w:t>锡及锡合金</w:t>
            </w:r>
            <w:r>
              <w:rPr>
                <w:rFonts w:hint="eastAsia" w:ascii="宋体" w:hAnsi="宋体"/>
                <w:sz w:val="18"/>
                <w:szCs w:val="18"/>
              </w:rPr>
              <w:t>金属块原料</w:t>
            </w:r>
          </w:p>
        </w:tc>
        <w:tc>
          <w:tcPr>
            <w:tcW w:w="952" w:type="dxa"/>
            <w:vMerge w:val="restart"/>
            <w:tcBorders>
              <w:top w:val="nil"/>
              <w:left w:val="single" w:color="auto" w:sz="4" w:space="0"/>
              <w:bottom w:val="single" w:color="auto" w:sz="4" w:space="0"/>
              <w:right w:val="single" w:color="auto" w:sz="4" w:space="0"/>
            </w:tcBorders>
            <w:noWrap/>
            <w:vAlign w:val="center"/>
          </w:tcPr>
          <w:p w14:paraId="4A111469">
            <w:pPr>
              <w:widowControl/>
              <w:jc w:val="center"/>
              <w:rPr>
                <w:rFonts w:ascii="宋体" w:hAnsi="宋体" w:cs="宋体"/>
                <w:kern w:val="0"/>
                <w:sz w:val="18"/>
                <w:szCs w:val="18"/>
              </w:rPr>
            </w:pPr>
            <w:r>
              <w:rPr>
                <w:rFonts w:hint="eastAsia" w:ascii="宋体" w:hAnsi="宋体" w:cs="宋体"/>
                <w:kern w:val="0"/>
                <w:sz w:val="18"/>
                <w:szCs w:val="18"/>
              </w:rPr>
              <w:t>回收纯锡原料</w:t>
            </w:r>
          </w:p>
        </w:tc>
        <w:tc>
          <w:tcPr>
            <w:tcW w:w="1587" w:type="dxa"/>
            <w:tcBorders>
              <w:top w:val="nil"/>
              <w:left w:val="nil"/>
              <w:bottom w:val="single" w:color="auto" w:sz="4" w:space="0"/>
              <w:right w:val="single" w:color="auto" w:sz="4" w:space="0"/>
            </w:tcBorders>
            <w:noWrap/>
            <w:vAlign w:val="center"/>
          </w:tcPr>
          <w:p w14:paraId="08B4A296">
            <w:pPr>
              <w:widowControl/>
              <w:jc w:val="center"/>
              <w:rPr>
                <w:rFonts w:ascii="宋体" w:hAnsi="宋体" w:cs="宋体"/>
                <w:kern w:val="0"/>
                <w:sz w:val="18"/>
                <w:szCs w:val="18"/>
              </w:rPr>
            </w:pPr>
            <w:r>
              <w:rPr>
                <w:rFonts w:hint="eastAsia" w:ascii="宋体" w:hAnsi="宋体" w:cs="宋体"/>
                <w:kern w:val="0"/>
                <w:sz w:val="18"/>
                <w:szCs w:val="18"/>
              </w:rPr>
              <w:t>浮法玻璃废锡料</w:t>
            </w:r>
          </w:p>
        </w:tc>
        <w:tc>
          <w:tcPr>
            <w:tcW w:w="551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8861054">
            <w:pPr>
              <w:widowControl/>
              <w:jc w:val="left"/>
              <w:rPr>
                <w:rFonts w:ascii="宋体" w:hAnsi="宋体" w:cs="宋体"/>
                <w:kern w:val="0"/>
                <w:sz w:val="18"/>
                <w:szCs w:val="18"/>
              </w:rPr>
            </w:pPr>
            <w:r>
              <w:rPr>
                <w:rFonts w:hint="eastAsia" w:ascii="宋体" w:hAnsi="宋体" w:cs="宋体"/>
                <w:kern w:val="0"/>
                <w:sz w:val="18"/>
                <w:szCs w:val="18"/>
              </w:rPr>
              <w:t xml:space="preserve">1级:含锡Sn≥95%，无其他夹杂物及油污。 </w:t>
            </w:r>
          </w:p>
          <w:p w14:paraId="5C99C903">
            <w:pPr>
              <w:widowControl/>
              <w:jc w:val="left"/>
              <w:rPr>
                <w:rFonts w:ascii="宋体" w:hAnsi="宋体" w:cs="宋体"/>
                <w:kern w:val="0"/>
                <w:sz w:val="18"/>
                <w:szCs w:val="18"/>
              </w:rPr>
            </w:pPr>
            <w:r>
              <w:rPr>
                <w:rFonts w:hint="eastAsia" w:ascii="宋体" w:hAnsi="宋体" w:cs="宋体"/>
                <w:kern w:val="0"/>
                <w:sz w:val="18"/>
                <w:szCs w:val="18"/>
              </w:rPr>
              <w:t>2级：含锡90%≤Sn＜95%，无其他夹杂物及油污。</w:t>
            </w:r>
          </w:p>
          <w:p w14:paraId="1542987B">
            <w:pPr>
              <w:widowControl/>
              <w:jc w:val="left"/>
              <w:rPr>
                <w:rFonts w:ascii="宋体" w:hAnsi="宋体" w:cs="宋体"/>
                <w:kern w:val="0"/>
                <w:sz w:val="18"/>
                <w:szCs w:val="18"/>
              </w:rPr>
            </w:pPr>
            <w:r>
              <w:rPr>
                <w:rFonts w:hint="eastAsia" w:ascii="宋体" w:hAnsi="宋体" w:cs="宋体"/>
                <w:kern w:val="0"/>
                <w:sz w:val="18"/>
                <w:szCs w:val="18"/>
              </w:rPr>
              <w:t>3级：含锡80%≤Sn＜90%，无其他夹杂物及油污。</w:t>
            </w:r>
          </w:p>
        </w:tc>
      </w:tr>
      <w:tr w14:paraId="57D604D7">
        <w:tblPrEx>
          <w:tblCellMar>
            <w:top w:w="0" w:type="dxa"/>
            <w:left w:w="108" w:type="dxa"/>
            <w:bottom w:w="0" w:type="dxa"/>
            <w:right w:w="108" w:type="dxa"/>
          </w:tblCellMar>
        </w:tblPrEx>
        <w:trPr>
          <w:trHeight w:val="617" w:hRule="atLeast"/>
          <w:jc w:val="center"/>
        </w:trPr>
        <w:tc>
          <w:tcPr>
            <w:tcW w:w="1111" w:type="dxa"/>
            <w:vMerge w:val="continue"/>
            <w:tcBorders>
              <w:top w:val="nil"/>
              <w:left w:val="single" w:color="auto" w:sz="4" w:space="0"/>
              <w:bottom w:val="single" w:color="auto" w:sz="4" w:space="0"/>
              <w:right w:val="single" w:color="auto" w:sz="4" w:space="0"/>
            </w:tcBorders>
            <w:noWrap/>
            <w:vAlign w:val="center"/>
          </w:tcPr>
          <w:p w14:paraId="68B70B95">
            <w:pPr>
              <w:widowControl/>
              <w:jc w:val="left"/>
              <w:rPr>
                <w:rFonts w:ascii="宋体" w:hAnsi="宋体" w:cs="宋体"/>
                <w:kern w:val="0"/>
                <w:sz w:val="18"/>
                <w:szCs w:val="18"/>
              </w:rPr>
            </w:pPr>
          </w:p>
        </w:tc>
        <w:tc>
          <w:tcPr>
            <w:tcW w:w="952" w:type="dxa"/>
            <w:vMerge w:val="continue"/>
            <w:tcBorders>
              <w:top w:val="nil"/>
              <w:left w:val="single" w:color="auto" w:sz="4" w:space="0"/>
              <w:bottom w:val="single" w:color="auto" w:sz="4" w:space="0"/>
              <w:right w:val="single" w:color="auto" w:sz="4" w:space="0"/>
            </w:tcBorders>
            <w:noWrap/>
            <w:vAlign w:val="center"/>
          </w:tcPr>
          <w:p w14:paraId="683F22E9">
            <w:pPr>
              <w:widowControl/>
              <w:jc w:val="left"/>
              <w:rPr>
                <w:rFonts w:ascii="宋体" w:hAnsi="宋体" w:cs="宋体"/>
                <w:kern w:val="0"/>
                <w:sz w:val="18"/>
                <w:szCs w:val="18"/>
              </w:rPr>
            </w:pPr>
          </w:p>
        </w:tc>
        <w:tc>
          <w:tcPr>
            <w:tcW w:w="1587" w:type="dxa"/>
            <w:tcBorders>
              <w:top w:val="nil"/>
              <w:left w:val="nil"/>
              <w:bottom w:val="single" w:color="auto" w:sz="4" w:space="0"/>
              <w:right w:val="single" w:color="auto" w:sz="4" w:space="0"/>
            </w:tcBorders>
            <w:noWrap/>
            <w:vAlign w:val="center"/>
          </w:tcPr>
          <w:p w14:paraId="2EAAE3B3">
            <w:pPr>
              <w:widowControl/>
              <w:jc w:val="center"/>
              <w:rPr>
                <w:rFonts w:ascii="宋体" w:hAnsi="宋体" w:cs="宋体"/>
                <w:kern w:val="0"/>
                <w:sz w:val="18"/>
                <w:szCs w:val="18"/>
              </w:rPr>
            </w:pPr>
            <w:r>
              <w:rPr>
                <w:rFonts w:hint="eastAsia" w:ascii="宋体" w:hAnsi="宋体" w:cs="宋体"/>
                <w:kern w:val="0"/>
                <w:sz w:val="18"/>
                <w:szCs w:val="18"/>
              </w:rPr>
              <w:t>化学镀废锡料</w:t>
            </w:r>
          </w:p>
        </w:tc>
        <w:tc>
          <w:tcPr>
            <w:tcW w:w="5510" w:type="dxa"/>
            <w:gridSpan w:val="2"/>
            <w:vMerge w:val="continue"/>
            <w:tcBorders>
              <w:top w:val="nil"/>
              <w:left w:val="nil"/>
              <w:bottom w:val="single" w:color="auto" w:sz="4" w:space="0"/>
              <w:right w:val="single" w:color="auto" w:sz="4" w:space="0"/>
            </w:tcBorders>
            <w:noWrap/>
            <w:vAlign w:val="center"/>
          </w:tcPr>
          <w:p w14:paraId="6004FF36">
            <w:pPr>
              <w:widowControl/>
              <w:jc w:val="left"/>
              <w:rPr>
                <w:rFonts w:ascii="宋体" w:hAnsi="宋体" w:cs="宋体"/>
                <w:kern w:val="0"/>
                <w:sz w:val="18"/>
                <w:szCs w:val="18"/>
              </w:rPr>
            </w:pPr>
          </w:p>
        </w:tc>
      </w:tr>
      <w:tr w14:paraId="0212A665">
        <w:tblPrEx>
          <w:tblCellMar>
            <w:top w:w="0" w:type="dxa"/>
            <w:left w:w="108" w:type="dxa"/>
            <w:bottom w:w="0" w:type="dxa"/>
            <w:right w:w="108" w:type="dxa"/>
          </w:tblCellMar>
        </w:tblPrEx>
        <w:trPr>
          <w:trHeight w:val="932" w:hRule="atLeast"/>
          <w:jc w:val="center"/>
        </w:trPr>
        <w:tc>
          <w:tcPr>
            <w:tcW w:w="1111" w:type="dxa"/>
            <w:vMerge w:val="continue"/>
            <w:tcBorders>
              <w:top w:val="nil"/>
              <w:left w:val="single" w:color="auto" w:sz="4" w:space="0"/>
              <w:bottom w:val="single" w:color="auto" w:sz="4" w:space="0"/>
              <w:right w:val="single" w:color="auto" w:sz="4" w:space="0"/>
            </w:tcBorders>
            <w:noWrap/>
            <w:vAlign w:val="center"/>
          </w:tcPr>
          <w:p w14:paraId="03D4E65B">
            <w:pPr>
              <w:widowControl/>
              <w:jc w:val="left"/>
              <w:rPr>
                <w:rFonts w:ascii="宋体" w:hAnsi="宋体" w:cs="宋体"/>
                <w:kern w:val="0"/>
                <w:sz w:val="18"/>
                <w:szCs w:val="18"/>
              </w:rPr>
            </w:pPr>
          </w:p>
        </w:tc>
        <w:tc>
          <w:tcPr>
            <w:tcW w:w="952" w:type="dxa"/>
            <w:vMerge w:val="restart"/>
            <w:tcBorders>
              <w:top w:val="nil"/>
              <w:left w:val="single" w:color="auto" w:sz="4" w:space="0"/>
              <w:bottom w:val="single" w:color="auto" w:sz="4" w:space="0"/>
              <w:right w:val="single" w:color="auto" w:sz="4" w:space="0"/>
            </w:tcBorders>
            <w:noWrap/>
            <w:vAlign w:val="center"/>
          </w:tcPr>
          <w:p w14:paraId="6ACB826D">
            <w:pPr>
              <w:widowControl/>
              <w:jc w:val="center"/>
              <w:rPr>
                <w:rFonts w:ascii="宋体" w:hAnsi="宋体" w:cs="宋体"/>
                <w:kern w:val="0"/>
                <w:sz w:val="18"/>
                <w:szCs w:val="18"/>
              </w:rPr>
            </w:pPr>
            <w:r>
              <w:rPr>
                <w:rFonts w:hint="eastAsia" w:ascii="宋体" w:hAnsi="宋体" w:cs="宋体"/>
                <w:kern w:val="0"/>
                <w:sz w:val="18"/>
                <w:szCs w:val="18"/>
              </w:rPr>
              <w:t>回收锡合金原料</w:t>
            </w:r>
          </w:p>
        </w:tc>
        <w:tc>
          <w:tcPr>
            <w:tcW w:w="1587" w:type="dxa"/>
            <w:tcBorders>
              <w:top w:val="nil"/>
              <w:left w:val="nil"/>
              <w:bottom w:val="single" w:color="auto" w:sz="4" w:space="0"/>
              <w:right w:val="single" w:color="auto" w:sz="4" w:space="0"/>
            </w:tcBorders>
            <w:noWrap/>
            <w:vAlign w:val="center"/>
          </w:tcPr>
          <w:p w14:paraId="5BB9FA06">
            <w:pPr>
              <w:widowControl/>
              <w:jc w:val="center"/>
              <w:rPr>
                <w:rFonts w:ascii="宋体" w:hAnsi="宋体" w:cs="宋体"/>
                <w:kern w:val="0"/>
                <w:sz w:val="18"/>
                <w:szCs w:val="18"/>
              </w:rPr>
            </w:pPr>
            <w:r>
              <w:rPr>
                <w:rFonts w:hint="eastAsia" w:ascii="宋体" w:hAnsi="宋体" w:cs="宋体"/>
                <w:kern w:val="0"/>
                <w:sz w:val="18"/>
                <w:szCs w:val="18"/>
              </w:rPr>
              <w:t>锡基合金废料</w:t>
            </w:r>
          </w:p>
        </w:tc>
        <w:tc>
          <w:tcPr>
            <w:tcW w:w="5510" w:type="dxa"/>
            <w:gridSpan w:val="2"/>
            <w:tcBorders>
              <w:top w:val="single" w:color="auto" w:sz="4" w:space="0"/>
              <w:left w:val="nil"/>
              <w:bottom w:val="single" w:color="auto" w:sz="4" w:space="0"/>
              <w:right w:val="single" w:color="auto" w:sz="4" w:space="0"/>
            </w:tcBorders>
            <w:noWrap/>
            <w:vAlign w:val="center"/>
          </w:tcPr>
          <w:p w14:paraId="726A4B53">
            <w:pPr>
              <w:widowControl/>
              <w:jc w:val="left"/>
              <w:rPr>
                <w:rFonts w:ascii="宋体" w:hAnsi="宋体" w:cs="宋体"/>
                <w:kern w:val="0"/>
                <w:sz w:val="18"/>
                <w:szCs w:val="18"/>
              </w:rPr>
            </w:pPr>
            <w:r>
              <w:rPr>
                <w:rFonts w:hint="eastAsia" w:ascii="宋体" w:hAnsi="宋体" w:cs="宋体"/>
                <w:kern w:val="0"/>
                <w:sz w:val="18"/>
                <w:szCs w:val="18"/>
              </w:rPr>
              <w:t>1级:含锡Sn≥90%，无其他夹杂物及油污。</w:t>
            </w:r>
          </w:p>
          <w:p w14:paraId="75309138">
            <w:pPr>
              <w:widowControl/>
              <w:jc w:val="left"/>
              <w:rPr>
                <w:rFonts w:ascii="宋体" w:hAnsi="宋体" w:cs="宋体"/>
                <w:kern w:val="0"/>
                <w:sz w:val="18"/>
                <w:szCs w:val="18"/>
              </w:rPr>
            </w:pPr>
            <w:r>
              <w:rPr>
                <w:rFonts w:hint="eastAsia" w:ascii="宋体" w:hAnsi="宋体" w:cs="宋体"/>
                <w:kern w:val="0"/>
                <w:sz w:val="18"/>
                <w:szCs w:val="18"/>
              </w:rPr>
              <w:t>2级：含锡70%≤Sn＜90%，无其他夹杂物及油污。</w:t>
            </w:r>
          </w:p>
          <w:p w14:paraId="4DF88E2B">
            <w:pPr>
              <w:widowControl/>
              <w:jc w:val="left"/>
              <w:rPr>
                <w:rFonts w:ascii="宋体" w:hAnsi="宋体" w:cs="宋体"/>
                <w:kern w:val="0"/>
                <w:sz w:val="18"/>
                <w:szCs w:val="18"/>
              </w:rPr>
            </w:pPr>
            <w:r>
              <w:rPr>
                <w:rFonts w:hint="eastAsia" w:ascii="宋体" w:hAnsi="宋体" w:cs="宋体"/>
                <w:kern w:val="0"/>
                <w:sz w:val="18"/>
                <w:szCs w:val="18"/>
              </w:rPr>
              <w:t>3级：含锡50%≤Sn＜70%，无其他夹杂物及油污。</w:t>
            </w:r>
          </w:p>
        </w:tc>
      </w:tr>
      <w:tr w14:paraId="0F256758">
        <w:tblPrEx>
          <w:tblCellMar>
            <w:top w:w="0" w:type="dxa"/>
            <w:left w:w="108" w:type="dxa"/>
            <w:bottom w:w="0" w:type="dxa"/>
            <w:right w:w="108" w:type="dxa"/>
          </w:tblCellMar>
        </w:tblPrEx>
        <w:trPr>
          <w:trHeight w:val="702" w:hRule="atLeast"/>
          <w:jc w:val="center"/>
        </w:trPr>
        <w:tc>
          <w:tcPr>
            <w:tcW w:w="1111" w:type="dxa"/>
            <w:vMerge w:val="continue"/>
            <w:tcBorders>
              <w:top w:val="nil"/>
              <w:left w:val="single" w:color="auto" w:sz="4" w:space="0"/>
              <w:bottom w:val="single" w:color="auto" w:sz="4" w:space="0"/>
              <w:right w:val="single" w:color="auto" w:sz="4" w:space="0"/>
            </w:tcBorders>
            <w:noWrap/>
            <w:vAlign w:val="center"/>
          </w:tcPr>
          <w:p w14:paraId="5462BD1E">
            <w:pPr>
              <w:widowControl/>
              <w:jc w:val="left"/>
              <w:rPr>
                <w:rFonts w:ascii="宋体" w:hAnsi="宋体" w:cs="宋体"/>
                <w:kern w:val="0"/>
                <w:sz w:val="18"/>
                <w:szCs w:val="18"/>
              </w:rPr>
            </w:pPr>
          </w:p>
        </w:tc>
        <w:tc>
          <w:tcPr>
            <w:tcW w:w="952" w:type="dxa"/>
            <w:vMerge w:val="continue"/>
            <w:tcBorders>
              <w:top w:val="nil"/>
              <w:left w:val="single" w:color="auto" w:sz="4" w:space="0"/>
              <w:bottom w:val="single" w:color="auto" w:sz="4" w:space="0"/>
              <w:right w:val="single" w:color="auto" w:sz="4" w:space="0"/>
            </w:tcBorders>
            <w:noWrap/>
            <w:vAlign w:val="center"/>
          </w:tcPr>
          <w:p w14:paraId="369128B6">
            <w:pPr>
              <w:widowControl/>
              <w:jc w:val="left"/>
              <w:rPr>
                <w:rFonts w:ascii="宋体" w:hAnsi="宋体" w:cs="宋体"/>
                <w:kern w:val="0"/>
                <w:sz w:val="18"/>
                <w:szCs w:val="18"/>
              </w:rPr>
            </w:pPr>
          </w:p>
        </w:tc>
        <w:tc>
          <w:tcPr>
            <w:tcW w:w="1587" w:type="dxa"/>
            <w:tcBorders>
              <w:top w:val="nil"/>
              <w:left w:val="nil"/>
              <w:bottom w:val="single" w:color="auto" w:sz="4" w:space="0"/>
              <w:right w:val="single" w:color="auto" w:sz="4" w:space="0"/>
            </w:tcBorders>
            <w:noWrap/>
            <w:vAlign w:val="center"/>
          </w:tcPr>
          <w:p w14:paraId="7215D43B">
            <w:pPr>
              <w:widowControl/>
              <w:jc w:val="center"/>
              <w:rPr>
                <w:rFonts w:ascii="宋体" w:hAnsi="宋体" w:cs="宋体"/>
                <w:kern w:val="0"/>
                <w:sz w:val="18"/>
                <w:szCs w:val="18"/>
              </w:rPr>
            </w:pPr>
            <w:r>
              <w:rPr>
                <w:rFonts w:hint="eastAsia" w:ascii="宋体" w:hAnsi="宋体" w:cs="宋体"/>
                <w:kern w:val="0"/>
                <w:sz w:val="18"/>
                <w:szCs w:val="18"/>
              </w:rPr>
              <w:t>其他合金废料</w:t>
            </w:r>
          </w:p>
        </w:tc>
        <w:tc>
          <w:tcPr>
            <w:tcW w:w="5510" w:type="dxa"/>
            <w:gridSpan w:val="2"/>
            <w:tcBorders>
              <w:top w:val="single" w:color="auto" w:sz="4" w:space="0"/>
              <w:left w:val="nil"/>
              <w:bottom w:val="single" w:color="auto" w:sz="4" w:space="0"/>
              <w:right w:val="single" w:color="auto" w:sz="4" w:space="0"/>
            </w:tcBorders>
            <w:noWrap/>
            <w:vAlign w:val="center"/>
          </w:tcPr>
          <w:p w14:paraId="7563110B">
            <w:pPr>
              <w:widowControl/>
              <w:jc w:val="left"/>
              <w:rPr>
                <w:rFonts w:ascii="宋体" w:hAnsi="宋体" w:cs="宋体"/>
                <w:kern w:val="0"/>
                <w:sz w:val="18"/>
                <w:szCs w:val="18"/>
              </w:rPr>
            </w:pPr>
            <w:r>
              <w:rPr>
                <w:rFonts w:hint="eastAsia" w:ascii="宋体" w:hAnsi="宋体" w:cs="宋体"/>
                <w:kern w:val="0"/>
                <w:sz w:val="18"/>
                <w:szCs w:val="18"/>
              </w:rPr>
              <w:t>1级:含锡30%≤Sn≤50%，无其他夹杂物及油污。</w:t>
            </w:r>
          </w:p>
          <w:p w14:paraId="7605D840">
            <w:pPr>
              <w:widowControl/>
              <w:jc w:val="left"/>
              <w:rPr>
                <w:rFonts w:ascii="宋体" w:hAnsi="宋体" w:cs="宋体"/>
                <w:kern w:val="0"/>
                <w:sz w:val="18"/>
                <w:szCs w:val="18"/>
              </w:rPr>
            </w:pPr>
            <w:r>
              <w:rPr>
                <w:rFonts w:hint="eastAsia" w:ascii="宋体" w:hAnsi="宋体" w:cs="宋体"/>
                <w:kern w:val="0"/>
                <w:sz w:val="18"/>
                <w:szCs w:val="18"/>
              </w:rPr>
              <w:t>2级：含锡10%≤Sn＜30%，无其他夹杂物及油污。</w:t>
            </w:r>
          </w:p>
        </w:tc>
      </w:tr>
      <w:tr w14:paraId="3E44F1FA">
        <w:tblPrEx>
          <w:tblCellMar>
            <w:top w:w="0" w:type="dxa"/>
            <w:left w:w="108" w:type="dxa"/>
            <w:bottom w:w="0" w:type="dxa"/>
            <w:right w:w="108" w:type="dxa"/>
          </w:tblCellMar>
        </w:tblPrEx>
        <w:trPr>
          <w:trHeight w:val="541" w:hRule="atLeast"/>
          <w:jc w:val="center"/>
        </w:trPr>
        <w:tc>
          <w:tcPr>
            <w:tcW w:w="1111" w:type="dxa"/>
            <w:vMerge w:val="restart"/>
            <w:tcBorders>
              <w:top w:val="nil"/>
              <w:left w:val="single" w:color="auto" w:sz="4" w:space="0"/>
              <w:bottom w:val="single" w:color="auto" w:sz="4" w:space="0"/>
              <w:right w:val="single" w:color="auto" w:sz="4" w:space="0"/>
            </w:tcBorders>
            <w:noWrap/>
            <w:vAlign w:val="center"/>
          </w:tcPr>
          <w:p w14:paraId="170CF2CC">
            <w:pPr>
              <w:widowControl/>
              <w:jc w:val="center"/>
              <w:rPr>
                <w:rFonts w:ascii="宋体" w:hAnsi="宋体" w:cs="宋体"/>
                <w:kern w:val="0"/>
                <w:sz w:val="18"/>
                <w:szCs w:val="18"/>
              </w:rPr>
            </w:pPr>
            <w:r>
              <w:rPr>
                <w:rFonts w:hint="eastAsia" w:ascii="宋体" w:hAnsi="宋体" w:cs="宋体"/>
                <w:kern w:val="0"/>
                <w:sz w:val="18"/>
                <w:szCs w:val="18"/>
              </w:rPr>
              <w:t>Ⅱ</w:t>
            </w:r>
            <w:r>
              <w:rPr>
                <w:rFonts w:hint="eastAsia" w:ascii="宋体" w:hAnsi="宋体"/>
                <w:sz w:val="18"/>
                <w:szCs w:val="18"/>
              </w:rPr>
              <w:t>回收含锡焊料原料</w:t>
            </w:r>
          </w:p>
        </w:tc>
        <w:tc>
          <w:tcPr>
            <w:tcW w:w="952" w:type="dxa"/>
            <w:vMerge w:val="restart"/>
            <w:tcBorders>
              <w:top w:val="nil"/>
              <w:left w:val="single" w:color="auto" w:sz="4" w:space="0"/>
              <w:bottom w:val="single" w:color="auto" w:sz="4" w:space="0"/>
              <w:right w:val="single" w:color="auto" w:sz="4" w:space="0"/>
            </w:tcBorders>
            <w:noWrap/>
            <w:vAlign w:val="center"/>
          </w:tcPr>
          <w:p w14:paraId="09320D5C">
            <w:pPr>
              <w:widowControl/>
              <w:jc w:val="center"/>
              <w:rPr>
                <w:rFonts w:ascii="宋体" w:hAnsi="宋体" w:cs="宋体"/>
                <w:kern w:val="0"/>
                <w:sz w:val="18"/>
                <w:szCs w:val="18"/>
              </w:rPr>
            </w:pPr>
            <w:r>
              <w:rPr>
                <w:rFonts w:hint="eastAsia" w:ascii="宋体" w:hAnsi="宋体" w:cs="宋体"/>
                <w:kern w:val="0"/>
                <w:sz w:val="18"/>
                <w:szCs w:val="18"/>
              </w:rPr>
              <w:t>锡铅</w:t>
            </w:r>
          </w:p>
          <w:p w14:paraId="1B749F76">
            <w:pPr>
              <w:widowControl/>
              <w:jc w:val="center"/>
              <w:rPr>
                <w:rFonts w:ascii="宋体" w:hAnsi="宋体" w:cs="宋体"/>
                <w:kern w:val="0"/>
                <w:sz w:val="18"/>
                <w:szCs w:val="18"/>
              </w:rPr>
            </w:pPr>
            <w:r>
              <w:rPr>
                <w:rFonts w:hint="eastAsia" w:ascii="宋体" w:hAnsi="宋体" w:cs="宋体"/>
                <w:kern w:val="0"/>
                <w:sz w:val="18"/>
                <w:szCs w:val="18"/>
              </w:rPr>
              <w:t>焊料</w:t>
            </w:r>
          </w:p>
        </w:tc>
        <w:tc>
          <w:tcPr>
            <w:tcW w:w="1587" w:type="dxa"/>
            <w:tcBorders>
              <w:top w:val="nil"/>
              <w:left w:val="nil"/>
              <w:bottom w:val="single" w:color="auto" w:sz="4" w:space="0"/>
              <w:right w:val="single" w:color="auto" w:sz="4" w:space="0"/>
            </w:tcBorders>
            <w:noWrap/>
            <w:vAlign w:val="center"/>
          </w:tcPr>
          <w:p w14:paraId="501DD5E9">
            <w:pPr>
              <w:widowControl/>
              <w:jc w:val="center"/>
              <w:rPr>
                <w:rFonts w:ascii="宋体" w:hAnsi="宋体" w:cs="宋体"/>
                <w:kern w:val="0"/>
                <w:sz w:val="18"/>
                <w:szCs w:val="18"/>
              </w:rPr>
            </w:pPr>
            <w:r>
              <w:rPr>
                <w:rFonts w:hint="eastAsia" w:ascii="宋体" w:hAnsi="宋体" w:cs="宋体"/>
                <w:kern w:val="0"/>
                <w:sz w:val="18"/>
                <w:szCs w:val="18"/>
              </w:rPr>
              <w:t>重熔废料</w:t>
            </w:r>
          </w:p>
        </w:tc>
        <w:tc>
          <w:tcPr>
            <w:tcW w:w="551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9BE43A4">
            <w:pPr>
              <w:widowControl/>
              <w:jc w:val="left"/>
              <w:rPr>
                <w:rFonts w:ascii="宋体" w:hAnsi="宋体" w:cs="宋体"/>
                <w:kern w:val="0"/>
                <w:sz w:val="18"/>
                <w:szCs w:val="18"/>
              </w:rPr>
            </w:pPr>
            <w:r>
              <w:rPr>
                <w:rFonts w:hint="eastAsia" w:ascii="宋体" w:hAnsi="宋体" w:cs="宋体"/>
                <w:kern w:val="0"/>
                <w:sz w:val="18"/>
                <w:szCs w:val="18"/>
              </w:rPr>
              <w:t>1级:含锡Sn≥85%,无其他夹杂物及油污。</w:t>
            </w:r>
          </w:p>
          <w:p w14:paraId="17FD111E">
            <w:pPr>
              <w:widowControl/>
              <w:jc w:val="left"/>
              <w:rPr>
                <w:rFonts w:ascii="宋体" w:hAnsi="宋体" w:cs="宋体"/>
                <w:kern w:val="0"/>
                <w:sz w:val="18"/>
                <w:szCs w:val="18"/>
              </w:rPr>
            </w:pPr>
            <w:r>
              <w:rPr>
                <w:rFonts w:hint="eastAsia" w:ascii="宋体" w:hAnsi="宋体" w:cs="宋体"/>
                <w:kern w:val="0"/>
                <w:sz w:val="18"/>
                <w:szCs w:val="18"/>
              </w:rPr>
              <w:t>2级：含锡55%≤Sn＜85%,无其他夹杂物及油污。</w:t>
            </w:r>
          </w:p>
          <w:p w14:paraId="19D145A3">
            <w:pPr>
              <w:widowControl/>
              <w:jc w:val="left"/>
              <w:rPr>
                <w:rFonts w:ascii="宋体" w:hAnsi="宋体" w:cs="宋体"/>
                <w:kern w:val="0"/>
                <w:sz w:val="18"/>
                <w:szCs w:val="18"/>
              </w:rPr>
            </w:pPr>
            <w:r>
              <w:rPr>
                <w:rFonts w:hint="eastAsia" w:ascii="宋体" w:hAnsi="宋体" w:cs="宋体"/>
                <w:kern w:val="0"/>
                <w:sz w:val="18"/>
                <w:szCs w:val="18"/>
              </w:rPr>
              <w:t>3级：含锡25%≤Sn＜55%,无其他夹杂物及油污。</w:t>
            </w:r>
          </w:p>
        </w:tc>
      </w:tr>
      <w:tr w14:paraId="62F28DE2">
        <w:tblPrEx>
          <w:tblCellMar>
            <w:top w:w="0" w:type="dxa"/>
            <w:left w:w="108" w:type="dxa"/>
            <w:bottom w:w="0" w:type="dxa"/>
            <w:right w:w="108" w:type="dxa"/>
          </w:tblCellMar>
        </w:tblPrEx>
        <w:trPr>
          <w:trHeight w:val="399" w:hRule="atLeast"/>
          <w:jc w:val="center"/>
        </w:trPr>
        <w:tc>
          <w:tcPr>
            <w:tcW w:w="1111" w:type="dxa"/>
            <w:vMerge w:val="continue"/>
            <w:tcBorders>
              <w:top w:val="nil"/>
              <w:left w:val="single" w:color="auto" w:sz="4" w:space="0"/>
              <w:bottom w:val="single" w:color="auto" w:sz="4" w:space="0"/>
              <w:right w:val="single" w:color="auto" w:sz="4" w:space="0"/>
            </w:tcBorders>
            <w:noWrap/>
            <w:vAlign w:val="center"/>
          </w:tcPr>
          <w:p w14:paraId="560064C1">
            <w:pPr>
              <w:widowControl/>
              <w:jc w:val="left"/>
              <w:rPr>
                <w:rFonts w:ascii="宋体" w:hAnsi="宋体" w:cs="宋体"/>
                <w:kern w:val="0"/>
                <w:sz w:val="18"/>
                <w:szCs w:val="18"/>
              </w:rPr>
            </w:pPr>
          </w:p>
        </w:tc>
        <w:tc>
          <w:tcPr>
            <w:tcW w:w="952" w:type="dxa"/>
            <w:vMerge w:val="continue"/>
            <w:tcBorders>
              <w:top w:val="nil"/>
              <w:left w:val="single" w:color="auto" w:sz="4" w:space="0"/>
              <w:bottom w:val="single" w:color="auto" w:sz="4" w:space="0"/>
              <w:right w:val="single" w:color="auto" w:sz="4" w:space="0"/>
            </w:tcBorders>
            <w:noWrap/>
            <w:vAlign w:val="center"/>
          </w:tcPr>
          <w:p w14:paraId="49AFD996">
            <w:pPr>
              <w:widowControl/>
              <w:jc w:val="left"/>
              <w:rPr>
                <w:rFonts w:ascii="宋体" w:hAnsi="宋体" w:cs="宋体"/>
                <w:kern w:val="0"/>
                <w:sz w:val="18"/>
                <w:szCs w:val="18"/>
              </w:rPr>
            </w:pPr>
          </w:p>
        </w:tc>
        <w:tc>
          <w:tcPr>
            <w:tcW w:w="1587" w:type="dxa"/>
            <w:tcBorders>
              <w:top w:val="nil"/>
              <w:left w:val="nil"/>
              <w:bottom w:val="single" w:color="auto" w:sz="4" w:space="0"/>
              <w:right w:val="single" w:color="auto" w:sz="4" w:space="0"/>
            </w:tcBorders>
            <w:noWrap/>
            <w:vAlign w:val="center"/>
          </w:tcPr>
          <w:p w14:paraId="6DF2A506">
            <w:pPr>
              <w:widowControl/>
              <w:jc w:val="center"/>
              <w:rPr>
                <w:rFonts w:ascii="宋体" w:hAnsi="宋体" w:cs="宋体"/>
                <w:kern w:val="0"/>
                <w:sz w:val="18"/>
                <w:szCs w:val="18"/>
              </w:rPr>
            </w:pPr>
            <w:r>
              <w:rPr>
                <w:rFonts w:hint="eastAsia" w:ascii="宋体" w:hAnsi="宋体" w:cs="宋体"/>
                <w:kern w:val="0"/>
                <w:sz w:val="18"/>
                <w:szCs w:val="18"/>
              </w:rPr>
              <w:t>边角残料</w:t>
            </w:r>
          </w:p>
        </w:tc>
        <w:tc>
          <w:tcPr>
            <w:tcW w:w="5510" w:type="dxa"/>
            <w:gridSpan w:val="2"/>
            <w:vMerge w:val="continue"/>
            <w:tcBorders>
              <w:top w:val="nil"/>
              <w:left w:val="nil"/>
              <w:bottom w:val="single" w:color="auto" w:sz="4" w:space="0"/>
              <w:right w:val="single" w:color="auto" w:sz="4" w:space="0"/>
            </w:tcBorders>
            <w:noWrap/>
            <w:vAlign w:val="center"/>
          </w:tcPr>
          <w:p w14:paraId="79599C59">
            <w:pPr>
              <w:widowControl/>
              <w:jc w:val="left"/>
              <w:rPr>
                <w:rFonts w:ascii="宋体" w:hAnsi="宋体" w:cs="宋体"/>
                <w:kern w:val="0"/>
                <w:sz w:val="18"/>
                <w:szCs w:val="18"/>
              </w:rPr>
            </w:pPr>
          </w:p>
        </w:tc>
      </w:tr>
      <w:tr w14:paraId="1BF358E1">
        <w:tblPrEx>
          <w:tblCellMar>
            <w:top w:w="0" w:type="dxa"/>
            <w:left w:w="108" w:type="dxa"/>
            <w:bottom w:w="0" w:type="dxa"/>
            <w:right w:w="108" w:type="dxa"/>
          </w:tblCellMar>
        </w:tblPrEx>
        <w:trPr>
          <w:trHeight w:val="323" w:hRule="atLeast"/>
          <w:jc w:val="center"/>
        </w:trPr>
        <w:tc>
          <w:tcPr>
            <w:tcW w:w="1111" w:type="dxa"/>
            <w:vMerge w:val="continue"/>
            <w:tcBorders>
              <w:top w:val="nil"/>
              <w:left w:val="single" w:color="auto" w:sz="4" w:space="0"/>
              <w:bottom w:val="single" w:color="auto" w:sz="4" w:space="0"/>
              <w:right w:val="single" w:color="auto" w:sz="4" w:space="0"/>
            </w:tcBorders>
            <w:noWrap/>
            <w:vAlign w:val="center"/>
          </w:tcPr>
          <w:p w14:paraId="346FD9C7">
            <w:pPr>
              <w:widowControl/>
              <w:jc w:val="left"/>
              <w:rPr>
                <w:rFonts w:ascii="宋体" w:hAnsi="宋体" w:cs="宋体"/>
                <w:kern w:val="0"/>
                <w:sz w:val="18"/>
                <w:szCs w:val="18"/>
              </w:rPr>
            </w:pPr>
          </w:p>
        </w:tc>
        <w:tc>
          <w:tcPr>
            <w:tcW w:w="952" w:type="dxa"/>
            <w:vMerge w:val="restart"/>
            <w:tcBorders>
              <w:top w:val="nil"/>
              <w:left w:val="single" w:color="auto" w:sz="4" w:space="0"/>
              <w:bottom w:val="single" w:color="auto" w:sz="4" w:space="0"/>
              <w:right w:val="single" w:color="auto" w:sz="4" w:space="0"/>
            </w:tcBorders>
            <w:noWrap/>
            <w:vAlign w:val="center"/>
          </w:tcPr>
          <w:p w14:paraId="48E7D210">
            <w:pPr>
              <w:widowControl/>
              <w:jc w:val="center"/>
              <w:rPr>
                <w:rFonts w:ascii="宋体" w:hAnsi="宋体" w:cs="宋体"/>
                <w:kern w:val="0"/>
                <w:sz w:val="18"/>
                <w:szCs w:val="18"/>
              </w:rPr>
            </w:pPr>
            <w:r>
              <w:rPr>
                <w:rFonts w:hint="eastAsia" w:ascii="宋体" w:hAnsi="宋体" w:cs="宋体"/>
                <w:kern w:val="0"/>
                <w:sz w:val="18"/>
                <w:szCs w:val="18"/>
              </w:rPr>
              <w:t>无铅</w:t>
            </w:r>
          </w:p>
          <w:p w14:paraId="5AC50C0A">
            <w:pPr>
              <w:widowControl/>
              <w:jc w:val="center"/>
              <w:rPr>
                <w:rFonts w:ascii="宋体" w:hAnsi="宋体" w:cs="宋体"/>
                <w:kern w:val="0"/>
                <w:sz w:val="18"/>
                <w:szCs w:val="18"/>
              </w:rPr>
            </w:pPr>
            <w:r>
              <w:rPr>
                <w:rFonts w:hint="eastAsia" w:ascii="宋体" w:hAnsi="宋体" w:cs="宋体"/>
                <w:kern w:val="0"/>
                <w:sz w:val="18"/>
                <w:szCs w:val="18"/>
              </w:rPr>
              <w:t>焊料</w:t>
            </w:r>
          </w:p>
        </w:tc>
        <w:tc>
          <w:tcPr>
            <w:tcW w:w="1587" w:type="dxa"/>
            <w:tcBorders>
              <w:top w:val="nil"/>
              <w:left w:val="nil"/>
              <w:bottom w:val="single" w:color="auto" w:sz="4" w:space="0"/>
              <w:right w:val="single" w:color="auto" w:sz="4" w:space="0"/>
            </w:tcBorders>
            <w:noWrap/>
            <w:vAlign w:val="center"/>
          </w:tcPr>
          <w:p w14:paraId="0603FA6C">
            <w:pPr>
              <w:widowControl/>
              <w:jc w:val="center"/>
              <w:rPr>
                <w:rFonts w:ascii="宋体" w:hAnsi="宋体" w:cs="宋体"/>
                <w:kern w:val="0"/>
                <w:sz w:val="18"/>
                <w:szCs w:val="18"/>
              </w:rPr>
            </w:pPr>
            <w:r>
              <w:rPr>
                <w:rFonts w:hint="eastAsia" w:ascii="宋体" w:hAnsi="宋体" w:cs="宋体"/>
                <w:kern w:val="0"/>
                <w:sz w:val="18"/>
                <w:szCs w:val="18"/>
              </w:rPr>
              <w:t>重熔废料</w:t>
            </w:r>
          </w:p>
        </w:tc>
        <w:tc>
          <w:tcPr>
            <w:tcW w:w="551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7606476">
            <w:pPr>
              <w:widowControl/>
              <w:jc w:val="left"/>
              <w:rPr>
                <w:rFonts w:ascii="宋体" w:hAnsi="宋体" w:cs="宋体"/>
                <w:kern w:val="0"/>
                <w:sz w:val="18"/>
                <w:szCs w:val="18"/>
              </w:rPr>
            </w:pPr>
            <w:r>
              <w:rPr>
                <w:rFonts w:hint="eastAsia" w:ascii="宋体" w:hAnsi="宋体" w:cs="宋体"/>
                <w:kern w:val="0"/>
                <w:sz w:val="18"/>
                <w:szCs w:val="18"/>
              </w:rPr>
              <w:t>1级:含锡Sn≥90%,无其他夹杂物及油污。</w:t>
            </w:r>
          </w:p>
          <w:p w14:paraId="74450571">
            <w:pPr>
              <w:widowControl/>
              <w:jc w:val="left"/>
              <w:rPr>
                <w:rFonts w:ascii="宋体" w:hAnsi="宋体" w:cs="宋体"/>
                <w:kern w:val="0"/>
                <w:sz w:val="18"/>
                <w:szCs w:val="18"/>
              </w:rPr>
            </w:pPr>
            <w:r>
              <w:rPr>
                <w:rFonts w:hint="eastAsia" w:ascii="宋体" w:hAnsi="宋体" w:cs="宋体"/>
                <w:kern w:val="0"/>
                <w:sz w:val="18"/>
                <w:szCs w:val="18"/>
              </w:rPr>
              <w:t>2级：含锡70%≤Sn＜90%,无其他夹杂物及油污。</w:t>
            </w:r>
          </w:p>
          <w:p w14:paraId="0385810B">
            <w:pPr>
              <w:widowControl/>
              <w:jc w:val="left"/>
              <w:rPr>
                <w:rFonts w:ascii="宋体" w:hAnsi="宋体" w:cs="宋体"/>
                <w:kern w:val="0"/>
                <w:sz w:val="18"/>
                <w:szCs w:val="18"/>
              </w:rPr>
            </w:pPr>
            <w:r>
              <w:rPr>
                <w:rFonts w:hint="eastAsia" w:ascii="宋体" w:hAnsi="宋体" w:cs="宋体"/>
                <w:kern w:val="0"/>
                <w:sz w:val="18"/>
                <w:szCs w:val="18"/>
              </w:rPr>
              <w:t>3级：含锡45%≤Sn＜70%,无其他夹杂物及油污。</w:t>
            </w:r>
          </w:p>
        </w:tc>
      </w:tr>
      <w:tr w14:paraId="46813225">
        <w:tblPrEx>
          <w:tblCellMar>
            <w:top w:w="0" w:type="dxa"/>
            <w:left w:w="108" w:type="dxa"/>
            <w:bottom w:w="0" w:type="dxa"/>
            <w:right w:w="108" w:type="dxa"/>
          </w:tblCellMar>
        </w:tblPrEx>
        <w:trPr>
          <w:trHeight w:val="617" w:hRule="atLeast"/>
          <w:jc w:val="center"/>
        </w:trPr>
        <w:tc>
          <w:tcPr>
            <w:tcW w:w="1111" w:type="dxa"/>
            <w:vMerge w:val="continue"/>
            <w:tcBorders>
              <w:top w:val="nil"/>
              <w:left w:val="single" w:color="auto" w:sz="4" w:space="0"/>
              <w:bottom w:val="single" w:color="auto" w:sz="4" w:space="0"/>
              <w:right w:val="single" w:color="auto" w:sz="4" w:space="0"/>
            </w:tcBorders>
            <w:noWrap/>
            <w:vAlign w:val="center"/>
          </w:tcPr>
          <w:p w14:paraId="13A16DE1">
            <w:pPr>
              <w:widowControl/>
              <w:jc w:val="left"/>
              <w:rPr>
                <w:rFonts w:ascii="宋体" w:hAnsi="宋体" w:cs="宋体"/>
                <w:kern w:val="0"/>
                <w:sz w:val="18"/>
                <w:szCs w:val="18"/>
              </w:rPr>
            </w:pPr>
          </w:p>
        </w:tc>
        <w:tc>
          <w:tcPr>
            <w:tcW w:w="952" w:type="dxa"/>
            <w:vMerge w:val="continue"/>
            <w:tcBorders>
              <w:top w:val="nil"/>
              <w:left w:val="single" w:color="auto" w:sz="4" w:space="0"/>
              <w:bottom w:val="single" w:color="auto" w:sz="4" w:space="0"/>
              <w:right w:val="single" w:color="auto" w:sz="4" w:space="0"/>
            </w:tcBorders>
            <w:noWrap/>
            <w:vAlign w:val="center"/>
          </w:tcPr>
          <w:p w14:paraId="5AAF37AE">
            <w:pPr>
              <w:widowControl/>
              <w:jc w:val="left"/>
              <w:rPr>
                <w:rFonts w:ascii="宋体" w:hAnsi="宋体" w:cs="宋体"/>
                <w:kern w:val="0"/>
                <w:sz w:val="18"/>
                <w:szCs w:val="18"/>
              </w:rPr>
            </w:pPr>
          </w:p>
        </w:tc>
        <w:tc>
          <w:tcPr>
            <w:tcW w:w="1587" w:type="dxa"/>
            <w:tcBorders>
              <w:top w:val="nil"/>
              <w:left w:val="nil"/>
              <w:bottom w:val="single" w:color="auto" w:sz="4" w:space="0"/>
              <w:right w:val="single" w:color="auto" w:sz="4" w:space="0"/>
            </w:tcBorders>
            <w:noWrap/>
            <w:vAlign w:val="center"/>
          </w:tcPr>
          <w:p w14:paraId="4F96B6DB">
            <w:pPr>
              <w:widowControl/>
              <w:jc w:val="center"/>
              <w:rPr>
                <w:rFonts w:ascii="宋体" w:hAnsi="宋体" w:cs="宋体"/>
                <w:kern w:val="0"/>
                <w:sz w:val="18"/>
                <w:szCs w:val="18"/>
              </w:rPr>
            </w:pPr>
            <w:r>
              <w:rPr>
                <w:rFonts w:hint="eastAsia" w:ascii="宋体" w:hAnsi="宋体" w:cs="宋体"/>
                <w:kern w:val="0"/>
                <w:sz w:val="18"/>
                <w:szCs w:val="18"/>
              </w:rPr>
              <w:t>边角残料</w:t>
            </w:r>
          </w:p>
        </w:tc>
        <w:tc>
          <w:tcPr>
            <w:tcW w:w="5510" w:type="dxa"/>
            <w:gridSpan w:val="2"/>
            <w:vMerge w:val="continue"/>
            <w:tcBorders>
              <w:top w:val="nil"/>
              <w:left w:val="nil"/>
              <w:bottom w:val="single" w:color="auto" w:sz="4" w:space="0"/>
              <w:right w:val="single" w:color="auto" w:sz="4" w:space="0"/>
            </w:tcBorders>
            <w:noWrap/>
            <w:vAlign w:val="center"/>
          </w:tcPr>
          <w:p w14:paraId="5E7BEDDB">
            <w:pPr>
              <w:widowControl/>
              <w:jc w:val="left"/>
              <w:rPr>
                <w:rFonts w:ascii="宋体" w:hAnsi="宋体" w:cs="宋体"/>
                <w:kern w:val="0"/>
                <w:sz w:val="18"/>
                <w:szCs w:val="18"/>
              </w:rPr>
            </w:pPr>
          </w:p>
        </w:tc>
      </w:tr>
      <w:tr w14:paraId="51E255AA">
        <w:tblPrEx>
          <w:tblCellMar>
            <w:top w:w="0" w:type="dxa"/>
            <w:left w:w="108" w:type="dxa"/>
            <w:bottom w:w="0" w:type="dxa"/>
            <w:right w:w="108" w:type="dxa"/>
          </w:tblCellMar>
        </w:tblPrEx>
        <w:trPr>
          <w:trHeight w:val="932" w:hRule="atLeast"/>
          <w:jc w:val="center"/>
        </w:trPr>
        <w:tc>
          <w:tcPr>
            <w:tcW w:w="1111" w:type="dxa"/>
            <w:vMerge w:val="restart"/>
            <w:tcBorders>
              <w:top w:val="nil"/>
              <w:left w:val="single" w:color="auto" w:sz="4" w:space="0"/>
              <w:right w:val="single" w:color="auto" w:sz="4" w:space="0"/>
            </w:tcBorders>
            <w:noWrap/>
            <w:vAlign w:val="center"/>
          </w:tcPr>
          <w:p w14:paraId="32E79BBA">
            <w:pPr>
              <w:widowControl/>
              <w:jc w:val="left"/>
              <w:rPr>
                <w:rFonts w:ascii="宋体" w:hAnsi="宋体" w:cs="宋体"/>
                <w:kern w:val="0"/>
                <w:sz w:val="18"/>
                <w:szCs w:val="18"/>
              </w:rPr>
            </w:pPr>
            <w:r>
              <w:rPr>
                <w:rFonts w:hint="eastAsia" w:ascii="宋体" w:hAnsi="宋体"/>
                <w:sz w:val="18"/>
                <w:szCs w:val="18"/>
              </w:rPr>
              <w:t>Ⅲ类  回收</w:t>
            </w:r>
            <w:r>
              <w:rPr>
                <w:rFonts w:hint="eastAsia" w:ascii="宋体" w:hAnsi="宋体" w:cs="宋体"/>
                <w:kern w:val="0"/>
                <w:sz w:val="18"/>
                <w:szCs w:val="18"/>
              </w:rPr>
              <w:t>锡及锡合金屑</w:t>
            </w:r>
            <w:r>
              <w:rPr>
                <w:rFonts w:hint="eastAsia" w:ascii="宋体" w:hAnsi="宋体"/>
                <w:sz w:val="18"/>
                <w:szCs w:val="18"/>
              </w:rPr>
              <w:t>原料</w:t>
            </w:r>
          </w:p>
        </w:tc>
        <w:tc>
          <w:tcPr>
            <w:tcW w:w="952" w:type="dxa"/>
            <w:vMerge w:val="restart"/>
            <w:tcBorders>
              <w:top w:val="nil"/>
              <w:left w:val="single" w:color="auto" w:sz="4" w:space="0"/>
              <w:right w:val="single" w:color="auto" w:sz="4" w:space="0"/>
            </w:tcBorders>
            <w:noWrap/>
            <w:vAlign w:val="center"/>
          </w:tcPr>
          <w:p w14:paraId="7C4F7AE9">
            <w:pPr>
              <w:widowControl/>
              <w:jc w:val="center"/>
              <w:rPr>
                <w:rFonts w:ascii="宋体" w:hAnsi="宋体" w:cs="宋体"/>
                <w:kern w:val="0"/>
                <w:sz w:val="18"/>
                <w:szCs w:val="18"/>
              </w:rPr>
            </w:pPr>
            <w:r>
              <w:rPr>
                <w:rFonts w:hint="eastAsia" w:ascii="宋体" w:hAnsi="宋体" w:cs="宋体"/>
                <w:kern w:val="0"/>
                <w:sz w:val="18"/>
                <w:szCs w:val="18"/>
              </w:rPr>
              <w:t>锡及锡合金屑</w:t>
            </w:r>
          </w:p>
        </w:tc>
        <w:tc>
          <w:tcPr>
            <w:tcW w:w="1587" w:type="dxa"/>
            <w:tcBorders>
              <w:top w:val="nil"/>
              <w:left w:val="nil"/>
              <w:bottom w:val="single" w:color="auto" w:sz="4" w:space="0"/>
              <w:right w:val="single" w:color="auto" w:sz="4" w:space="0"/>
            </w:tcBorders>
            <w:noWrap/>
            <w:vAlign w:val="center"/>
          </w:tcPr>
          <w:p w14:paraId="739168E8">
            <w:pPr>
              <w:widowControl/>
              <w:jc w:val="center"/>
              <w:rPr>
                <w:rFonts w:ascii="宋体" w:hAnsi="宋体" w:cs="宋体"/>
                <w:kern w:val="0"/>
                <w:sz w:val="18"/>
                <w:szCs w:val="18"/>
              </w:rPr>
            </w:pPr>
            <w:r>
              <w:rPr>
                <w:rFonts w:hint="eastAsia" w:ascii="宋体" w:hAnsi="宋体" w:cs="宋体"/>
                <w:kern w:val="0"/>
                <w:sz w:val="18"/>
                <w:szCs w:val="18"/>
              </w:rPr>
              <w:t>纯锡屑</w:t>
            </w:r>
          </w:p>
        </w:tc>
        <w:tc>
          <w:tcPr>
            <w:tcW w:w="5510" w:type="dxa"/>
            <w:gridSpan w:val="2"/>
            <w:tcBorders>
              <w:top w:val="nil"/>
              <w:left w:val="nil"/>
              <w:bottom w:val="single" w:color="auto" w:sz="4" w:space="0"/>
              <w:right w:val="single" w:color="auto" w:sz="4" w:space="0"/>
            </w:tcBorders>
            <w:noWrap/>
            <w:vAlign w:val="center"/>
          </w:tcPr>
          <w:p w14:paraId="0F186BDB">
            <w:pPr>
              <w:widowControl/>
              <w:jc w:val="left"/>
              <w:rPr>
                <w:rFonts w:ascii="宋体" w:hAnsi="宋体" w:cs="宋体"/>
                <w:kern w:val="0"/>
                <w:sz w:val="18"/>
                <w:szCs w:val="18"/>
              </w:rPr>
            </w:pPr>
            <w:r>
              <w:rPr>
                <w:rFonts w:hint="eastAsia" w:ascii="宋体" w:hAnsi="宋体" w:cs="宋体"/>
                <w:kern w:val="0"/>
                <w:sz w:val="18"/>
                <w:szCs w:val="18"/>
              </w:rPr>
              <w:t>1级:含锡Sn≥99%,无其他夹杂物及油污。</w:t>
            </w:r>
          </w:p>
          <w:p w14:paraId="7E0B53AF">
            <w:pPr>
              <w:widowControl/>
              <w:jc w:val="left"/>
              <w:rPr>
                <w:rFonts w:ascii="宋体" w:hAnsi="宋体" w:cs="宋体"/>
                <w:kern w:val="0"/>
                <w:sz w:val="18"/>
                <w:szCs w:val="18"/>
              </w:rPr>
            </w:pPr>
            <w:r>
              <w:rPr>
                <w:rFonts w:hint="eastAsia" w:ascii="宋体" w:hAnsi="宋体" w:cs="宋体"/>
                <w:kern w:val="0"/>
                <w:sz w:val="18"/>
                <w:szCs w:val="18"/>
              </w:rPr>
              <w:t>2级：含锡97%≤Sn＜99%,无其他夹杂物及油污。</w:t>
            </w:r>
          </w:p>
          <w:p w14:paraId="56A98661">
            <w:pPr>
              <w:widowControl/>
              <w:jc w:val="left"/>
              <w:rPr>
                <w:rFonts w:ascii="宋体" w:hAnsi="宋体" w:cs="宋体"/>
                <w:kern w:val="0"/>
                <w:sz w:val="18"/>
                <w:szCs w:val="18"/>
              </w:rPr>
            </w:pPr>
            <w:r>
              <w:rPr>
                <w:rFonts w:hint="eastAsia" w:ascii="宋体" w:hAnsi="宋体" w:cs="宋体"/>
                <w:kern w:val="0"/>
                <w:sz w:val="18"/>
                <w:szCs w:val="18"/>
              </w:rPr>
              <w:t>3级：含锡95%≤Sn＜97%,无其他夹杂物及油污。</w:t>
            </w:r>
          </w:p>
        </w:tc>
      </w:tr>
      <w:tr w14:paraId="47CC7FD7">
        <w:tblPrEx>
          <w:tblCellMar>
            <w:top w:w="0" w:type="dxa"/>
            <w:left w:w="108" w:type="dxa"/>
            <w:bottom w:w="0" w:type="dxa"/>
            <w:right w:w="108" w:type="dxa"/>
          </w:tblCellMar>
        </w:tblPrEx>
        <w:trPr>
          <w:trHeight w:val="1239" w:hRule="atLeast"/>
          <w:jc w:val="center"/>
        </w:trPr>
        <w:tc>
          <w:tcPr>
            <w:tcW w:w="1111" w:type="dxa"/>
            <w:vMerge w:val="continue"/>
            <w:tcBorders>
              <w:left w:val="single" w:color="auto" w:sz="4" w:space="0"/>
              <w:bottom w:val="single" w:color="auto" w:sz="4" w:space="0"/>
              <w:right w:val="single" w:color="auto" w:sz="4" w:space="0"/>
            </w:tcBorders>
            <w:noWrap/>
            <w:vAlign w:val="center"/>
          </w:tcPr>
          <w:p w14:paraId="165213DD">
            <w:pPr>
              <w:widowControl/>
              <w:jc w:val="left"/>
              <w:rPr>
                <w:rFonts w:ascii="宋体" w:hAnsi="宋体" w:cs="宋体"/>
                <w:kern w:val="0"/>
                <w:sz w:val="18"/>
                <w:szCs w:val="18"/>
              </w:rPr>
            </w:pPr>
          </w:p>
        </w:tc>
        <w:tc>
          <w:tcPr>
            <w:tcW w:w="952" w:type="dxa"/>
            <w:vMerge w:val="continue"/>
            <w:tcBorders>
              <w:left w:val="single" w:color="auto" w:sz="4" w:space="0"/>
              <w:bottom w:val="single" w:color="auto" w:sz="4" w:space="0"/>
              <w:right w:val="single" w:color="auto" w:sz="4" w:space="0"/>
            </w:tcBorders>
            <w:noWrap/>
            <w:vAlign w:val="center"/>
          </w:tcPr>
          <w:p w14:paraId="6CB93B26">
            <w:pPr>
              <w:widowControl/>
              <w:jc w:val="left"/>
              <w:rPr>
                <w:rFonts w:ascii="宋体" w:hAnsi="宋体" w:cs="宋体"/>
                <w:kern w:val="0"/>
                <w:sz w:val="18"/>
                <w:szCs w:val="18"/>
              </w:rPr>
            </w:pPr>
          </w:p>
        </w:tc>
        <w:tc>
          <w:tcPr>
            <w:tcW w:w="1587" w:type="dxa"/>
            <w:tcBorders>
              <w:top w:val="nil"/>
              <w:left w:val="nil"/>
              <w:bottom w:val="single" w:color="auto" w:sz="4" w:space="0"/>
              <w:right w:val="single" w:color="auto" w:sz="4" w:space="0"/>
            </w:tcBorders>
            <w:noWrap/>
            <w:vAlign w:val="center"/>
          </w:tcPr>
          <w:p w14:paraId="6D7A23B4">
            <w:pPr>
              <w:widowControl/>
              <w:jc w:val="center"/>
              <w:rPr>
                <w:rFonts w:ascii="宋体" w:hAnsi="宋体" w:cs="宋体"/>
                <w:kern w:val="0"/>
                <w:sz w:val="18"/>
                <w:szCs w:val="18"/>
              </w:rPr>
            </w:pPr>
            <w:r>
              <w:rPr>
                <w:rFonts w:hint="eastAsia" w:ascii="宋体" w:hAnsi="宋体" w:cs="宋体"/>
                <w:kern w:val="0"/>
                <w:sz w:val="18"/>
                <w:szCs w:val="18"/>
              </w:rPr>
              <w:t>锡合金屑</w:t>
            </w:r>
          </w:p>
        </w:tc>
        <w:tc>
          <w:tcPr>
            <w:tcW w:w="5510" w:type="dxa"/>
            <w:gridSpan w:val="2"/>
            <w:tcBorders>
              <w:top w:val="nil"/>
              <w:left w:val="nil"/>
              <w:bottom w:val="single" w:color="auto" w:sz="4" w:space="0"/>
              <w:right w:val="single" w:color="auto" w:sz="4" w:space="0"/>
            </w:tcBorders>
            <w:noWrap/>
            <w:vAlign w:val="center"/>
          </w:tcPr>
          <w:p w14:paraId="6EDB54AF">
            <w:pPr>
              <w:widowControl/>
              <w:jc w:val="left"/>
              <w:rPr>
                <w:rFonts w:ascii="宋体" w:hAnsi="宋体" w:cs="宋体"/>
                <w:kern w:val="0"/>
                <w:sz w:val="18"/>
                <w:szCs w:val="18"/>
              </w:rPr>
            </w:pPr>
            <w:r>
              <w:rPr>
                <w:rFonts w:hint="eastAsia" w:ascii="宋体" w:hAnsi="宋体" w:cs="宋体"/>
                <w:kern w:val="0"/>
                <w:sz w:val="18"/>
                <w:szCs w:val="18"/>
              </w:rPr>
              <w:t>1级:含锡Sn≥80%,无其他夹杂物及油污。</w:t>
            </w:r>
          </w:p>
          <w:p w14:paraId="7040E72A">
            <w:pPr>
              <w:widowControl/>
              <w:jc w:val="left"/>
              <w:rPr>
                <w:rFonts w:ascii="宋体" w:hAnsi="宋体" w:cs="宋体"/>
                <w:kern w:val="0"/>
                <w:sz w:val="18"/>
                <w:szCs w:val="18"/>
              </w:rPr>
            </w:pPr>
            <w:r>
              <w:rPr>
                <w:rFonts w:hint="eastAsia" w:ascii="宋体" w:hAnsi="宋体" w:cs="宋体"/>
                <w:kern w:val="0"/>
                <w:sz w:val="18"/>
                <w:szCs w:val="18"/>
              </w:rPr>
              <w:t>2级：含锡60%≤Sn＜80%,无其他夹杂物及油污。</w:t>
            </w:r>
          </w:p>
          <w:p w14:paraId="27739A78">
            <w:pPr>
              <w:widowControl/>
              <w:jc w:val="left"/>
              <w:rPr>
                <w:rFonts w:ascii="宋体" w:hAnsi="宋体" w:cs="宋体"/>
                <w:kern w:val="0"/>
                <w:sz w:val="18"/>
                <w:szCs w:val="18"/>
              </w:rPr>
            </w:pPr>
            <w:r>
              <w:rPr>
                <w:rFonts w:hint="eastAsia" w:ascii="宋体" w:hAnsi="宋体" w:cs="宋体"/>
                <w:kern w:val="0"/>
                <w:sz w:val="18"/>
                <w:szCs w:val="18"/>
              </w:rPr>
              <w:t>3级：含锡40%≤Sn＜60%,无其他夹杂物及油污。</w:t>
            </w:r>
          </w:p>
          <w:p w14:paraId="1D00A2F5">
            <w:pPr>
              <w:widowControl/>
              <w:jc w:val="left"/>
              <w:rPr>
                <w:rFonts w:ascii="宋体" w:hAnsi="宋体" w:cs="宋体"/>
                <w:kern w:val="0"/>
                <w:sz w:val="18"/>
                <w:szCs w:val="18"/>
              </w:rPr>
            </w:pPr>
            <w:r>
              <w:rPr>
                <w:rFonts w:hint="eastAsia" w:ascii="宋体" w:hAnsi="宋体" w:cs="宋体"/>
                <w:kern w:val="0"/>
                <w:sz w:val="18"/>
                <w:szCs w:val="18"/>
              </w:rPr>
              <w:t>4级：含锡20%≤Sn＜40%,无其他夹杂物及油污。</w:t>
            </w:r>
          </w:p>
        </w:tc>
      </w:tr>
      <w:tr w14:paraId="0C423D0A">
        <w:tblPrEx>
          <w:tblCellMar>
            <w:top w:w="0" w:type="dxa"/>
            <w:left w:w="108" w:type="dxa"/>
            <w:bottom w:w="0" w:type="dxa"/>
            <w:right w:w="108" w:type="dxa"/>
          </w:tblCellMar>
        </w:tblPrEx>
        <w:trPr>
          <w:trHeight w:val="1239" w:hRule="atLeast"/>
          <w:jc w:val="center"/>
        </w:trPr>
        <w:tc>
          <w:tcPr>
            <w:tcW w:w="1111" w:type="dxa"/>
            <w:vMerge w:val="restart"/>
            <w:tcBorders>
              <w:top w:val="nil"/>
              <w:left w:val="single" w:color="auto" w:sz="4" w:space="0"/>
              <w:right w:val="single" w:color="auto" w:sz="4" w:space="0"/>
            </w:tcBorders>
            <w:noWrap/>
            <w:vAlign w:val="center"/>
          </w:tcPr>
          <w:p w14:paraId="1581B103">
            <w:pPr>
              <w:widowControl/>
              <w:jc w:val="center"/>
              <w:rPr>
                <w:rFonts w:ascii="宋体" w:hAnsi="宋体" w:cs="宋体"/>
                <w:kern w:val="0"/>
                <w:sz w:val="18"/>
                <w:szCs w:val="18"/>
              </w:rPr>
            </w:pPr>
            <w:r>
              <w:rPr>
                <w:rFonts w:hint="eastAsia" w:ascii="宋体" w:hAnsi="宋体"/>
                <w:sz w:val="18"/>
                <w:szCs w:val="18"/>
              </w:rPr>
              <w:t>Ⅳ类  回收锡及锡合金</w:t>
            </w:r>
            <w:r>
              <w:rPr>
                <w:rFonts w:hint="eastAsia" w:ascii="宋体" w:hAnsi="宋体" w:cs="宋体"/>
                <w:kern w:val="0"/>
                <w:sz w:val="18"/>
                <w:szCs w:val="18"/>
              </w:rPr>
              <w:t>渣、尘、泥</w:t>
            </w:r>
            <w:r>
              <w:rPr>
                <w:rFonts w:hint="eastAsia" w:ascii="宋体" w:hAnsi="宋体"/>
                <w:sz w:val="18"/>
                <w:szCs w:val="18"/>
              </w:rPr>
              <w:t>料</w:t>
            </w:r>
          </w:p>
        </w:tc>
        <w:tc>
          <w:tcPr>
            <w:tcW w:w="952" w:type="dxa"/>
            <w:vMerge w:val="restart"/>
            <w:tcBorders>
              <w:top w:val="nil"/>
              <w:left w:val="single" w:color="auto" w:sz="4" w:space="0"/>
              <w:bottom w:val="single" w:color="auto" w:sz="4" w:space="0"/>
              <w:right w:val="single" w:color="auto" w:sz="4" w:space="0"/>
            </w:tcBorders>
            <w:noWrap/>
            <w:vAlign w:val="center"/>
          </w:tcPr>
          <w:p w14:paraId="23767C3C">
            <w:pPr>
              <w:widowControl/>
              <w:jc w:val="center"/>
              <w:rPr>
                <w:rFonts w:ascii="宋体" w:hAnsi="宋体" w:cs="宋体"/>
                <w:kern w:val="0"/>
                <w:sz w:val="18"/>
                <w:szCs w:val="18"/>
              </w:rPr>
            </w:pPr>
            <w:r>
              <w:rPr>
                <w:rFonts w:hint="eastAsia" w:ascii="宋体" w:hAnsi="宋体" w:cs="宋体"/>
                <w:kern w:val="0"/>
                <w:sz w:val="18"/>
                <w:szCs w:val="18"/>
              </w:rPr>
              <w:t>锡渣</w:t>
            </w:r>
          </w:p>
        </w:tc>
        <w:tc>
          <w:tcPr>
            <w:tcW w:w="1587" w:type="dxa"/>
            <w:tcBorders>
              <w:top w:val="nil"/>
              <w:left w:val="nil"/>
              <w:bottom w:val="single" w:color="auto" w:sz="4" w:space="0"/>
              <w:right w:val="single" w:color="auto" w:sz="4" w:space="0"/>
            </w:tcBorders>
            <w:noWrap/>
            <w:vAlign w:val="center"/>
          </w:tcPr>
          <w:p w14:paraId="6342C111">
            <w:pPr>
              <w:widowControl/>
              <w:jc w:val="center"/>
              <w:rPr>
                <w:rFonts w:ascii="宋体" w:hAnsi="宋体" w:cs="宋体"/>
                <w:kern w:val="0"/>
                <w:sz w:val="18"/>
                <w:szCs w:val="18"/>
              </w:rPr>
            </w:pPr>
            <w:r>
              <w:rPr>
                <w:rFonts w:hint="eastAsia" w:ascii="宋体" w:hAnsi="宋体" w:cs="宋体"/>
                <w:kern w:val="0"/>
                <w:sz w:val="18"/>
                <w:szCs w:val="18"/>
              </w:rPr>
              <w:t>精炼渣</w:t>
            </w:r>
          </w:p>
        </w:tc>
        <w:tc>
          <w:tcPr>
            <w:tcW w:w="1269" w:type="dxa"/>
            <w:tcBorders>
              <w:top w:val="nil"/>
              <w:left w:val="nil"/>
              <w:bottom w:val="single" w:color="auto" w:sz="4" w:space="0"/>
              <w:right w:val="single" w:color="auto" w:sz="4" w:space="0"/>
            </w:tcBorders>
            <w:noWrap/>
            <w:vAlign w:val="center"/>
          </w:tcPr>
          <w:p w14:paraId="6474BFA7">
            <w:pPr>
              <w:widowControl/>
              <w:jc w:val="left"/>
              <w:rPr>
                <w:rFonts w:ascii="宋体" w:hAnsi="宋体" w:cs="宋体"/>
                <w:kern w:val="0"/>
                <w:sz w:val="18"/>
                <w:szCs w:val="18"/>
              </w:rPr>
            </w:pPr>
            <w:r>
              <w:rPr>
                <w:rFonts w:hint="eastAsia" w:ascii="宋体" w:hAnsi="宋体" w:cs="宋体"/>
                <w:kern w:val="0"/>
                <w:sz w:val="18"/>
                <w:szCs w:val="18"/>
              </w:rPr>
              <w:t>粒度≤30mm</w:t>
            </w:r>
          </w:p>
          <w:p w14:paraId="71069AA1">
            <w:pPr>
              <w:widowControl/>
              <w:jc w:val="left"/>
              <w:rPr>
                <w:rFonts w:ascii="宋体" w:hAnsi="宋体" w:cs="宋体"/>
                <w:kern w:val="0"/>
                <w:sz w:val="18"/>
                <w:szCs w:val="18"/>
              </w:rPr>
            </w:pPr>
            <w:r>
              <w:rPr>
                <w:rFonts w:hint="eastAsia" w:ascii="宋体" w:hAnsi="宋体" w:cs="宋体"/>
                <w:kern w:val="0"/>
                <w:sz w:val="18"/>
                <w:szCs w:val="18"/>
              </w:rPr>
              <w:t>水份≤10%</w:t>
            </w:r>
          </w:p>
        </w:tc>
        <w:tc>
          <w:tcPr>
            <w:tcW w:w="4241" w:type="dxa"/>
            <w:tcBorders>
              <w:top w:val="nil"/>
              <w:left w:val="nil"/>
              <w:bottom w:val="single" w:color="auto" w:sz="4" w:space="0"/>
              <w:right w:val="single" w:color="auto" w:sz="4" w:space="0"/>
            </w:tcBorders>
            <w:noWrap/>
            <w:vAlign w:val="center"/>
          </w:tcPr>
          <w:p w14:paraId="326E3DA4">
            <w:pPr>
              <w:widowControl/>
              <w:jc w:val="left"/>
              <w:rPr>
                <w:rFonts w:ascii="宋体" w:hAnsi="宋体" w:cs="宋体"/>
                <w:kern w:val="0"/>
                <w:sz w:val="18"/>
                <w:szCs w:val="18"/>
              </w:rPr>
            </w:pPr>
            <w:r>
              <w:rPr>
                <w:rFonts w:hint="eastAsia" w:ascii="宋体" w:hAnsi="宋体" w:cs="宋体"/>
                <w:kern w:val="0"/>
                <w:sz w:val="18"/>
                <w:szCs w:val="18"/>
              </w:rPr>
              <w:t>1级:含锡Sn≥60%,无其他夹杂物及油污。</w:t>
            </w:r>
          </w:p>
          <w:p w14:paraId="4593905A">
            <w:pPr>
              <w:widowControl/>
              <w:jc w:val="left"/>
              <w:rPr>
                <w:rFonts w:ascii="宋体" w:hAnsi="宋体" w:cs="宋体"/>
                <w:kern w:val="0"/>
                <w:sz w:val="18"/>
                <w:szCs w:val="18"/>
              </w:rPr>
            </w:pPr>
            <w:r>
              <w:rPr>
                <w:rFonts w:hint="eastAsia" w:ascii="宋体" w:hAnsi="宋体" w:cs="宋体"/>
                <w:kern w:val="0"/>
                <w:sz w:val="18"/>
                <w:szCs w:val="18"/>
              </w:rPr>
              <w:t>2级：含锡40%≤Sn＜60%,无其他夹杂物及油污。</w:t>
            </w:r>
          </w:p>
          <w:p w14:paraId="17A9E64A">
            <w:pPr>
              <w:widowControl/>
              <w:jc w:val="left"/>
              <w:rPr>
                <w:rFonts w:ascii="宋体" w:hAnsi="宋体" w:cs="宋体"/>
                <w:kern w:val="0"/>
                <w:sz w:val="18"/>
                <w:szCs w:val="18"/>
              </w:rPr>
            </w:pPr>
            <w:r>
              <w:rPr>
                <w:rFonts w:hint="eastAsia" w:ascii="宋体" w:hAnsi="宋体" w:cs="宋体"/>
                <w:kern w:val="0"/>
                <w:sz w:val="18"/>
                <w:szCs w:val="18"/>
              </w:rPr>
              <w:t>3级：含锡20%≤Sn＜40%,无其他夹杂物及油污。</w:t>
            </w:r>
          </w:p>
          <w:p w14:paraId="01FC9316">
            <w:pPr>
              <w:widowControl/>
              <w:jc w:val="left"/>
              <w:rPr>
                <w:rFonts w:ascii="宋体" w:hAnsi="宋体" w:cs="宋体"/>
                <w:kern w:val="0"/>
                <w:sz w:val="18"/>
                <w:szCs w:val="18"/>
              </w:rPr>
            </w:pPr>
            <w:r>
              <w:rPr>
                <w:rFonts w:hint="eastAsia" w:ascii="宋体" w:hAnsi="宋体" w:cs="宋体"/>
                <w:kern w:val="0"/>
                <w:sz w:val="18"/>
                <w:szCs w:val="18"/>
              </w:rPr>
              <w:t>4级：含锡1%≤Sn＜20%,无其他夹杂物及油污。</w:t>
            </w:r>
          </w:p>
        </w:tc>
      </w:tr>
      <w:tr w14:paraId="142D564F">
        <w:tblPrEx>
          <w:tblCellMar>
            <w:top w:w="0" w:type="dxa"/>
            <w:left w:w="108" w:type="dxa"/>
            <w:bottom w:w="0" w:type="dxa"/>
            <w:right w:w="108" w:type="dxa"/>
          </w:tblCellMar>
        </w:tblPrEx>
        <w:trPr>
          <w:trHeight w:val="1141" w:hRule="atLeast"/>
          <w:jc w:val="center"/>
        </w:trPr>
        <w:tc>
          <w:tcPr>
            <w:tcW w:w="1111" w:type="dxa"/>
            <w:vMerge w:val="continue"/>
            <w:tcBorders>
              <w:left w:val="single" w:color="auto" w:sz="4" w:space="0"/>
              <w:right w:val="single" w:color="auto" w:sz="4" w:space="0"/>
            </w:tcBorders>
            <w:noWrap/>
            <w:vAlign w:val="center"/>
          </w:tcPr>
          <w:p w14:paraId="5AD7F7C8">
            <w:pPr>
              <w:widowControl/>
              <w:jc w:val="center"/>
              <w:rPr>
                <w:rFonts w:ascii="宋体" w:hAnsi="宋体" w:cs="宋体"/>
                <w:kern w:val="0"/>
                <w:sz w:val="18"/>
                <w:szCs w:val="18"/>
              </w:rPr>
            </w:pPr>
          </w:p>
        </w:tc>
        <w:tc>
          <w:tcPr>
            <w:tcW w:w="952" w:type="dxa"/>
            <w:vMerge w:val="continue"/>
            <w:tcBorders>
              <w:top w:val="nil"/>
              <w:left w:val="single" w:color="auto" w:sz="4" w:space="0"/>
              <w:bottom w:val="single" w:color="auto" w:sz="4" w:space="0"/>
              <w:right w:val="single" w:color="auto" w:sz="4" w:space="0"/>
            </w:tcBorders>
            <w:noWrap/>
            <w:vAlign w:val="center"/>
          </w:tcPr>
          <w:p w14:paraId="1FA912EE">
            <w:pPr>
              <w:widowControl/>
              <w:jc w:val="center"/>
              <w:rPr>
                <w:rFonts w:ascii="宋体" w:hAnsi="宋体" w:cs="宋体"/>
                <w:kern w:val="0"/>
                <w:sz w:val="18"/>
                <w:szCs w:val="18"/>
              </w:rPr>
            </w:pPr>
          </w:p>
        </w:tc>
        <w:tc>
          <w:tcPr>
            <w:tcW w:w="1587" w:type="dxa"/>
            <w:tcBorders>
              <w:top w:val="nil"/>
              <w:left w:val="nil"/>
              <w:bottom w:val="single" w:color="auto" w:sz="4" w:space="0"/>
              <w:right w:val="single" w:color="auto" w:sz="4" w:space="0"/>
            </w:tcBorders>
            <w:noWrap/>
            <w:vAlign w:val="center"/>
          </w:tcPr>
          <w:p w14:paraId="19E2A9FA">
            <w:pPr>
              <w:widowControl/>
              <w:jc w:val="center"/>
              <w:rPr>
                <w:rFonts w:ascii="宋体" w:hAnsi="宋体" w:cs="宋体"/>
                <w:kern w:val="0"/>
                <w:sz w:val="18"/>
                <w:szCs w:val="18"/>
              </w:rPr>
            </w:pPr>
            <w:r>
              <w:rPr>
                <w:rFonts w:hint="eastAsia" w:ascii="宋体" w:hAnsi="宋体" w:cs="宋体"/>
                <w:kern w:val="0"/>
                <w:sz w:val="18"/>
                <w:szCs w:val="18"/>
              </w:rPr>
              <w:t>炉  渣</w:t>
            </w:r>
          </w:p>
        </w:tc>
        <w:tc>
          <w:tcPr>
            <w:tcW w:w="1269" w:type="dxa"/>
            <w:tcBorders>
              <w:top w:val="nil"/>
              <w:left w:val="nil"/>
              <w:bottom w:val="single" w:color="auto" w:sz="4" w:space="0"/>
              <w:right w:val="single" w:color="auto" w:sz="4" w:space="0"/>
            </w:tcBorders>
            <w:noWrap/>
            <w:vAlign w:val="center"/>
          </w:tcPr>
          <w:p w14:paraId="44254426">
            <w:pPr>
              <w:widowControl/>
              <w:jc w:val="left"/>
              <w:rPr>
                <w:rFonts w:ascii="宋体" w:hAnsi="宋体" w:cs="宋体"/>
                <w:kern w:val="0"/>
                <w:sz w:val="18"/>
                <w:szCs w:val="18"/>
              </w:rPr>
            </w:pPr>
            <w:r>
              <w:rPr>
                <w:rFonts w:hint="eastAsia" w:ascii="宋体" w:hAnsi="宋体" w:cs="宋体"/>
                <w:kern w:val="0"/>
                <w:sz w:val="18"/>
                <w:szCs w:val="18"/>
              </w:rPr>
              <w:t>粒度≤100mm</w:t>
            </w:r>
          </w:p>
          <w:p w14:paraId="60CC46E6">
            <w:pPr>
              <w:widowControl/>
              <w:jc w:val="left"/>
              <w:rPr>
                <w:rFonts w:ascii="宋体" w:hAnsi="宋体" w:cs="宋体"/>
                <w:kern w:val="0"/>
                <w:sz w:val="18"/>
                <w:szCs w:val="18"/>
              </w:rPr>
            </w:pPr>
            <w:r>
              <w:rPr>
                <w:rFonts w:hint="eastAsia" w:ascii="宋体" w:hAnsi="宋体" w:cs="宋体"/>
                <w:kern w:val="0"/>
                <w:sz w:val="18"/>
                <w:szCs w:val="18"/>
              </w:rPr>
              <w:t>水份≤10%</w:t>
            </w:r>
          </w:p>
        </w:tc>
        <w:tc>
          <w:tcPr>
            <w:tcW w:w="4241" w:type="dxa"/>
            <w:tcBorders>
              <w:top w:val="nil"/>
              <w:left w:val="nil"/>
              <w:bottom w:val="single" w:color="auto" w:sz="4" w:space="0"/>
              <w:right w:val="single" w:color="auto" w:sz="4" w:space="0"/>
            </w:tcBorders>
            <w:noWrap/>
            <w:vAlign w:val="center"/>
          </w:tcPr>
          <w:p w14:paraId="11456BF6">
            <w:pPr>
              <w:widowControl/>
              <w:jc w:val="left"/>
              <w:rPr>
                <w:rFonts w:ascii="宋体" w:hAnsi="宋体" w:cs="宋体"/>
                <w:kern w:val="0"/>
                <w:sz w:val="18"/>
                <w:szCs w:val="18"/>
              </w:rPr>
            </w:pPr>
            <w:r>
              <w:rPr>
                <w:rFonts w:hint="eastAsia" w:ascii="宋体" w:hAnsi="宋体" w:cs="宋体"/>
                <w:kern w:val="0"/>
                <w:sz w:val="18"/>
                <w:szCs w:val="18"/>
              </w:rPr>
              <w:t>1级:含锡Sn≥30%,无其他夹杂物及油污。</w:t>
            </w:r>
          </w:p>
          <w:p w14:paraId="3762EB72">
            <w:pPr>
              <w:widowControl/>
              <w:jc w:val="left"/>
              <w:rPr>
                <w:rFonts w:ascii="宋体" w:hAnsi="宋体" w:cs="宋体"/>
                <w:kern w:val="0"/>
                <w:sz w:val="18"/>
                <w:szCs w:val="18"/>
              </w:rPr>
            </w:pPr>
            <w:r>
              <w:rPr>
                <w:rFonts w:hint="eastAsia" w:ascii="宋体" w:hAnsi="宋体" w:cs="宋体"/>
                <w:kern w:val="0"/>
                <w:sz w:val="18"/>
                <w:szCs w:val="18"/>
              </w:rPr>
              <w:t>2级：含锡15%≤Sn＜30%,无其他夹杂物及油污。</w:t>
            </w:r>
          </w:p>
          <w:p w14:paraId="208D78C7">
            <w:pPr>
              <w:widowControl/>
              <w:jc w:val="left"/>
              <w:rPr>
                <w:rFonts w:ascii="宋体" w:hAnsi="宋体" w:cs="宋体"/>
                <w:kern w:val="0"/>
                <w:sz w:val="18"/>
                <w:szCs w:val="18"/>
              </w:rPr>
            </w:pPr>
            <w:r>
              <w:rPr>
                <w:rFonts w:hint="eastAsia" w:ascii="宋体" w:hAnsi="宋体" w:cs="宋体"/>
                <w:kern w:val="0"/>
                <w:sz w:val="18"/>
                <w:szCs w:val="18"/>
              </w:rPr>
              <w:t>3级：含锡1%≤Sn＜15%,无其他夹杂物及油污。</w:t>
            </w:r>
          </w:p>
        </w:tc>
      </w:tr>
      <w:tr w14:paraId="1A893D10">
        <w:tblPrEx>
          <w:tblCellMar>
            <w:top w:w="0" w:type="dxa"/>
            <w:left w:w="108" w:type="dxa"/>
            <w:bottom w:w="0" w:type="dxa"/>
            <w:right w:w="108" w:type="dxa"/>
          </w:tblCellMar>
        </w:tblPrEx>
        <w:trPr>
          <w:trHeight w:val="1254" w:hRule="atLeast"/>
          <w:jc w:val="center"/>
        </w:trPr>
        <w:tc>
          <w:tcPr>
            <w:tcW w:w="1111" w:type="dxa"/>
            <w:vMerge w:val="continue"/>
            <w:tcBorders>
              <w:left w:val="single" w:color="auto" w:sz="4" w:space="0"/>
              <w:right w:val="single" w:color="auto" w:sz="4" w:space="0"/>
            </w:tcBorders>
            <w:noWrap/>
            <w:vAlign w:val="center"/>
          </w:tcPr>
          <w:p w14:paraId="277D99AA">
            <w:pPr>
              <w:widowControl/>
              <w:jc w:val="left"/>
              <w:rPr>
                <w:rFonts w:ascii="宋体" w:hAnsi="宋体" w:cs="宋体"/>
                <w:kern w:val="0"/>
                <w:sz w:val="18"/>
                <w:szCs w:val="18"/>
              </w:rPr>
            </w:pPr>
          </w:p>
        </w:tc>
        <w:tc>
          <w:tcPr>
            <w:tcW w:w="952" w:type="dxa"/>
            <w:vMerge w:val="continue"/>
            <w:tcBorders>
              <w:top w:val="nil"/>
              <w:left w:val="single" w:color="auto" w:sz="4" w:space="0"/>
              <w:bottom w:val="single" w:color="auto" w:sz="4" w:space="0"/>
              <w:right w:val="single" w:color="auto" w:sz="4" w:space="0"/>
            </w:tcBorders>
            <w:noWrap/>
            <w:vAlign w:val="center"/>
          </w:tcPr>
          <w:p w14:paraId="54611B2D">
            <w:pPr>
              <w:widowControl/>
              <w:jc w:val="left"/>
              <w:rPr>
                <w:rFonts w:ascii="宋体" w:hAnsi="宋体" w:cs="宋体"/>
                <w:kern w:val="0"/>
                <w:sz w:val="18"/>
                <w:szCs w:val="18"/>
              </w:rPr>
            </w:pPr>
          </w:p>
        </w:tc>
        <w:tc>
          <w:tcPr>
            <w:tcW w:w="1587" w:type="dxa"/>
            <w:tcBorders>
              <w:top w:val="nil"/>
              <w:left w:val="nil"/>
              <w:bottom w:val="single" w:color="auto" w:sz="4" w:space="0"/>
              <w:right w:val="single" w:color="auto" w:sz="4" w:space="0"/>
            </w:tcBorders>
            <w:noWrap/>
            <w:vAlign w:val="center"/>
          </w:tcPr>
          <w:p w14:paraId="2BD484BA">
            <w:pPr>
              <w:widowControl/>
              <w:jc w:val="center"/>
              <w:rPr>
                <w:rFonts w:ascii="宋体" w:hAnsi="宋体" w:cs="宋体"/>
                <w:kern w:val="0"/>
                <w:sz w:val="18"/>
                <w:szCs w:val="18"/>
              </w:rPr>
            </w:pPr>
            <w:r>
              <w:rPr>
                <w:rFonts w:hint="eastAsia" w:ascii="宋体" w:hAnsi="宋体" w:cs="宋体"/>
                <w:kern w:val="0"/>
                <w:sz w:val="18"/>
                <w:szCs w:val="18"/>
              </w:rPr>
              <w:t>湿法、电镀渣</w:t>
            </w:r>
          </w:p>
        </w:tc>
        <w:tc>
          <w:tcPr>
            <w:tcW w:w="1269" w:type="dxa"/>
            <w:tcBorders>
              <w:top w:val="nil"/>
              <w:left w:val="nil"/>
              <w:bottom w:val="single" w:color="auto" w:sz="4" w:space="0"/>
              <w:right w:val="single" w:color="auto" w:sz="4" w:space="0"/>
            </w:tcBorders>
            <w:noWrap/>
            <w:vAlign w:val="center"/>
          </w:tcPr>
          <w:p w14:paraId="4E2C9008">
            <w:pPr>
              <w:widowControl/>
              <w:jc w:val="left"/>
              <w:rPr>
                <w:rFonts w:ascii="宋体" w:hAnsi="宋体" w:cs="宋体"/>
                <w:kern w:val="0"/>
                <w:sz w:val="18"/>
                <w:szCs w:val="18"/>
              </w:rPr>
            </w:pPr>
            <w:r>
              <w:rPr>
                <w:rFonts w:hint="eastAsia" w:ascii="宋体" w:hAnsi="宋体" w:cs="宋体"/>
                <w:kern w:val="0"/>
                <w:sz w:val="18"/>
                <w:szCs w:val="18"/>
              </w:rPr>
              <w:t>粒度≤15mm</w:t>
            </w:r>
          </w:p>
          <w:p w14:paraId="254E4512">
            <w:pPr>
              <w:widowControl/>
              <w:jc w:val="left"/>
              <w:rPr>
                <w:rFonts w:ascii="宋体" w:hAnsi="宋体" w:cs="宋体"/>
                <w:kern w:val="0"/>
                <w:sz w:val="18"/>
                <w:szCs w:val="18"/>
              </w:rPr>
            </w:pPr>
            <w:r>
              <w:rPr>
                <w:rFonts w:hint="eastAsia" w:ascii="宋体" w:hAnsi="宋体" w:cs="宋体"/>
                <w:kern w:val="0"/>
                <w:sz w:val="18"/>
                <w:szCs w:val="18"/>
              </w:rPr>
              <w:t>水份≤40%</w:t>
            </w:r>
          </w:p>
        </w:tc>
        <w:tc>
          <w:tcPr>
            <w:tcW w:w="4241" w:type="dxa"/>
            <w:tcBorders>
              <w:top w:val="nil"/>
              <w:left w:val="nil"/>
              <w:bottom w:val="single" w:color="auto" w:sz="4" w:space="0"/>
              <w:right w:val="single" w:color="auto" w:sz="4" w:space="0"/>
            </w:tcBorders>
            <w:noWrap/>
            <w:vAlign w:val="center"/>
          </w:tcPr>
          <w:p w14:paraId="3ED0094F">
            <w:pPr>
              <w:widowControl/>
              <w:jc w:val="left"/>
              <w:rPr>
                <w:rFonts w:ascii="宋体" w:hAnsi="宋体" w:cs="宋体"/>
                <w:kern w:val="0"/>
                <w:sz w:val="18"/>
                <w:szCs w:val="18"/>
              </w:rPr>
            </w:pPr>
            <w:r>
              <w:rPr>
                <w:rFonts w:hint="eastAsia" w:ascii="宋体" w:hAnsi="宋体" w:cs="宋体"/>
                <w:kern w:val="0"/>
                <w:sz w:val="18"/>
                <w:szCs w:val="18"/>
              </w:rPr>
              <w:t xml:space="preserve">1级:含锡Sn≥80%,无其他夹杂物及油污。 </w:t>
            </w:r>
          </w:p>
          <w:p w14:paraId="07FD50D5">
            <w:pPr>
              <w:widowControl/>
              <w:jc w:val="left"/>
              <w:rPr>
                <w:rFonts w:ascii="宋体" w:hAnsi="宋体" w:cs="宋体"/>
                <w:kern w:val="0"/>
                <w:sz w:val="18"/>
                <w:szCs w:val="18"/>
              </w:rPr>
            </w:pPr>
            <w:r>
              <w:rPr>
                <w:rFonts w:hint="eastAsia" w:ascii="宋体" w:hAnsi="宋体" w:cs="宋体"/>
                <w:kern w:val="0"/>
                <w:sz w:val="18"/>
                <w:szCs w:val="18"/>
              </w:rPr>
              <w:t>2级：含锡60%≤Sn＜80%,无其他夹杂物及油污。</w:t>
            </w:r>
          </w:p>
          <w:p w14:paraId="4FB09F2A">
            <w:pPr>
              <w:widowControl/>
              <w:jc w:val="left"/>
              <w:rPr>
                <w:rFonts w:ascii="宋体" w:hAnsi="宋体" w:cs="宋体"/>
                <w:kern w:val="0"/>
                <w:sz w:val="18"/>
                <w:szCs w:val="18"/>
              </w:rPr>
            </w:pPr>
            <w:r>
              <w:rPr>
                <w:rFonts w:hint="eastAsia" w:ascii="宋体" w:hAnsi="宋体" w:cs="宋体"/>
                <w:kern w:val="0"/>
                <w:sz w:val="18"/>
                <w:szCs w:val="18"/>
              </w:rPr>
              <w:t>3级：含锡40%≤Sn＜60%,无其他夹杂物及油污。</w:t>
            </w:r>
          </w:p>
          <w:p w14:paraId="67234B9E">
            <w:pPr>
              <w:widowControl/>
              <w:jc w:val="left"/>
              <w:rPr>
                <w:rFonts w:ascii="宋体" w:hAnsi="宋体" w:cs="宋体"/>
                <w:kern w:val="0"/>
                <w:sz w:val="18"/>
                <w:szCs w:val="18"/>
              </w:rPr>
            </w:pPr>
            <w:r>
              <w:rPr>
                <w:rFonts w:hint="eastAsia" w:ascii="宋体" w:hAnsi="宋体" w:cs="宋体"/>
                <w:kern w:val="0"/>
                <w:sz w:val="18"/>
                <w:szCs w:val="18"/>
              </w:rPr>
              <w:t>4级：含锡5%≤Sn＜40%,无其他夹杂物及油污。</w:t>
            </w:r>
          </w:p>
        </w:tc>
      </w:tr>
      <w:tr w14:paraId="29CAFA6E">
        <w:tblPrEx>
          <w:tblCellMar>
            <w:top w:w="0" w:type="dxa"/>
            <w:left w:w="108" w:type="dxa"/>
            <w:bottom w:w="0" w:type="dxa"/>
            <w:right w:w="108" w:type="dxa"/>
          </w:tblCellMar>
        </w:tblPrEx>
        <w:trPr>
          <w:trHeight w:val="1368" w:hRule="atLeast"/>
          <w:jc w:val="center"/>
        </w:trPr>
        <w:tc>
          <w:tcPr>
            <w:tcW w:w="1111" w:type="dxa"/>
            <w:vMerge w:val="continue"/>
            <w:tcBorders>
              <w:left w:val="single" w:color="auto" w:sz="4" w:space="0"/>
              <w:right w:val="single" w:color="auto" w:sz="4" w:space="0"/>
            </w:tcBorders>
            <w:noWrap/>
            <w:vAlign w:val="center"/>
          </w:tcPr>
          <w:p w14:paraId="7AFDCE66">
            <w:pPr>
              <w:widowControl/>
              <w:jc w:val="left"/>
              <w:rPr>
                <w:rFonts w:ascii="宋体" w:hAnsi="宋体" w:cs="宋体"/>
                <w:kern w:val="0"/>
                <w:sz w:val="18"/>
                <w:szCs w:val="18"/>
              </w:rPr>
            </w:pPr>
          </w:p>
        </w:tc>
        <w:tc>
          <w:tcPr>
            <w:tcW w:w="952" w:type="dxa"/>
            <w:tcBorders>
              <w:top w:val="nil"/>
              <w:left w:val="single" w:color="auto" w:sz="4" w:space="0"/>
              <w:bottom w:val="single" w:color="auto" w:sz="4" w:space="0"/>
              <w:right w:val="single" w:color="auto" w:sz="4" w:space="0"/>
            </w:tcBorders>
            <w:noWrap/>
            <w:vAlign w:val="center"/>
          </w:tcPr>
          <w:p w14:paraId="3FE17AF2">
            <w:pPr>
              <w:widowControl/>
              <w:jc w:val="center"/>
              <w:rPr>
                <w:rFonts w:ascii="宋体" w:hAnsi="宋体" w:cs="宋体"/>
                <w:kern w:val="0"/>
                <w:sz w:val="18"/>
                <w:szCs w:val="18"/>
              </w:rPr>
            </w:pPr>
            <w:r>
              <w:rPr>
                <w:rFonts w:hint="eastAsia" w:ascii="宋体" w:hAnsi="宋体" w:cs="宋体"/>
                <w:kern w:val="0"/>
                <w:sz w:val="18"/>
                <w:szCs w:val="18"/>
              </w:rPr>
              <w:t>锡尘</w:t>
            </w:r>
          </w:p>
        </w:tc>
        <w:tc>
          <w:tcPr>
            <w:tcW w:w="1587" w:type="dxa"/>
            <w:tcBorders>
              <w:top w:val="nil"/>
              <w:left w:val="nil"/>
              <w:bottom w:val="single" w:color="auto" w:sz="4" w:space="0"/>
              <w:right w:val="single" w:color="auto" w:sz="4" w:space="0"/>
            </w:tcBorders>
            <w:noWrap/>
            <w:vAlign w:val="center"/>
          </w:tcPr>
          <w:p w14:paraId="40F3804D">
            <w:pPr>
              <w:widowControl/>
              <w:jc w:val="center"/>
              <w:rPr>
                <w:rFonts w:ascii="宋体" w:hAnsi="宋体" w:cs="宋体"/>
                <w:kern w:val="0"/>
                <w:sz w:val="18"/>
                <w:szCs w:val="18"/>
              </w:rPr>
            </w:pPr>
            <w:r>
              <w:rPr>
                <w:rFonts w:hint="eastAsia" w:ascii="宋体" w:hAnsi="宋体" w:cs="宋体"/>
                <w:kern w:val="0"/>
                <w:sz w:val="18"/>
                <w:szCs w:val="18"/>
              </w:rPr>
              <w:t>锡尘</w:t>
            </w:r>
          </w:p>
        </w:tc>
        <w:tc>
          <w:tcPr>
            <w:tcW w:w="1269" w:type="dxa"/>
            <w:tcBorders>
              <w:top w:val="nil"/>
              <w:left w:val="nil"/>
              <w:bottom w:val="single" w:color="auto" w:sz="4" w:space="0"/>
              <w:right w:val="single" w:color="auto" w:sz="4" w:space="0"/>
            </w:tcBorders>
            <w:noWrap/>
            <w:vAlign w:val="center"/>
          </w:tcPr>
          <w:p w14:paraId="4D652984">
            <w:pPr>
              <w:widowControl/>
              <w:jc w:val="left"/>
              <w:rPr>
                <w:rFonts w:ascii="宋体" w:hAnsi="宋体" w:cs="宋体"/>
                <w:kern w:val="0"/>
                <w:sz w:val="18"/>
                <w:szCs w:val="18"/>
              </w:rPr>
            </w:pPr>
            <w:r>
              <w:rPr>
                <w:rFonts w:hint="eastAsia" w:ascii="宋体" w:hAnsi="宋体" w:cs="宋体"/>
                <w:kern w:val="0"/>
                <w:sz w:val="18"/>
                <w:szCs w:val="18"/>
              </w:rPr>
              <w:t>粒度≤1mm</w:t>
            </w:r>
          </w:p>
          <w:p w14:paraId="387F3C33">
            <w:pPr>
              <w:widowControl/>
              <w:jc w:val="left"/>
              <w:rPr>
                <w:rFonts w:ascii="宋体" w:hAnsi="宋体" w:cs="宋体"/>
                <w:kern w:val="0"/>
                <w:sz w:val="18"/>
                <w:szCs w:val="18"/>
              </w:rPr>
            </w:pPr>
            <w:r>
              <w:rPr>
                <w:rFonts w:hint="eastAsia" w:ascii="宋体" w:hAnsi="宋体" w:cs="宋体"/>
                <w:kern w:val="0"/>
                <w:sz w:val="18"/>
                <w:szCs w:val="18"/>
              </w:rPr>
              <w:t>水份≤20%</w:t>
            </w:r>
          </w:p>
        </w:tc>
        <w:tc>
          <w:tcPr>
            <w:tcW w:w="4241" w:type="dxa"/>
            <w:tcBorders>
              <w:top w:val="nil"/>
              <w:left w:val="nil"/>
              <w:bottom w:val="single" w:color="auto" w:sz="4" w:space="0"/>
              <w:right w:val="single" w:color="auto" w:sz="4" w:space="0"/>
            </w:tcBorders>
            <w:noWrap/>
            <w:vAlign w:val="center"/>
          </w:tcPr>
          <w:p w14:paraId="66CA973A">
            <w:pPr>
              <w:widowControl/>
              <w:jc w:val="left"/>
              <w:rPr>
                <w:rFonts w:ascii="宋体" w:hAnsi="宋体" w:cs="宋体"/>
                <w:kern w:val="0"/>
                <w:sz w:val="18"/>
                <w:szCs w:val="18"/>
              </w:rPr>
            </w:pPr>
            <w:r>
              <w:rPr>
                <w:rFonts w:hint="eastAsia" w:ascii="宋体" w:hAnsi="宋体" w:cs="宋体"/>
                <w:kern w:val="0"/>
                <w:sz w:val="18"/>
                <w:szCs w:val="18"/>
              </w:rPr>
              <w:t>1级:含锡Sn≥60%,无其他夹杂物及油污。</w:t>
            </w:r>
          </w:p>
          <w:p w14:paraId="2B3F6884">
            <w:pPr>
              <w:widowControl/>
              <w:jc w:val="left"/>
              <w:rPr>
                <w:rFonts w:ascii="宋体" w:hAnsi="宋体" w:cs="宋体"/>
                <w:kern w:val="0"/>
                <w:sz w:val="18"/>
                <w:szCs w:val="18"/>
              </w:rPr>
            </w:pPr>
            <w:r>
              <w:rPr>
                <w:rFonts w:hint="eastAsia" w:ascii="宋体" w:hAnsi="宋体" w:cs="宋体"/>
                <w:kern w:val="0"/>
                <w:sz w:val="18"/>
                <w:szCs w:val="18"/>
              </w:rPr>
              <w:t>2级：含锡40%≤Sn＜60%,无其他夹杂物及油污。</w:t>
            </w:r>
          </w:p>
          <w:p w14:paraId="77E1E641">
            <w:pPr>
              <w:widowControl/>
              <w:jc w:val="left"/>
              <w:rPr>
                <w:rFonts w:ascii="宋体" w:hAnsi="宋体" w:cs="宋体"/>
                <w:kern w:val="0"/>
                <w:sz w:val="18"/>
                <w:szCs w:val="18"/>
              </w:rPr>
            </w:pPr>
            <w:r>
              <w:rPr>
                <w:rFonts w:hint="eastAsia" w:ascii="宋体" w:hAnsi="宋体" w:cs="宋体"/>
                <w:kern w:val="0"/>
                <w:sz w:val="18"/>
                <w:szCs w:val="18"/>
              </w:rPr>
              <w:t>3级：含锡20%≤Sn＜40%,无其他夹杂物及油污。</w:t>
            </w:r>
          </w:p>
          <w:p w14:paraId="630B8B7D">
            <w:pPr>
              <w:widowControl/>
              <w:jc w:val="left"/>
              <w:rPr>
                <w:rFonts w:ascii="宋体" w:hAnsi="宋体" w:cs="宋体"/>
                <w:kern w:val="0"/>
                <w:sz w:val="18"/>
                <w:szCs w:val="18"/>
              </w:rPr>
            </w:pPr>
            <w:r>
              <w:rPr>
                <w:rFonts w:hint="eastAsia" w:ascii="宋体" w:hAnsi="宋体" w:cs="宋体"/>
                <w:kern w:val="0"/>
                <w:sz w:val="18"/>
                <w:szCs w:val="18"/>
              </w:rPr>
              <w:t>4级：含锡1%≤Sn＜20%,无其他夹杂物及油污。</w:t>
            </w:r>
          </w:p>
        </w:tc>
      </w:tr>
      <w:tr w14:paraId="6F3EDCC7">
        <w:tblPrEx>
          <w:tblCellMar>
            <w:top w:w="0" w:type="dxa"/>
            <w:left w:w="108" w:type="dxa"/>
            <w:bottom w:w="0" w:type="dxa"/>
            <w:right w:w="108" w:type="dxa"/>
          </w:tblCellMar>
        </w:tblPrEx>
        <w:trPr>
          <w:trHeight w:val="1239" w:hRule="atLeast"/>
          <w:jc w:val="center"/>
        </w:trPr>
        <w:tc>
          <w:tcPr>
            <w:tcW w:w="1111" w:type="dxa"/>
            <w:vMerge w:val="continue"/>
            <w:tcBorders>
              <w:left w:val="single" w:color="auto" w:sz="4" w:space="0"/>
              <w:right w:val="single" w:color="auto" w:sz="4" w:space="0"/>
            </w:tcBorders>
            <w:noWrap/>
            <w:vAlign w:val="center"/>
          </w:tcPr>
          <w:p w14:paraId="45A47BAF">
            <w:pPr>
              <w:widowControl/>
              <w:jc w:val="left"/>
              <w:rPr>
                <w:rFonts w:ascii="宋体" w:hAnsi="宋体" w:cs="宋体"/>
                <w:kern w:val="0"/>
                <w:sz w:val="18"/>
                <w:szCs w:val="18"/>
              </w:rPr>
            </w:pPr>
          </w:p>
        </w:tc>
        <w:tc>
          <w:tcPr>
            <w:tcW w:w="952" w:type="dxa"/>
            <w:tcBorders>
              <w:top w:val="single" w:color="auto" w:sz="4" w:space="0"/>
              <w:left w:val="single" w:color="auto" w:sz="4" w:space="0"/>
              <w:bottom w:val="single" w:color="auto" w:sz="4" w:space="0"/>
              <w:right w:val="single" w:color="auto" w:sz="4" w:space="0"/>
            </w:tcBorders>
            <w:noWrap/>
            <w:vAlign w:val="center"/>
          </w:tcPr>
          <w:p w14:paraId="0F12A299">
            <w:pPr>
              <w:widowControl/>
              <w:jc w:val="center"/>
              <w:rPr>
                <w:rFonts w:ascii="宋体" w:hAnsi="宋体" w:cs="宋体"/>
                <w:kern w:val="0"/>
                <w:sz w:val="18"/>
                <w:szCs w:val="18"/>
              </w:rPr>
            </w:pPr>
            <w:r>
              <w:rPr>
                <w:rFonts w:hint="eastAsia" w:ascii="宋体" w:hAnsi="宋体" w:cs="宋体"/>
                <w:kern w:val="0"/>
                <w:sz w:val="18"/>
                <w:szCs w:val="18"/>
              </w:rPr>
              <w:t>锡泥</w:t>
            </w:r>
          </w:p>
        </w:tc>
        <w:tc>
          <w:tcPr>
            <w:tcW w:w="1587" w:type="dxa"/>
            <w:tcBorders>
              <w:top w:val="single" w:color="auto" w:sz="4" w:space="0"/>
              <w:left w:val="single" w:color="auto" w:sz="4" w:space="0"/>
              <w:bottom w:val="single" w:color="auto" w:sz="4" w:space="0"/>
              <w:right w:val="single" w:color="auto" w:sz="4" w:space="0"/>
            </w:tcBorders>
            <w:noWrap/>
            <w:vAlign w:val="center"/>
          </w:tcPr>
          <w:p w14:paraId="0DBAFCAB">
            <w:pPr>
              <w:widowControl/>
              <w:jc w:val="center"/>
              <w:rPr>
                <w:rFonts w:ascii="宋体" w:hAnsi="宋体" w:cs="宋体"/>
                <w:kern w:val="0"/>
                <w:sz w:val="18"/>
                <w:szCs w:val="18"/>
              </w:rPr>
            </w:pPr>
            <w:r>
              <w:rPr>
                <w:rFonts w:hint="eastAsia" w:ascii="宋体" w:hAnsi="宋体" w:cs="宋体"/>
                <w:kern w:val="0"/>
                <w:sz w:val="18"/>
                <w:szCs w:val="18"/>
              </w:rPr>
              <w:t>锡泥</w:t>
            </w:r>
          </w:p>
        </w:tc>
        <w:tc>
          <w:tcPr>
            <w:tcW w:w="1269" w:type="dxa"/>
            <w:tcBorders>
              <w:top w:val="single" w:color="auto" w:sz="4" w:space="0"/>
              <w:left w:val="nil"/>
              <w:bottom w:val="single" w:color="auto" w:sz="4" w:space="0"/>
              <w:right w:val="single" w:color="auto" w:sz="4" w:space="0"/>
            </w:tcBorders>
            <w:noWrap/>
            <w:vAlign w:val="center"/>
          </w:tcPr>
          <w:p w14:paraId="3FA2E831">
            <w:pPr>
              <w:widowControl/>
              <w:jc w:val="left"/>
              <w:rPr>
                <w:rFonts w:ascii="宋体" w:hAnsi="宋体" w:cs="宋体"/>
                <w:kern w:val="0"/>
                <w:sz w:val="18"/>
                <w:szCs w:val="18"/>
              </w:rPr>
            </w:pPr>
            <w:r>
              <w:rPr>
                <w:rFonts w:hint="eastAsia" w:ascii="宋体" w:hAnsi="宋体" w:cs="宋体"/>
                <w:kern w:val="0"/>
                <w:sz w:val="18"/>
                <w:szCs w:val="18"/>
              </w:rPr>
              <w:t>粒度≤1mm</w:t>
            </w:r>
          </w:p>
          <w:p w14:paraId="75B9EE77">
            <w:pPr>
              <w:widowControl/>
              <w:jc w:val="left"/>
              <w:rPr>
                <w:rFonts w:ascii="宋体" w:hAnsi="宋体" w:cs="宋体"/>
                <w:kern w:val="0"/>
                <w:sz w:val="18"/>
                <w:szCs w:val="18"/>
              </w:rPr>
            </w:pPr>
            <w:r>
              <w:rPr>
                <w:rFonts w:hint="eastAsia" w:ascii="宋体" w:hAnsi="宋体" w:cs="宋体"/>
                <w:kern w:val="0"/>
                <w:sz w:val="18"/>
                <w:szCs w:val="18"/>
              </w:rPr>
              <w:t>水份≤60%</w:t>
            </w:r>
          </w:p>
        </w:tc>
        <w:tc>
          <w:tcPr>
            <w:tcW w:w="4241" w:type="dxa"/>
            <w:tcBorders>
              <w:top w:val="single" w:color="auto" w:sz="4" w:space="0"/>
              <w:left w:val="single" w:color="auto" w:sz="4" w:space="0"/>
              <w:bottom w:val="single" w:color="auto" w:sz="4" w:space="0"/>
              <w:right w:val="single" w:color="auto" w:sz="4" w:space="0"/>
            </w:tcBorders>
            <w:noWrap/>
            <w:vAlign w:val="center"/>
          </w:tcPr>
          <w:p w14:paraId="02E9CB2F">
            <w:pPr>
              <w:widowControl/>
              <w:jc w:val="left"/>
              <w:rPr>
                <w:rFonts w:ascii="宋体" w:hAnsi="宋体" w:cs="宋体"/>
                <w:kern w:val="0"/>
                <w:sz w:val="18"/>
                <w:szCs w:val="18"/>
              </w:rPr>
            </w:pPr>
            <w:r>
              <w:rPr>
                <w:rFonts w:hint="eastAsia" w:ascii="宋体" w:hAnsi="宋体" w:cs="宋体"/>
                <w:kern w:val="0"/>
                <w:sz w:val="18"/>
                <w:szCs w:val="18"/>
              </w:rPr>
              <w:t>1级:含锡Sn≥60%,无其他夹杂物及油污。</w:t>
            </w:r>
          </w:p>
          <w:p w14:paraId="53CAB46E">
            <w:pPr>
              <w:widowControl/>
              <w:jc w:val="left"/>
              <w:rPr>
                <w:rFonts w:ascii="宋体" w:hAnsi="宋体" w:cs="宋体"/>
                <w:kern w:val="0"/>
                <w:sz w:val="18"/>
                <w:szCs w:val="18"/>
              </w:rPr>
            </w:pPr>
            <w:r>
              <w:rPr>
                <w:rFonts w:hint="eastAsia" w:ascii="宋体" w:hAnsi="宋体" w:cs="宋体"/>
                <w:kern w:val="0"/>
                <w:sz w:val="18"/>
                <w:szCs w:val="18"/>
              </w:rPr>
              <w:t>2级：含锡40%≤Sn＜60%,无其他夹杂物及油污。</w:t>
            </w:r>
          </w:p>
          <w:p w14:paraId="3DDA7795">
            <w:pPr>
              <w:widowControl/>
              <w:jc w:val="left"/>
              <w:rPr>
                <w:rFonts w:ascii="宋体" w:hAnsi="宋体" w:cs="宋体"/>
                <w:kern w:val="0"/>
                <w:sz w:val="18"/>
                <w:szCs w:val="18"/>
              </w:rPr>
            </w:pPr>
            <w:r>
              <w:rPr>
                <w:rFonts w:hint="eastAsia" w:ascii="宋体" w:hAnsi="宋体" w:cs="宋体"/>
                <w:kern w:val="0"/>
                <w:sz w:val="18"/>
                <w:szCs w:val="18"/>
              </w:rPr>
              <w:t>3级：含锡20%≤Sn＜40%,无其他夹杂物及油污。</w:t>
            </w:r>
          </w:p>
          <w:p w14:paraId="6A97CE2F">
            <w:pPr>
              <w:widowControl/>
              <w:jc w:val="left"/>
              <w:rPr>
                <w:rFonts w:ascii="宋体" w:hAnsi="宋体" w:cs="宋体"/>
                <w:kern w:val="0"/>
                <w:sz w:val="18"/>
                <w:szCs w:val="18"/>
              </w:rPr>
            </w:pPr>
            <w:r>
              <w:rPr>
                <w:rFonts w:hint="eastAsia" w:ascii="宋体" w:hAnsi="宋体" w:cs="宋体"/>
                <w:kern w:val="0"/>
                <w:sz w:val="18"/>
                <w:szCs w:val="18"/>
              </w:rPr>
              <w:t>4级：含锡1%≤Sn＜20%,无其他夹杂物及油污。</w:t>
            </w:r>
          </w:p>
        </w:tc>
      </w:tr>
      <w:tr w14:paraId="6C3D6566">
        <w:tblPrEx>
          <w:tblCellMar>
            <w:top w:w="0" w:type="dxa"/>
            <w:left w:w="108" w:type="dxa"/>
            <w:bottom w:w="0" w:type="dxa"/>
            <w:right w:w="108" w:type="dxa"/>
          </w:tblCellMar>
        </w:tblPrEx>
        <w:trPr>
          <w:trHeight w:val="626" w:hRule="atLeast"/>
          <w:jc w:val="center"/>
        </w:trPr>
        <w:tc>
          <w:tcPr>
            <w:tcW w:w="1111" w:type="dxa"/>
            <w:vMerge w:val="continue"/>
            <w:tcBorders>
              <w:left w:val="single" w:color="auto" w:sz="4" w:space="0"/>
              <w:right w:val="single" w:color="auto" w:sz="4" w:space="0"/>
            </w:tcBorders>
            <w:noWrap/>
            <w:vAlign w:val="center"/>
          </w:tcPr>
          <w:p w14:paraId="23FA2C7F">
            <w:pPr>
              <w:widowControl/>
              <w:jc w:val="left"/>
              <w:rPr>
                <w:rFonts w:ascii="宋体" w:hAnsi="宋体" w:cs="宋体"/>
                <w:kern w:val="0"/>
                <w:sz w:val="18"/>
                <w:szCs w:val="18"/>
              </w:rPr>
            </w:pPr>
          </w:p>
        </w:tc>
        <w:tc>
          <w:tcPr>
            <w:tcW w:w="952" w:type="dxa"/>
            <w:tcBorders>
              <w:top w:val="single" w:color="auto" w:sz="4" w:space="0"/>
              <w:left w:val="single" w:color="auto" w:sz="4" w:space="0"/>
              <w:bottom w:val="single" w:color="auto" w:sz="4" w:space="0"/>
              <w:right w:val="single" w:color="auto" w:sz="4" w:space="0"/>
            </w:tcBorders>
            <w:noWrap/>
            <w:vAlign w:val="center"/>
          </w:tcPr>
          <w:p w14:paraId="24195E7F">
            <w:pPr>
              <w:widowControl/>
              <w:jc w:val="center"/>
              <w:rPr>
                <w:rFonts w:ascii="宋体" w:hAnsi="宋体" w:cs="宋体"/>
                <w:kern w:val="0"/>
                <w:sz w:val="18"/>
                <w:szCs w:val="18"/>
              </w:rPr>
            </w:pPr>
            <w:r>
              <w:rPr>
                <w:rFonts w:hint="eastAsia" w:ascii="宋体" w:hAnsi="宋体" w:cs="宋体"/>
                <w:sz w:val="18"/>
                <w:szCs w:val="18"/>
              </w:rPr>
              <w:t>钨锡矿富集渣</w:t>
            </w:r>
          </w:p>
        </w:tc>
        <w:tc>
          <w:tcPr>
            <w:tcW w:w="1587" w:type="dxa"/>
            <w:tcBorders>
              <w:top w:val="single" w:color="auto" w:sz="4" w:space="0"/>
              <w:left w:val="single" w:color="auto" w:sz="4" w:space="0"/>
              <w:bottom w:val="single" w:color="auto" w:sz="4" w:space="0"/>
              <w:right w:val="single" w:color="auto" w:sz="4" w:space="0"/>
            </w:tcBorders>
            <w:noWrap/>
            <w:vAlign w:val="center"/>
          </w:tcPr>
          <w:p w14:paraId="33C7A89F">
            <w:pPr>
              <w:widowControl/>
              <w:jc w:val="center"/>
              <w:rPr>
                <w:rFonts w:ascii="宋体" w:hAnsi="宋体" w:cs="宋体"/>
                <w:kern w:val="0"/>
                <w:sz w:val="18"/>
                <w:szCs w:val="18"/>
              </w:rPr>
            </w:pPr>
            <w:r>
              <w:rPr>
                <w:rFonts w:hint="eastAsia" w:ascii="宋体" w:hAnsi="宋体" w:cs="宋体"/>
                <w:sz w:val="18"/>
                <w:szCs w:val="18"/>
              </w:rPr>
              <w:t>钨锡矿富集渣</w:t>
            </w:r>
          </w:p>
        </w:tc>
        <w:tc>
          <w:tcPr>
            <w:tcW w:w="1269" w:type="dxa"/>
            <w:tcBorders>
              <w:top w:val="single" w:color="auto" w:sz="4" w:space="0"/>
              <w:left w:val="single" w:color="auto" w:sz="4" w:space="0"/>
              <w:bottom w:val="single" w:color="auto" w:sz="4" w:space="0"/>
              <w:right w:val="single" w:color="auto" w:sz="4" w:space="0"/>
            </w:tcBorders>
            <w:noWrap/>
            <w:vAlign w:val="center"/>
          </w:tcPr>
          <w:p w14:paraId="04E289B2">
            <w:pPr>
              <w:widowControl/>
              <w:jc w:val="left"/>
              <w:rPr>
                <w:rFonts w:ascii="宋体" w:hAnsi="宋体" w:cs="宋体"/>
                <w:sz w:val="18"/>
                <w:szCs w:val="18"/>
              </w:rPr>
            </w:pPr>
            <w:r>
              <w:rPr>
                <w:rFonts w:hint="eastAsia" w:ascii="宋体" w:hAnsi="宋体" w:cs="宋体"/>
                <w:sz w:val="18"/>
                <w:szCs w:val="18"/>
              </w:rPr>
              <w:t>粒度≤1mm</w:t>
            </w:r>
          </w:p>
          <w:p w14:paraId="34F0E47F">
            <w:pPr>
              <w:widowControl/>
              <w:jc w:val="left"/>
              <w:rPr>
                <w:rFonts w:ascii="宋体" w:hAnsi="宋体" w:cs="宋体"/>
                <w:sz w:val="18"/>
                <w:szCs w:val="18"/>
              </w:rPr>
            </w:pPr>
            <w:r>
              <w:rPr>
                <w:rFonts w:hint="eastAsia" w:ascii="宋体" w:hAnsi="宋体" w:cs="宋体"/>
                <w:kern w:val="0"/>
                <w:sz w:val="18"/>
                <w:szCs w:val="18"/>
              </w:rPr>
              <w:t>水份≤40%</w:t>
            </w:r>
          </w:p>
        </w:tc>
        <w:tc>
          <w:tcPr>
            <w:tcW w:w="4241" w:type="dxa"/>
            <w:tcBorders>
              <w:top w:val="single" w:color="auto" w:sz="4" w:space="0"/>
              <w:left w:val="single" w:color="auto" w:sz="4" w:space="0"/>
              <w:bottom w:val="single" w:color="auto" w:sz="4" w:space="0"/>
              <w:right w:val="single" w:color="auto" w:sz="4" w:space="0"/>
            </w:tcBorders>
            <w:noWrap/>
            <w:vAlign w:val="center"/>
          </w:tcPr>
          <w:p w14:paraId="582F5F90">
            <w:pPr>
              <w:widowControl/>
              <w:jc w:val="left"/>
              <w:rPr>
                <w:rFonts w:ascii="宋体" w:hAnsi="宋体" w:cs="宋体"/>
                <w:kern w:val="0"/>
                <w:sz w:val="18"/>
                <w:szCs w:val="18"/>
              </w:rPr>
            </w:pPr>
            <w:r>
              <w:rPr>
                <w:rFonts w:ascii="宋体" w:hAnsi="宋体" w:cs="宋体"/>
                <w:sz w:val="18"/>
                <w:szCs w:val="18"/>
              </w:rPr>
              <w:t>含锡1%≤Sn＜20%,无其他夹杂物及油污。</w:t>
            </w:r>
          </w:p>
        </w:tc>
      </w:tr>
      <w:tr w14:paraId="5EC7ABF5">
        <w:tblPrEx>
          <w:tblCellMar>
            <w:top w:w="0" w:type="dxa"/>
            <w:left w:w="108" w:type="dxa"/>
            <w:bottom w:w="0" w:type="dxa"/>
            <w:right w:w="108" w:type="dxa"/>
          </w:tblCellMar>
        </w:tblPrEx>
        <w:trPr>
          <w:trHeight w:val="645" w:hRule="atLeast"/>
          <w:jc w:val="center"/>
        </w:trPr>
        <w:tc>
          <w:tcPr>
            <w:tcW w:w="1111" w:type="dxa"/>
            <w:vMerge w:val="continue"/>
            <w:tcBorders>
              <w:left w:val="single" w:color="auto" w:sz="4" w:space="0"/>
              <w:right w:val="single" w:color="auto" w:sz="4" w:space="0"/>
            </w:tcBorders>
            <w:noWrap/>
            <w:vAlign w:val="center"/>
          </w:tcPr>
          <w:p w14:paraId="66DEB4EC">
            <w:pPr>
              <w:widowControl/>
              <w:jc w:val="left"/>
              <w:rPr>
                <w:rFonts w:ascii="宋体" w:hAnsi="宋体" w:cs="宋体"/>
                <w:kern w:val="0"/>
                <w:sz w:val="18"/>
                <w:szCs w:val="18"/>
              </w:rPr>
            </w:pPr>
          </w:p>
        </w:tc>
        <w:tc>
          <w:tcPr>
            <w:tcW w:w="952" w:type="dxa"/>
            <w:tcBorders>
              <w:top w:val="single" w:color="auto" w:sz="4" w:space="0"/>
              <w:left w:val="single" w:color="auto" w:sz="4" w:space="0"/>
              <w:bottom w:val="single" w:color="auto" w:sz="4" w:space="0"/>
              <w:right w:val="single" w:color="auto" w:sz="4" w:space="0"/>
            </w:tcBorders>
            <w:noWrap/>
            <w:vAlign w:val="center"/>
          </w:tcPr>
          <w:p w14:paraId="5532E128">
            <w:pPr>
              <w:widowControl/>
              <w:jc w:val="center"/>
              <w:rPr>
                <w:rFonts w:ascii="宋体" w:hAnsi="宋体" w:cs="宋体"/>
                <w:sz w:val="18"/>
                <w:szCs w:val="18"/>
              </w:rPr>
            </w:pPr>
            <w:r>
              <w:rPr>
                <w:rFonts w:hint="eastAsia" w:ascii="宋体" w:hAnsi="宋体" w:cs="宋体"/>
                <w:kern w:val="0"/>
                <w:sz w:val="18"/>
                <w:szCs w:val="18"/>
              </w:rPr>
              <w:t>锡箔灰</w:t>
            </w:r>
          </w:p>
        </w:tc>
        <w:tc>
          <w:tcPr>
            <w:tcW w:w="1587" w:type="dxa"/>
            <w:tcBorders>
              <w:top w:val="single" w:color="auto" w:sz="4" w:space="0"/>
              <w:left w:val="single" w:color="auto" w:sz="4" w:space="0"/>
              <w:bottom w:val="single" w:color="auto" w:sz="4" w:space="0"/>
              <w:right w:val="single" w:color="auto" w:sz="4" w:space="0"/>
            </w:tcBorders>
            <w:noWrap/>
            <w:vAlign w:val="center"/>
          </w:tcPr>
          <w:p w14:paraId="2DEBC81C">
            <w:pPr>
              <w:widowControl/>
              <w:jc w:val="center"/>
              <w:rPr>
                <w:rFonts w:ascii="宋体" w:hAnsi="宋体" w:cs="宋体"/>
                <w:sz w:val="18"/>
                <w:szCs w:val="18"/>
              </w:rPr>
            </w:pPr>
            <w:r>
              <w:rPr>
                <w:rFonts w:hint="eastAsia" w:ascii="宋体" w:hAnsi="宋体" w:cs="宋体"/>
                <w:kern w:val="0"/>
                <w:sz w:val="18"/>
                <w:szCs w:val="18"/>
              </w:rPr>
              <w:t>锡箔灰</w:t>
            </w:r>
          </w:p>
        </w:tc>
        <w:tc>
          <w:tcPr>
            <w:tcW w:w="1269" w:type="dxa"/>
            <w:tcBorders>
              <w:top w:val="single" w:color="auto" w:sz="4" w:space="0"/>
              <w:left w:val="single" w:color="auto" w:sz="4" w:space="0"/>
              <w:bottom w:val="single" w:color="auto" w:sz="4" w:space="0"/>
              <w:right w:val="single" w:color="auto" w:sz="4" w:space="0"/>
            </w:tcBorders>
            <w:noWrap/>
            <w:vAlign w:val="center"/>
          </w:tcPr>
          <w:p w14:paraId="522D7835">
            <w:pPr>
              <w:widowControl/>
              <w:jc w:val="left"/>
              <w:rPr>
                <w:rFonts w:ascii="宋体" w:hAnsi="宋体" w:cs="宋体"/>
                <w:kern w:val="0"/>
                <w:sz w:val="18"/>
                <w:szCs w:val="18"/>
              </w:rPr>
            </w:pPr>
            <w:r>
              <w:rPr>
                <w:rFonts w:hint="eastAsia" w:ascii="宋体" w:hAnsi="宋体" w:cs="宋体"/>
                <w:kern w:val="0"/>
                <w:sz w:val="18"/>
                <w:szCs w:val="18"/>
              </w:rPr>
              <w:t>粒度≤1mm，水份≤10%</w:t>
            </w:r>
          </w:p>
        </w:tc>
        <w:tc>
          <w:tcPr>
            <w:tcW w:w="4241" w:type="dxa"/>
            <w:tcBorders>
              <w:top w:val="single" w:color="auto" w:sz="4" w:space="0"/>
              <w:left w:val="single" w:color="auto" w:sz="4" w:space="0"/>
              <w:bottom w:val="single" w:color="auto" w:sz="4" w:space="0"/>
              <w:right w:val="single" w:color="auto" w:sz="4" w:space="0"/>
            </w:tcBorders>
            <w:noWrap/>
            <w:vAlign w:val="center"/>
          </w:tcPr>
          <w:p w14:paraId="3D5CE32A">
            <w:pPr>
              <w:widowControl/>
              <w:jc w:val="left"/>
              <w:rPr>
                <w:rFonts w:ascii="宋体" w:hAnsi="宋体" w:cs="宋体"/>
                <w:sz w:val="18"/>
                <w:szCs w:val="18"/>
              </w:rPr>
            </w:pPr>
            <w:r>
              <w:rPr>
                <w:rFonts w:hint="eastAsia" w:ascii="宋体" w:hAnsi="宋体" w:cs="宋体"/>
                <w:kern w:val="0"/>
                <w:sz w:val="18"/>
                <w:szCs w:val="18"/>
              </w:rPr>
              <w:t>含锡8%≤Sn＜30%,无其他夹杂物及油污。</w:t>
            </w:r>
          </w:p>
        </w:tc>
      </w:tr>
      <w:tr w14:paraId="05EDC48A">
        <w:tblPrEx>
          <w:tblCellMar>
            <w:top w:w="0" w:type="dxa"/>
            <w:left w:w="108" w:type="dxa"/>
            <w:bottom w:w="0" w:type="dxa"/>
            <w:right w:w="108" w:type="dxa"/>
          </w:tblCellMar>
        </w:tblPrEx>
        <w:trPr>
          <w:trHeight w:val="645" w:hRule="atLeast"/>
          <w:jc w:val="center"/>
        </w:trPr>
        <w:tc>
          <w:tcPr>
            <w:tcW w:w="1111" w:type="dxa"/>
            <w:vMerge w:val="continue"/>
            <w:tcBorders>
              <w:left w:val="single" w:color="auto" w:sz="4" w:space="0"/>
              <w:bottom w:val="single" w:color="auto" w:sz="4" w:space="0"/>
              <w:right w:val="single" w:color="auto" w:sz="4" w:space="0"/>
            </w:tcBorders>
            <w:noWrap/>
            <w:vAlign w:val="center"/>
          </w:tcPr>
          <w:p w14:paraId="40FDA35E">
            <w:pPr>
              <w:widowControl/>
              <w:jc w:val="left"/>
              <w:rPr>
                <w:rFonts w:ascii="宋体" w:hAnsi="宋体" w:cs="宋体"/>
                <w:kern w:val="0"/>
                <w:sz w:val="18"/>
                <w:szCs w:val="18"/>
              </w:rPr>
            </w:pPr>
          </w:p>
        </w:tc>
        <w:tc>
          <w:tcPr>
            <w:tcW w:w="952" w:type="dxa"/>
            <w:tcBorders>
              <w:top w:val="single" w:color="auto" w:sz="4" w:space="0"/>
              <w:left w:val="single" w:color="auto" w:sz="4" w:space="0"/>
              <w:bottom w:val="single" w:color="auto" w:sz="4" w:space="0"/>
              <w:right w:val="single" w:color="auto" w:sz="4" w:space="0"/>
            </w:tcBorders>
            <w:noWrap/>
            <w:vAlign w:val="center"/>
          </w:tcPr>
          <w:p w14:paraId="6AE2CCC3">
            <w:pPr>
              <w:widowControl/>
              <w:jc w:val="center"/>
              <w:rPr>
                <w:rFonts w:ascii="宋体" w:hAnsi="宋体" w:cs="宋体"/>
                <w:kern w:val="0"/>
                <w:sz w:val="18"/>
                <w:szCs w:val="18"/>
              </w:rPr>
            </w:pPr>
            <w:r>
              <w:rPr>
                <w:rFonts w:hint="eastAsia" w:ascii="宋体" w:hAnsi="宋体" w:cs="宋体"/>
                <w:kern w:val="0"/>
                <w:sz w:val="18"/>
                <w:szCs w:val="18"/>
              </w:rPr>
              <w:t>铜冶炼锡富集物</w:t>
            </w:r>
          </w:p>
        </w:tc>
        <w:tc>
          <w:tcPr>
            <w:tcW w:w="1587" w:type="dxa"/>
            <w:tcBorders>
              <w:top w:val="single" w:color="auto" w:sz="4" w:space="0"/>
              <w:left w:val="single" w:color="auto" w:sz="4" w:space="0"/>
              <w:bottom w:val="single" w:color="auto" w:sz="4" w:space="0"/>
              <w:right w:val="single" w:color="auto" w:sz="4" w:space="0"/>
            </w:tcBorders>
            <w:noWrap/>
            <w:vAlign w:val="center"/>
          </w:tcPr>
          <w:p w14:paraId="07642CAF">
            <w:pPr>
              <w:widowControl/>
              <w:jc w:val="center"/>
              <w:rPr>
                <w:rFonts w:ascii="宋体" w:hAnsi="宋体" w:cs="宋体"/>
                <w:kern w:val="0"/>
                <w:sz w:val="18"/>
                <w:szCs w:val="18"/>
              </w:rPr>
            </w:pPr>
            <w:r>
              <w:rPr>
                <w:rFonts w:hint="eastAsia" w:ascii="宋体" w:hAnsi="宋体" w:cs="宋体"/>
                <w:kern w:val="0"/>
                <w:sz w:val="18"/>
                <w:szCs w:val="18"/>
              </w:rPr>
              <w:t>铜冶炼锡富集物</w:t>
            </w:r>
          </w:p>
        </w:tc>
        <w:tc>
          <w:tcPr>
            <w:tcW w:w="1269" w:type="dxa"/>
            <w:tcBorders>
              <w:top w:val="single" w:color="auto" w:sz="4" w:space="0"/>
              <w:left w:val="single" w:color="auto" w:sz="4" w:space="0"/>
              <w:bottom w:val="single" w:color="auto" w:sz="4" w:space="0"/>
              <w:right w:val="single" w:color="auto" w:sz="4" w:space="0"/>
            </w:tcBorders>
            <w:noWrap/>
            <w:vAlign w:val="center"/>
          </w:tcPr>
          <w:p w14:paraId="6802FBA2">
            <w:pPr>
              <w:widowControl/>
              <w:jc w:val="left"/>
              <w:rPr>
                <w:rFonts w:ascii="宋体" w:hAnsi="宋体" w:cs="宋体"/>
                <w:sz w:val="18"/>
                <w:szCs w:val="18"/>
              </w:rPr>
            </w:pPr>
            <w:r>
              <w:rPr>
                <w:rFonts w:hint="eastAsia" w:ascii="宋体" w:hAnsi="宋体" w:cs="宋体"/>
                <w:sz w:val="18"/>
                <w:szCs w:val="18"/>
              </w:rPr>
              <w:t>粒度≤1mm</w:t>
            </w:r>
          </w:p>
          <w:p w14:paraId="63389477">
            <w:pPr>
              <w:widowControl/>
              <w:jc w:val="left"/>
              <w:rPr>
                <w:rFonts w:ascii="宋体" w:hAnsi="宋体" w:cs="宋体"/>
                <w:kern w:val="0"/>
                <w:sz w:val="18"/>
                <w:szCs w:val="18"/>
              </w:rPr>
            </w:pPr>
            <w:r>
              <w:rPr>
                <w:rFonts w:hint="eastAsia" w:ascii="宋体" w:hAnsi="宋体" w:cs="宋体"/>
                <w:kern w:val="0"/>
                <w:sz w:val="18"/>
                <w:szCs w:val="18"/>
              </w:rPr>
              <w:t>水份≤30%</w:t>
            </w:r>
          </w:p>
        </w:tc>
        <w:tc>
          <w:tcPr>
            <w:tcW w:w="4241" w:type="dxa"/>
            <w:tcBorders>
              <w:top w:val="single" w:color="auto" w:sz="4" w:space="0"/>
              <w:left w:val="single" w:color="auto" w:sz="4" w:space="0"/>
              <w:bottom w:val="single" w:color="auto" w:sz="4" w:space="0"/>
              <w:right w:val="single" w:color="auto" w:sz="4" w:space="0"/>
            </w:tcBorders>
            <w:noWrap/>
            <w:vAlign w:val="center"/>
          </w:tcPr>
          <w:p w14:paraId="3EAEC1C0">
            <w:pPr>
              <w:widowControl/>
              <w:jc w:val="left"/>
              <w:rPr>
                <w:rFonts w:ascii="宋体" w:hAnsi="宋体" w:cs="宋体"/>
                <w:kern w:val="0"/>
                <w:sz w:val="18"/>
                <w:szCs w:val="18"/>
              </w:rPr>
            </w:pPr>
            <w:r>
              <w:rPr>
                <w:rFonts w:hint="eastAsia" w:ascii="宋体" w:hAnsi="宋体" w:cs="宋体"/>
                <w:sz w:val="18"/>
                <w:szCs w:val="18"/>
              </w:rPr>
              <w:t>含锡20%≤Sn＜40%,无其他夹杂物及油污。</w:t>
            </w:r>
          </w:p>
        </w:tc>
      </w:tr>
    </w:tbl>
    <w:p w14:paraId="4413D08E">
      <w:pPr>
        <w:spacing w:line="240" w:lineRule="atLeast"/>
        <w:ind w:firstLine="422" w:firstLineChars="200"/>
        <w:jc w:val="left"/>
        <w:rPr>
          <w:kern w:val="0"/>
          <w:lang w:val="zh-TW" w:eastAsia="zh-TW" w:bidi="zh-TW"/>
        </w:rPr>
      </w:pPr>
      <w:r>
        <w:rPr>
          <w:rFonts w:hint="eastAsia"/>
          <w:b/>
          <w:bCs/>
          <w:szCs w:val="28"/>
        </w:rPr>
        <w:t>3.3主要试验</w:t>
      </w:r>
    </w:p>
    <w:p w14:paraId="5FC6F8AD">
      <w:pPr>
        <w:spacing w:line="240" w:lineRule="atLeast"/>
        <w:ind w:firstLine="422" w:firstLineChars="200"/>
        <w:jc w:val="left"/>
        <w:rPr>
          <w:b/>
          <w:bCs/>
          <w:kern w:val="0"/>
          <w:lang w:bidi="zh-TW"/>
        </w:rPr>
      </w:pPr>
      <w:r>
        <w:rPr>
          <w:rFonts w:hint="eastAsia"/>
          <w:b/>
          <w:bCs/>
          <w:kern w:val="0"/>
          <w:lang w:bidi="zh-TW"/>
        </w:rPr>
        <w:t>3.3.1锡量的测定</w:t>
      </w:r>
    </w:p>
    <w:p w14:paraId="46D16D95">
      <w:pPr>
        <w:spacing w:line="240" w:lineRule="atLeast"/>
        <w:ind w:firstLine="420" w:firstLineChars="200"/>
        <w:jc w:val="left"/>
        <w:rPr>
          <w:kern w:val="0"/>
          <w:lang w:val="zh-TW" w:eastAsia="zh-TW" w:bidi="zh-TW"/>
        </w:rPr>
      </w:pPr>
      <w:r>
        <w:rPr>
          <w:rFonts w:hint="eastAsia"/>
          <w:kern w:val="0"/>
          <w:lang w:val="zh-TW" w:eastAsia="zh-TW" w:bidi="zh-TW"/>
        </w:rPr>
        <w:t>回收锡及锡合金原料中锡含量的测定。回收锡及锡合金原料来源广泛，不同来源的原料，其物理形态、合金配比以及杂质种类和含量差异巨大。比如从电路板中回收的锡合金，可能因焊接工艺不同，含有多种微量金属杂质；而废旧锡制容器回收的原料，杂质种类和含量则与之不同。如果采用单一分析方法难以满足所有样品的分析需求，因此需要</w:t>
      </w:r>
      <w:r>
        <w:rPr>
          <w:rFonts w:hint="eastAsia"/>
          <w:kern w:val="0"/>
          <w:lang w:bidi="zh-TW"/>
        </w:rPr>
        <w:t>2</w:t>
      </w:r>
      <w:r>
        <w:rPr>
          <w:rFonts w:hint="eastAsia"/>
          <w:kern w:val="0"/>
          <w:lang w:val="zh-TW" w:eastAsia="zh-TW" w:bidi="zh-TW"/>
        </w:rPr>
        <w:t>种不同方法，分别针对不同特性样品，以确保分析结果准确可靠。</w:t>
      </w:r>
    </w:p>
    <w:p w14:paraId="5795A63C">
      <w:pPr>
        <w:spacing w:line="240" w:lineRule="atLeast"/>
        <w:ind w:firstLine="420" w:firstLineChars="200"/>
        <w:jc w:val="left"/>
        <w:rPr>
          <w:kern w:val="0"/>
          <w:lang w:val="zh-TW" w:eastAsia="zh-TW" w:bidi="zh-TW"/>
        </w:rPr>
      </w:pPr>
      <w:r>
        <w:rPr>
          <w:rFonts w:hint="eastAsia"/>
          <w:kern w:val="0"/>
          <w:lang w:val="zh-TW" w:eastAsia="zh-TW" w:bidi="zh-TW"/>
        </w:rPr>
        <w:t>方法1：适用于回收锡及锡合金原料中渣样中锡含量的测定，测定范围：1.00%～80.00%</w:t>
      </w:r>
      <w:r>
        <w:rPr>
          <w:rFonts w:hint="eastAsia"/>
          <w:kern w:val="0"/>
          <w:lang w:val="zh-TW" w:bidi="zh-TW"/>
        </w:rPr>
        <w:t>。</w:t>
      </w:r>
      <w:r>
        <w:rPr>
          <w:rFonts w:hint="eastAsia"/>
          <w:kern w:val="0"/>
          <w:lang w:val="zh-TW" w:eastAsia="zh-TW" w:bidi="zh-TW"/>
        </w:rPr>
        <w:t>试料以锌粉－氢氧化钠熔融，盐酸浸取，用铁粉置换分离铜、锑、砷、钨等干扰元素，用铝粒将四价锡还原为二价锡，以淀粉作指示剂，用碘酸钾标准溶液滴定溶液滴定至试液为浅蓝色为终点。</w:t>
      </w:r>
    </w:p>
    <w:p w14:paraId="22BF5587">
      <w:pPr>
        <w:spacing w:line="240" w:lineRule="atLeast"/>
        <w:ind w:firstLine="420" w:firstLineChars="200"/>
        <w:jc w:val="left"/>
        <w:rPr>
          <w:kern w:val="0"/>
          <w:lang w:val="zh-TW" w:eastAsia="zh-TW" w:bidi="zh-TW"/>
        </w:rPr>
      </w:pPr>
      <w:r>
        <w:rPr>
          <w:rFonts w:hint="eastAsia"/>
          <w:kern w:val="0"/>
          <w:lang w:val="zh-TW" w:eastAsia="zh-TW" w:bidi="zh-TW"/>
        </w:rPr>
        <w:t>方法2：适用于回收锡及锡合金原料中金属样中锡含量的测定，测量范围：20.00%～99.00%</w:t>
      </w:r>
      <w:r>
        <w:rPr>
          <w:rFonts w:hint="eastAsia"/>
          <w:kern w:val="0"/>
          <w:lang w:val="zh-TW" w:bidi="zh-TW"/>
        </w:rPr>
        <w:t>。</w:t>
      </w:r>
      <w:r>
        <w:rPr>
          <w:rFonts w:hint="eastAsia"/>
          <w:kern w:val="0"/>
          <w:lang w:val="zh-TW" w:eastAsia="zh-TW" w:bidi="zh-TW"/>
        </w:rPr>
        <w:t>试料用少量盐酸加稀硝酸分解，在pH1～4，以EDTA络合锡（Ⅳ）等金属离子，加入氟化铵定量地释放出与锡络合的EDTA</w:t>
      </w:r>
      <w:r>
        <w:rPr>
          <w:rFonts w:hint="eastAsia"/>
          <w:kern w:val="0"/>
          <w:lang w:val="zh-TW" w:bidi="zh-TW"/>
        </w:rPr>
        <w:t>，</w:t>
      </w:r>
      <w:r>
        <w:rPr>
          <w:rFonts w:hint="eastAsia"/>
          <w:kern w:val="0"/>
          <w:lang w:val="zh-TW" w:eastAsia="zh-TW" w:bidi="zh-TW"/>
        </w:rPr>
        <w:t>再调节pH5～6，以二甲酚橙为指示剂，用硝酸铅溶液滴定过量的EDTA，用硝酸铅标准溶液滴定至紫红色为终点。</w:t>
      </w:r>
    </w:p>
    <w:p w14:paraId="61463872">
      <w:pPr>
        <w:spacing w:line="240" w:lineRule="atLeast"/>
        <w:ind w:firstLine="422" w:firstLineChars="200"/>
        <w:jc w:val="left"/>
        <w:rPr>
          <w:b/>
          <w:bCs/>
          <w:kern w:val="0"/>
          <w:lang w:bidi="zh-TW"/>
        </w:rPr>
      </w:pPr>
      <w:r>
        <w:rPr>
          <w:rFonts w:hint="eastAsia"/>
          <w:b/>
          <w:bCs/>
          <w:kern w:val="0"/>
          <w:lang w:bidi="zh-TW"/>
        </w:rPr>
        <w:t xml:space="preserve">3.3.2 </w:t>
      </w:r>
      <w:r>
        <w:rPr>
          <w:rFonts w:hint="eastAsia"/>
          <w:b/>
          <w:bCs/>
          <w:kern w:val="0"/>
          <w:lang w:val="en-US" w:eastAsia="zh-CN" w:bidi="zh-TW"/>
        </w:rPr>
        <w:t>多</w:t>
      </w:r>
      <w:r>
        <w:rPr>
          <w:rFonts w:hint="eastAsia"/>
          <w:b/>
          <w:bCs/>
          <w:kern w:val="0"/>
          <w:lang w:bidi="zh-TW"/>
        </w:rPr>
        <w:t>元素含量的测定</w:t>
      </w:r>
    </w:p>
    <w:p w14:paraId="6EA8E433">
      <w:pPr>
        <w:spacing w:line="240" w:lineRule="atLeast"/>
        <w:ind w:firstLine="420" w:firstLineChars="200"/>
        <w:jc w:val="left"/>
        <w:rPr>
          <w:kern w:val="0"/>
          <w:lang w:val="zh-TW" w:eastAsia="zh-TW" w:bidi="zh-TW"/>
        </w:rPr>
      </w:pPr>
      <w:r>
        <w:rPr>
          <w:rFonts w:hint="eastAsia"/>
          <w:kern w:val="0"/>
          <w:lang w:val="zh-TW" w:eastAsia="zh-TW" w:bidi="zh-TW"/>
        </w:rPr>
        <w:t>本文件适用于回收锡物料中铜、铁、铅、砷、锑、铋、铟、银、锌、镉、镍、钴</w:t>
      </w:r>
      <w:r>
        <w:rPr>
          <w:rFonts w:hint="eastAsia"/>
          <w:kern w:val="0"/>
          <w:lang w:val="zh-TW" w:bidi="zh-TW"/>
        </w:rPr>
        <w:t>、</w:t>
      </w:r>
      <w:r>
        <w:rPr>
          <w:rFonts w:hint="eastAsia"/>
          <w:kern w:val="0"/>
          <w:lang w:bidi="zh-TW"/>
        </w:rPr>
        <w:t>锗、锡</w:t>
      </w:r>
      <w:r>
        <w:rPr>
          <w:rFonts w:hint="eastAsia"/>
          <w:kern w:val="0"/>
          <w:lang w:val="zh-TW" w:eastAsia="zh-TW" w:bidi="zh-TW"/>
        </w:rPr>
        <w:t>含量的测定。</w:t>
      </w:r>
      <w:r>
        <w:rPr>
          <w:rFonts w:hint="eastAsia" w:hAnsi="宋体"/>
          <w:bCs/>
          <w:szCs w:val="21"/>
        </w:rPr>
        <w:t>铜、铁、铅、砷测定范围为0.05%～10.00%，锑、铋测定范围为0.05%～5.00%，铟、银、锗测定范围为0.01%～1.00%，锌、镉、镍、钴测定范围为0.05%～2.00%，锡测定范围为0.50%～3.00%</w:t>
      </w:r>
      <w:r>
        <w:rPr>
          <w:rFonts w:hAnsi="宋体"/>
          <w:bCs/>
          <w:szCs w:val="21"/>
        </w:rPr>
        <w:t>。</w:t>
      </w:r>
      <w:r>
        <w:rPr>
          <w:rFonts w:hint="eastAsia"/>
          <w:kern w:val="0"/>
          <w:lang w:val="zh-TW" w:eastAsia="zh-TW" w:bidi="zh-TW"/>
        </w:rPr>
        <w:t>试料以过氧化钠覆盖于马弗炉中6</w:t>
      </w:r>
      <w:r>
        <w:rPr>
          <w:rFonts w:hint="eastAsia"/>
          <w:kern w:val="0"/>
          <w:lang w:bidi="zh-TW"/>
        </w:rPr>
        <w:t>5</w:t>
      </w:r>
      <w:r>
        <w:rPr>
          <w:rFonts w:hint="eastAsia"/>
          <w:kern w:val="0"/>
          <w:lang w:val="zh-TW" w:eastAsia="zh-TW" w:bidi="zh-TW"/>
        </w:rPr>
        <w:t>0℃熔融10分钟，采用盐酸、硝酸混酸溶解后，在酸介质中，于电感耦合等离子体原子发射光谱仪上测定各元素发射强度，按工作曲线法计算各元素的质量分数。锡的干扰采用基体匹配消除。经实验验证用于回收锡物料中0.011%～10.92%的杂质元素铜、铁、铅、砷、锑、铋、铟、银、锌、镉、镍、钴</w:t>
      </w:r>
      <w:r>
        <w:rPr>
          <w:rFonts w:hint="eastAsia"/>
          <w:kern w:val="0"/>
          <w:lang w:val="zh-TW" w:bidi="zh-TW"/>
        </w:rPr>
        <w:t>、</w:t>
      </w:r>
      <w:r>
        <w:rPr>
          <w:rFonts w:hint="eastAsia"/>
          <w:kern w:val="0"/>
          <w:lang w:bidi="zh-TW"/>
        </w:rPr>
        <w:t>锗、锡</w:t>
      </w:r>
      <w:r>
        <w:rPr>
          <w:rFonts w:hint="eastAsia"/>
          <w:kern w:val="0"/>
          <w:lang w:val="zh-TW" w:eastAsia="zh-TW" w:bidi="zh-TW"/>
        </w:rPr>
        <w:t>含量的测定，相对标准偏差（RSD）在0.49%～4.91%之间，加标回收率加标回收率在97.21%～101.77%之间。</w:t>
      </w:r>
    </w:p>
    <w:p w14:paraId="5AE296B1">
      <w:pPr>
        <w:rPr>
          <w:b/>
          <w:bCs/>
          <w:sz w:val="28"/>
          <w:szCs w:val="28"/>
        </w:rPr>
      </w:pPr>
      <w:r>
        <w:rPr>
          <w:rFonts w:hint="eastAsia"/>
          <w:b/>
          <w:bCs/>
          <w:sz w:val="28"/>
          <w:szCs w:val="28"/>
        </w:rPr>
        <w:t>四、标准中涉及的专利情况</w:t>
      </w:r>
    </w:p>
    <w:p w14:paraId="3B865623">
      <w:pPr>
        <w:spacing w:line="240" w:lineRule="atLeast"/>
        <w:ind w:firstLine="428" w:firstLineChars="200"/>
        <w:rPr>
          <w:kern w:val="0"/>
          <w:sz w:val="24"/>
        </w:rPr>
      </w:pPr>
      <w:r>
        <w:rPr>
          <w:spacing w:val="2"/>
          <w:kern w:val="0"/>
          <w:szCs w:val="20"/>
        </w:rPr>
        <w:t>本</w:t>
      </w:r>
      <w:r>
        <w:rPr>
          <w:rFonts w:hint="eastAsia"/>
          <w:spacing w:val="2"/>
          <w:kern w:val="0"/>
          <w:szCs w:val="20"/>
        </w:rPr>
        <w:t>文件不涉及专利问题。</w:t>
      </w:r>
    </w:p>
    <w:p w14:paraId="6DBC0F0C">
      <w:pPr>
        <w:rPr>
          <w:b/>
          <w:bCs/>
          <w:sz w:val="28"/>
          <w:szCs w:val="28"/>
        </w:rPr>
      </w:pPr>
      <w:r>
        <w:rPr>
          <w:rFonts w:hint="eastAsia"/>
          <w:b/>
          <w:bCs/>
          <w:sz w:val="28"/>
          <w:szCs w:val="28"/>
        </w:rPr>
        <w:t>五</w:t>
      </w:r>
      <w:r>
        <w:rPr>
          <w:b/>
          <w:bCs/>
          <w:sz w:val="28"/>
          <w:szCs w:val="28"/>
        </w:rPr>
        <w:t>、</w:t>
      </w:r>
      <w:r>
        <w:rPr>
          <w:rFonts w:hint="eastAsia"/>
          <w:b/>
          <w:bCs/>
          <w:sz w:val="28"/>
          <w:szCs w:val="28"/>
        </w:rPr>
        <w:t>预期达到的社会效益等情况</w:t>
      </w:r>
    </w:p>
    <w:p w14:paraId="3E0A1E7C">
      <w:pPr>
        <w:spacing w:line="240" w:lineRule="atLeast"/>
        <w:ind w:firstLine="420" w:firstLineChars="200"/>
        <w:rPr>
          <w:rFonts w:asciiTheme="minorEastAsia" w:hAnsiTheme="minorEastAsia"/>
          <w:szCs w:val="21"/>
        </w:rPr>
      </w:pPr>
      <w:r>
        <w:rPr>
          <w:rFonts w:hint="eastAsia" w:asciiTheme="minorEastAsia" w:hAnsiTheme="minorEastAsia"/>
          <w:szCs w:val="21"/>
        </w:rPr>
        <w:t>本文件充分考虑我国</w:t>
      </w:r>
      <w:r>
        <w:rPr>
          <w:rFonts w:hint="eastAsia"/>
          <w:kern w:val="0"/>
          <w:lang w:bidi="zh-TW"/>
        </w:rPr>
        <w:t>回收锡基锡合金</w:t>
      </w:r>
      <w:r>
        <w:rPr>
          <w:rFonts w:hint="eastAsia" w:asciiTheme="minorEastAsia" w:hAnsiTheme="minorEastAsia"/>
          <w:szCs w:val="21"/>
        </w:rPr>
        <w:t>生产企业和使用加工企业的生产工艺水平。</w:t>
      </w:r>
      <w:r>
        <w:rPr>
          <w:rFonts w:hint="eastAsia"/>
          <w:color w:val="000000" w:themeColor="text1"/>
          <w:szCs w:val="22"/>
        </w:rPr>
        <w:t>本项目是对</w:t>
      </w:r>
      <w:r>
        <w:rPr>
          <w:rFonts w:hint="eastAsia" w:ascii="宋体" w:hAnsi="宋体" w:cs="宋体"/>
          <w:szCs w:val="21"/>
        </w:rPr>
        <w:t>GB/T 21180-2007《锡及锡合金废料》</w:t>
      </w:r>
      <w:r>
        <w:rPr>
          <w:rFonts w:hint="eastAsia"/>
          <w:color w:val="000000" w:themeColor="text1"/>
          <w:szCs w:val="22"/>
        </w:rPr>
        <w:t>的补充完善，补充后的标准增加了</w:t>
      </w:r>
      <w:r>
        <w:rPr>
          <w:rFonts w:hint="eastAsia"/>
        </w:rPr>
        <w:t>分析方法</w:t>
      </w:r>
      <w:r>
        <w:rPr>
          <w:rFonts w:hint="eastAsia"/>
          <w:color w:val="000000" w:themeColor="text1"/>
          <w:szCs w:val="22"/>
        </w:rPr>
        <w:t>，</w:t>
      </w:r>
      <w:r>
        <w:rPr>
          <w:rFonts w:hint="eastAsia"/>
          <w:color w:val="000000" w:themeColor="text1"/>
          <w:kern w:val="0"/>
          <w:szCs w:val="20"/>
        </w:rPr>
        <w:t>提高</w:t>
      </w:r>
      <w:r>
        <w:rPr>
          <w:color w:val="000000" w:themeColor="text1"/>
          <w:kern w:val="0"/>
          <w:szCs w:val="20"/>
        </w:rPr>
        <w:t>了</w:t>
      </w:r>
      <w:r>
        <w:rPr>
          <w:rFonts w:hint="eastAsia"/>
          <w:color w:val="000000" w:themeColor="text1"/>
          <w:kern w:val="0"/>
          <w:szCs w:val="20"/>
        </w:rPr>
        <w:t>方法的</w:t>
      </w:r>
      <w:r>
        <w:rPr>
          <w:color w:val="000000" w:themeColor="text1"/>
          <w:kern w:val="0"/>
          <w:szCs w:val="20"/>
        </w:rPr>
        <w:t>适用性</w:t>
      </w:r>
      <w:r>
        <w:rPr>
          <w:rFonts w:hint="eastAsia"/>
          <w:color w:val="000000" w:themeColor="text1"/>
          <w:kern w:val="0"/>
          <w:szCs w:val="20"/>
        </w:rPr>
        <w:t>，</w:t>
      </w:r>
      <w:r>
        <w:rPr>
          <w:rFonts w:hint="eastAsia"/>
          <w:color w:val="000000" w:themeColor="text1"/>
          <w:szCs w:val="22"/>
        </w:rPr>
        <w:t>能够大大缩短检测流程，提高检测效率，为贸易双方提供更好的用户体验。</w:t>
      </w:r>
      <w:r>
        <w:rPr>
          <w:rFonts w:hint="eastAsia" w:asciiTheme="minorEastAsia" w:hAnsiTheme="minorEastAsia"/>
          <w:szCs w:val="21"/>
        </w:rPr>
        <w:t>本文件颁布执行后，有利于生产采用统一的分析方法开展产品质量检验工作，有利于市场公平交易环境的形成，具有较大的社会效益。</w:t>
      </w:r>
      <w:r>
        <w:rPr>
          <w:rFonts w:hint="eastAsia"/>
          <w:color w:val="000000" w:themeColor="text1"/>
          <w:szCs w:val="21"/>
        </w:rPr>
        <w:t>同时</w:t>
      </w:r>
      <w:r>
        <w:rPr>
          <w:color w:val="000000" w:themeColor="text1"/>
          <w:szCs w:val="21"/>
        </w:rPr>
        <w:t>，本标准的颁布实施</w:t>
      </w:r>
      <w:r>
        <w:rPr>
          <w:rFonts w:hint="eastAsia"/>
          <w:color w:val="000000" w:themeColor="text1"/>
          <w:szCs w:val="21"/>
        </w:rPr>
        <w:t>有助于</w:t>
      </w:r>
      <w:r>
        <w:rPr>
          <w:color w:val="000000" w:themeColor="text1"/>
          <w:szCs w:val="21"/>
        </w:rPr>
        <w:t>各检测机构</w:t>
      </w:r>
      <w:r>
        <w:rPr>
          <w:rFonts w:hint="eastAsia"/>
          <w:color w:val="000000" w:themeColor="text1"/>
          <w:szCs w:val="21"/>
        </w:rPr>
        <w:t>实现</w:t>
      </w:r>
      <w:r>
        <w:rPr>
          <w:color w:val="000000" w:themeColor="text1"/>
          <w:szCs w:val="21"/>
        </w:rPr>
        <w:t>标准化检测，提高数据的准确度。</w:t>
      </w:r>
      <w:r>
        <w:rPr>
          <w:rFonts w:hint="eastAsia"/>
          <w:color w:val="000000" w:themeColor="text1"/>
          <w:szCs w:val="22"/>
        </w:rPr>
        <w:t>方法标准的形成能够更好的服务产品标准，为回收</w:t>
      </w:r>
      <w:r>
        <w:rPr>
          <w:rFonts w:hint="eastAsia" w:ascii="宋体" w:hAnsi="宋体" w:cs="宋体"/>
          <w:szCs w:val="21"/>
        </w:rPr>
        <w:t>锡及锡合金废料</w:t>
      </w:r>
      <w:r>
        <w:rPr>
          <w:rFonts w:hint="eastAsia"/>
          <w:color w:val="000000" w:themeColor="text1"/>
          <w:szCs w:val="22"/>
        </w:rPr>
        <w:t>产品等级的划分提供方法依据，有助于产品质量提升</w:t>
      </w:r>
      <w:r>
        <w:rPr>
          <w:rFonts w:hint="eastAsia"/>
          <w:color w:val="000000" w:themeColor="text1"/>
        </w:rPr>
        <w:t>，</w:t>
      </w:r>
      <w:r>
        <w:rPr>
          <w:rFonts w:hint="eastAsia"/>
          <w:color w:val="000000" w:themeColor="text1"/>
          <w:szCs w:val="21"/>
        </w:rPr>
        <w:t>更</w:t>
      </w:r>
      <w:r>
        <w:rPr>
          <w:color w:val="000000" w:themeColor="text1"/>
          <w:szCs w:val="21"/>
        </w:rPr>
        <w:t>好的推动产业发展</w:t>
      </w:r>
      <w:r>
        <w:rPr>
          <w:rFonts w:hint="eastAsia"/>
          <w:color w:val="000000" w:themeColor="text1"/>
          <w:szCs w:val="21"/>
        </w:rPr>
        <w:t>，为</w:t>
      </w:r>
      <w:r>
        <w:rPr>
          <w:color w:val="000000" w:themeColor="text1"/>
          <w:szCs w:val="21"/>
        </w:rPr>
        <w:t>生产企业</w:t>
      </w:r>
      <w:r>
        <w:rPr>
          <w:rFonts w:hint="eastAsia"/>
          <w:color w:val="000000" w:themeColor="text1"/>
          <w:szCs w:val="21"/>
        </w:rPr>
        <w:t>带来可观的经济效益。</w:t>
      </w:r>
    </w:p>
    <w:p w14:paraId="51861091">
      <w:pPr>
        <w:pStyle w:val="23"/>
        <w:numPr>
          <w:ilvl w:val="0"/>
          <w:numId w:val="0"/>
        </w:numPr>
        <w:rPr>
          <w:rFonts w:ascii="Times New Roman" w:hAnsi="Times New Roman"/>
          <w:color w:val="000000"/>
          <w:sz w:val="28"/>
          <w:szCs w:val="28"/>
          <w:lang w:val="en-GB"/>
        </w:rPr>
      </w:pPr>
      <w:r>
        <w:rPr>
          <w:rFonts w:hint="eastAsia" w:ascii="Times New Roman" w:hAnsi="Times New Roman" w:cs="Times New Roman"/>
          <w:b/>
          <w:bCs/>
          <w:color w:val="000000"/>
          <w:kern w:val="28"/>
          <w:sz w:val="28"/>
          <w:szCs w:val="28"/>
          <w:lang w:val="en-US" w:eastAsia="zh-CN" w:bidi="ar-SA"/>
        </w:rPr>
        <w:t>六</w:t>
      </w:r>
      <w:r>
        <w:rPr>
          <w:rFonts w:hint="eastAsia" w:ascii="Times New Roman" w:hAnsi="Times New Roman" w:eastAsia="黑体" w:cs="Times New Roman"/>
          <w:b/>
          <w:bCs/>
          <w:color w:val="000000"/>
          <w:kern w:val="28"/>
          <w:sz w:val="28"/>
          <w:szCs w:val="28"/>
          <w:lang w:val="en-GB" w:eastAsia="zh-CN" w:bidi="ar-SA"/>
        </w:rPr>
        <w:t>、</w:t>
      </w:r>
      <w:r>
        <w:rPr>
          <w:rFonts w:hint="eastAsia" w:ascii="Times New Roman" w:hAnsi="Times New Roman"/>
          <w:color w:val="000000"/>
          <w:sz w:val="28"/>
          <w:szCs w:val="28"/>
          <w:lang w:val="en-GB"/>
        </w:rPr>
        <w:t>与国际、国外同类标准对比情况</w:t>
      </w:r>
    </w:p>
    <w:p w14:paraId="301A1491">
      <w:pPr>
        <w:adjustRightInd w:val="0"/>
        <w:snapToGrid w:val="0"/>
        <w:spacing w:line="240" w:lineRule="atLeast"/>
        <w:ind w:firstLine="420" w:firstLineChars="200"/>
        <w:rPr>
          <w:sz w:val="21"/>
          <w:szCs w:val="21"/>
        </w:rPr>
      </w:pPr>
      <w:r>
        <w:rPr>
          <w:rFonts w:hint="eastAsia"/>
          <w:sz w:val="21"/>
          <w:szCs w:val="21"/>
        </w:rPr>
        <w:t>经查，国外相关标准有：美国废料再生工业协会(ISRI)《废料规格手册》2004版，适合废料回收分类，确定品种及规格，废料分类回收方法。与已申报的</w:t>
      </w:r>
      <w:r>
        <w:rPr>
          <w:sz w:val="21"/>
          <w:szCs w:val="21"/>
        </w:rPr>
        <w:t>GB/T 13588-2006</w:t>
      </w:r>
      <w:r>
        <w:rPr>
          <w:rFonts w:hint="eastAsia"/>
          <w:sz w:val="21"/>
          <w:szCs w:val="21"/>
        </w:rPr>
        <w:t>《铅及铅合金废料》、</w:t>
      </w:r>
      <w:r>
        <w:rPr>
          <w:sz w:val="21"/>
          <w:szCs w:val="21"/>
        </w:rPr>
        <w:t>GB/T 13589-2007</w:t>
      </w:r>
      <w:r>
        <w:rPr>
          <w:rFonts w:hint="eastAsia"/>
          <w:sz w:val="21"/>
          <w:szCs w:val="21"/>
        </w:rPr>
        <w:t>《锌及锌合金废料》、</w:t>
      </w:r>
      <w:r>
        <w:rPr>
          <w:sz w:val="21"/>
          <w:szCs w:val="21"/>
        </w:rPr>
        <w:t>GB/T 21179-2007</w:t>
      </w:r>
      <w:r>
        <w:rPr>
          <w:rFonts w:hint="eastAsia"/>
          <w:sz w:val="21"/>
          <w:szCs w:val="21"/>
        </w:rPr>
        <w:t>《镍及镍合金废料》等标准的修订版本结构基本一致。本标准技术内容与上述标准不存在交叉冲突。</w:t>
      </w:r>
    </w:p>
    <w:p w14:paraId="1268FBBB">
      <w:pPr>
        <w:adjustRightInd w:val="0"/>
        <w:snapToGrid w:val="0"/>
        <w:spacing w:line="240" w:lineRule="atLeast"/>
        <w:ind w:firstLine="420" w:firstLineChars="200"/>
        <w:rPr>
          <w:color w:val="000000"/>
          <w:sz w:val="21"/>
          <w:szCs w:val="21"/>
          <w:lang w:val="en-GB"/>
        </w:rPr>
      </w:pPr>
      <w:r>
        <w:rPr>
          <w:rFonts w:hint="eastAsia"/>
          <w:sz w:val="21"/>
          <w:szCs w:val="21"/>
        </w:rPr>
        <w:t>本标准重新界定了国内外相关标准的要求，标准客观反应了目前回收原料的产业现状，指标设定具有适用性、指导性和先进性。</w:t>
      </w:r>
    </w:p>
    <w:p w14:paraId="5F7365F0">
      <w:pPr>
        <w:pStyle w:val="23"/>
        <w:rPr>
          <w:rFonts w:ascii="Times New Roman" w:hAnsi="Times New Roman"/>
          <w:color w:val="000000"/>
          <w:sz w:val="28"/>
          <w:szCs w:val="28"/>
        </w:rPr>
      </w:pPr>
      <w:r>
        <w:rPr>
          <w:rFonts w:hint="eastAsia" w:ascii="Times New Roman" w:hAnsi="Times New Roman"/>
          <w:color w:val="000000"/>
          <w:sz w:val="28"/>
          <w:szCs w:val="28"/>
          <w:lang w:val="en-US" w:eastAsia="zh-CN"/>
        </w:rPr>
        <w:t>七</w:t>
      </w:r>
      <w:r>
        <w:rPr>
          <w:rFonts w:hint="eastAsia" w:ascii="Times New Roman" w:hAnsi="Times New Roman"/>
          <w:color w:val="000000"/>
          <w:sz w:val="28"/>
          <w:szCs w:val="28"/>
        </w:rPr>
        <w:t>、采用国际标准和国外先进标准的情况</w:t>
      </w:r>
    </w:p>
    <w:p w14:paraId="58282465">
      <w:r>
        <w:rPr>
          <w:rFonts w:hint="eastAsia"/>
          <w:color w:val="000000"/>
          <w:sz w:val="28"/>
          <w:szCs w:val="28"/>
        </w:rPr>
        <w:t xml:space="preserve">   无。</w:t>
      </w:r>
    </w:p>
    <w:p w14:paraId="0D3D6F37">
      <w:pPr>
        <w:keepNext/>
        <w:keepLines/>
        <w:spacing w:before="10" w:after="10"/>
        <w:outlineLvl w:val="1"/>
        <w:rPr>
          <w:rFonts w:eastAsia="黑体"/>
          <w:b/>
          <w:sz w:val="28"/>
          <w:szCs w:val="28"/>
        </w:rPr>
      </w:pPr>
      <w:r>
        <w:rPr>
          <w:rFonts w:hint="eastAsia" w:eastAsia="黑体"/>
          <w:b/>
          <w:sz w:val="28"/>
          <w:szCs w:val="28"/>
          <w:lang w:val="en-US" w:eastAsia="zh-CN"/>
        </w:rPr>
        <w:t>八</w:t>
      </w:r>
      <w:r>
        <w:rPr>
          <w:rFonts w:hint="eastAsia" w:eastAsia="黑体"/>
          <w:b/>
          <w:sz w:val="28"/>
          <w:szCs w:val="28"/>
        </w:rPr>
        <w:t>、与现行法律、法规、强制性国家标准及相关标准的关系</w:t>
      </w:r>
    </w:p>
    <w:p w14:paraId="5A6DD213">
      <w:pPr>
        <w:ind w:firstLine="420" w:firstLineChars="200"/>
        <w:rPr>
          <w:rFonts w:ascii="宋体" w:hAnsi="宋体"/>
          <w:szCs w:val="21"/>
        </w:rPr>
      </w:pPr>
      <w:r>
        <w:rPr>
          <w:rFonts w:hint="eastAsia" w:ascii="宋体" w:hAnsi="宋体"/>
          <w:szCs w:val="21"/>
        </w:rPr>
        <w:t>本标准完全满足现行法律、法规等的要求，标准格式规范。</w:t>
      </w:r>
    </w:p>
    <w:p w14:paraId="1636FB38">
      <w:pPr>
        <w:keepNext/>
        <w:keepLines/>
        <w:spacing w:before="10" w:after="10"/>
        <w:outlineLvl w:val="1"/>
        <w:rPr>
          <w:rFonts w:eastAsia="黑体"/>
          <w:b/>
          <w:sz w:val="28"/>
          <w:szCs w:val="28"/>
        </w:rPr>
      </w:pPr>
      <w:r>
        <w:rPr>
          <w:rFonts w:hint="eastAsia" w:eastAsia="黑体"/>
          <w:b/>
          <w:sz w:val="28"/>
          <w:szCs w:val="28"/>
          <w:lang w:val="en-US" w:eastAsia="zh-CN"/>
        </w:rPr>
        <w:t>九</w:t>
      </w:r>
      <w:r>
        <w:rPr>
          <w:rFonts w:hint="eastAsia" w:eastAsia="黑体"/>
          <w:b/>
          <w:sz w:val="28"/>
          <w:szCs w:val="28"/>
        </w:rPr>
        <w:t>、重大分歧意见的处理和依据</w:t>
      </w:r>
    </w:p>
    <w:p w14:paraId="6319C566">
      <w:pPr>
        <w:ind w:firstLine="420" w:firstLineChars="200"/>
        <w:rPr>
          <w:szCs w:val="21"/>
        </w:rPr>
      </w:pPr>
      <w:r>
        <w:rPr>
          <w:rFonts w:hint="eastAsia"/>
          <w:szCs w:val="21"/>
        </w:rPr>
        <w:t>无。</w:t>
      </w:r>
    </w:p>
    <w:p w14:paraId="253D4E14">
      <w:pPr>
        <w:keepNext/>
        <w:keepLines/>
        <w:outlineLvl w:val="1"/>
        <w:rPr>
          <w:rFonts w:eastAsia="黑体"/>
          <w:b/>
          <w:sz w:val="28"/>
          <w:szCs w:val="28"/>
        </w:rPr>
      </w:pPr>
      <w:r>
        <w:rPr>
          <w:rFonts w:hint="eastAsia" w:eastAsia="黑体"/>
          <w:b/>
          <w:sz w:val="28"/>
          <w:szCs w:val="28"/>
          <w:lang w:val="en-US" w:eastAsia="zh-CN"/>
        </w:rPr>
        <w:t>十</w:t>
      </w:r>
      <w:r>
        <w:rPr>
          <w:rFonts w:hint="eastAsia" w:eastAsia="黑体"/>
          <w:b/>
          <w:sz w:val="28"/>
          <w:szCs w:val="28"/>
        </w:rPr>
        <w:t>、标准中涉及专利的情况</w:t>
      </w:r>
    </w:p>
    <w:p w14:paraId="49900DD4">
      <w:pPr>
        <w:ind w:firstLine="420" w:firstLineChars="200"/>
        <w:rPr>
          <w:szCs w:val="21"/>
        </w:rPr>
      </w:pPr>
      <w:r>
        <w:rPr>
          <w:rFonts w:hint="eastAsia"/>
          <w:szCs w:val="21"/>
        </w:rPr>
        <w:t>本标准不涉及专利和知识产权问题。</w:t>
      </w:r>
    </w:p>
    <w:p w14:paraId="5D7BF6F0">
      <w:pPr>
        <w:keepNext/>
        <w:keepLines/>
        <w:spacing w:before="10" w:after="10"/>
        <w:outlineLvl w:val="1"/>
        <w:rPr>
          <w:rFonts w:eastAsia="黑体"/>
          <w:b/>
          <w:sz w:val="28"/>
          <w:szCs w:val="28"/>
        </w:rPr>
      </w:pPr>
      <w:r>
        <w:rPr>
          <w:rFonts w:hint="eastAsia" w:eastAsia="黑体"/>
          <w:b/>
          <w:sz w:val="28"/>
          <w:szCs w:val="28"/>
          <w:lang w:val="en-US" w:eastAsia="zh-CN"/>
        </w:rPr>
        <w:t>十一</w:t>
      </w:r>
      <w:r>
        <w:rPr>
          <w:rFonts w:hint="eastAsia" w:eastAsia="黑体"/>
          <w:b/>
          <w:sz w:val="28"/>
          <w:szCs w:val="28"/>
        </w:rPr>
        <w:t>、标准作为强制性或推荐性国家（或行业）标准的建议</w:t>
      </w:r>
    </w:p>
    <w:p w14:paraId="2A26105A">
      <w:pPr>
        <w:widowControl/>
        <w:autoSpaceDE w:val="0"/>
        <w:autoSpaceDN w:val="0"/>
        <w:adjustRightInd w:val="0"/>
        <w:snapToGrid w:val="0"/>
        <w:spacing w:line="240" w:lineRule="atLeast"/>
        <w:ind w:firstLine="420" w:firstLineChars="200"/>
        <w:rPr>
          <w:rFonts w:hint="eastAsia" w:ascii="宋体" w:hAnsi="宋体"/>
          <w:sz w:val="21"/>
          <w:szCs w:val="20"/>
        </w:rPr>
      </w:pPr>
      <w:r>
        <w:rPr>
          <w:rFonts w:hint="eastAsia" w:ascii="宋体" w:hAnsi="宋体"/>
          <w:sz w:val="21"/>
          <w:szCs w:val="20"/>
        </w:rPr>
        <w:t>建议本文件在批准发布6个月后实施。本标准实施时GB/T 21180-2007《锡及锡合金废料》废止。</w:t>
      </w:r>
    </w:p>
    <w:p w14:paraId="21D74BB4">
      <w:pPr>
        <w:keepNext/>
        <w:keepLines/>
        <w:spacing w:before="10" w:after="10"/>
        <w:outlineLvl w:val="1"/>
        <w:rPr>
          <w:rFonts w:eastAsia="黑体"/>
          <w:b/>
          <w:sz w:val="28"/>
          <w:szCs w:val="28"/>
        </w:rPr>
      </w:pPr>
      <w:r>
        <w:rPr>
          <w:rFonts w:hint="eastAsia" w:eastAsia="黑体"/>
          <w:b/>
          <w:sz w:val="28"/>
          <w:szCs w:val="28"/>
        </w:rPr>
        <w:t>十</w:t>
      </w:r>
      <w:r>
        <w:rPr>
          <w:rFonts w:hint="eastAsia" w:eastAsia="黑体"/>
          <w:b/>
          <w:sz w:val="28"/>
          <w:szCs w:val="28"/>
          <w:lang w:val="en-US" w:eastAsia="zh-CN"/>
        </w:rPr>
        <w:t>二</w:t>
      </w:r>
      <w:r>
        <w:rPr>
          <w:rFonts w:hint="eastAsia" w:eastAsia="黑体"/>
          <w:b/>
          <w:sz w:val="28"/>
          <w:szCs w:val="28"/>
        </w:rPr>
        <w:t>、公平竞争审查条例</w:t>
      </w:r>
    </w:p>
    <w:p w14:paraId="5590839D">
      <w:pPr>
        <w:widowControl/>
        <w:autoSpaceDE w:val="0"/>
        <w:autoSpaceDN w:val="0"/>
        <w:ind w:firstLine="420" w:firstLineChars="200"/>
        <w:rPr>
          <w:rFonts w:ascii="宋体" w:hAnsi="宋体"/>
          <w:szCs w:val="20"/>
        </w:rPr>
      </w:pPr>
      <w:r>
        <w:rPr>
          <w:rFonts w:hint="eastAsia" w:ascii="宋体" w:hAnsi="宋体"/>
          <w:szCs w:val="20"/>
        </w:rPr>
        <w:t>依照《公平竞争审查条例》规定开展公平竞争审查，本标准不存在“限制或者变相限制市场准入和退出”、“限制或者变相限制商品要素自由流动”、“影响经营者生产经营成本”、“影响经营者生产经营行为”等情况，也不适用《公平竞争审查条例》第十二条的规定。</w:t>
      </w:r>
    </w:p>
    <w:p w14:paraId="4BDC9BC3">
      <w:pPr>
        <w:widowControl/>
        <w:autoSpaceDE w:val="0"/>
        <w:autoSpaceDN w:val="0"/>
        <w:ind w:firstLine="420" w:firstLineChars="200"/>
        <w:rPr>
          <w:rFonts w:ascii="宋体" w:hAnsi="宋体"/>
          <w:szCs w:val="20"/>
        </w:rPr>
      </w:pPr>
      <w:r>
        <w:rPr>
          <w:rFonts w:hint="eastAsia" w:ascii="宋体" w:hAnsi="宋体"/>
          <w:szCs w:val="20"/>
        </w:rPr>
        <w:t>本标准审查结论为“不影响”。</w:t>
      </w:r>
    </w:p>
    <w:p w14:paraId="7168040C">
      <w:pPr>
        <w:keepNext/>
        <w:keepLines/>
        <w:spacing w:before="10" w:after="10"/>
        <w:outlineLvl w:val="1"/>
        <w:rPr>
          <w:rFonts w:eastAsia="黑体"/>
          <w:b/>
          <w:sz w:val="28"/>
          <w:szCs w:val="28"/>
        </w:rPr>
      </w:pPr>
      <w:r>
        <w:rPr>
          <w:rFonts w:hint="eastAsia" w:eastAsia="黑体"/>
          <w:b/>
          <w:sz w:val="28"/>
          <w:szCs w:val="28"/>
        </w:rPr>
        <w:t>十</w:t>
      </w:r>
      <w:r>
        <w:rPr>
          <w:rFonts w:hint="eastAsia" w:eastAsia="黑体"/>
          <w:b/>
          <w:sz w:val="28"/>
          <w:szCs w:val="28"/>
          <w:lang w:val="en-US" w:eastAsia="zh-CN"/>
        </w:rPr>
        <w:t>三</w:t>
      </w:r>
      <w:r>
        <w:rPr>
          <w:rFonts w:hint="eastAsia" w:eastAsia="黑体"/>
          <w:b/>
          <w:sz w:val="28"/>
          <w:szCs w:val="28"/>
        </w:rPr>
        <w:t>、其他应予说明的事项</w:t>
      </w:r>
    </w:p>
    <w:p w14:paraId="7C4D2E64">
      <w:pPr>
        <w:ind w:firstLine="420" w:firstLineChars="200"/>
        <w:rPr>
          <w:szCs w:val="21"/>
        </w:rPr>
      </w:pPr>
      <w:r>
        <w:rPr>
          <w:rFonts w:hint="eastAsia"/>
          <w:szCs w:val="21"/>
        </w:rPr>
        <w:t>无。</w:t>
      </w:r>
    </w:p>
    <w:p w14:paraId="09A375CF"/>
    <w:p w14:paraId="3F092680">
      <w:pPr>
        <w:ind w:firstLine="525" w:firstLineChars="250"/>
      </w:pPr>
    </w:p>
    <w:p w14:paraId="2769B237">
      <w:pPr>
        <w:ind w:firstLine="420" w:firstLineChars="200"/>
        <w:jc w:val="right"/>
        <w:rPr>
          <w:szCs w:val="21"/>
        </w:rPr>
      </w:pPr>
      <w:r>
        <w:rPr>
          <w:rFonts w:hint="eastAsia" w:ascii="宋体" w:hAnsi="宋体" w:cs="宋体"/>
          <w:szCs w:val="21"/>
        </w:rPr>
        <w:t>回收锡及锡合金</w:t>
      </w:r>
      <w:r>
        <w:rPr>
          <w:rFonts w:hint="eastAsia" w:ascii="宋体" w:hAnsi="宋体" w:cs="宋体"/>
          <w:szCs w:val="21"/>
          <w:lang w:val="en-US" w:eastAsia="zh-CN"/>
        </w:rPr>
        <w:t>原</w:t>
      </w:r>
      <w:r>
        <w:rPr>
          <w:rFonts w:hint="eastAsia" w:ascii="宋体" w:hAnsi="宋体" w:cs="宋体"/>
          <w:szCs w:val="21"/>
        </w:rPr>
        <w:t>料</w:t>
      </w:r>
      <w:r>
        <w:rPr>
          <w:rFonts w:hint="eastAsia"/>
          <w:szCs w:val="21"/>
        </w:rPr>
        <w:t>编制组</w:t>
      </w:r>
    </w:p>
    <w:p w14:paraId="6F89BE09">
      <w:pPr>
        <w:spacing w:line="400" w:lineRule="exact"/>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2025年9月</w:t>
      </w:r>
    </w:p>
    <w:sectPr>
      <w:footerReference r:id="rId4" w:type="first"/>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0320B">
    <w:pPr>
      <w:pStyle w:val="18"/>
    </w:pPr>
    <w:r>
      <w:pict>
        <v:shape id="文本框 7"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Pyy/K0QEAAKMDAAAOAAAAAAAAAAEAIAAAACIB&#10;AABkcnMvZTJvRG9jLnhtbFBLBQYAAAAABgAGAFkBAABlBQAAAAA=&#10;">
          <v:path/>
          <v:fill on="f" focussize="0,0"/>
          <v:stroke on="f" weight="1.25pt" joinstyle="miter"/>
          <v:imagedata o:title=""/>
          <o:lock v:ext="edit"/>
          <v:textbox inset="0mm,0mm,0mm,0mm" style="mso-fit-shape-to-text:t;">
            <w:txbxContent>
              <w:p w14:paraId="715F8C6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8FDBF">
    <w:pPr>
      <w:pStyle w:val="18"/>
    </w:pPr>
    <w:r>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JBK7n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SJXk6T3UmHXvMS8OH92ASzPfA14m1oMMJn2RD8E4inu6iCuGSHh6VK2qqsQQx9jsIH7x+NwH&#10;iHfCGZKMhgacXhaVHT9DHFPnlFTNululdZ6gtqRH1Ovq/XV+cQkhurZYJLEYu01WHHbDRG3n2hMy&#10;63EFGmpx4ynRnywqnLZlNsJs7Gbj4IPad9jkMtcD/+EQsZ3cZaowwk6FcXaZ57RnaTme+jnr8d/a&#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kErudIBAACjAwAADgAAAAAAAAABACAAAAAi&#10;AQAAZHJzL2Uyb0RvYy54bWxQSwUGAAAAAAYABgBZAQAAZgUAAAAA&#10;">
          <v:path/>
          <v:fill on="f" focussize="0,0"/>
          <v:stroke on="f" weight="1.25pt" joinstyle="miter"/>
          <v:imagedata o:title=""/>
          <o:lock v:ext="edit"/>
          <v:textbox inset="0mm,0mm,0mm,0mm" style="mso-fit-shape-to-text:t;">
            <w:txbxContent>
              <w:p w14:paraId="717E39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1A585"/>
    <w:multiLevelType w:val="singleLevel"/>
    <w:tmpl w:val="D621A58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Y3NTk3MmM4Yzg3Y2E2MmRmYjViODg4NDRjZGJlOTEifQ=="/>
  </w:docVars>
  <w:rsids>
    <w:rsidRoot w:val="00E31BC4"/>
    <w:rsid w:val="00000C35"/>
    <w:rsid w:val="00001551"/>
    <w:rsid w:val="00001569"/>
    <w:rsid w:val="00005425"/>
    <w:rsid w:val="0001019B"/>
    <w:rsid w:val="00013B46"/>
    <w:rsid w:val="00017B0A"/>
    <w:rsid w:val="00025736"/>
    <w:rsid w:val="00025A04"/>
    <w:rsid w:val="00026146"/>
    <w:rsid w:val="000275B1"/>
    <w:rsid w:val="0003363E"/>
    <w:rsid w:val="0003429B"/>
    <w:rsid w:val="0004272E"/>
    <w:rsid w:val="000437DF"/>
    <w:rsid w:val="000512E8"/>
    <w:rsid w:val="00051D5D"/>
    <w:rsid w:val="00067039"/>
    <w:rsid w:val="00071D15"/>
    <w:rsid w:val="000737B9"/>
    <w:rsid w:val="000740ED"/>
    <w:rsid w:val="00074B7B"/>
    <w:rsid w:val="0009603B"/>
    <w:rsid w:val="000B08CF"/>
    <w:rsid w:val="000B52CB"/>
    <w:rsid w:val="000C1CB4"/>
    <w:rsid w:val="000C7010"/>
    <w:rsid w:val="000C7693"/>
    <w:rsid w:val="000D0052"/>
    <w:rsid w:val="000D2209"/>
    <w:rsid w:val="000D6C8C"/>
    <w:rsid w:val="000D7F62"/>
    <w:rsid w:val="000E0BD0"/>
    <w:rsid w:val="000E4375"/>
    <w:rsid w:val="000E5F0C"/>
    <w:rsid w:val="000E6738"/>
    <w:rsid w:val="000F0A0D"/>
    <w:rsid w:val="000F74D9"/>
    <w:rsid w:val="00102338"/>
    <w:rsid w:val="0010606F"/>
    <w:rsid w:val="00106D77"/>
    <w:rsid w:val="0010774D"/>
    <w:rsid w:val="00113875"/>
    <w:rsid w:val="00132EC0"/>
    <w:rsid w:val="00137F3A"/>
    <w:rsid w:val="00141192"/>
    <w:rsid w:val="001469EE"/>
    <w:rsid w:val="001512E9"/>
    <w:rsid w:val="00154239"/>
    <w:rsid w:val="00154872"/>
    <w:rsid w:val="001617AE"/>
    <w:rsid w:val="001707DD"/>
    <w:rsid w:val="00170D25"/>
    <w:rsid w:val="00171DBB"/>
    <w:rsid w:val="00175491"/>
    <w:rsid w:val="001761B8"/>
    <w:rsid w:val="00180028"/>
    <w:rsid w:val="00180507"/>
    <w:rsid w:val="00182594"/>
    <w:rsid w:val="00182B52"/>
    <w:rsid w:val="00183931"/>
    <w:rsid w:val="00186399"/>
    <w:rsid w:val="00187013"/>
    <w:rsid w:val="00187493"/>
    <w:rsid w:val="00190E9B"/>
    <w:rsid w:val="00193F1D"/>
    <w:rsid w:val="001966D8"/>
    <w:rsid w:val="001A2BF0"/>
    <w:rsid w:val="001B66C3"/>
    <w:rsid w:val="001C47FC"/>
    <w:rsid w:val="001C71B5"/>
    <w:rsid w:val="001C7BA3"/>
    <w:rsid w:val="001C7E68"/>
    <w:rsid w:val="001D1691"/>
    <w:rsid w:val="001D2166"/>
    <w:rsid w:val="001D7CB2"/>
    <w:rsid w:val="001E3CF1"/>
    <w:rsid w:val="001E401F"/>
    <w:rsid w:val="001E44C6"/>
    <w:rsid w:val="001E4FC4"/>
    <w:rsid w:val="001E697D"/>
    <w:rsid w:val="001F1079"/>
    <w:rsid w:val="00200E68"/>
    <w:rsid w:val="00201557"/>
    <w:rsid w:val="002044B5"/>
    <w:rsid w:val="00206767"/>
    <w:rsid w:val="00211CA2"/>
    <w:rsid w:val="002162A2"/>
    <w:rsid w:val="002206E5"/>
    <w:rsid w:val="00220E53"/>
    <w:rsid w:val="00221B2D"/>
    <w:rsid w:val="002220FF"/>
    <w:rsid w:val="00227295"/>
    <w:rsid w:val="002367C0"/>
    <w:rsid w:val="00242DA9"/>
    <w:rsid w:val="00260D0C"/>
    <w:rsid w:val="00262264"/>
    <w:rsid w:val="00262DFE"/>
    <w:rsid w:val="0026489C"/>
    <w:rsid w:val="00274F7A"/>
    <w:rsid w:val="00284041"/>
    <w:rsid w:val="0029407F"/>
    <w:rsid w:val="002970A9"/>
    <w:rsid w:val="002A0AD6"/>
    <w:rsid w:val="002A0DBA"/>
    <w:rsid w:val="002A0FD0"/>
    <w:rsid w:val="002A6C34"/>
    <w:rsid w:val="002B0F5E"/>
    <w:rsid w:val="002B27B7"/>
    <w:rsid w:val="002B5566"/>
    <w:rsid w:val="002B7C15"/>
    <w:rsid w:val="002C0B75"/>
    <w:rsid w:val="002C44E6"/>
    <w:rsid w:val="002C4B8C"/>
    <w:rsid w:val="002C4EFB"/>
    <w:rsid w:val="002D1B58"/>
    <w:rsid w:val="002D22C8"/>
    <w:rsid w:val="002D58AB"/>
    <w:rsid w:val="002E0911"/>
    <w:rsid w:val="002E63C6"/>
    <w:rsid w:val="002E6CC5"/>
    <w:rsid w:val="002F24DD"/>
    <w:rsid w:val="002F4A9F"/>
    <w:rsid w:val="0030111F"/>
    <w:rsid w:val="00302997"/>
    <w:rsid w:val="00304235"/>
    <w:rsid w:val="00311109"/>
    <w:rsid w:val="00313F90"/>
    <w:rsid w:val="003212FF"/>
    <w:rsid w:val="00322034"/>
    <w:rsid w:val="003272F9"/>
    <w:rsid w:val="00332E02"/>
    <w:rsid w:val="00340EF3"/>
    <w:rsid w:val="00347CFB"/>
    <w:rsid w:val="00353057"/>
    <w:rsid w:val="00354F9C"/>
    <w:rsid w:val="00355A22"/>
    <w:rsid w:val="00356D6E"/>
    <w:rsid w:val="003665E6"/>
    <w:rsid w:val="00372F04"/>
    <w:rsid w:val="00382F0F"/>
    <w:rsid w:val="00390557"/>
    <w:rsid w:val="00397327"/>
    <w:rsid w:val="003977CD"/>
    <w:rsid w:val="003A4A6E"/>
    <w:rsid w:val="003A6C85"/>
    <w:rsid w:val="003A6C94"/>
    <w:rsid w:val="003B211A"/>
    <w:rsid w:val="003B7492"/>
    <w:rsid w:val="003C6CC2"/>
    <w:rsid w:val="003C7084"/>
    <w:rsid w:val="003D5815"/>
    <w:rsid w:val="003E34B7"/>
    <w:rsid w:val="003E5FFB"/>
    <w:rsid w:val="003F1A6F"/>
    <w:rsid w:val="003F24E1"/>
    <w:rsid w:val="003F2EB0"/>
    <w:rsid w:val="003F7AD6"/>
    <w:rsid w:val="004000CB"/>
    <w:rsid w:val="00401723"/>
    <w:rsid w:val="004043A7"/>
    <w:rsid w:val="004070B5"/>
    <w:rsid w:val="00412FAD"/>
    <w:rsid w:val="00415260"/>
    <w:rsid w:val="00415BEA"/>
    <w:rsid w:val="00416453"/>
    <w:rsid w:val="00424235"/>
    <w:rsid w:val="004253C5"/>
    <w:rsid w:val="00430DEF"/>
    <w:rsid w:val="0043277A"/>
    <w:rsid w:val="00442C84"/>
    <w:rsid w:val="00444D4C"/>
    <w:rsid w:val="00446495"/>
    <w:rsid w:val="0045287A"/>
    <w:rsid w:val="0046003E"/>
    <w:rsid w:val="0046133D"/>
    <w:rsid w:val="00462A1D"/>
    <w:rsid w:val="0046467D"/>
    <w:rsid w:val="00465989"/>
    <w:rsid w:val="0046603C"/>
    <w:rsid w:val="004667C1"/>
    <w:rsid w:val="00470028"/>
    <w:rsid w:val="00472627"/>
    <w:rsid w:val="00472835"/>
    <w:rsid w:val="004757B7"/>
    <w:rsid w:val="004809F4"/>
    <w:rsid w:val="00490876"/>
    <w:rsid w:val="00490DF6"/>
    <w:rsid w:val="00494412"/>
    <w:rsid w:val="00494CB7"/>
    <w:rsid w:val="004B0A3C"/>
    <w:rsid w:val="004B2832"/>
    <w:rsid w:val="004B2C2D"/>
    <w:rsid w:val="004B4BD8"/>
    <w:rsid w:val="004B5C02"/>
    <w:rsid w:val="004B60CA"/>
    <w:rsid w:val="004B6AFF"/>
    <w:rsid w:val="004D07E5"/>
    <w:rsid w:val="004E13ED"/>
    <w:rsid w:val="004E2043"/>
    <w:rsid w:val="005011A4"/>
    <w:rsid w:val="00501277"/>
    <w:rsid w:val="00503907"/>
    <w:rsid w:val="00504199"/>
    <w:rsid w:val="0050471C"/>
    <w:rsid w:val="00512A76"/>
    <w:rsid w:val="00517590"/>
    <w:rsid w:val="00523CA8"/>
    <w:rsid w:val="0053454F"/>
    <w:rsid w:val="00540553"/>
    <w:rsid w:val="00546ABC"/>
    <w:rsid w:val="005477CD"/>
    <w:rsid w:val="005503A8"/>
    <w:rsid w:val="00550B93"/>
    <w:rsid w:val="005554CE"/>
    <w:rsid w:val="00557579"/>
    <w:rsid w:val="00566D9E"/>
    <w:rsid w:val="00570393"/>
    <w:rsid w:val="0057328F"/>
    <w:rsid w:val="00573519"/>
    <w:rsid w:val="00575C72"/>
    <w:rsid w:val="0058004D"/>
    <w:rsid w:val="00595E78"/>
    <w:rsid w:val="005A5549"/>
    <w:rsid w:val="005A7B63"/>
    <w:rsid w:val="005A7CC9"/>
    <w:rsid w:val="005B1AC0"/>
    <w:rsid w:val="005B3203"/>
    <w:rsid w:val="005B6231"/>
    <w:rsid w:val="005B745B"/>
    <w:rsid w:val="005C765E"/>
    <w:rsid w:val="005C7955"/>
    <w:rsid w:val="005D245B"/>
    <w:rsid w:val="005D38A8"/>
    <w:rsid w:val="005D7888"/>
    <w:rsid w:val="005E3760"/>
    <w:rsid w:val="005F3F33"/>
    <w:rsid w:val="005F71E8"/>
    <w:rsid w:val="006062E1"/>
    <w:rsid w:val="00606897"/>
    <w:rsid w:val="00610940"/>
    <w:rsid w:val="00611ADC"/>
    <w:rsid w:val="006122B6"/>
    <w:rsid w:val="00625104"/>
    <w:rsid w:val="00630624"/>
    <w:rsid w:val="00630C1A"/>
    <w:rsid w:val="00631327"/>
    <w:rsid w:val="00632893"/>
    <w:rsid w:val="00632D27"/>
    <w:rsid w:val="00634FB9"/>
    <w:rsid w:val="00651CA6"/>
    <w:rsid w:val="00653D42"/>
    <w:rsid w:val="00672A69"/>
    <w:rsid w:val="00673BA4"/>
    <w:rsid w:val="006777CB"/>
    <w:rsid w:val="006859B2"/>
    <w:rsid w:val="00687171"/>
    <w:rsid w:val="00692C9B"/>
    <w:rsid w:val="00692D4F"/>
    <w:rsid w:val="0069584D"/>
    <w:rsid w:val="0069590A"/>
    <w:rsid w:val="006A11F0"/>
    <w:rsid w:val="006A5113"/>
    <w:rsid w:val="006B7398"/>
    <w:rsid w:val="006C59CD"/>
    <w:rsid w:val="006D0368"/>
    <w:rsid w:val="006D4CBF"/>
    <w:rsid w:val="006E5E36"/>
    <w:rsid w:val="006F19EC"/>
    <w:rsid w:val="00701B49"/>
    <w:rsid w:val="007030CD"/>
    <w:rsid w:val="00704054"/>
    <w:rsid w:val="00710F3C"/>
    <w:rsid w:val="00714B93"/>
    <w:rsid w:val="00723D9A"/>
    <w:rsid w:val="00725E9B"/>
    <w:rsid w:val="00734FD6"/>
    <w:rsid w:val="00736E68"/>
    <w:rsid w:val="00744B23"/>
    <w:rsid w:val="00747EC3"/>
    <w:rsid w:val="007520CD"/>
    <w:rsid w:val="00754B8A"/>
    <w:rsid w:val="00756F02"/>
    <w:rsid w:val="00757228"/>
    <w:rsid w:val="00763CBD"/>
    <w:rsid w:val="007642B7"/>
    <w:rsid w:val="0076697B"/>
    <w:rsid w:val="007732C4"/>
    <w:rsid w:val="00774223"/>
    <w:rsid w:val="00775363"/>
    <w:rsid w:val="00775571"/>
    <w:rsid w:val="007767D2"/>
    <w:rsid w:val="00780AA3"/>
    <w:rsid w:val="007832B4"/>
    <w:rsid w:val="007877F9"/>
    <w:rsid w:val="00792636"/>
    <w:rsid w:val="00792960"/>
    <w:rsid w:val="007932C4"/>
    <w:rsid w:val="00796C37"/>
    <w:rsid w:val="00797E53"/>
    <w:rsid w:val="007A192D"/>
    <w:rsid w:val="007A3872"/>
    <w:rsid w:val="007B2CF8"/>
    <w:rsid w:val="007C3D8A"/>
    <w:rsid w:val="007C78FA"/>
    <w:rsid w:val="007D0653"/>
    <w:rsid w:val="007D1EDC"/>
    <w:rsid w:val="007D444B"/>
    <w:rsid w:val="007D69FF"/>
    <w:rsid w:val="007E0FC5"/>
    <w:rsid w:val="007E3633"/>
    <w:rsid w:val="007E404C"/>
    <w:rsid w:val="007E42DF"/>
    <w:rsid w:val="007E4E4B"/>
    <w:rsid w:val="007E52EB"/>
    <w:rsid w:val="007E5D0E"/>
    <w:rsid w:val="007F217C"/>
    <w:rsid w:val="007F5826"/>
    <w:rsid w:val="007F6656"/>
    <w:rsid w:val="00812187"/>
    <w:rsid w:val="008140C1"/>
    <w:rsid w:val="0081697E"/>
    <w:rsid w:val="008169FB"/>
    <w:rsid w:val="00821E1B"/>
    <w:rsid w:val="008222ED"/>
    <w:rsid w:val="008232B1"/>
    <w:rsid w:val="00824F0E"/>
    <w:rsid w:val="0082642A"/>
    <w:rsid w:val="0083090D"/>
    <w:rsid w:val="00831616"/>
    <w:rsid w:val="00836EBD"/>
    <w:rsid w:val="00840BED"/>
    <w:rsid w:val="00845EA5"/>
    <w:rsid w:val="00846AEF"/>
    <w:rsid w:val="00851AD1"/>
    <w:rsid w:val="00852BEA"/>
    <w:rsid w:val="00856453"/>
    <w:rsid w:val="00860C69"/>
    <w:rsid w:val="00864832"/>
    <w:rsid w:val="0086777A"/>
    <w:rsid w:val="00870393"/>
    <w:rsid w:val="00881E8E"/>
    <w:rsid w:val="0089217E"/>
    <w:rsid w:val="008936CE"/>
    <w:rsid w:val="008A3549"/>
    <w:rsid w:val="008A3DED"/>
    <w:rsid w:val="008A501D"/>
    <w:rsid w:val="008A5E73"/>
    <w:rsid w:val="008A7B39"/>
    <w:rsid w:val="008B6A4B"/>
    <w:rsid w:val="008C013A"/>
    <w:rsid w:val="008C4E29"/>
    <w:rsid w:val="008C5392"/>
    <w:rsid w:val="008D3A52"/>
    <w:rsid w:val="008E0B71"/>
    <w:rsid w:val="008F723B"/>
    <w:rsid w:val="00901F59"/>
    <w:rsid w:val="00906A64"/>
    <w:rsid w:val="00907C61"/>
    <w:rsid w:val="0091221D"/>
    <w:rsid w:val="009128F1"/>
    <w:rsid w:val="00926AE1"/>
    <w:rsid w:val="00927F19"/>
    <w:rsid w:val="00930A28"/>
    <w:rsid w:val="00933C5E"/>
    <w:rsid w:val="0093605D"/>
    <w:rsid w:val="009442A2"/>
    <w:rsid w:val="009474F8"/>
    <w:rsid w:val="00950A5C"/>
    <w:rsid w:val="00950C2E"/>
    <w:rsid w:val="00951D65"/>
    <w:rsid w:val="0095285A"/>
    <w:rsid w:val="009553E0"/>
    <w:rsid w:val="0096254B"/>
    <w:rsid w:val="00963612"/>
    <w:rsid w:val="00966BEE"/>
    <w:rsid w:val="00967C85"/>
    <w:rsid w:val="00972170"/>
    <w:rsid w:val="009750B3"/>
    <w:rsid w:val="009A0DB9"/>
    <w:rsid w:val="009A1DD6"/>
    <w:rsid w:val="009A52CD"/>
    <w:rsid w:val="009A65A6"/>
    <w:rsid w:val="009A7863"/>
    <w:rsid w:val="009B03EE"/>
    <w:rsid w:val="009B4849"/>
    <w:rsid w:val="009B5AD2"/>
    <w:rsid w:val="009B75A1"/>
    <w:rsid w:val="009C4427"/>
    <w:rsid w:val="009C53EE"/>
    <w:rsid w:val="009D2906"/>
    <w:rsid w:val="009D2ABF"/>
    <w:rsid w:val="009E54D5"/>
    <w:rsid w:val="009E776C"/>
    <w:rsid w:val="009F15A1"/>
    <w:rsid w:val="009F178A"/>
    <w:rsid w:val="009F216B"/>
    <w:rsid w:val="009F2EB8"/>
    <w:rsid w:val="009F6F09"/>
    <w:rsid w:val="009F7DB4"/>
    <w:rsid w:val="00A01D33"/>
    <w:rsid w:val="00A065BD"/>
    <w:rsid w:val="00A06C4B"/>
    <w:rsid w:val="00A16B56"/>
    <w:rsid w:val="00A24BC0"/>
    <w:rsid w:val="00A25EED"/>
    <w:rsid w:val="00A356C4"/>
    <w:rsid w:val="00A4468B"/>
    <w:rsid w:val="00A4788C"/>
    <w:rsid w:val="00A53007"/>
    <w:rsid w:val="00A53778"/>
    <w:rsid w:val="00A54B2D"/>
    <w:rsid w:val="00A6056D"/>
    <w:rsid w:val="00A60B3E"/>
    <w:rsid w:val="00A64499"/>
    <w:rsid w:val="00A77ED2"/>
    <w:rsid w:val="00A852AD"/>
    <w:rsid w:val="00A93113"/>
    <w:rsid w:val="00A935C0"/>
    <w:rsid w:val="00A96741"/>
    <w:rsid w:val="00AA0B69"/>
    <w:rsid w:val="00AA1F62"/>
    <w:rsid w:val="00AA3FDC"/>
    <w:rsid w:val="00AB0999"/>
    <w:rsid w:val="00AC3F28"/>
    <w:rsid w:val="00AE0226"/>
    <w:rsid w:val="00AE2CF4"/>
    <w:rsid w:val="00AE6329"/>
    <w:rsid w:val="00AE77C3"/>
    <w:rsid w:val="00AF0CFC"/>
    <w:rsid w:val="00AF2491"/>
    <w:rsid w:val="00B00FEA"/>
    <w:rsid w:val="00B02216"/>
    <w:rsid w:val="00B02D21"/>
    <w:rsid w:val="00B04D47"/>
    <w:rsid w:val="00B22191"/>
    <w:rsid w:val="00B236D8"/>
    <w:rsid w:val="00B2735C"/>
    <w:rsid w:val="00B33645"/>
    <w:rsid w:val="00B42ADB"/>
    <w:rsid w:val="00B44E6A"/>
    <w:rsid w:val="00B45554"/>
    <w:rsid w:val="00B46903"/>
    <w:rsid w:val="00B5520C"/>
    <w:rsid w:val="00B60889"/>
    <w:rsid w:val="00B63AB2"/>
    <w:rsid w:val="00B64436"/>
    <w:rsid w:val="00B65F1C"/>
    <w:rsid w:val="00B67812"/>
    <w:rsid w:val="00B722C5"/>
    <w:rsid w:val="00B77CC2"/>
    <w:rsid w:val="00B800C8"/>
    <w:rsid w:val="00B81874"/>
    <w:rsid w:val="00B871E0"/>
    <w:rsid w:val="00BA268E"/>
    <w:rsid w:val="00BA4195"/>
    <w:rsid w:val="00BA7A19"/>
    <w:rsid w:val="00BA7B72"/>
    <w:rsid w:val="00BB3A3F"/>
    <w:rsid w:val="00BE0CE9"/>
    <w:rsid w:val="00BF6BA6"/>
    <w:rsid w:val="00BF799C"/>
    <w:rsid w:val="00C01D08"/>
    <w:rsid w:val="00C03C36"/>
    <w:rsid w:val="00C06361"/>
    <w:rsid w:val="00C152C6"/>
    <w:rsid w:val="00C1595B"/>
    <w:rsid w:val="00C33CA9"/>
    <w:rsid w:val="00C34DF5"/>
    <w:rsid w:val="00C354CA"/>
    <w:rsid w:val="00C377DB"/>
    <w:rsid w:val="00C37B0B"/>
    <w:rsid w:val="00C408AA"/>
    <w:rsid w:val="00C43623"/>
    <w:rsid w:val="00C44813"/>
    <w:rsid w:val="00C4555B"/>
    <w:rsid w:val="00C4785A"/>
    <w:rsid w:val="00C60AC0"/>
    <w:rsid w:val="00C63627"/>
    <w:rsid w:val="00C64AB8"/>
    <w:rsid w:val="00C733FD"/>
    <w:rsid w:val="00C826DB"/>
    <w:rsid w:val="00C838DA"/>
    <w:rsid w:val="00C83AB6"/>
    <w:rsid w:val="00C8733B"/>
    <w:rsid w:val="00C878A2"/>
    <w:rsid w:val="00C90045"/>
    <w:rsid w:val="00C944FA"/>
    <w:rsid w:val="00C96A7B"/>
    <w:rsid w:val="00CA0FF6"/>
    <w:rsid w:val="00CA3B15"/>
    <w:rsid w:val="00CA43B7"/>
    <w:rsid w:val="00CB0C0D"/>
    <w:rsid w:val="00CB7F4B"/>
    <w:rsid w:val="00CC132F"/>
    <w:rsid w:val="00CC1743"/>
    <w:rsid w:val="00CD1815"/>
    <w:rsid w:val="00CD1A23"/>
    <w:rsid w:val="00CD64E7"/>
    <w:rsid w:val="00CE1009"/>
    <w:rsid w:val="00CE1105"/>
    <w:rsid w:val="00CE7A48"/>
    <w:rsid w:val="00CF27FC"/>
    <w:rsid w:val="00CF4A92"/>
    <w:rsid w:val="00CF6E1A"/>
    <w:rsid w:val="00D002D7"/>
    <w:rsid w:val="00D059BA"/>
    <w:rsid w:val="00D13987"/>
    <w:rsid w:val="00D2038C"/>
    <w:rsid w:val="00D24280"/>
    <w:rsid w:val="00D2757E"/>
    <w:rsid w:val="00D27C74"/>
    <w:rsid w:val="00D31E5B"/>
    <w:rsid w:val="00D34E08"/>
    <w:rsid w:val="00D37B33"/>
    <w:rsid w:val="00D462D9"/>
    <w:rsid w:val="00D477DF"/>
    <w:rsid w:val="00D5063A"/>
    <w:rsid w:val="00D62B0B"/>
    <w:rsid w:val="00D63476"/>
    <w:rsid w:val="00D75AEC"/>
    <w:rsid w:val="00D84A05"/>
    <w:rsid w:val="00D86CBE"/>
    <w:rsid w:val="00D92A95"/>
    <w:rsid w:val="00D95519"/>
    <w:rsid w:val="00DA43EE"/>
    <w:rsid w:val="00DA5632"/>
    <w:rsid w:val="00DB2662"/>
    <w:rsid w:val="00DB32E0"/>
    <w:rsid w:val="00DB7F6F"/>
    <w:rsid w:val="00DC1436"/>
    <w:rsid w:val="00DC1809"/>
    <w:rsid w:val="00DC7FD0"/>
    <w:rsid w:val="00DD173F"/>
    <w:rsid w:val="00DD2853"/>
    <w:rsid w:val="00DD2CE0"/>
    <w:rsid w:val="00DE3DC8"/>
    <w:rsid w:val="00DE40D8"/>
    <w:rsid w:val="00DE4C84"/>
    <w:rsid w:val="00DE7666"/>
    <w:rsid w:val="00DF0C14"/>
    <w:rsid w:val="00DF0FA2"/>
    <w:rsid w:val="00E01BC7"/>
    <w:rsid w:val="00E02627"/>
    <w:rsid w:val="00E11E46"/>
    <w:rsid w:val="00E20635"/>
    <w:rsid w:val="00E2274E"/>
    <w:rsid w:val="00E316CC"/>
    <w:rsid w:val="00E31BC4"/>
    <w:rsid w:val="00E367C3"/>
    <w:rsid w:val="00E61641"/>
    <w:rsid w:val="00E62138"/>
    <w:rsid w:val="00E67F55"/>
    <w:rsid w:val="00E72AD1"/>
    <w:rsid w:val="00E759F8"/>
    <w:rsid w:val="00E770BE"/>
    <w:rsid w:val="00E8125D"/>
    <w:rsid w:val="00E81857"/>
    <w:rsid w:val="00E820F5"/>
    <w:rsid w:val="00E83E74"/>
    <w:rsid w:val="00E842E2"/>
    <w:rsid w:val="00E84ADF"/>
    <w:rsid w:val="00E85DCE"/>
    <w:rsid w:val="00E917C5"/>
    <w:rsid w:val="00E970BC"/>
    <w:rsid w:val="00EB0D55"/>
    <w:rsid w:val="00EB2D70"/>
    <w:rsid w:val="00EB3230"/>
    <w:rsid w:val="00EB3896"/>
    <w:rsid w:val="00EC2CB4"/>
    <w:rsid w:val="00EC7357"/>
    <w:rsid w:val="00EC7C9B"/>
    <w:rsid w:val="00ED03F9"/>
    <w:rsid w:val="00ED0764"/>
    <w:rsid w:val="00ED1A24"/>
    <w:rsid w:val="00EE503B"/>
    <w:rsid w:val="00EE51DB"/>
    <w:rsid w:val="00EE7480"/>
    <w:rsid w:val="00EF3C93"/>
    <w:rsid w:val="00EF516A"/>
    <w:rsid w:val="00EF79E9"/>
    <w:rsid w:val="00F015A1"/>
    <w:rsid w:val="00F02BE7"/>
    <w:rsid w:val="00F069AE"/>
    <w:rsid w:val="00F103F4"/>
    <w:rsid w:val="00F13103"/>
    <w:rsid w:val="00F13380"/>
    <w:rsid w:val="00F16876"/>
    <w:rsid w:val="00F27F99"/>
    <w:rsid w:val="00F33762"/>
    <w:rsid w:val="00F3433E"/>
    <w:rsid w:val="00F370B1"/>
    <w:rsid w:val="00F3736F"/>
    <w:rsid w:val="00F37D95"/>
    <w:rsid w:val="00F43B5F"/>
    <w:rsid w:val="00F51246"/>
    <w:rsid w:val="00F51356"/>
    <w:rsid w:val="00F53D38"/>
    <w:rsid w:val="00F556CB"/>
    <w:rsid w:val="00F602FB"/>
    <w:rsid w:val="00F637F4"/>
    <w:rsid w:val="00F6546D"/>
    <w:rsid w:val="00F66068"/>
    <w:rsid w:val="00F71AC2"/>
    <w:rsid w:val="00F74AD3"/>
    <w:rsid w:val="00F776E8"/>
    <w:rsid w:val="00F83A8D"/>
    <w:rsid w:val="00F8536E"/>
    <w:rsid w:val="00F8570D"/>
    <w:rsid w:val="00F869C0"/>
    <w:rsid w:val="00F9461B"/>
    <w:rsid w:val="00FA01F8"/>
    <w:rsid w:val="00FA13B6"/>
    <w:rsid w:val="00FA2167"/>
    <w:rsid w:val="00FA303A"/>
    <w:rsid w:val="00FA3874"/>
    <w:rsid w:val="00FA4160"/>
    <w:rsid w:val="00FA7840"/>
    <w:rsid w:val="00FB0A6D"/>
    <w:rsid w:val="00FB2857"/>
    <w:rsid w:val="00FB5146"/>
    <w:rsid w:val="00FB7014"/>
    <w:rsid w:val="00FC469F"/>
    <w:rsid w:val="00FD3068"/>
    <w:rsid w:val="00FD5C1D"/>
    <w:rsid w:val="00FE1A31"/>
    <w:rsid w:val="00FE5B1A"/>
    <w:rsid w:val="00FF6D57"/>
    <w:rsid w:val="012A5351"/>
    <w:rsid w:val="02590324"/>
    <w:rsid w:val="025D32F5"/>
    <w:rsid w:val="02740A35"/>
    <w:rsid w:val="02797BC2"/>
    <w:rsid w:val="038F6169"/>
    <w:rsid w:val="04386975"/>
    <w:rsid w:val="0C5A3B02"/>
    <w:rsid w:val="0DD47980"/>
    <w:rsid w:val="0F0F3CD8"/>
    <w:rsid w:val="102454F5"/>
    <w:rsid w:val="123973D0"/>
    <w:rsid w:val="179A7D16"/>
    <w:rsid w:val="17CA4FAC"/>
    <w:rsid w:val="18D35306"/>
    <w:rsid w:val="1AC323AA"/>
    <w:rsid w:val="1BAB07B9"/>
    <w:rsid w:val="1FE60769"/>
    <w:rsid w:val="20BA6475"/>
    <w:rsid w:val="22F12122"/>
    <w:rsid w:val="23F127E2"/>
    <w:rsid w:val="269D306D"/>
    <w:rsid w:val="26F34DDB"/>
    <w:rsid w:val="27CB141F"/>
    <w:rsid w:val="290D7B28"/>
    <w:rsid w:val="2B9330AC"/>
    <w:rsid w:val="2C734F28"/>
    <w:rsid w:val="2C801C0D"/>
    <w:rsid w:val="2D2577CA"/>
    <w:rsid w:val="356008C1"/>
    <w:rsid w:val="37DB004E"/>
    <w:rsid w:val="396C34C9"/>
    <w:rsid w:val="3ACC1BF3"/>
    <w:rsid w:val="3BD2715A"/>
    <w:rsid w:val="3D034CE5"/>
    <w:rsid w:val="3D06645B"/>
    <w:rsid w:val="3D516CC2"/>
    <w:rsid w:val="3EB51DCF"/>
    <w:rsid w:val="41674C3E"/>
    <w:rsid w:val="43683CED"/>
    <w:rsid w:val="442048F6"/>
    <w:rsid w:val="44D249DC"/>
    <w:rsid w:val="45DE5836"/>
    <w:rsid w:val="4A122F58"/>
    <w:rsid w:val="4B380664"/>
    <w:rsid w:val="4C1012AD"/>
    <w:rsid w:val="512A2C15"/>
    <w:rsid w:val="51C859DD"/>
    <w:rsid w:val="5274099A"/>
    <w:rsid w:val="53905B52"/>
    <w:rsid w:val="55A229CF"/>
    <w:rsid w:val="55D87A50"/>
    <w:rsid w:val="598C3FAB"/>
    <w:rsid w:val="5A701B37"/>
    <w:rsid w:val="5D215C08"/>
    <w:rsid w:val="5E640B55"/>
    <w:rsid w:val="5E694845"/>
    <w:rsid w:val="639F7E78"/>
    <w:rsid w:val="65EA6127"/>
    <w:rsid w:val="6A261DCC"/>
    <w:rsid w:val="6B0C6078"/>
    <w:rsid w:val="6B4230AF"/>
    <w:rsid w:val="6E054B9E"/>
    <w:rsid w:val="6FEB0965"/>
    <w:rsid w:val="710E3433"/>
    <w:rsid w:val="71621451"/>
    <w:rsid w:val="7238744F"/>
    <w:rsid w:val="72923616"/>
    <w:rsid w:val="746562ED"/>
    <w:rsid w:val="74BF275A"/>
    <w:rsid w:val="77F63D67"/>
    <w:rsid w:val="786F6C3B"/>
    <w:rsid w:val="7AA27173"/>
    <w:rsid w:val="7C8E76B4"/>
    <w:rsid w:val="7D470F6C"/>
    <w:rsid w:val="7DCB0A91"/>
    <w:rsid w:val="7FCF0D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qFormat="1" w:uiPriority="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Normal Indent"/>
    <w:basedOn w:val="1"/>
    <w:qFormat/>
    <w:uiPriority w:val="0"/>
    <w:pPr>
      <w:ind w:firstLine="420"/>
    </w:pPr>
    <w:rPr>
      <w:rFonts w:ascii="Calibri" w:hAnsi="Calibri"/>
      <w:kern w:val="0"/>
      <w:sz w:val="20"/>
      <w:szCs w:val="22"/>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link w:val="41"/>
    <w:semiHidden/>
    <w:qFormat/>
    <w:uiPriority w:val="0"/>
    <w:pPr>
      <w:shd w:val="clear" w:color="auto" w:fill="000080"/>
    </w:pPr>
  </w:style>
  <w:style w:type="paragraph" w:styleId="9">
    <w:name w:val="annotation text"/>
    <w:basedOn w:val="1"/>
    <w:link w:val="42"/>
    <w:unhideWhenUsed/>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Body Text"/>
    <w:basedOn w:val="1"/>
    <w:link w:val="43"/>
    <w:unhideWhenUsed/>
    <w:qFormat/>
    <w:uiPriority w:val="99"/>
    <w:pPr>
      <w:spacing w:after="120"/>
    </w:pPr>
    <w:rPr>
      <w:rFonts w:ascii="Calibri" w:hAnsi="Calibri" w:eastAsiaTheme="minorEastAsia"/>
      <w:kern w:val="1"/>
      <w:szCs w:val="22"/>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Plain Text"/>
    <w:basedOn w:val="1"/>
    <w:link w:val="44"/>
    <w:qFormat/>
    <w:uiPriority w:val="0"/>
    <w:rPr>
      <w:rFonts w:ascii="宋体" w:hAnsi="Courier New" w:cs="Courier New"/>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link w:val="45"/>
    <w:unhideWhenUsed/>
    <w:qFormat/>
    <w:uiPriority w:val="0"/>
    <w:pPr>
      <w:ind w:left="100" w:leftChars="2500"/>
    </w:pPr>
  </w:style>
  <w:style w:type="paragraph" w:styleId="16">
    <w:name w:val="endnote text"/>
    <w:basedOn w:val="1"/>
    <w:link w:val="46"/>
    <w:semiHidden/>
    <w:qFormat/>
    <w:uiPriority w:val="0"/>
    <w:pPr>
      <w:snapToGrid w:val="0"/>
      <w:jc w:val="left"/>
    </w:pPr>
  </w:style>
  <w:style w:type="paragraph" w:styleId="17">
    <w:name w:val="Balloon Text"/>
    <w:basedOn w:val="1"/>
    <w:link w:val="47"/>
    <w:qFormat/>
    <w:uiPriority w:val="0"/>
    <w:rPr>
      <w:sz w:val="18"/>
      <w:szCs w:val="18"/>
    </w:rPr>
  </w:style>
  <w:style w:type="paragraph" w:styleId="18">
    <w:name w:val="footer"/>
    <w:basedOn w:val="1"/>
    <w:link w:val="48"/>
    <w:qFormat/>
    <w:uiPriority w:val="0"/>
    <w:pPr>
      <w:tabs>
        <w:tab w:val="center" w:pos="4153"/>
        <w:tab w:val="right" w:pos="8306"/>
      </w:tabs>
      <w:snapToGrid w:val="0"/>
      <w:jc w:val="left"/>
    </w:pPr>
    <w:rPr>
      <w:sz w:val="18"/>
      <w:szCs w:val="18"/>
    </w:rPr>
  </w:style>
  <w:style w:type="paragraph" w:styleId="19">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semiHidden/>
    <w:qFormat/>
    <w:uiPriority w:val="0"/>
    <w:pPr>
      <w:tabs>
        <w:tab w:val="right" w:leader="dot" w:pos="9242"/>
      </w:tabs>
      <w:spacing w:beforeLines="25" w:afterLines="25"/>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1"/>
    <w:unhideWhenUsed/>
    <w:qFormat/>
    <w:uiPriority w:val="0"/>
  </w:style>
  <w:style w:type="paragraph" w:styleId="23">
    <w:name w:val="Subtitle"/>
    <w:basedOn w:val="1"/>
    <w:next w:val="1"/>
    <w:qFormat/>
    <w:uiPriority w:val="0"/>
    <w:pPr>
      <w:spacing w:before="120" w:after="120" w:line="360" w:lineRule="auto"/>
      <w:jc w:val="left"/>
      <w:outlineLvl w:val="1"/>
    </w:pPr>
    <w:rPr>
      <w:rFonts w:ascii="Cambria" w:hAnsi="Cambria" w:eastAsia="黑体"/>
      <w:b/>
      <w:bCs/>
      <w:kern w:val="28"/>
      <w:sz w:val="24"/>
      <w:szCs w:val="32"/>
    </w:rPr>
  </w:style>
  <w:style w:type="paragraph" w:styleId="24">
    <w:name w:val="footnote text"/>
    <w:basedOn w:val="1"/>
    <w:link w:val="50"/>
    <w:qFormat/>
    <w:uiPriority w:val="0"/>
    <w:pPr>
      <w:tabs>
        <w:tab w:val="left" w:pos="0"/>
      </w:tabs>
      <w:snapToGrid w:val="0"/>
      <w:ind w:left="720" w:hanging="357"/>
      <w:jc w:val="left"/>
    </w:pPr>
    <w:rPr>
      <w:rFonts w:ascii="宋体"/>
      <w:sz w:val="18"/>
      <w:szCs w:val="18"/>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Normal (Web)"/>
    <w:basedOn w:val="1"/>
    <w:qFormat/>
    <w:uiPriority w:val="0"/>
    <w:pPr>
      <w:spacing w:before="100" w:beforeAutospacing="1" w:after="100" w:afterAutospacing="1"/>
      <w:jc w:val="left"/>
    </w:pPr>
    <w:rPr>
      <w:kern w:val="0"/>
      <w:sz w:val="24"/>
    </w:rPr>
  </w:style>
  <w:style w:type="paragraph" w:styleId="28">
    <w:name w:val="index 2"/>
    <w:basedOn w:val="1"/>
    <w:next w:val="1"/>
    <w:qFormat/>
    <w:uiPriority w:val="0"/>
    <w:pPr>
      <w:ind w:left="420" w:hanging="210"/>
      <w:jc w:val="left"/>
    </w:pPr>
    <w:rPr>
      <w:rFonts w:ascii="Calibri" w:hAnsi="Calibri"/>
      <w:sz w:val="20"/>
      <w:szCs w:val="20"/>
    </w:rPr>
  </w:style>
  <w:style w:type="paragraph" w:styleId="29">
    <w:name w:val="annotation subject"/>
    <w:basedOn w:val="9"/>
    <w:next w:val="9"/>
    <w:link w:val="51"/>
    <w:unhideWhenUsed/>
    <w:qFormat/>
    <w:uiPriority w:val="99"/>
    <w:rPr>
      <w:b/>
      <w:bCs/>
    </w:rPr>
  </w:style>
  <w:style w:type="table" w:styleId="31">
    <w:name w:val="Table Grid"/>
    <w:basedOn w:val="30"/>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page number"/>
    <w:qFormat/>
    <w:uiPriority w:val="0"/>
  </w:style>
  <w:style w:type="character" w:styleId="35">
    <w:name w:val="FollowedHyperlink"/>
    <w:basedOn w:val="32"/>
    <w:unhideWhenUsed/>
    <w:qFormat/>
    <w:uiPriority w:val="99"/>
    <w:rPr>
      <w:color w:val="800080"/>
      <w:u w:val="single"/>
    </w:rPr>
  </w:style>
  <w:style w:type="character" w:styleId="36">
    <w:name w:val="Emphasis"/>
    <w:basedOn w:val="32"/>
    <w:qFormat/>
    <w:uiPriority w:val="20"/>
    <w:rPr>
      <w:i/>
      <w:iCs/>
    </w:rPr>
  </w:style>
  <w:style w:type="character" w:styleId="37">
    <w:name w:val="Hyperlink"/>
    <w:qFormat/>
    <w:uiPriority w:val="99"/>
    <w:rPr>
      <w:color w:val="0000FF"/>
      <w:u w:val="single"/>
    </w:rPr>
  </w:style>
  <w:style w:type="character" w:styleId="38">
    <w:name w:val="annotation reference"/>
    <w:basedOn w:val="32"/>
    <w:unhideWhenUsed/>
    <w:qFormat/>
    <w:uiPriority w:val="0"/>
    <w:rPr>
      <w:sz w:val="21"/>
      <w:szCs w:val="21"/>
    </w:rPr>
  </w:style>
  <w:style w:type="character" w:styleId="39">
    <w:name w:val="footnote reference"/>
    <w:basedOn w:val="32"/>
    <w:unhideWhenUsed/>
    <w:qFormat/>
    <w:uiPriority w:val="0"/>
    <w:rPr>
      <w:vertAlign w:val="superscript"/>
    </w:rPr>
  </w:style>
  <w:style w:type="character" w:customStyle="1" w:styleId="40">
    <w:name w:val="标题 1 Char"/>
    <w:basedOn w:val="32"/>
    <w:link w:val="3"/>
    <w:qFormat/>
    <w:uiPriority w:val="0"/>
    <w:rPr>
      <w:rFonts w:ascii="Times New Roman" w:hAnsi="Times New Roman" w:eastAsia="宋体" w:cs="Times New Roman"/>
      <w:b/>
      <w:bCs/>
      <w:kern w:val="44"/>
      <w:sz w:val="44"/>
      <w:szCs w:val="44"/>
    </w:rPr>
  </w:style>
  <w:style w:type="character" w:customStyle="1" w:styleId="41">
    <w:name w:val="文档结构图 Char"/>
    <w:basedOn w:val="32"/>
    <w:link w:val="8"/>
    <w:semiHidden/>
    <w:qFormat/>
    <w:uiPriority w:val="0"/>
    <w:rPr>
      <w:rFonts w:ascii="Times New Roman" w:hAnsi="Times New Roman" w:eastAsia="宋体" w:cs="Times New Roman"/>
      <w:szCs w:val="24"/>
      <w:shd w:val="clear" w:color="auto" w:fill="000080"/>
    </w:rPr>
  </w:style>
  <w:style w:type="character" w:customStyle="1" w:styleId="42">
    <w:name w:val="批注文字 Char"/>
    <w:basedOn w:val="32"/>
    <w:link w:val="9"/>
    <w:qFormat/>
    <w:uiPriority w:val="0"/>
    <w:rPr>
      <w:rFonts w:ascii="Times New Roman" w:hAnsi="Times New Roman" w:eastAsia="宋体" w:cs="Times New Roman"/>
      <w:szCs w:val="24"/>
    </w:rPr>
  </w:style>
  <w:style w:type="character" w:customStyle="1" w:styleId="43">
    <w:name w:val="正文文本 Char"/>
    <w:basedOn w:val="32"/>
    <w:link w:val="11"/>
    <w:qFormat/>
    <w:uiPriority w:val="99"/>
    <w:rPr>
      <w:rFonts w:ascii="Calibri" w:hAnsi="Calibri" w:cs="Times New Roman"/>
      <w:kern w:val="1"/>
      <w:sz w:val="21"/>
      <w:szCs w:val="22"/>
    </w:rPr>
  </w:style>
  <w:style w:type="character" w:customStyle="1" w:styleId="44">
    <w:name w:val="纯文本 Char"/>
    <w:basedOn w:val="32"/>
    <w:link w:val="13"/>
    <w:qFormat/>
    <w:uiPriority w:val="0"/>
    <w:rPr>
      <w:rFonts w:ascii="宋体" w:hAnsi="Courier New" w:eastAsia="宋体" w:cs="Courier New"/>
      <w:szCs w:val="21"/>
    </w:rPr>
  </w:style>
  <w:style w:type="character" w:customStyle="1" w:styleId="45">
    <w:name w:val="日期 Char"/>
    <w:basedOn w:val="32"/>
    <w:link w:val="15"/>
    <w:qFormat/>
    <w:uiPriority w:val="0"/>
    <w:rPr>
      <w:rFonts w:ascii="Times New Roman" w:hAnsi="Times New Roman" w:eastAsia="宋体" w:cs="Times New Roman"/>
      <w:szCs w:val="24"/>
    </w:rPr>
  </w:style>
  <w:style w:type="character" w:customStyle="1" w:styleId="46">
    <w:name w:val="尾注文本 Char"/>
    <w:basedOn w:val="32"/>
    <w:link w:val="16"/>
    <w:semiHidden/>
    <w:qFormat/>
    <w:uiPriority w:val="0"/>
    <w:rPr>
      <w:rFonts w:ascii="Times New Roman" w:hAnsi="Times New Roman" w:eastAsia="宋体" w:cs="Times New Roman"/>
      <w:szCs w:val="24"/>
    </w:rPr>
  </w:style>
  <w:style w:type="character" w:customStyle="1" w:styleId="47">
    <w:name w:val="批注框文本 Char"/>
    <w:basedOn w:val="32"/>
    <w:link w:val="17"/>
    <w:qFormat/>
    <w:uiPriority w:val="0"/>
    <w:rPr>
      <w:rFonts w:ascii="Times New Roman" w:hAnsi="Times New Roman" w:eastAsia="宋体" w:cs="Times New Roman"/>
      <w:sz w:val="18"/>
      <w:szCs w:val="18"/>
    </w:rPr>
  </w:style>
  <w:style w:type="character" w:customStyle="1" w:styleId="48">
    <w:name w:val="页脚 Char"/>
    <w:basedOn w:val="32"/>
    <w:link w:val="18"/>
    <w:qFormat/>
    <w:uiPriority w:val="0"/>
    <w:rPr>
      <w:rFonts w:ascii="Times New Roman" w:hAnsi="Times New Roman" w:eastAsia="宋体" w:cs="Times New Roman"/>
      <w:sz w:val="18"/>
      <w:szCs w:val="18"/>
    </w:rPr>
  </w:style>
  <w:style w:type="character" w:customStyle="1" w:styleId="49">
    <w:name w:val="页眉 Char"/>
    <w:basedOn w:val="32"/>
    <w:link w:val="19"/>
    <w:qFormat/>
    <w:uiPriority w:val="0"/>
    <w:rPr>
      <w:rFonts w:ascii="Times New Roman" w:hAnsi="Times New Roman" w:eastAsia="宋体" w:cs="Times New Roman"/>
      <w:sz w:val="18"/>
      <w:szCs w:val="18"/>
    </w:rPr>
  </w:style>
  <w:style w:type="character" w:customStyle="1" w:styleId="50">
    <w:name w:val="脚注文本 Char"/>
    <w:basedOn w:val="32"/>
    <w:link w:val="24"/>
    <w:qFormat/>
    <w:uiPriority w:val="99"/>
    <w:rPr>
      <w:rFonts w:ascii="宋体" w:hAnsi="Times New Roman" w:eastAsia="宋体" w:cs="Times New Roman"/>
      <w:sz w:val="18"/>
      <w:szCs w:val="18"/>
    </w:rPr>
  </w:style>
  <w:style w:type="character" w:customStyle="1" w:styleId="51">
    <w:name w:val="批注主题 Char"/>
    <w:basedOn w:val="42"/>
    <w:link w:val="29"/>
    <w:qFormat/>
    <w:uiPriority w:val="99"/>
    <w:rPr>
      <w:rFonts w:ascii="Times New Roman" w:hAnsi="Times New Roman" w:eastAsia="宋体" w:cs="Times New Roman"/>
      <w:b/>
      <w:bCs/>
      <w:szCs w:val="24"/>
    </w:rPr>
  </w:style>
  <w:style w:type="character" w:customStyle="1" w:styleId="52">
    <w:name w:val="font51"/>
    <w:qFormat/>
    <w:uiPriority w:val="0"/>
    <w:rPr>
      <w:rFonts w:hint="eastAsia" w:ascii="宋体" w:hAnsi="宋体" w:eastAsia="宋体" w:cs="宋体"/>
      <w:color w:val="000000"/>
      <w:sz w:val="20"/>
      <w:szCs w:val="20"/>
      <w:u w:val="none"/>
      <w:vertAlign w:val="superscript"/>
    </w:rPr>
  </w:style>
  <w:style w:type="character" w:customStyle="1" w:styleId="53">
    <w:name w:val="段 Char"/>
    <w:link w:val="54"/>
    <w:qFormat/>
    <w:uiPriority w:val="0"/>
    <w:rPr>
      <w:rFonts w:ascii="宋体"/>
    </w:rPr>
  </w:style>
  <w:style w:type="paragraph" w:customStyle="1" w:styleId="54">
    <w:name w:val="段"/>
    <w:link w:val="53"/>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55">
    <w:name w:val="二级条标题 Char"/>
    <w:link w:val="56"/>
    <w:qFormat/>
    <w:uiPriority w:val="0"/>
    <w:rPr>
      <w:rFonts w:ascii="黑体" w:hAnsi="宋体" w:eastAsia="黑体"/>
      <w:szCs w:val="21"/>
    </w:rPr>
  </w:style>
  <w:style w:type="paragraph" w:customStyle="1" w:styleId="56">
    <w:name w:val="二级条标题"/>
    <w:basedOn w:val="1"/>
    <w:next w:val="1"/>
    <w:link w:val="55"/>
    <w:qFormat/>
    <w:uiPriority w:val="0"/>
    <w:pPr>
      <w:widowControl/>
      <w:spacing w:beforeLines="50"/>
      <w:ind w:left="525"/>
      <w:jc w:val="left"/>
      <w:outlineLvl w:val="3"/>
    </w:pPr>
    <w:rPr>
      <w:rFonts w:ascii="黑体" w:hAnsi="宋体" w:eastAsia="黑体" w:cstheme="minorBidi"/>
      <w:szCs w:val="21"/>
    </w:rPr>
  </w:style>
  <w:style w:type="character" w:customStyle="1" w:styleId="57">
    <w:name w:val="font11"/>
    <w:basedOn w:val="32"/>
    <w:qFormat/>
    <w:uiPriority w:val="0"/>
    <w:rPr>
      <w:rFonts w:hint="default" w:ascii="Times New Roman" w:hAnsi="Times New Roman" w:cs="Times New Roman"/>
      <w:color w:val="000000"/>
      <w:sz w:val="20"/>
      <w:szCs w:val="20"/>
      <w:u w:val="none"/>
    </w:rPr>
  </w:style>
  <w:style w:type="character" w:customStyle="1" w:styleId="58">
    <w:name w:val="font01"/>
    <w:qFormat/>
    <w:uiPriority w:val="0"/>
    <w:rPr>
      <w:rFonts w:hint="eastAsia" w:ascii="宋体" w:hAnsi="宋体" w:eastAsia="宋体" w:cs="宋体"/>
      <w:color w:val="000000"/>
      <w:sz w:val="20"/>
      <w:szCs w:val="20"/>
      <w:u w:val="none"/>
      <w:vertAlign w:val="superscript"/>
    </w:rPr>
  </w:style>
  <w:style w:type="character" w:customStyle="1" w:styleId="59">
    <w:name w:val="font31"/>
    <w:basedOn w:val="32"/>
    <w:qFormat/>
    <w:uiPriority w:val="0"/>
    <w:rPr>
      <w:rFonts w:hint="eastAsia" w:ascii="宋体" w:hAnsi="宋体" w:eastAsia="宋体" w:cs="宋体"/>
      <w:color w:val="000000"/>
      <w:sz w:val="20"/>
      <w:szCs w:val="20"/>
      <w:u w:val="none"/>
    </w:rPr>
  </w:style>
  <w:style w:type="character" w:customStyle="1" w:styleId="60">
    <w:name w:val="font41"/>
    <w:qFormat/>
    <w:uiPriority w:val="0"/>
    <w:rPr>
      <w:rFonts w:hint="eastAsia" w:ascii="宋体" w:hAnsi="宋体" w:eastAsia="宋体" w:cs="宋体"/>
      <w:color w:val="000000"/>
      <w:sz w:val="20"/>
      <w:szCs w:val="20"/>
      <w:u w:val="none"/>
    </w:rPr>
  </w:style>
  <w:style w:type="paragraph" w:customStyle="1" w:styleId="61">
    <w:name w:val="章标题"/>
    <w:next w:val="54"/>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2">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63">
    <w:name w:val="四级条标题"/>
    <w:basedOn w:val="64"/>
    <w:next w:val="54"/>
    <w:qFormat/>
    <w:uiPriority w:val="0"/>
    <w:pPr>
      <w:outlineLvl w:val="5"/>
    </w:pPr>
  </w:style>
  <w:style w:type="paragraph" w:customStyle="1" w:styleId="64">
    <w:name w:val="三级条标题"/>
    <w:basedOn w:val="56"/>
    <w:next w:val="54"/>
    <w:qFormat/>
    <w:uiPriority w:val="0"/>
    <w:pPr>
      <w:spacing w:before="50" w:afterLines="50"/>
      <w:ind w:left="0"/>
      <w:outlineLvl w:val="4"/>
    </w:pPr>
    <w:rPr>
      <w:rFonts w:hAnsi="Times New Roman"/>
    </w:rPr>
  </w:style>
  <w:style w:type="paragraph" w:styleId="65">
    <w:name w:val="List Paragraph"/>
    <w:basedOn w:val="1"/>
    <w:qFormat/>
    <w:uiPriority w:val="34"/>
    <w:pPr>
      <w:ind w:firstLine="420" w:firstLineChars="200"/>
    </w:pPr>
  </w:style>
  <w:style w:type="paragraph" w:customStyle="1" w:styleId="66">
    <w:name w:val="终结线"/>
    <w:basedOn w:val="1"/>
    <w:qFormat/>
    <w:uiPriority w:val="0"/>
    <w:pPr>
      <w:framePr w:hSpace="181" w:vSpace="181" w:wrap="around" w:vAnchor="text" w:hAnchor="margin" w:xAlign="center" w:y="285"/>
    </w:pPr>
  </w:style>
  <w:style w:type="paragraph" w:customStyle="1" w:styleId="67">
    <w:name w:val="五级条标题"/>
    <w:basedOn w:val="63"/>
    <w:next w:val="54"/>
    <w:qFormat/>
    <w:uiPriority w:val="0"/>
    <w:pPr>
      <w:outlineLvl w:val="6"/>
    </w:pPr>
  </w:style>
  <w:style w:type="paragraph" w:customStyle="1" w:styleId="68">
    <w:name w:val="注："/>
    <w:next w:val="54"/>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0">
    <w:name w:val="二级无"/>
    <w:basedOn w:val="56"/>
    <w:qFormat/>
    <w:uiPriority w:val="0"/>
    <w:pPr>
      <w:tabs>
        <w:tab w:val="left" w:pos="1140"/>
      </w:tabs>
      <w:spacing w:beforeLines="0" w:after="50"/>
      <w:ind w:left="0" w:hanging="363"/>
    </w:pPr>
    <w:rPr>
      <w:rFonts w:ascii="宋体" w:hAnsi="Times New Roman" w:eastAsia="宋体"/>
    </w:rPr>
  </w:style>
  <w:style w:type="paragraph" w:customStyle="1" w:styleId="71">
    <w:name w:val="封面标准英文名称"/>
    <w:qFormat/>
    <w:uiPriority w:val="99"/>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2">
    <w:name w:val="正文表标题"/>
    <w:next w:val="54"/>
    <w:qFormat/>
    <w:uiPriority w:val="0"/>
    <w:pPr>
      <w:tabs>
        <w:tab w:val="left" w:pos="360"/>
      </w:tabs>
      <w:spacing w:beforeLines="50" w:afterLines="50"/>
      <w:jc w:val="center"/>
    </w:pPr>
    <w:rPr>
      <w:rFonts w:ascii="黑体" w:hAnsi="Times New Roman" w:eastAsia="黑体" w:cs="Times New Roman"/>
      <w:sz w:val="21"/>
      <w:szCs w:val="22"/>
      <w:lang w:val="en-US" w:eastAsia="zh-CN" w:bidi="ar-SA"/>
    </w:rPr>
  </w:style>
  <w:style w:type="paragraph" w:customStyle="1" w:styleId="7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4">
    <w:name w:val="一级条标题"/>
    <w:next w:val="54"/>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6">
    <w:name w:val="字母编号列项（一级）"/>
    <w:qFormat/>
    <w:uiPriority w:val="0"/>
    <w:pPr>
      <w:tabs>
        <w:tab w:val="left" w:pos="735"/>
      </w:tabs>
      <w:ind w:left="734" w:hanging="419"/>
      <w:jc w:val="both"/>
    </w:pPr>
    <w:rPr>
      <w:rFonts w:ascii="宋体" w:hAnsi="Times New Roman" w:eastAsia="宋体" w:cs="Times New Roman"/>
      <w:sz w:val="21"/>
      <w:lang w:val="en-US" w:eastAsia="zh-CN" w:bidi="ar-SA"/>
    </w:rPr>
  </w:style>
  <w:style w:type="paragraph" w:customStyle="1" w:styleId="77">
    <w:name w:val="注：（正文）"/>
    <w:basedOn w:val="68"/>
    <w:next w:val="54"/>
    <w:qFormat/>
    <w:uiPriority w:val="0"/>
  </w:style>
  <w:style w:type="table" w:customStyle="1" w:styleId="78">
    <w:name w:val="网格型1"/>
    <w:basedOn w:val="30"/>
    <w:unhideWhenUsed/>
    <w:qFormat/>
    <w:uiPriority w:val="59"/>
    <w:rPr>
      <w:rFonts w:ascii="宋体" w:hAns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6"/>
    <w:basedOn w:val="1"/>
    <w:qFormat/>
    <w:uiPriority w:val="0"/>
    <w:pPr>
      <w:widowControl/>
      <w:spacing w:before="100" w:beforeAutospacing="1" w:after="100" w:afterAutospacing="1"/>
      <w:jc w:val="left"/>
    </w:pPr>
    <w:rPr>
      <w:color w:val="000000"/>
      <w:kern w:val="0"/>
      <w:sz w:val="18"/>
      <w:szCs w:val="18"/>
    </w:rPr>
  </w:style>
  <w:style w:type="paragraph" w:customStyle="1" w:styleId="8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8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8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table" w:customStyle="1" w:styleId="86">
    <w:name w:val="网格型2"/>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8">
    <w:name w:val="xl70"/>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cs="宋体"/>
      <w:kern w:val="0"/>
      <w:sz w:val="18"/>
      <w:szCs w:val="18"/>
    </w:rPr>
  </w:style>
  <w:style w:type="paragraph" w:customStyle="1" w:styleId="89">
    <w:name w:val="xl71"/>
    <w:basedOn w:val="1"/>
    <w:qFormat/>
    <w:uiPriority w:val="0"/>
    <w:pPr>
      <w:widowControl/>
      <w:pBdr>
        <w:bottom w:val="single" w:color="auto" w:sz="8" w:space="0"/>
        <w:right w:val="single" w:color="auto" w:sz="8" w:space="0"/>
      </w:pBdr>
      <w:spacing w:before="100" w:beforeAutospacing="1" w:after="100" w:afterAutospacing="1"/>
      <w:jc w:val="center"/>
    </w:pPr>
    <w:rPr>
      <w:kern w:val="0"/>
      <w:sz w:val="18"/>
      <w:szCs w:val="18"/>
    </w:rPr>
  </w:style>
  <w:style w:type="paragraph" w:customStyle="1" w:styleId="90">
    <w:name w:val="xl72"/>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cs="宋体"/>
      <w:kern w:val="0"/>
      <w:sz w:val="18"/>
      <w:szCs w:val="18"/>
    </w:rPr>
  </w:style>
  <w:style w:type="paragraph" w:customStyle="1" w:styleId="91">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92">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color w:val="000000"/>
      <w:kern w:val="0"/>
      <w:szCs w:val="21"/>
    </w:rPr>
  </w:style>
  <w:style w:type="paragraph" w:customStyle="1" w:styleId="93">
    <w:name w:val="图标脚注说明"/>
    <w:basedOn w:val="54"/>
    <w:qFormat/>
    <w:uiPriority w:val="0"/>
    <w:pPr>
      <w:ind w:left="840" w:hanging="420" w:firstLineChars="0"/>
    </w:pPr>
    <w:rPr>
      <w:rFonts w:hAnsi="Times New Roman" w:eastAsia="宋体" w:cs="Times New Roman"/>
      <w:kern w:val="0"/>
      <w:sz w:val="18"/>
      <w:szCs w:val="18"/>
    </w:rPr>
  </w:style>
  <w:style w:type="paragraph" w:customStyle="1" w:styleId="94">
    <w:name w:val="封面标准文稿类别"/>
    <w:basedOn w:val="95"/>
    <w:qFormat/>
    <w:uiPriority w:val="0"/>
    <w:pPr>
      <w:spacing w:after="160" w:line="240" w:lineRule="auto"/>
    </w:pPr>
    <w:rPr>
      <w:sz w:val="24"/>
    </w:rPr>
  </w:style>
  <w:style w:type="paragraph" w:customStyle="1" w:styleId="95">
    <w:name w:val="封面一致性程度标识"/>
    <w:basedOn w:val="71"/>
    <w:qFormat/>
    <w:uiPriority w:val="0"/>
    <w:pPr>
      <w:framePr w:w="9639" w:h="6917" w:hRule="exact" w:wrap="around" w:vAnchor="page" w:hAnchor="page" w:xAlign="center" w:y="6408" w:anchorLock="1"/>
      <w:spacing w:before="440"/>
      <w:textAlignment w:val="center"/>
    </w:pPr>
    <w:rPr>
      <w:rFonts w:ascii="宋体"/>
      <w:szCs w:val="28"/>
    </w:rPr>
  </w:style>
  <w:style w:type="paragraph" w:customStyle="1" w:styleId="96">
    <w:name w:val="附录一级无"/>
    <w:basedOn w:val="97"/>
    <w:qFormat/>
    <w:uiPriority w:val="0"/>
    <w:pPr>
      <w:tabs>
        <w:tab w:val="left" w:pos="360"/>
      </w:tabs>
      <w:spacing w:beforeLines="0" w:afterLines="0"/>
    </w:pPr>
    <w:rPr>
      <w:rFonts w:ascii="宋体" w:eastAsia="宋体"/>
      <w:szCs w:val="21"/>
    </w:rPr>
  </w:style>
  <w:style w:type="paragraph" w:customStyle="1" w:styleId="97">
    <w:name w:val="附录一级条标题"/>
    <w:basedOn w:val="98"/>
    <w:next w:val="54"/>
    <w:qFormat/>
    <w:uiPriority w:val="0"/>
    <w:pPr>
      <w:tabs>
        <w:tab w:val="left" w:pos="360"/>
      </w:tabs>
      <w:autoSpaceDN w:val="0"/>
      <w:spacing w:beforeLines="50" w:afterLines="50"/>
      <w:outlineLvl w:val="2"/>
    </w:pPr>
  </w:style>
  <w:style w:type="paragraph" w:customStyle="1" w:styleId="98">
    <w:name w:val="附录章标题"/>
    <w:next w:val="54"/>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图的脚注"/>
    <w:next w:val="5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0">
    <w:name w:val="附录表标号"/>
    <w:basedOn w:val="1"/>
    <w:next w:val="54"/>
    <w:qFormat/>
    <w:uiPriority w:val="0"/>
    <w:pPr>
      <w:spacing w:line="14" w:lineRule="exact"/>
      <w:ind w:left="811" w:hanging="448"/>
      <w:jc w:val="center"/>
      <w:outlineLvl w:val="0"/>
    </w:pPr>
    <w:rPr>
      <w:color w:val="FFFFFF"/>
    </w:rPr>
  </w:style>
  <w:style w:type="paragraph" w:customStyle="1" w:styleId="101">
    <w:name w:val="附录图标题"/>
    <w:basedOn w:val="1"/>
    <w:next w:val="54"/>
    <w:qFormat/>
    <w:uiPriority w:val="0"/>
    <w:pPr>
      <w:tabs>
        <w:tab w:val="left" w:pos="363"/>
      </w:tabs>
      <w:spacing w:beforeLines="50" w:afterLines="50"/>
      <w:jc w:val="center"/>
    </w:pPr>
    <w:rPr>
      <w:rFonts w:ascii="黑体" w:eastAsia="黑体"/>
      <w:szCs w:val="21"/>
    </w:rPr>
  </w:style>
  <w:style w:type="paragraph" w:customStyle="1" w:styleId="102">
    <w:name w:val="附录三级无"/>
    <w:basedOn w:val="103"/>
    <w:qFormat/>
    <w:uiPriority w:val="0"/>
    <w:pPr>
      <w:tabs>
        <w:tab w:val="left" w:pos="360"/>
      </w:tabs>
      <w:spacing w:beforeLines="0" w:afterLines="0"/>
    </w:pPr>
    <w:rPr>
      <w:rFonts w:ascii="宋体" w:eastAsia="宋体"/>
      <w:szCs w:val="21"/>
    </w:rPr>
  </w:style>
  <w:style w:type="paragraph" w:customStyle="1" w:styleId="103">
    <w:name w:val="附录三级条标题"/>
    <w:basedOn w:val="104"/>
    <w:next w:val="54"/>
    <w:qFormat/>
    <w:uiPriority w:val="0"/>
    <w:pPr>
      <w:tabs>
        <w:tab w:val="left" w:pos="360"/>
      </w:tabs>
      <w:outlineLvl w:val="4"/>
    </w:pPr>
  </w:style>
  <w:style w:type="paragraph" w:customStyle="1" w:styleId="104">
    <w:name w:val="附录二级条标题"/>
    <w:basedOn w:val="1"/>
    <w:next w:val="54"/>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封面一致性程度标识2"/>
    <w:basedOn w:val="95"/>
    <w:qFormat/>
    <w:uiPriority w:val="0"/>
    <w:pPr>
      <w:framePr w:y="4469"/>
    </w:pPr>
  </w:style>
  <w:style w:type="paragraph" w:customStyle="1" w:styleId="106">
    <w:name w:val="首示例"/>
    <w:next w:val="54"/>
    <w:link w:val="107"/>
    <w:qFormat/>
    <w:uiPriority w:val="0"/>
    <w:pPr>
      <w:tabs>
        <w:tab w:val="left" w:pos="360"/>
      </w:tabs>
    </w:pPr>
    <w:rPr>
      <w:rFonts w:ascii="宋体" w:hAnsi="宋体" w:eastAsia="宋体" w:cs="Times New Roman"/>
      <w:kern w:val="2"/>
      <w:sz w:val="18"/>
      <w:szCs w:val="18"/>
      <w:lang w:val="en-US" w:eastAsia="zh-CN" w:bidi="ar-SA"/>
    </w:rPr>
  </w:style>
  <w:style w:type="character" w:customStyle="1" w:styleId="107">
    <w:name w:val="首示例 Char"/>
    <w:basedOn w:val="32"/>
    <w:link w:val="106"/>
    <w:qFormat/>
    <w:uiPriority w:val="0"/>
    <w:rPr>
      <w:rFonts w:ascii="宋体" w:hAnsi="宋体"/>
      <w:kern w:val="2"/>
      <w:sz w:val="18"/>
      <w:szCs w:val="18"/>
    </w:rPr>
  </w:style>
  <w:style w:type="paragraph" w:customStyle="1" w:styleId="108">
    <w:name w:val="前言、引言标题"/>
    <w:next w:val="5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9">
    <w:name w:val="示例"/>
    <w:next w:val="110"/>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1">
    <w:name w:val="三级无"/>
    <w:basedOn w:val="64"/>
    <w:qFormat/>
    <w:uiPriority w:val="0"/>
    <w:pPr>
      <w:spacing w:beforeLines="0" w:afterLines="0"/>
    </w:pPr>
    <w:rPr>
      <w:rFonts w:ascii="宋体" w:eastAsia="宋体" w:cs="Times New Roman"/>
      <w:kern w:val="0"/>
    </w:rPr>
  </w:style>
  <w:style w:type="paragraph" w:customStyle="1" w:styleId="112">
    <w:name w:val="四级无"/>
    <w:basedOn w:val="63"/>
    <w:qFormat/>
    <w:uiPriority w:val="0"/>
    <w:pPr>
      <w:spacing w:beforeLines="0" w:afterLines="0"/>
    </w:pPr>
    <w:rPr>
      <w:rFonts w:ascii="宋体" w:eastAsia="宋体" w:cs="Times New Roman"/>
      <w:kern w:val="0"/>
    </w:rPr>
  </w:style>
  <w:style w:type="paragraph" w:customStyle="1" w:styleId="113">
    <w:name w:val="封面标准文稿编辑信息"/>
    <w:basedOn w:val="94"/>
    <w:qFormat/>
    <w:uiPriority w:val="0"/>
    <w:pPr>
      <w:spacing w:before="180" w:line="180" w:lineRule="exact"/>
    </w:pPr>
    <w:rPr>
      <w:sz w:val="21"/>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6">
    <w:name w:val="其他发布日期"/>
    <w:basedOn w:val="117"/>
    <w:qFormat/>
    <w:uiPriority w:val="0"/>
    <w:pPr>
      <w:framePr w:vAnchor="page" w:hAnchor="text" w:x="1419"/>
    </w:pPr>
  </w:style>
  <w:style w:type="paragraph" w:customStyle="1" w:styleId="11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8">
    <w:name w:val="实施日期"/>
    <w:basedOn w:val="117"/>
    <w:qFormat/>
    <w:uiPriority w:val="0"/>
    <w:pPr>
      <w:framePr w:vAnchor="page" w:hAnchor="text"/>
      <w:jc w:val="right"/>
    </w:pPr>
  </w:style>
  <w:style w:type="paragraph" w:customStyle="1" w:styleId="119">
    <w:name w:val="附录标题"/>
    <w:basedOn w:val="54"/>
    <w:next w:val="54"/>
    <w:qFormat/>
    <w:uiPriority w:val="0"/>
    <w:pPr>
      <w:ind w:firstLine="0" w:firstLineChars="0"/>
      <w:jc w:val="center"/>
    </w:pPr>
    <w:rPr>
      <w:rFonts w:ascii="黑体" w:hAnsi="Times New Roman" w:eastAsia="黑体" w:cs="Times New Roman"/>
      <w:kern w:val="0"/>
      <w:szCs w:val="20"/>
    </w:rPr>
  </w:style>
  <w:style w:type="paragraph" w:customStyle="1" w:styleId="120">
    <w:name w:val="其他实施日期"/>
    <w:basedOn w:val="118"/>
    <w:qFormat/>
    <w:uiPriority w:val="0"/>
  </w:style>
  <w:style w:type="paragraph" w:customStyle="1" w:styleId="121">
    <w:name w:val="参考文献、索引标题"/>
    <w:basedOn w:val="1"/>
    <w:next w:val="5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24">
    <w:name w:val="图表脚注说明"/>
    <w:basedOn w:val="1"/>
    <w:qFormat/>
    <w:uiPriority w:val="0"/>
    <w:pPr>
      <w:ind w:left="544" w:hanging="181"/>
    </w:pPr>
    <w:rPr>
      <w:rFonts w:ascii="宋体"/>
      <w:sz w:val="18"/>
      <w:szCs w:val="18"/>
    </w:rPr>
  </w:style>
  <w:style w:type="paragraph" w:customStyle="1" w:styleId="125">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26">
    <w:name w:val="其他标准标志"/>
    <w:basedOn w:val="115"/>
    <w:qFormat/>
    <w:uiPriority w:val="0"/>
    <w:pPr>
      <w:framePr w:w="6101" w:vAnchor="page" w:hAnchor="page" w:x="4673" w:y="942"/>
    </w:pPr>
    <w:rPr>
      <w:w w:val="130"/>
    </w:rPr>
  </w:style>
  <w:style w:type="paragraph" w:customStyle="1" w:styleId="127">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2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9">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30">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31">
    <w:name w:val="列项——（一级）"/>
    <w:link w:val="132"/>
    <w:qFormat/>
    <w:uiPriority w:val="0"/>
    <w:pPr>
      <w:widowControl w:val="0"/>
      <w:ind w:left="833" w:hanging="408"/>
      <w:jc w:val="both"/>
    </w:pPr>
    <w:rPr>
      <w:rFonts w:ascii="宋体" w:hAnsi="Times New Roman" w:eastAsia="宋体" w:cs="Times New Roman"/>
      <w:sz w:val="21"/>
      <w:lang w:val="en-US" w:eastAsia="zh-CN" w:bidi="ar-SA"/>
    </w:rPr>
  </w:style>
  <w:style w:type="character" w:customStyle="1" w:styleId="132">
    <w:name w:val="列项——（一级） Char"/>
    <w:link w:val="131"/>
    <w:qFormat/>
    <w:locked/>
    <w:uiPriority w:val="0"/>
    <w:rPr>
      <w:rFonts w:ascii="宋体"/>
      <w:sz w:val="21"/>
    </w:rPr>
  </w:style>
  <w:style w:type="paragraph" w:customStyle="1" w:styleId="13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34">
    <w:name w:val="正文图标题"/>
    <w:next w:val="5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6">
    <w:name w:val="发布部门"/>
    <w:next w:val="5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37">
    <w:name w:val="目次、标准名称标题"/>
    <w:basedOn w:val="1"/>
    <w:next w:val="5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8">
    <w:name w:val="封面标准文稿类别2"/>
    <w:basedOn w:val="94"/>
    <w:qFormat/>
    <w:uiPriority w:val="0"/>
    <w:pPr>
      <w:framePr w:y="4469"/>
    </w:pPr>
  </w:style>
  <w:style w:type="paragraph" w:customStyle="1" w:styleId="139">
    <w:name w:val="列项◆（三级）"/>
    <w:basedOn w:val="1"/>
    <w:qFormat/>
    <w:uiPriority w:val="0"/>
    <w:pPr>
      <w:tabs>
        <w:tab w:val="left" w:pos="1678"/>
      </w:tabs>
      <w:ind w:left="1678" w:hanging="414"/>
    </w:pPr>
    <w:rPr>
      <w:rFonts w:ascii="宋体"/>
      <w:szCs w:val="21"/>
    </w:rPr>
  </w:style>
  <w:style w:type="paragraph" w:customStyle="1" w:styleId="140">
    <w:name w:val="五级无"/>
    <w:basedOn w:val="67"/>
    <w:qFormat/>
    <w:uiPriority w:val="0"/>
    <w:pPr>
      <w:spacing w:beforeLines="0" w:afterLines="0"/>
    </w:pPr>
    <w:rPr>
      <w:rFonts w:ascii="宋体" w:eastAsia="宋体" w:cs="Times New Roman"/>
      <w:kern w:val="0"/>
    </w:rPr>
  </w:style>
  <w:style w:type="paragraph" w:customStyle="1" w:styleId="141">
    <w:name w:val="示例×："/>
    <w:basedOn w:val="61"/>
    <w:qFormat/>
    <w:uiPriority w:val="0"/>
    <w:pPr>
      <w:spacing w:beforeLines="0" w:afterLines="0"/>
      <w:ind w:firstLine="363"/>
      <w:outlineLvl w:val="9"/>
    </w:pPr>
    <w:rPr>
      <w:rFonts w:ascii="宋体" w:eastAsia="宋体"/>
      <w:sz w:val="18"/>
      <w:szCs w:val="18"/>
    </w:rPr>
  </w:style>
  <w:style w:type="paragraph" w:customStyle="1" w:styleId="142">
    <w:name w:val="示例后文字"/>
    <w:basedOn w:val="54"/>
    <w:next w:val="54"/>
    <w:qFormat/>
    <w:uiPriority w:val="0"/>
    <w:pPr>
      <w:ind w:firstLine="360"/>
    </w:pPr>
    <w:rPr>
      <w:rFonts w:hAnsi="Times New Roman" w:eastAsia="宋体" w:cs="Times New Roman"/>
      <w:kern w:val="0"/>
      <w:sz w:val="18"/>
      <w:szCs w:val="20"/>
    </w:rPr>
  </w:style>
  <w:style w:type="paragraph" w:customStyle="1" w:styleId="143">
    <w:name w:val="附录四级条标题"/>
    <w:basedOn w:val="103"/>
    <w:next w:val="54"/>
    <w:qFormat/>
    <w:uiPriority w:val="0"/>
    <w:pPr>
      <w:outlineLvl w:val="5"/>
    </w:pPr>
  </w:style>
  <w:style w:type="paragraph" w:customStyle="1" w:styleId="144">
    <w:name w:val="封面标准文稿编辑信息2"/>
    <w:basedOn w:val="113"/>
    <w:qFormat/>
    <w:uiPriority w:val="0"/>
    <w:pPr>
      <w:framePr w:y="4469"/>
    </w:pPr>
  </w:style>
  <w:style w:type="paragraph" w:customStyle="1" w:styleId="145">
    <w:name w:val="参考文献"/>
    <w:basedOn w:val="1"/>
    <w:next w:val="5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6">
    <w:name w:val="附录公式编号制表符"/>
    <w:basedOn w:val="1"/>
    <w:next w:val="54"/>
    <w:qFormat/>
    <w:uiPriority w:val="0"/>
    <w:pPr>
      <w:widowControl/>
      <w:tabs>
        <w:tab w:val="center" w:pos="4201"/>
        <w:tab w:val="right" w:leader="dot" w:pos="9298"/>
      </w:tabs>
      <w:autoSpaceDE w:val="0"/>
      <w:autoSpaceDN w:val="0"/>
    </w:pPr>
    <w:rPr>
      <w:rFonts w:ascii="宋体"/>
      <w:kern w:val="0"/>
      <w:szCs w:val="20"/>
    </w:rPr>
  </w:style>
  <w:style w:type="paragraph" w:customStyle="1" w:styleId="147">
    <w:name w:val="正文公式编号制表符"/>
    <w:basedOn w:val="54"/>
    <w:next w:val="54"/>
    <w:qFormat/>
    <w:uiPriority w:val="0"/>
    <w:pPr>
      <w:ind w:firstLine="0" w:firstLineChars="0"/>
    </w:pPr>
    <w:rPr>
      <w:rFonts w:hAnsi="Times New Roman" w:eastAsia="宋体" w:cs="Times New Roman"/>
      <w:kern w:val="0"/>
      <w:szCs w:val="20"/>
    </w:rPr>
  </w:style>
  <w:style w:type="paragraph" w:customStyle="1" w:styleId="148">
    <w:name w:val="附录四级无"/>
    <w:basedOn w:val="143"/>
    <w:qFormat/>
    <w:uiPriority w:val="0"/>
    <w:pPr>
      <w:tabs>
        <w:tab w:val="clear" w:pos="360"/>
      </w:tabs>
      <w:spacing w:beforeLines="0" w:afterLines="0"/>
    </w:pPr>
    <w:rPr>
      <w:rFonts w:ascii="宋体" w:eastAsia="宋体"/>
      <w:szCs w:val="21"/>
    </w:rPr>
  </w:style>
  <w:style w:type="paragraph" w:customStyle="1" w:styleId="149">
    <w:name w:val="标准书眉_偶数页"/>
    <w:basedOn w:val="69"/>
    <w:next w:val="1"/>
    <w:qFormat/>
    <w:uiPriority w:val="0"/>
    <w:pPr>
      <w:jc w:val="left"/>
    </w:pPr>
  </w:style>
  <w:style w:type="paragraph" w:customStyle="1" w:styleId="150">
    <w:name w:val="条文脚注"/>
    <w:basedOn w:val="24"/>
    <w:qFormat/>
    <w:uiPriority w:val="0"/>
    <w:pPr>
      <w:ind w:left="0" w:firstLine="0"/>
      <w:jc w:val="both"/>
    </w:pPr>
  </w:style>
  <w:style w:type="paragraph" w:customStyle="1" w:styleId="151">
    <w:name w:val="附录公式"/>
    <w:basedOn w:val="54"/>
    <w:next w:val="54"/>
    <w:link w:val="152"/>
    <w:qFormat/>
    <w:uiPriority w:val="0"/>
    <w:rPr>
      <w:rFonts w:hAnsi="Times New Roman" w:eastAsia="宋体" w:cs="Times New Roman"/>
      <w:kern w:val="0"/>
      <w:szCs w:val="20"/>
    </w:rPr>
  </w:style>
  <w:style w:type="character" w:customStyle="1" w:styleId="152">
    <w:name w:val="附录公式 Char"/>
    <w:basedOn w:val="53"/>
    <w:link w:val="151"/>
    <w:qFormat/>
    <w:uiPriority w:val="0"/>
    <w:rPr>
      <w:rFonts w:ascii="宋体" w:hAnsi="Times New Roman" w:eastAsia="宋体" w:cs="Times New Roman"/>
      <w:kern w:val="0"/>
      <w:szCs w:val="20"/>
    </w:rPr>
  </w:style>
  <w:style w:type="paragraph" w:customStyle="1" w:styleId="153">
    <w:name w:val="附录五级条标题"/>
    <w:basedOn w:val="143"/>
    <w:next w:val="54"/>
    <w:qFormat/>
    <w:uiPriority w:val="0"/>
    <w:pPr>
      <w:outlineLvl w:val="6"/>
    </w:pPr>
  </w:style>
  <w:style w:type="paragraph" w:customStyle="1" w:styleId="154">
    <w:name w:val="标准书眉一"/>
    <w:qFormat/>
    <w:uiPriority w:val="0"/>
    <w:pPr>
      <w:jc w:val="both"/>
    </w:pPr>
    <w:rPr>
      <w:rFonts w:ascii="Times New Roman" w:hAnsi="Times New Roman" w:eastAsia="宋体" w:cs="Times New Roman"/>
      <w:lang w:val="en-US" w:eastAsia="zh-CN" w:bidi="ar-SA"/>
    </w:rPr>
  </w:style>
  <w:style w:type="paragraph" w:customStyle="1" w:styleId="155">
    <w:name w:val="附录标识"/>
    <w:basedOn w:val="1"/>
    <w:next w:val="54"/>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60">
    <w:name w:val="封面正文"/>
    <w:qFormat/>
    <w:uiPriority w:val="0"/>
    <w:pPr>
      <w:jc w:val="both"/>
    </w:pPr>
    <w:rPr>
      <w:rFonts w:ascii="Times New Roman" w:hAnsi="Times New Roman" w:eastAsia="宋体" w:cs="Times New Roman"/>
      <w:lang w:val="en-US" w:eastAsia="zh-CN" w:bidi="ar-SA"/>
    </w:rPr>
  </w:style>
  <w:style w:type="paragraph" w:customStyle="1" w:styleId="161">
    <w:name w:val="附录表标题"/>
    <w:basedOn w:val="1"/>
    <w:next w:val="54"/>
    <w:qFormat/>
    <w:uiPriority w:val="0"/>
    <w:pPr>
      <w:tabs>
        <w:tab w:val="left" w:pos="180"/>
      </w:tabs>
      <w:spacing w:beforeLines="50" w:afterLines="50"/>
      <w:jc w:val="center"/>
    </w:pPr>
    <w:rPr>
      <w:rFonts w:ascii="黑体" w:eastAsia="黑体"/>
      <w:szCs w:val="21"/>
    </w:rPr>
  </w:style>
  <w:style w:type="paragraph" w:customStyle="1" w:styleId="162">
    <w:name w:val="附录二级无"/>
    <w:basedOn w:val="104"/>
    <w:qFormat/>
    <w:uiPriority w:val="0"/>
    <w:pPr>
      <w:tabs>
        <w:tab w:val="clear" w:pos="360"/>
      </w:tabs>
      <w:spacing w:beforeLines="0" w:afterLines="0"/>
    </w:pPr>
    <w:rPr>
      <w:rFonts w:ascii="宋体" w:eastAsia="宋体"/>
      <w:szCs w:val="21"/>
    </w:rPr>
  </w:style>
  <w:style w:type="paragraph" w:customStyle="1" w:styleId="163">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64">
    <w:name w:val="封面标准英文名称2"/>
    <w:basedOn w:val="71"/>
    <w:qFormat/>
    <w:uiPriority w:val="0"/>
    <w:pPr>
      <w:framePr w:w="9639" w:h="6917" w:hRule="exact" w:wrap="around" w:vAnchor="page" w:hAnchor="page" w:xAlign="center" w:y="4469" w:anchorLock="1"/>
      <w:textAlignment w:val="center"/>
    </w:pPr>
    <w:rPr>
      <w:rFonts w:eastAsia="黑体"/>
      <w:szCs w:val="28"/>
    </w:rPr>
  </w:style>
  <w:style w:type="paragraph" w:customStyle="1" w:styleId="16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66">
    <w:name w:val="封面标准名称2"/>
    <w:basedOn w:val="73"/>
    <w:qFormat/>
    <w:uiPriority w:val="0"/>
    <w:pPr>
      <w:framePr w:y="4469"/>
      <w:spacing w:beforeLines="630"/>
    </w:pPr>
  </w:style>
  <w:style w:type="paragraph" w:customStyle="1" w:styleId="167">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68">
    <w:name w:val="附录五级无"/>
    <w:basedOn w:val="153"/>
    <w:qFormat/>
    <w:uiPriority w:val="0"/>
    <w:pPr>
      <w:tabs>
        <w:tab w:val="clear" w:pos="360"/>
      </w:tabs>
      <w:spacing w:beforeLines="0" w:afterLines="0"/>
    </w:pPr>
    <w:rPr>
      <w:rFonts w:ascii="宋体" w:eastAsia="宋体"/>
      <w:szCs w:val="21"/>
    </w:rPr>
  </w:style>
  <w:style w:type="paragraph" w:customStyle="1" w:styleId="169">
    <w:name w:val="其他发布部门"/>
    <w:basedOn w:val="136"/>
    <w:qFormat/>
    <w:uiPriority w:val="0"/>
    <w:pPr>
      <w:framePr w:y="15310"/>
      <w:spacing w:line="0" w:lineRule="atLeast"/>
    </w:pPr>
    <w:rPr>
      <w:rFonts w:ascii="黑体" w:eastAsia="黑体"/>
      <w:b w:val="0"/>
    </w:rPr>
  </w:style>
  <w:style w:type="paragraph" w:customStyle="1" w:styleId="170">
    <w:name w:val="一级无"/>
    <w:basedOn w:val="74"/>
    <w:qFormat/>
    <w:uiPriority w:val="0"/>
    <w:pPr>
      <w:spacing w:beforeLines="0" w:afterLines="0"/>
      <w:ind w:left="568"/>
    </w:pPr>
    <w:rPr>
      <w:rFonts w:ascii="宋体" w:eastAsia="宋体"/>
    </w:rPr>
  </w:style>
  <w:style w:type="character" w:customStyle="1" w:styleId="171">
    <w:name w:val="发布"/>
    <w:basedOn w:val="32"/>
    <w:qFormat/>
    <w:uiPriority w:val="0"/>
    <w:rPr>
      <w:rFonts w:ascii="黑体" w:eastAsia="黑体"/>
      <w:spacing w:val="85"/>
      <w:w w:val="100"/>
      <w:position w:val="3"/>
      <w:sz w:val="28"/>
      <w:szCs w:val="28"/>
    </w:rPr>
  </w:style>
  <w:style w:type="paragraph" w:customStyle="1" w:styleId="172">
    <w:name w:val="p0"/>
    <w:basedOn w:val="1"/>
    <w:qFormat/>
    <w:uiPriority w:val="0"/>
    <w:pPr>
      <w:widowControl/>
    </w:pPr>
    <w:rPr>
      <w:kern w:val="0"/>
      <w:szCs w:val="21"/>
    </w:rPr>
  </w:style>
  <w:style w:type="paragraph" w:customStyle="1" w:styleId="173">
    <w:name w:val="font7"/>
    <w:basedOn w:val="1"/>
    <w:qFormat/>
    <w:uiPriority w:val="0"/>
    <w:pPr>
      <w:widowControl/>
      <w:spacing w:before="100" w:beforeAutospacing="1" w:after="100" w:afterAutospacing="1"/>
      <w:jc w:val="left"/>
    </w:pPr>
    <w:rPr>
      <w:color w:val="000000"/>
      <w:kern w:val="0"/>
      <w:sz w:val="18"/>
      <w:szCs w:val="18"/>
    </w:rPr>
  </w:style>
  <w:style w:type="paragraph" w:customStyle="1" w:styleId="174">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75">
    <w:name w:val="font9"/>
    <w:basedOn w:val="1"/>
    <w:qFormat/>
    <w:uiPriority w:val="0"/>
    <w:pPr>
      <w:widowControl/>
      <w:spacing w:before="100" w:beforeAutospacing="1" w:after="100" w:afterAutospacing="1"/>
      <w:jc w:val="left"/>
    </w:pPr>
    <w:rPr>
      <w:color w:val="000000"/>
      <w:kern w:val="0"/>
      <w:szCs w:val="21"/>
    </w:rPr>
  </w:style>
  <w:style w:type="paragraph" w:customStyle="1" w:styleId="176">
    <w:name w:val="font10"/>
    <w:basedOn w:val="1"/>
    <w:qFormat/>
    <w:uiPriority w:val="0"/>
    <w:pPr>
      <w:widowControl/>
      <w:spacing w:before="100" w:beforeAutospacing="1" w:after="100" w:afterAutospacing="1"/>
      <w:jc w:val="left"/>
    </w:pPr>
    <w:rPr>
      <w:rFonts w:ascii="宋体" w:hAnsi="宋体" w:cs="宋体"/>
      <w:color w:val="0000FF"/>
      <w:kern w:val="0"/>
      <w:sz w:val="22"/>
      <w:szCs w:val="22"/>
      <w:u w:val="single"/>
    </w:rPr>
  </w:style>
  <w:style w:type="paragraph" w:customStyle="1" w:styleId="17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18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8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18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1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8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18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8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88">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89">
    <w:name w:val="xl8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90">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1">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color w:val="000000"/>
      <w:kern w:val="0"/>
      <w:szCs w:val="21"/>
    </w:rPr>
  </w:style>
  <w:style w:type="paragraph" w:customStyle="1" w:styleId="192">
    <w:name w:val="xl88"/>
    <w:basedOn w:val="1"/>
    <w:qFormat/>
    <w:uiPriority w:val="0"/>
    <w:pPr>
      <w:widowControl/>
      <w:pBdr>
        <w:top w:val="single" w:color="auto" w:sz="4" w:space="0"/>
        <w:bottom w:val="single" w:color="auto" w:sz="4" w:space="0"/>
      </w:pBdr>
      <w:spacing w:before="100" w:beforeAutospacing="1" w:after="100" w:afterAutospacing="1"/>
      <w:jc w:val="center"/>
    </w:pPr>
    <w:rPr>
      <w:color w:val="000000"/>
      <w:kern w:val="0"/>
      <w:szCs w:val="21"/>
    </w:rPr>
  </w:style>
  <w:style w:type="paragraph" w:customStyle="1" w:styleId="19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1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5">
    <w:name w:val="_Style 2"/>
    <w:basedOn w:val="1"/>
    <w:qFormat/>
    <w:uiPriority w:val="34"/>
    <w:pPr>
      <w:ind w:firstLine="420"/>
    </w:pPr>
  </w:style>
  <w:style w:type="paragraph" w:customStyle="1" w:styleId="196">
    <w:name w:val="样式1"/>
    <w:basedOn w:val="1"/>
    <w:qFormat/>
    <w:uiPriority w:val="0"/>
    <w:pPr>
      <w:tabs>
        <w:tab w:val="left" w:pos="525"/>
      </w:tabs>
    </w:pPr>
    <w:rPr>
      <w:rFonts w:ascii="宋体" w:hAnsi="宋体"/>
      <w:szCs w:val="21"/>
    </w:rPr>
  </w:style>
  <w:style w:type="paragraph" w:customStyle="1" w:styleId="19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9">
    <w:name w:val="font0"/>
    <w:basedOn w:val="1"/>
    <w:qFormat/>
    <w:uiPriority w:val="0"/>
    <w:pPr>
      <w:widowControl/>
      <w:spacing w:before="100" w:beforeAutospacing="1" w:after="100" w:afterAutospacing="1"/>
      <w:jc w:val="left"/>
    </w:pPr>
    <w:rPr>
      <w:rFonts w:ascii="宋体" w:hAnsi="宋体" w:cs="宋体"/>
      <w:kern w:val="0"/>
      <w:sz w:val="24"/>
    </w:rPr>
  </w:style>
  <w:style w:type="character" w:customStyle="1" w:styleId="200">
    <w:name w:val="font21"/>
    <w:basedOn w:val="3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4AFB89-68B3-4253-B640-46C149BF269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14525</Words>
  <Characters>15844</Characters>
  <Lines>71</Lines>
  <Paragraphs>20</Paragraphs>
  <TotalTime>10</TotalTime>
  <ScaleCrop>false</ScaleCrop>
  <LinksUpToDate>false</LinksUpToDate>
  <CharactersWithSpaces>16136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2025-10-10T13:29:00Z</dcterms:created>
  <dc:creator>微软用户</dc:creator>
  <cp:lastModifiedBy>LPF</cp:lastModifiedBy>
  <dcterms:modified xsi:type="dcterms:W3CDTF">2025-10-11T03:40:12Z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7568D77C6DD44982A9121E49D14F0D8B_13</vt:lpwstr>
  </property>
  <property fmtid="{D5CDD505-2E9C-101B-9397-08002B2CF9AE}" pid="4" name="KSOTemplateDocerSaveRecord">
    <vt:lpwstr>eyJoZGlkIjoiMzQ5MGZlOTMzNzRiYWQ4NDNiNzA0OGQ3OGFmZTc2ZjkiLCJ1c2VySWQiOiIzOTE1NDY2MDgifQ==</vt:lpwstr>
  </property>
</Properties>
</file>