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C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9"/>
        <w:jc w:val="left"/>
        <w:textAlignment w:val="auto"/>
        <w:rPr>
          <w:rFonts w:hint="eastAsia" w:ascii="宋体" w:hAnsi="宋体" w:eastAsia="宋体" w:cs="宋体"/>
          <w:b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附件1：</w:t>
      </w:r>
    </w:p>
    <w:p w14:paraId="1BD82E76">
      <w:pPr>
        <w:widowControl/>
        <w:spacing w:line="454" w:lineRule="atLeast"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申报有色金属行业计量先进工作者基本条件</w:t>
      </w:r>
    </w:p>
    <w:p w14:paraId="6DE1DA7C">
      <w:pPr>
        <w:widowControl/>
        <w:numPr>
          <w:ilvl w:val="0"/>
          <w:numId w:val="1"/>
        </w:numPr>
        <w:spacing w:line="454" w:lineRule="atLeas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候选人应为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有色金属行业计量技术委员会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委员，或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kern w:val="0"/>
          <w:sz w:val="28"/>
          <w:szCs w:val="28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计量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工作者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每个单位限报一人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695827DA">
      <w:pPr>
        <w:widowControl/>
        <w:numPr>
          <w:ilvl w:val="0"/>
          <w:numId w:val="1"/>
        </w:numPr>
        <w:spacing w:line="454" w:lineRule="atLeast"/>
        <w:ind w:left="0"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年承担至少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项行业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计量技术规范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起草工作或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参与</w:t>
      </w:r>
      <w:r>
        <w:rPr>
          <w:rFonts w:hint="eastAsia" w:ascii="宋体" w:hAnsi="宋体" w:eastAsia="宋体" w:cs="宋体"/>
          <w:kern w:val="0"/>
          <w:sz w:val="28"/>
          <w:szCs w:val="28"/>
        </w:rPr>
        <w:t>多项行业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计量技术规范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起草工作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7CD7A614">
      <w:pPr>
        <w:widowControl/>
        <w:numPr>
          <w:ilvl w:val="0"/>
          <w:numId w:val="1"/>
        </w:numPr>
        <w:spacing w:line="454" w:lineRule="atLeast"/>
        <w:ind w:left="0"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积极参与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有色计量委</w:t>
      </w:r>
      <w:r>
        <w:rPr>
          <w:rFonts w:hint="eastAsia" w:ascii="宋体" w:hAnsi="宋体" w:eastAsia="宋体" w:cs="宋体"/>
          <w:kern w:val="0"/>
          <w:sz w:val="28"/>
          <w:szCs w:val="28"/>
        </w:rPr>
        <w:t>组织的相关会议，作为主审人在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本年</w:t>
      </w:r>
      <w:r>
        <w:rPr>
          <w:rFonts w:hint="eastAsia" w:ascii="宋体" w:hAnsi="宋体" w:eastAsia="宋体" w:cs="宋体"/>
          <w:kern w:val="0"/>
          <w:sz w:val="28"/>
          <w:szCs w:val="28"/>
        </w:rPr>
        <w:t>度主审过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计量技术规范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的人员优先考虑。</w:t>
      </w:r>
    </w:p>
    <w:p w14:paraId="592CF1C1">
      <w:pPr>
        <w:widowControl/>
        <w:numPr>
          <w:ilvl w:val="0"/>
          <w:numId w:val="1"/>
        </w:numPr>
        <w:spacing w:line="454" w:lineRule="atLeast"/>
        <w:ind w:left="0"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积极协助其他起草单位开展行业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计量技术规范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制修订工作。</w:t>
      </w:r>
    </w:p>
    <w:p w14:paraId="475D53B9">
      <w:pPr>
        <w:widowControl/>
        <w:numPr>
          <w:ilvl w:val="0"/>
          <w:numId w:val="1"/>
        </w:numPr>
        <w:spacing w:line="454" w:lineRule="atLeast"/>
        <w:ind w:left="0"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积极支持、参与和承担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有色计量委</w:t>
      </w:r>
      <w:r>
        <w:rPr>
          <w:rFonts w:hint="eastAsia" w:ascii="宋体" w:hAnsi="宋体" w:eastAsia="宋体" w:cs="宋体"/>
          <w:kern w:val="0"/>
          <w:sz w:val="28"/>
          <w:szCs w:val="28"/>
        </w:rPr>
        <w:t>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工作。</w:t>
      </w:r>
    </w:p>
    <w:p w14:paraId="33352F2A"/>
    <w:p w14:paraId="2730CA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3A9EA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9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附件2：</w:t>
      </w:r>
    </w:p>
    <w:p w14:paraId="58B18D9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有色金属行业计量先进工作者申报表</w:t>
      </w:r>
    </w:p>
    <w:p w14:paraId="59200BF1">
      <w:pPr>
        <w:tabs>
          <w:tab w:val="left" w:pos="1727"/>
          <w:tab w:val="left" w:pos="3348"/>
          <w:tab w:val="left" w:pos="4935"/>
        </w:tabs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候选人姓名：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ab/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512"/>
      </w:tblGrid>
      <w:tr w14:paraId="66558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598FF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314796E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7512" w:type="dxa"/>
            <w:tcBorders>
              <w:bottom w:val="single" w:color="auto" w:sz="4" w:space="0"/>
            </w:tcBorders>
          </w:tcPr>
          <w:p w14:paraId="4CBC08A6">
            <w:pPr>
              <w:spacing w:line="43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起草</w:t>
            </w:r>
            <w:r>
              <w:rPr>
                <w:rFonts w:hint="eastAsia"/>
                <w:sz w:val="24"/>
                <w:lang w:val="en-US" w:eastAsia="zh-CN"/>
              </w:rPr>
              <w:t>计量规范</w:t>
            </w:r>
            <w:r>
              <w:rPr>
                <w:rFonts w:hint="eastAsia"/>
                <w:sz w:val="24"/>
              </w:rPr>
              <w:t>名称（排序）：</w:t>
            </w:r>
          </w:p>
          <w:p w14:paraId="34508CCF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  <w:p w14:paraId="73B4AAA5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  <w:p w14:paraId="5BEB95C9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  <w:p w14:paraId="6CB645F0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  <w:p w14:paraId="38C519E7">
            <w:pPr>
              <w:spacing w:line="43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5BDDDD22">
            <w:pPr>
              <w:spacing w:line="43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5360B5E4">
            <w:pPr>
              <w:spacing w:line="43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计量规范</w:t>
            </w:r>
            <w:r>
              <w:rPr>
                <w:rFonts w:hint="eastAsia" w:ascii="宋体" w:hAnsi="宋体" w:eastAsia="宋体" w:cs="宋体"/>
                <w:sz w:val="24"/>
              </w:rPr>
              <w:t>会议名称与时间（是否作为主审人）：</w:t>
            </w:r>
          </w:p>
          <w:p w14:paraId="510CD881">
            <w:pPr>
              <w:spacing w:line="432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  <w:p w14:paraId="2AFD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  <w:p w14:paraId="09DD435D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  <w:p w14:paraId="54D59756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  <w:p w14:paraId="55711CF0">
            <w:pPr>
              <w:spacing w:line="43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7FE91F56">
            <w:pPr>
              <w:spacing w:line="43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3230E73E">
            <w:pPr>
              <w:spacing w:line="43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工作内容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621CB387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  <w:p w14:paraId="00B7A84C">
            <w:pPr>
              <w:spacing w:line="432" w:lineRule="auto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  <w:p w14:paraId="3575DB4D">
            <w:pPr>
              <w:spacing w:line="432" w:lineRule="auto"/>
              <w:ind w:firstLine="480"/>
              <w:rPr>
                <w:sz w:val="24"/>
              </w:rPr>
            </w:pPr>
          </w:p>
        </w:tc>
      </w:tr>
      <w:tr w14:paraId="2218E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 w14:paraId="188E2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7512" w:type="dxa"/>
            <w:tcBorders>
              <w:top w:val="single" w:color="auto" w:sz="4" w:space="0"/>
            </w:tcBorders>
          </w:tcPr>
          <w:p w14:paraId="3BDCDDFD">
            <w:pPr>
              <w:rPr>
                <w:sz w:val="24"/>
              </w:rPr>
            </w:pPr>
          </w:p>
          <w:p w14:paraId="47140F0E">
            <w:pPr>
              <w:rPr>
                <w:sz w:val="24"/>
              </w:rPr>
            </w:pPr>
          </w:p>
          <w:p w14:paraId="08BA2D61">
            <w:pPr>
              <w:rPr>
                <w:sz w:val="24"/>
              </w:rPr>
            </w:pPr>
          </w:p>
          <w:p w14:paraId="24F1611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14:paraId="3C2224EB">
            <w:pPr>
              <w:jc w:val="right"/>
              <w:rPr>
                <w:sz w:val="24"/>
              </w:rPr>
            </w:pPr>
          </w:p>
          <w:p w14:paraId="6ECD929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</w:tbl>
    <w:p w14:paraId="0537A3B8">
      <w:pPr>
        <w:jc w:val="left"/>
      </w:pPr>
    </w:p>
    <w:p w14:paraId="187D016A">
      <w:bookmarkStart w:id="0" w:name="_GoBack"/>
      <w:bookmarkEnd w:id="0"/>
    </w:p>
    <w:sectPr>
      <w:pgSz w:w="11906" w:h="16838"/>
      <w:pgMar w:top="1304" w:right="1588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D9399"/>
    <w:multiLevelType w:val="singleLevel"/>
    <w:tmpl w:val="D4BD93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B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2025-10-15T09:37:36Z</dcterms:created>
  <dc:creator>10699</dc:creator>
  <cp:lastModifiedBy>ECHO</cp:lastModifiedBy>
  <dcterms:modified xsi:type="dcterms:W3CDTF">2025-10-15T09:37:42Z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FCC80B5B1554478EA0C4D0159B2564A1_12</vt:lpwstr>
  </property>
</Properties>
</file>