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2871">
      <w:pPr>
        <w:pStyle w:val="32"/>
        <w:adjustRightInd w:val="0"/>
        <w:spacing w:before="0" w:line="360" w:lineRule="auto"/>
        <w:rPr>
          <w:rFonts w:cs="宋体"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cs="宋体" w:asciiTheme="minorEastAsia" w:hAnsiTheme="minorEastAsia" w:eastAsiaTheme="minorEastAsia"/>
          <w:b/>
          <w:color w:val="auto"/>
          <w:sz w:val="32"/>
          <w:szCs w:val="32"/>
        </w:rPr>
        <w:t>铜</w:t>
      </w:r>
      <w:r>
        <w:rPr>
          <w:rFonts w:hint="eastAsia" w:cs="宋体" w:asciiTheme="minorEastAsia" w:hAnsiTheme="minorEastAsia" w:eastAsiaTheme="minorEastAsia"/>
          <w:b/>
          <w:color w:val="auto"/>
          <w:sz w:val="32"/>
          <w:szCs w:val="32"/>
          <w:lang w:val="en-US" w:eastAsia="zh-CN"/>
        </w:rPr>
        <w:t>加工</w:t>
      </w:r>
      <w:r>
        <w:rPr>
          <w:rFonts w:hint="eastAsia" w:cs="宋体" w:asciiTheme="minorEastAsia" w:hAnsiTheme="minorEastAsia" w:eastAsiaTheme="minorEastAsia"/>
          <w:b/>
          <w:color w:val="auto"/>
          <w:sz w:val="32"/>
          <w:szCs w:val="32"/>
        </w:rPr>
        <w:t>企业</w:t>
      </w:r>
      <w:r>
        <w:rPr>
          <w:rFonts w:hint="eastAsia" w:asciiTheme="minorEastAsia" w:hAnsiTheme="minorEastAsia" w:eastAsiaTheme="minorEastAsia"/>
          <w:b/>
          <w:color w:val="auto"/>
          <w:sz w:val="32"/>
          <w:szCs w:val="32"/>
        </w:rPr>
        <w:t>温室气体</w:t>
      </w:r>
      <w:r>
        <w:rPr>
          <w:rFonts w:hint="eastAsia" w:cs="宋体" w:asciiTheme="minorEastAsia" w:hAnsiTheme="minorEastAsia" w:eastAsiaTheme="minorEastAsia"/>
          <w:b/>
          <w:color w:val="auto"/>
          <w:sz w:val="32"/>
          <w:szCs w:val="32"/>
        </w:rPr>
        <w:t>排放核算与报告要求</w:t>
      </w:r>
      <w:r>
        <w:rPr>
          <w:rFonts w:hint="eastAsia" w:asciiTheme="minorEastAsia" w:hAnsiTheme="minorEastAsia" w:eastAsiaTheme="minorEastAsia"/>
          <w:b/>
          <w:color w:val="auto"/>
          <w:sz w:val="32"/>
          <w:szCs w:val="32"/>
        </w:rPr>
        <w:t>》</w:t>
      </w:r>
    </w:p>
    <w:p w14:paraId="20136224">
      <w:pPr>
        <w:pStyle w:val="32"/>
        <w:adjustRightInd w:val="0"/>
        <w:spacing w:before="0" w:line="360" w:lineRule="auto"/>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val="en-US" w:eastAsia="zh-CN"/>
        </w:rPr>
        <w:t>讨论</w:t>
      </w:r>
      <w:r>
        <w:rPr>
          <w:rFonts w:hint="eastAsia" w:asciiTheme="minorEastAsia" w:hAnsiTheme="minorEastAsia" w:eastAsiaTheme="minorEastAsia"/>
          <w:b/>
          <w:color w:val="auto"/>
          <w:sz w:val="32"/>
          <w:szCs w:val="32"/>
        </w:rPr>
        <w:t>稿）编制说明</w:t>
      </w:r>
    </w:p>
    <w:p w14:paraId="5DB52C79">
      <w:pPr>
        <w:snapToGrid/>
        <w:spacing w:after="0" w:line="360" w:lineRule="auto"/>
        <w:outlineLvl w:val="0"/>
        <w:rPr>
          <w:rFonts w:hint="eastAsia" w:ascii="宋体" w:hAnsi="宋体" w:eastAsia="宋体" w:cs="宋体"/>
          <w:b/>
          <w:bCs w:val="0"/>
          <w:color w:val="auto"/>
          <w:kern w:val="44"/>
          <w:sz w:val="21"/>
          <w:szCs w:val="21"/>
        </w:rPr>
      </w:pPr>
      <w:r>
        <w:rPr>
          <w:rFonts w:hint="eastAsia" w:ascii="宋体" w:hAnsi="宋体" w:eastAsia="宋体" w:cs="宋体"/>
          <w:b/>
          <w:bCs w:val="0"/>
          <w:color w:val="auto"/>
          <w:kern w:val="44"/>
          <w:sz w:val="21"/>
          <w:szCs w:val="21"/>
          <w:lang w:val="en-US" w:eastAsia="zh-CN"/>
        </w:rPr>
        <w:t>一、</w:t>
      </w:r>
      <w:r>
        <w:rPr>
          <w:rFonts w:hint="eastAsia" w:ascii="宋体" w:hAnsi="宋体" w:eastAsia="宋体" w:cs="宋体"/>
          <w:b/>
          <w:bCs w:val="0"/>
          <w:color w:val="auto"/>
          <w:kern w:val="44"/>
          <w:sz w:val="21"/>
          <w:szCs w:val="21"/>
        </w:rPr>
        <w:t>工作简况</w:t>
      </w:r>
    </w:p>
    <w:p w14:paraId="76B4B49D">
      <w:pPr>
        <w:keepNext w:val="0"/>
        <w:keepLines w:val="0"/>
        <w:pageBreakBefore w:val="0"/>
        <w:widowControl/>
        <w:kinsoku/>
        <w:wordWrap/>
        <w:overflowPunct/>
        <w:topLinePunct w:val="0"/>
        <w:autoSpaceDE/>
        <w:autoSpaceDN/>
        <w:bidi w:val="0"/>
        <w:adjustRightInd w:val="0"/>
        <w:snapToGrid w:val="0"/>
        <w:spacing w:before="181" w:beforeLines="50" w:afterLines="50" w:line="360" w:lineRule="auto"/>
        <w:textAlignment w:val="auto"/>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1.1任务来源</w:t>
      </w:r>
    </w:p>
    <w:p w14:paraId="530056C6">
      <w:pPr>
        <w:widowControl w:val="0"/>
        <w:spacing w:after="0" w:line="360" w:lineRule="auto"/>
        <w:ind w:firstLine="420" w:firstLineChars="200"/>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为推进实现碳达峰碳中和的目标和愿景，全面落实《有色金属行业碳达峰实施方案》和《工业领域碳达峰碳中和标准体系建设指南》的工作要求，完善有色金属工业节能与绿色标准化工作体系，促进有色金属行业绿色、低碳、高质量发展，由洛阳铜加工提出，2024年10月在重庆市召开的有色金属行业低碳标准大会上《铜加工企业温室气体排放核算与报告要求》标准通过论证，</w:t>
      </w:r>
      <w:r>
        <w:rPr>
          <w:rFonts w:hint="eastAsia" w:ascii="宋体" w:hAnsi="宋体" w:eastAsia="宋体" w:cs="宋体"/>
          <w:color w:val="auto"/>
          <w:sz w:val="21"/>
          <w:szCs w:val="21"/>
        </w:rPr>
        <w:t>根据</w:t>
      </w:r>
      <w:r>
        <w:rPr>
          <w:rFonts w:hint="eastAsia" w:ascii="Times New Roman" w:hAnsi="Times New Roman" w:cs="Times New Roman" w:eastAsiaTheme="minorEastAsia"/>
          <w:color w:val="auto"/>
          <w:sz w:val="21"/>
          <w:szCs w:val="21"/>
          <w:lang w:val="en-US" w:eastAsia="zh-CN"/>
        </w:rPr>
        <w:t>色标委[2025]27号《关于转发2025年有色金属国家标准外文版、行业标准、团体标准项目计划并征集起草单位的通知》，《铜加工企业温室气体排放核算与报告要求》</w:t>
      </w:r>
      <w:r>
        <w:rPr>
          <w:rFonts w:hint="eastAsia" w:ascii="宋体" w:hAnsi="宋体" w:eastAsia="宋体" w:cs="宋体"/>
          <w:color w:val="auto"/>
          <w:sz w:val="21"/>
          <w:szCs w:val="21"/>
          <w:lang w:val="en-US" w:eastAsia="zh-CN"/>
        </w:rPr>
        <w:t>协会</w:t>
      </w:r>
      <w:r>
        <w:rPr>
          <w:rFonts w:hint="eastAsia" w:ascii="宋体" w:hAnsi="宋体" w:eastAsia="宋体" w:cs="宋体"/>
          <w:color w:val="auto"/>
          <w:sz w:val="21"/>
          <w:szCs w:val="21"/>
        </w:rPr>
        <w:t>标准获批立项，项目计划号 “</w:t>
      </w:r>
      <w:r>
        <w:rPr>
          <w:rFonts w:hint="eastAsia" w:ascii="Times New Roman" w:hAnsi="Times New Roman" w:cs="Times New Roman" w:eastAsiaTheme="minorEastAsia"/>
          <w:color w:val="auto"/>
          <w:sz w:val="21"/>
          <w:szCs w:val="21"/>
          <w:lang w:val="en-US" w:eastAsia="zh-CN"/>
        </w:rPr>
        <w:t>2025-021-T/CNIA</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Times New Roman" w:hAnsi="Times New Roman" w:cs="Times New Roman" w:eastAsiaTheme="minorEastAsia"/>
          <w:color w:val="auto"/>
          <w:sz w:val="21"/>
          <w:szCs w:val="21"/>
          <w:lang w:val="en-US" w:eastAsia="zh-CN"/>
        </w:rPr>
        <w:t>由中铝洛阳铜加工有限公司等单位起草，完成时间2026年9月。</w:t>
      </w:r>
    </w:p>
    <w:p w14:paraId="36EC9C0C">
      <w:pPr>
        <w:keepNext w:val="0"/>
        <w:keepLines w:val="0"/>
        <w:pageBreakBefore w:val="0"/>
        <w:widowControl/>
        <w:kinsoku/>
        <w:wordWrap/>
        <w:overflowPunct/>
        <w:topLinePunct w:val="0"/>
        <w:autoSpaceDE/>
        <w:autoSpaceDN/>
        <w:bidi w:val="0"/>
        <w:adjustRightInd w:val="0"/>
        <w:snapToGrid w:val="0"/>
        <w:spacing w:before="181" w:beforeLines="50" w:afterLines="50" w:line="360" w:lineRule="auto"/>
        <w:textAlignment w:val="auto"/>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1.2目的和意义</w:t>
      </w:r>
    </w:p>
    <w:p w14:paraId="0A24FBB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2020年9月习主席在第75届联合国大会宣布“中国将力争于2030年前实现碳达峰、2060年前实现碳中和”。为推动温室气体减排，规范碳排放权及相关活动，生态环境部2020年12月发布实施《碳排放权交易管理办法》（部令第19号），规定温室气体重点排放单位应当控制温室气体排放，报告碳排放数据，清缴碳排放配额。</w:t>
      </w:r>
    </w:p>
    <w:p w14:paraId="77431ED1">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为深入贯彻落实《中共中央国务院关于完整准确全面贯彻新发展理念做好碳达峰碳中和工作的意见》、《国家标准化发展纲要》、《“十四五”推动高质量发展的国家标准体系建设规划》、《2030年前碳达峰行动方案》、《“十四五”工业绿色发展规划》、《有色金属行业碳达峰实施方案》等的工作部署，提升产业标准化水平、完善绿色发展标准化保障等部署要求，推动标准化工程和行动的落地，健全碳达峰、碳中和标准体系，我国《“十四五”节能减排综合工作方案》、《“十四五”原材料工业发展规划（2021-2025年）》、《“十四五”智能制造发展规划》等政策的实施及环保法律制度进一步的完善对有色金属行业绿色发展要求越来越高，产业优化重组和行业集中度将会进一步加大和提升。</w:t>
      </w:r>
    </w:p>
    <w:p w14:paraId="1FCBFEA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双碳目标要求建立健全绿色低碳循环发展的经济体系；十四五”期间二氧化碳排放降低18%。铜加工产品由于其优异性能，广泛应用于航空航天、电力、通讯、海洋工程等领域，巨大的消费能力及应用需求，推动了我国铜加工行业发展，铜加工产品作为国民经济发展与应用中的重要产品之一，也是附加值较高的产品，对铜加工制造碳排放核算和控制、绿色制造非常必要。</w:t>
      </w:r>
    </w:p>
    <w:p w14:paraId="257C77EB">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针对铜加工和碳排放现状，确定铜加工企业温室气体排放核算边界、核算步骤、核算方法和报告要求等，提升企业温室气体碳排放管理和控制水平、降低排放量，为实现双碳目标提供支撑。本标准的制定，可以对铜加工企业碳排放核算提供指导，引导和规范企业降低能耗和碳排放，促进企业高质量、绿色发展。本标准的实施可加强对企业温室气体排放更加精确的了解与管理，通过核查可以清晰地了解企业排放源、排放量及变化趋势，为制定科学有效的减排策略提供基础；‌促进企业</w:t>
      </w:r>
      <w:r>
        <w:rPr>
          <w:rFonts w:hint="default" w:ascii="Times New Roman" w:hAnsi="Times New Roman" w:cs="Times New Roman" w:eastAsiaTheme="minorEastAsia"/>
          <w:color w:val="auto"/>
          <w:sz w:val="21"/>
          <w:szCs w:val="21"/>
          <w:lang w:val="en-US" w:eastAsia="zh-CN"/>
        </w:rPr>
        <w:t>减排</w:t>
      </w:r>
      <w:r>
        <w:rPr>
          <w:rFonts w:hint="eastAsia" w:ascii="Times New Roman" w:hAnsi="Times New Roman" w:cs="Times New Roman" w:eastAsiaTheme="minorEastAsia"/>
          <w:color w:val="auto"/>
          <w:sz w:val="21"/>
          <w:szCs w:val="21"/>
          <w:lang w:val="en-US" w:eastAsia="zh-CN"/>
        </w:rPr>
        <w:t>和低碳转型，准确的温室气体核算报告能够</w:t>
      </w:r>
      <w:r>
        <w:rPr>
          <w:rFonts w:hint="default" w:ascii="Times New Roman" w:hAnsi="Times New Roman" w:cs="Times New Roman" w:eastAsiaTheme="minorEastAsia"/>
          <w:color w:val="auto"/>
          <w:sz w:val="21"/>
          <w:szCs w:val="21"/>
          <w:lang w:val="en-US" w:eastAsia="zh-CN"/>
        </w:rPr>
        <w:t>有助于制定更有效的减排策略和目标，</w:t>
      </w:r>
      <w:r>
        <w:rPr>
          <w:rFonts w:hint="eastAsia" w:ascii="Times New Roman" w:hAnsi="Times New Roman" w:cs="Times New Roman" w:eastAsiaTheme="minorEastAsia"/>
          <w:color w:val="auto"/>
          <w:sz w:val="21"/>
          <w:szCs w:val="21"/>
          <w:lang w:val="en-US" w:eastAsia="zh-CN"/>
        </w:rPr>
        <w:t>提高企业市场竞争力，</w:t>
      </w:r>
      <w:r>
        <w:rPr>
          <w:rFonts w:hint="default" w:ascii="Times New Roman" w:hAnsi="Times New Roman" w:cs="Times New Roman" w:eastAsiaTheme="minorEastAsia"/>
          <w:color w:val="auto"/>
          <w:sz w:val="21"/>
          <w:szCs w:val="21"/>
          <w:lang w:val="en-US" w:eastAsia="zh-CN"/>
        </w:rPr>
        <w:t>推动</w:t>
      </w:r>
      <w:r>
        <w:rPr>
          <w:rFonts w:hint="eastAsia" w:ascii="Times New Roman" w:hAnsi="Times New Roman" w:cs="Times New Roman" w:eastAsiaTheme="minorEastAsia"/>
          <w:color w:val="auto"/>
          <w:sz w:val="21"/>
          <w:szCs w:val="21"/>
          <w:lang w:val="en-US" w:eastAsia="zh-CN"/>
        </w:rPr>
        <w:t>企业</w:t>
      </w:r>
      <w:r>
        <w:rPr>
          <w:rFonts w:hint="default" w:ascii="Times New Roman" w:hAnsi="Times New Roman" w:cs="Times New Roman" w:eastAsiaTheme="minorEastAsia"/>
          <w:color w:val="auto"/>
          <w:sz w:val="21"/>
          <w:szCs w:val="21"/>
          <w:lang w:val="en-US" w:eastAsia="zh-CN"/>
        </w:rPr>
        <w:t>减排行动的实现‌</w:t>
      </w:r>
      <w:r>
        <w:rPr>
          <w:rFonts w:hint="eastAsia" w:ascii="Times New Roman" w:hAnsi="Times New Roman" w:cs="Times New Roman" w:eastAsiaTheme="minorEastAsia"/>
          <w:color w:val="auto"/>
          <w:sz w:val="21"/>
          <w:szCs w:val="21"/>
          <w:lang w:val="en-US" w:eastAsia="zh-CN"/>
        </w:rPr>
        <w:t>，助力双碳目标的实现。</w:t>
      </w:r>
    </w:p>
    <w:p w14:paraId="486899C2">
      <w:pPr>
        <w:pStyle w:val="8"/>
        <w:spacing w:beforeLines="50" w:afterLines="50" w:line="360" w:lineRule="auto"/>
        <w:rPr>
          <w:rFonts w:hint="eastAsia" w:ascii="宋体" w:hAnsi="宋体" w:eastAsia="宋体" w:cs="宋体"/>
          <w:b/>
          <w:bCs/>
          <w:color w:val="auto"/>
          <w:sz w:val="21"/>
          <w:szCs w:val="21"/>
        </w:rPr>
      </w:pPr>
      <w:bookmarkStart w:id="0" w:name="_Toc109980015"/>
      <w:bookmarkStart w:id="1" w:name="_Toc110463621"/>
      <w:r>
        <w:rPr>
          <w:rFonts w:hint="eastAsia" w:ascii="宋体" w:hAnsi="宋体" w:eastAsia="宋体" w:cs="宋体"/>
          <w:b/>
          <w:bCs/>
          <w:color w:val="auto"/>
          <w:sz w:val="21"/>
          <w:szCs w:val="21"/>
        </w:rPr>
        <w:t>1.3</w:t>
      </w:r>
      <w:bookmarkEnd w:id="0"/>
      <w:bookmarkEnd w:id="1"/>
      <w:r>
        <w:rPr>
          <w:rFonts w:hint="eastAsia" w:ascii="黑体" w:hAnsi="宋体" w:eastAsia="黑体"/>
          <w:bCs/>
          <w:color w:val="auto"/>
          <w:sz w:val="21"/>
          <w:szCs w:val="21"/>
          <w:highlight w:val="none"/>
        </w:rPr>
        <w:t>项目编制组及其技术基础</w:t>
      </w:r>
    </w:p>
    <w:p w14:paraId="1B61A0E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1）项目编制组</w:t>
      </w:r>
    </w:p>
    <w:p w14:paraId="7568B3D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本项目任务明确后，组成了由</w:t>
      </w:r>
      <w:r>
        <w:rPr>
          <w:rFonts w:hint="eastAsia" w:ascii="宋体" w:hAnsi="宋体" w:eastAsia="宋体" w:cs="宋体"/>
          <w:color w:val="auto"/>
          <w:sz w:val="21"/>
          <w:szCs w:val="21"/>
          <w:lang w:val="en-US" w:eastAsia="zh-CN"/>
        </w:rPr>
        <w:t>中铝洛阳铜加工有限公司</w:t>
      </w:r>
      <w:r>
        <w:rPr>
          <w:rFonts w:hint="eastAsia" w:ascii="宋体" w:hAnsi="宋体" w:eastAsia="宋体" w:cs="宋体"/>
          <w:color w:val="auto"/>
          <w:sz w:val="21"/>
          <w:szCs w:val="21"/>
        </w:rPr>
        <w:t>牵头的标准起草组，并对起草任务进行了落实，确定了起草人，拟定了该标准的工作计划。</w:t>
      </w:r>
      <w:r>
        <w:rPr>
          <w:rFonts w:hint="eastAsia" w:ascii="宋体" w:hAnsi="宋体" w:eastAsia="宋体" w:cs="宋体"/>
          <w:color w:val="auto"/>
          <w:sz w:val="21"/>
          <w:szCs w:val="21"/>
          <w:lang w:val="en-US" w:eastAsia="zh-CN"/>
        </w:rPr>
        <w:t>中铝洛阳铜加工有限公司总负责，市场和同行业信息收集、资料汇总及执笔；中铜华中铜业有限公司、浙江海亮股份有限公司、宁波兴业盛泰集团有限公司、宁波金田铜业有限公司、广东龙丰精密铜管有限公司、福建紫金铜业有限公司等其他参编单位负责补充市场信息和标准数据归集和验证。编制组分工明确，紧密合作，共同完成标准的修订工作。</w:t>
      </w:r>
    </w:p>
    <w:p w14:paraId="1E25B46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2）编制单位技术基础</w:t>
      </w:r>
    </w:p>
    <w:p w14:paraId="0BAD5903">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中铝洛阳铜加工有限公司</w:t>
      </w:r>
      <w:r>
        <w:rPr>
          <w:rFonts w:hint="eastAsia" w:ascii="宋体" w:hAnsi="宋体" w:eastAsia="宋体" w:cs="宋体"/>
          <w:color w:val="auto"/>
          <w:sz w:val="21"/>
          <w:szCs w:val="21"/>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w:t>
      </w:r>
      <w:r>
        <w:rPr>
          <w:rFonts w:hint="eastAsia" w:ascii="宋体" w:hAnsi="宋体" w:eastAsia="宋体" w:cs="宋体"/>
          <w:color w:val="auto"/>
          <w:sz w:val="21"/>
          <w:szCs w:val="21"/>
          <w:lang w:val="en-US" w:eastAsia="zh-CN"/>
        </w:rPr>
        <w:t>铜及铜合金板、带、箔、管、棒、型材产品</w:t>
      </w:r>
      <w:r>
        <w:rPr>
          <w:rFonts w:hint="eastAsia" w:ascii="宋体" w:hAnsi="宋体" w:eastAsia="宋体" w:cs="宋体"/>
          <w:color w:val="auto"/>
          <w:sz w:val="21"/>
          <w:szCs w:val="21"/>
        </w:rPr>
        <w:t>生产技术成熟，产品质量稳定、性能满足用户使用要求，有较好的技术</w:t>
      </w:r>
      <w:r>
        <w:rPr>
          <w:rFonts w:hint="eastAsia" w:ascii="宋体" w:hAnsi="宋体" w:eastAsia="宋体" w:cs="宋体"/>
          <w:color w:val="auto"/>
          <w:sz w:val="21"/>
          <w:szCs w:val="21"/>
          <w:lang w:val="en-US" w:eastAsia="zh-CN"/>
        </w:rPr>
        <w:t>基础</w:t>
      </w:r>
      <w:r>
        <w:rPr>
          <w:rFonts w:hint="eastAsia" w:ascii="宋体" w:hAnsi="宋体" w:eastAsia="宋体" w:cs="宋体"/>
          <w:color w:val="auto"/>
          <w:sz w:val="21"/>
          <w:szCs w:val="21"/>
        </w:rPr>
        <w:t>和能力。</w:t>
      </w:r>
    </w:p>
    <w:p w14:paraId="1DDC81D0">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color w:val="auto"/>
          <w:lang w:val="en-US" w:eastAsia="zh-CN"/>
        </w:rPr>
      </w:pPr>
      <w:r>
        <w:rPr>
          <w:rFonts w:hint="default" w:ascii="宋体" w:hAnsi="宋体" w:eastAsia="宋体" w:cs="宋体"/>
          <w:b/>
          <w:bCs/>
          <w:color w:val="auto"/>
          <w:sz w:val="21"/>
          <w:szCs w:val="21"/>
          <w:lang w:val="en-US" w:eastAsia="zh-CN"/>
        </w:rPr>
        <w:t>宁波兴业盛泰集团有限公司</w:t>
      </w:r>
      <w:r>
        <w:rPr>
          <w:rFonts w:hint="default" w:ascii="宋体" w:hAnsi="宋体" w:eastAsia="宋体" w:cs="宋体"/>
          <w:color w:val="auto"/>
          <w:sz w:val="21"/>
          <w:szCs w:val="21"/>
          <w:lang w:val="en-US" w:eastAsia="zh-CN"/>
        </w:rPr>
        <w:t>（以下简称“盛泰集团”）是一家专业研究、生产高性能铜及铜合金板带材的现代化集团公司，也是中国高性能铜板带材行业的领先制造商，宁波前湾新区国家级高性能金属新材料基地的核心企业。盛泰集团先后通过ISO9001和TS16949质量管理、ISO14001环境管理和OHSAS18001职业健康安全管理体系，其“三环”品牌荣获“中国名牌”称号、全国有色金属工业卓越品牌</w:t>
      </w:r>
      <w:r>
        <w:rPr>
          <w:rFonts w:hint="eastAsia" w:ascii="宋体" w:hAnsi="宋体" w:eastAsia="宋体" w:cs="宋体"/>
          <w:color w:val="auto"/>
          <w:sz w:val="21"/>
          <w:szCs w:val="21"/>
          <w:lang w:val="en-US" w:eastAsia="zh-CN"/>
        </w:rPr>
        <w:t>、浙江省出口名牌</w:t>
      </w:r>
      <w:r>
        <w:rPr>
          <w:rFonts w:hint="default" w:ascii="宋体" w:hAnsi="宋体" w:eastAsia="宋体" w:cs="宋体"/>
          <w:color w:val="auto"/>
          <w:sz w:val="21"/>
          <w:szCs w:val="21"/>
          <w:lang w:val="en-US" w:eastAsia="zh-CN"/>
        </w:rPr>
        <w:t>。盛泰集团荣获国家企业技术中心、国家级博士后科研工作站、工信部制造业单项冠军示范企业（产品）、</w:t>
      </w:r>
      <w:r>
        <w:rPr>
          <w:rFonts w:hint="eastAsia" w:ascii="宋体" w:hAnsi="宋体" w:eastAsia="宋体" w:cs="宋体"/>
          <w:color w:val="auto"/>
          <w:sz w:val="21"/>
          <w:szCs w:val="21"/>
          <w:lang w:val="en-US" w:eastAsia="zh-CN"/>
        </w:rPr>
        <w:t>国内首批次新材料、</w:t>
      </w:r>
      <w:r>
        <w:rPr>
          <w:rFonts w:hint="default" w:ascii="宋体" w:hAnsi="宋体" w:eastAsia="宋体" w:cs="宋体"/>
          <w:color w:val="auto"/>
          <w:sz w:val="21"/>
          <w:szCs w:val="21"/>
          <w:lang w:val="en-US" w:eastAsia="zh-CN"/>
        </w:rPr>
        <w:t>浙江省工程研究中心、宁波制造业单项冠军示范企业、</w:t>
      </w:r>
      <w:r>
        <w:rPr>
          <w:rFonts w:hint="eastAsia" w:ascii="宋体" w:hAnsi="宋体" w:eastAsia="宋体" w:cs="宋体"/>
          <w:color w:val="auto"/>
          <w:sz w:val="21"/>
          <w:szCs w:val="21"/>
          <w:lang w:val="en-US" w:eastAsia="zh-CN"/>
        </w:rPr>
        <w:t>宁波市“大优强”培育企业、</w:t>
      </w:r>
      <w:r>
        <w:rPr>
          <w:rFonts w:hint="default" w:ascii="宋体" w:hAnsi="宋体" w:eastAsia="宋体" w:cs="宋体"/>
          <w:color w:val="auto"/>
          <w:sz w:val="21"/>
          <w:szCs w:val="21"/>
          <w:lang w:val="en-US" w:eastAsia="zh-CN"/>
        </w:rPr>
        <w:t>浙江省技术创新示范企业等荣誉称号。盛泰集团先后参与国家科技部、工信部、国家“863”、国家发改委、宁波科技创新等</w:t>
      </w:r>
      <w:r>
        <w:rPr>
          <w:rFonts w:hint="eastAsia" w:ascii="宋体" w:hAnsi="宋体" w:eastAsia="宋体" w:cs="宋体"/>
          <w:color w:val="auto"/>
          <w:sz w:val="21"/>
          <w:szCs w:val="21"/>
          <w:lang w:val="en-US" w:eastAsia="zh-CN"/>
        </w:rPr>
        <w:t>多项</w:t>
      </w:r>
      <w:r>
        <w:rPr>
          <w:rFonts w:hint="default" w:ascii="宋体" w:hAnsi="宋体" w:eastAsia="宋体" w:cs="宋体"/>
          <w:color w:val="auto"/>
          <w:sz w:val="21"/>
          <w:szCs w:val="21"/>
          <w:lang w:val="en-US" w:eastAsia="zh-CN"/>
        </w:rPr>
        <w:t>重大项目</w:t>
      </w:r>
      <w:r>
        <w:rPr>
          <w:rFonts w:hint="eastAsia" w:ascii="宋体" w:hAnsi="宋体" w:eastAsia="宋体" w:cs="宋体"/>
          <w:color w:val="auto"/>
          <w:sz w:val="21"/>
          <w:szCs w:val="21"/>
          <w:lang w:val="en-US" w:eastAsia="zh-CN"/>
        </w:rPr>
        <w:t>。</w:t>
      </w:r>
    </w:p>
    <w:p w14:paraId="55367BE8">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宁波金田铜业（集团）股份有限公司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立足宁波，在香港、美国、德国、日本等地设立子公司，建立全球供应链体系和销售网络，为国内外客户提供铜产品一站式的采购服务。公司建立了国家级企业技术中心、国家级博士后科研工作站和国家认可实验室，拥有国内外先进的全谱等离子体发射光谱仪、超高矫顽力永磁测量仪等先进检测仪器设备。聚焦重点应用领域关键材料与技术，研发高强、高导、高精度的新型高端铜合金新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目前已拥有授权发明专利300多项，主持参与国家/行业标准制订60余项，获得国家级、省部级科技进步奖20余项。公司积极履行社会责任，长期恪守“生态重于生产”的环保理念，积极响应国家“碳达峰”、“碳中和”的战略目标，被授予国家循环经济试点单位、国家绿色示范工厂等荣誉。</w:t>
      </w:r>
    </w:p>
    <w:p w14:paraId="7E5C14DB">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中铜华中铜业有限公司</w:t>
      </w:r>
      <w:r>
        <w:rPr>
          <w:rFonts w:hint="eastAsia" w:ascii="宋体" w:hAnsi="宋体" w:eastAsia="宋体" w:cs="宋体"/>
          <w:color w:val="auto"/>
          <w:sz w:val="21"/>
          <w:szCs w:val="21"/>
          <w:lang w:val="en-US" w:eastAsia="zh-CN"/>
        </w:rPr>
        <w:t>（以下简称“华中铜业”）成立于2005年9月28日。华中铜业引进国外设备占全线主体设备的49%，</w:t>
      </w:r>
      <w:r>
        <w:rPr>
          <w:rFonts w:hint="eastAsia" w:ascii="宋体" w:hAnsi="宋体" w:eastAsia="宋体" w:cs="宋体"/>
          <w:color w:val="auto"/>
          <w:sz w:val="21"/>
          <w:szCs w:val="21"/>
        </w:rPr>
        <w:t>成立华中地区第一家铜加工研究院，拥有我国第一条高精度压延铜箔生产线。</w:t>
      </w:r>
      <w:r>
        <w:rPr>
          <w:rFonts w:hint="eastAsia" w:ascii="宋体" w:hAnsi="宋体" w:eastAsia="宋体" w:cs="宋体"/>
          <w:color w:val="auto"/>
          <w:sz w:val="21"/>
          <w:szCs w:val="21"/>
          <w:lang w:val="en-US" w:eastAsia="zh-CN"/>
        </w:rPr>
        <w:t>高精度铜板带材（箔）年产能9万吨，可生产包括紫黄青白铜全系列产品，新能源EV锂电池极耳材料进入全球最大电池生产商宁德时代供应链的产品；高氧韧铜成功生产6微米厚度铜箔产品，质量达到国内领先水平。华中铜业秉承中铝集团“优先发展铜”“做强铜业”“跨越发展下游”的战略要求，立足于湖北省千亿铜产业集群的打造，聚焦中国铜业铜精深加工产业链延伸，致力于高精度引线框架铜带、高氧韧铜、新能源汽车用铜、液晶显示器溅射靶材、压延铜箔、青铜白铜合金材料的生产研发。</w:t>
      </w:r>
    </w:p>
    <w:p w14:paraId="35D2B011">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浙江海亮股份有限公司</w:t>
      </w:r>
      <w:r>
        <w:rPr>
          <w:rFonts w:hint="eastAsia" w:ascii="宋体" w:hAnsi="宋体" w:eastAsia="宋体" w:cs="宋体"/>
          <w:color w:val="auto"/>
          <w:sz w:val="21"/>
          <w:szCs w:val="21"/>
          <w:lang w:val="en-US" w:eastAsia="zh-CN"/>
        </w:rPr>
        <w:t>是海亮集团有限公司控股的股份有限公司。浙江省信用AAA级企业，国家级博士后科研工作站，省级创新型企业，省级三名示范企业、省级标准创新型企业，省绿色企业等，拥有国家企业技术中心、浙江省首批省级企业研究院、省级高新技术研发中心、教育部重点实验室“海亮铜加工技术开发实验室”、省级重点创新团队。核心业务主要分为三大系列（铜管、铜棒和管件；铝型材；铜铝复合材）、八大主导产品（铜合金管、制冷用空调管、无缝铜水（气）管、精密铜棒、管件、微通道铝扁管、铝型材、铜铝复合材）。产品广泛用于核电、航空航天、舰船及海洋工程、海水淡化、空调和冰箱制冷、汽车工业、电子信息等行业。企业已牵头起草制定和计划起草制定的国家行业标准共50多项。</w:t>
      </w:r>
    </w:p>
    <w:p w14:paraId="28569394">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广东龙丰精密铜管有限公司</w:t>
      </w:r>
      <w:r>
        <w:rPr>
          <w:rFonts w:hint="eastAsia" w:ascii="宋体" w:hAnsi="宋体" w:eastAsia="宋体" w:cs="宋体"/>
          <w:color w:val="auto"/>
          <w:sz w:val="21"/>
          <w:szCs w:val="21"/>
          <w:lang w:val="en-US" w:eastAsia="zh-CN"/>
        </w:rPr>
        <w:t>是国家级高新技术企业，拥有 5 条精密铜管生产线，年产能 12万吨。建有省级“企业技术中心”“精密铜管（龙丰）工程技术研究中心”“精密铜管（高性能高精度铜及铜合金）院士工作站”、市级“精密铜管工程技术开发中心”“重点企业技术中心”等研发机构；公司集各种精密铜管材的研发、制造、销售、服务于一体，生产包括无缝内螺纹铜管、电缆用无缝铜管、高精度薄壁铜管、热管用铜及铜合金管、热交换器用无缝翅片管、铜及铜合金散热管、铜及铜合金毛细管等，主要应用于空调与制冷设备、5G 通信电子设备、通讯电缆、新能源等。拥有铜管材加工领域核心专利 59项，其中发明专利 10 项；软件著作权4项；获第二十届中国专利优秀奖1项。</w:t>
      </w:r>
    </w:p>
    <w:p w14:paraId="3776E16B">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福建紫金铜业有限公司</w:t>
      </w:r>
      <w:r>
        <w:rPr>
          <w:rFonts w:hint="eastAsia" w:ascii="宋体" w:hAnsi="宋体" w:eastAsia="宋体" w:cs="宋体"/>
          <w:color w:val="auto"/>
          <w:sz w:val="21"/>
          <w:szCs w:val="21"/>
        </w:rPr>
        <w:t>是紫金矿业集团旗下全资子公司，是一家主营铜及铜合金箔带材新材料研发、制造、经营的高新技术企业。企业主营产品为厚度规格在0.04mm～1.0mm，最薄可达0.01mm的高精度“紫金”牌铜合金带材、高性能无氧铜管、电路铜箔和锂电池铜箔。公司产品以“四高”（高精度、高表面、高板形、高性能）得到市场的一致认同，主要应用于电子、通讯、网络、汽车等行业。产品直接或间接销往国内外知名企业，如华为、富士康、OPPO、格力、美的、TCL等，部分产品也已开始销往海外市场。被评定为国家级高新技术企业、国家级“专精特新”小巨人企业、国家级省绿色工厂。2024年研发中心获得省级企业技术中心、市级新型研发机构等称号。</w:t>
      </w:r>
    </w:p>
    <w:p w14:paraId="21F901E0">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重庆龙煜精密铜管有限公司</w:t>
      </w:r>
      <w:r>
        <w:rPr>
          <w:rFonts w:hint="eastAsia" w:ascii="宋体" w:hAnsi="宋体" w:eastAsia="宋体" w:cs="宋体"/>
          <w:color w:val="auto"/>
          <w:sz w:val="21"/>
          <w:szCs w:val="21"/>
          <w:lang w:val="en-US" w:eastAsia="zh-CN"/>
        </w:rPr>
        <w:t>所属重庆市“33618”现代制造业集群中的3大万亿级主导产业集群，年产铜管6万吨。主营空调与制冷用光面铜管、高清洁内螺纹铜管、电缆用无缝铜管等管材产品。公司已累计获得127项专利授权，其中包括发明专利22项、实用新型专利101项、外观专利4项。拥有国家知识产权优势企业、高新技术企业、专精特新“小巨人”企业、重庆市智能化工厂、重庆市绿色工厂、重庆市技术创新示范企业等，市级认定的企业技术中心等研发平台。公司的专利荣获首届重庆专利奖金奖 。公司近年积极参与标准起草修订工作，牵头制定了T/CNIA 0202-2023 《 燃气采暖热水炉换热器用无缝异形铜管》等。</w:t>
      </w:r>
    </w:p>
    <w:p w14:paraId="066639ED">
      <w:pPr>
        <w:keepNext w:val="0"/>
        <w:keepLines w:val="0"/>
        <w:pageBreakBefore w:val="0"/>
        <w:widowControl/>
        <w:kinsoku/>
        <w:wordWrap/>
        <w:overflowPunct/>
        <w:topLinePunct w:val="0"/>
        <w:autoSpaceDE/>
        <w:autoSpaceDN/>
        <w:bidi w:val="0"/>
        <w:adjustRightInd w:val="0"/>
        <w:snapToGrid w:val="0"/>
        <w:spacing w:after="0" w:line="360" w:lineRule="auto"/>
        <w:ind w:firstLine="310" w:firstLineChars="147"/>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金龙精密铜管集团股份有限公司（简称金龙铜管集团）</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金龙集团主营产品有空调与制冷行业用各类高精高效铜管系列产品，铜板带及铜线缆等产品。目前有重庆万州、江津、河南新乡、江苏太仓、广东珠海、墨西哥及美国生产基地，年产能达到70万吨以上，公司拥有专业研发团队，与清华大学、西安交通大学以及中国科学院精密铜管工程研究中心等联合建立了实验室，共同研制高效传热铜管和生产工艺设备改进研究。2015年金龙铜管集团的铜管高效短流程技术装备研发及产业化项目荣获第国家科技进步二等奖。2019年11月13日金龙铜管集团上榜单项冠军产品(第四批)名单。2024年荣获重庆市第八届质量管理奖。公司积极参与国家及行业标准起草工作，共计牵头或参与起草国家级行业标准25项。</w:t>
      </w:r>
    </w:p>
    <w:p w14:paraId="3A8503E2">
      <w:pPr>
        <w:spacing w:line="360" w:lineRule="auto"/>
        <w:ind w:firstLine="422" w:firstLineChars="200"/>
        <w:jc w:val="both"/>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有研工程技术研究院有限公司</w:t>
      </w:r>
      <w:r>
        <w:rPr>
          <w:rFonts w:hint="eastAsia" w:ascii="宋体" w:hAnsi="宋体" w:eastAsia="宋体" w:cs="宋体"/>
          <w:color w:val="auto"/>
          <w:sz w:val="21"/>
          <w:szCs w:val="21"/>
        </w:rPr>
        <w:t>（以下简称有研工研院）是国务院国资委管理的中央企业中国有研科技集团有限公司（以下简称中国有研）的二级子公司。国家级高新技术企业，2020 年4 月入选国务院国资委“科改示范企业”。有研工研院主要从事有色金属新材料战略高技术和前沿技术研发，产业化关键技术和行业共性技术开发，中试生产和成果孵化转化。拥有有色金属结构材料全国重点实验室、智能传感功能材料全国重点实验室、国家有色金属新能源材料与制品工程技术研究中心、有色金属材料多品种小批量科研生产基地、雁栖湖特种有色金属材料创新中心五个国家级创新平台，担负国家第二批“大众创业、万众创新”示范基地的建设任务。</w:t>
      </w:r>
    </w:p>
    <w:p w14:paraId="455E1D0F">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1.4</w:t>
      </w:r>
      <w:r>
        <w:rPr>
          <w:rFonts w:hint="eastAsia" w:ascii="宋体" w:hAnsi="宋体" w:eastAsia="宋体" w:cs="宋体"/>
          <w:b/>
          <w:bCs/>
          <w:color w:val="auto"/>
          <w:sz w:val="21"/>
          <w:szCs w:val="21"/>
          <w:lang w:val="en-US" w:eastAsia="zh-CN"/>
        </w:rPr>
        <w:t>主要工作过程</w:t>
      </w:r>
    </w:p>
    <w:p w14:paraId="64CDF125">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1.4.1预研阶段</w:t>
      </w:r>
    </w:p>
    <w:p w14:paraId="41796349">
      <w:pPr>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2021年11月，在全国有色金属标准化技术委员会组织召开的《全国有色标准化技术委员会智能制造标准化工作组、低碳标准化工作组成立大会暨项目论证会议》视频会议上，进行了预研讨论。2022年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月，根据线上会议意见，</w:t>
      </w:r>
      <w:r>
        <w:rPr>
          <w:rFonts w:hint="eastAsia" w:ascii="宋体" w:hAnsi="宋体" w:eastAsia="宋体" w:cs="宋体"/>
          <w:color w:val="auto"/>
          <w:sz w:val="21"/>
          <w:szCs w:val="21"/>
          <w:lang w:val="en-US" w:eastAsia="zh-CN"/>
        </w:rPr>
        <w:t>中铝洛阳铜加工</w:t>
      </w:r>
      <w:r>
        <w:rPr>
          <w:rFonts w:hint="eastAsia" w:ascii="宋体" w:hAnsi="宋体" w:eastAsia="宋体" w:cs="宋体"/>
          <w:color w:val="auto"/>
          <w:sz w:val="21"/>
          <w:szCs w:val="21"/>
        </w:rPr>
        <w:t>有限公司修改完善标准申报材料，并提交至全国有色金属标准化技术委员会。</w:t>
      </w:r>
      <w:r>
        <w:rPr>
          <w:rFonts w:hint="eastAsia" w:ascii="宋体" w:hAnsi="宋体" w:eastAsia="宋体" w:cs="宋体"/>
          <w:color w:val="auto"/>
          <w:sz w:val="21"/>
          <w:szCs w:val="21"/>
          <w:lang w:val="en-US" w:eastAsia="zh-CN"/>
        </w:rPr>
        <w:t>牵头单位成立标准</w:t>
      </w:r>
      <w:r>
        <w:rPr>
          <w:rFonts w:hint="eastAsia" w:ascii="宋体" w:hAnsi="宋体" w:eastAsia="宋体" w:cs="宋体"/>
          <w:color w:val="auto"/>
          <w:sz w:val="21"/>
          <w:szCs w:val="21"/>
        </w:rPr>
        <w:t>工作组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开展标准起草和</w:t>
      </w:r>
      <w:r>
        <w:rPr>
          <w:rFonts w:hint="eastAsia" w:ascii="宋体" w:hAnsi="宋体" w:eastAsia="宋体" w:cs="宋体"/>
          <w:color w:val="auto"/>
          <w:sz w:val="21"/>
          <w:szCs w:val="21"/>
          <w:lang w:val="en-US" w:eastAsia="zh-CN"/>
        </w:rPr>
        <w:t>预</w:t>
      </w:r>
      <w:r>
        <w:rPr>
          <w:rFonts w:hint="eastAsia" w:ascii="宋体" w:hAnsi="宋体" w:eastAsia="宋体" w:cs="宋体"/>
          <w:color w:val="auto"/>
          <w:sz w:val="21"/>
          <w:szCs w:val="21"/>
        </w:rPr>
        <w:t>研究工作</w:t>
      </w:r>
      <w:r>
        <w:rPr>
          <w:rFonts w:hint="eastAsia" w:ascii="宋体" w:hAnsi="宋体" w:eastAsia="宋体" w:cs="宋体"/>
          <w:color w:val="auto"/>
          <w:sz w:val="21"/>
          <w:szCs w:val="21"/>
          <w:lang w:eastAsia="zh-CN"/>
        </w:rPr>
        <w:t>。</w:t>
      </w:r>
    </w:p>
    <w:p w14:paraId="25976034">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2023年4月，全国有色金属标准化技术委员会低碳标准工作组在广西南宁组织开展了GB/T 32151.14《碳排放核算与报告要求 第14部分：其他有色金属冶炼和压延加工业企业》</w:t>
      </w:r>
      <w:r>
        <w:rPr>
          <w:rFonts w:hint="eastAsia" w:ascii="宋体" w:hAnsi="宋体" w:eastAsia="宋体" w:cs="宋体"/>
          <w:color w:val="auto"/>
          <w:sz w:val="21"/>
          <w:szCs w:val="21"/>
          <w:lang w:val="en-US" w:eastAsia="zh-CN"/>
        </w:rPr>
        <w:t>国家标准审定会，把铜加工合并在此标准中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但</w:t>
      </w:r>
      <w:r>
        <w:rPr>
          <w:rFonts w:hint="eastAsia" w:ascii="宋体" w:hAnsi="宋体" w:eastAsia="宋体" w:cs="宋体"/>
          <w:color w:val="auto"/>
          <w:sz w:val="21"/>
          <w:szCs w:val="21"/>
        </w:rPr>
        <w:t>GB/T 32151.14不完全适用于铜加工企业温室气体排放的核算预报告，主要</w:t>
      </w:r>
      <w:r>
        <w:rPr>
          <w:rFonts w:hint="eastAsia" w:ascii="宋体" w:hAnsi="宋体" w:eastAsia="宋体" w:cs="宋体"/>
          <w:color w:val="auto"/>
          <w:sz w:val="21"/>
          <w:szCs w:val="21"/>
          <w:lang w:val="en-US" w:eastAsia="zh-CN"/>
        </w:rPr>
        <w:t>包含以下几方面</w:t>
      </w:r>
      <w:r>
        <w:rPr>
          <w:rFonts w:hint="eastAsia" w:ascii="宋体" w:hAnsi="宋体" w:eastAsia="宋体" w:cs="宋体"/>
          <w:color w:val="auto"/>
          <w:sz w:val="21"/>
          <w:szCs w:val="21"/>
        </w:rPr>
        <w:t>：</w:t>
      </w:r>
    </w:p>
    <w:p w14:paraId="3BB4F863">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本标准</w:t>
      </w:r>
      <w:r>
        <w:rPr>
          <w:rFonts w:hint="eastAsia" w:ascii="宋体" w:hAnsi="宋体" w:eastAsia="宋体" w:cs="宋体"/>
          <w:color w:val="auto"/>
          <w:sz w:val="21"/>
          <w:szCs w:val="21"/>
        </w:rPr>
        <w:t>针对铜及铜合金板带箔材、管材和棒型线材生产工艺确定其具体核算边界，完善产品工艺，并考虑使用再生原料生产的碳排放，使其适用于不同品种和原料的生产企业碳排放核算。如：板带箔材增加连铸连轧生产、管材增加水平连铸造生产、棒型线材增加连铸坯-拉伸工艺。</w:t>
      </w:r>
    </w:p>
    <w:p w14:paraId="3D3085F4">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铜加工企业主要是燃料排放和能源消耗排放，不含能源作为原料排放。</w:t>
      </w:r>
    </w:p>
    <w:p w14:paraId="2C0440AD">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本标准拟</w:t>
      </w:r>
      <w:r>
        <w:rPr>
          <w:rFonts w:hint="eastAsia" w:ascii="宋体" w:hAnsi="宋体" w:eastAsia="宋体" w:cs="宋体"/>
          <w:color w:val="auto"/>
          <w:sz w:val="21"/>
          <w:szCs w:val="21"/>
        </w:rPr>
        <w:t>增加工序碳排放的核算。工序碳气体排放量核算边界应包括工序主要生产系统及相关辅助生产系统，不包括附属生产系统。</w:t>
      </w:r>
    </w:p>
    <w:p w14:paraId="372D6F38">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铜及铜合金加工企业众多、工艺复杂，加上我国南北环境的不同，应根据铜加工实际情况，制定符合铜加工企业</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排放的核算方法与报告要求标准，规范和指导铜及铜合金加工温室气体排放量核算，助力双碳目标实现。</w:t>
      </w:r>
    </w:p>
    <w:p w14:paraId="68496A77">
      <w:pPr>
        <w:widowControl w:val="0"/>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在全国有色金属标准化技术委员会组织召开的《有色</w:t>
      </w:r>
      <w:r>
        <w:rPr>
          <w:rFonts w:hint="eastAsia" w:ascii="宋体" w:hAnsi="宋体" w:eastAsia="宋体" w:cs="宋体"/>
          <w:color w:val="auto"/>
          <w:sz w:val="21"/>
          <w:szCs w:val="21"/>
          <w:lang w:val="en-US" w:eastAsia="zh-CN"/>
        </w:rPr>
        <w:t>行业</w:t>
      </w:r>
      <w:r>
        <w:rPr>
          <w:rFonts w:hint="eastAsia" w:ascii="宋体" w:hAnsi="宋体" w:eastAsia="宋体" w:cs="宋体"/>
          <w:color w:val="auto"/>
          <w:sz w:val="21"/>
          <w:szCs w:val="21"/>
        </w:rPr>
        <w:t>智能制造、低碳标准大会》会议上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重新对该标准进行论证，同意起草有色协会团体标准，开展标准起草和预研工作。</w:t>
      </w:r>
      <w:r>
        <w:rPr>
          <w:rFonts w:hint="eastAsia" w:ascii="宋体" w:hAnsi="宋体" w:eastAsia="宋体" w:cs="宋体"/>
          <w:color w:val="auto"/>
          <w:sz w:val="21"/>
          <w:szCs w:val="21"/>
        </w:rPr>
        <w:t>本标准的制定，可以对铜加工企业节能减排监测提供科学依据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为企业温室气体</w:t>
      </w:r>
      <w:r>
        <w:rPr>
          <w:rFonts w:hint="eastAsia" w:ascii="宋体" w:hAnsi="宋体" w:eastAsia="宋体" w:cs="宋体"/>
          <w:color w:val="auto"/>
          <w:sz w:val="21"/>
          <w:szCs w:val="21"/>
        </w:rPr>
        <w:t>排放核算提供指导和核算方法，引导和规范企业降低能耗和碳排放，促进企业高质量</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绿色发展</w:t>
      </w:r>
      <w:r>
        <w:rPr>
          <w:rFonts w:hint="eastAsia" w:ascii="宋体" w:hAnsi="宋体" w:eastAsia="宋体" w:cs="宋体"/>
          <w:color w:val="auto"/>
          <w:sz w:val="21"/>
          <w:szCs w:val="21"/>
          <w:lang w:eastAsia="zh-CN"/>
        </w:rPr>
        <w:t>。</w:t>
      </w:r>
    </w:p>
    <w:p w14:paraId="08C49C1F">
      <w:pPr>
        <w:pStyle w:val="8"/>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1.4.2标准立项</w:t>
      </w:r>
    </w:p>
    <w:p w14:paraId="63BCC418">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由</w:t>
      </w:r>
      <w:r>
        <w:rPr>
          <w:rFonts w:hint="eastAsia" w:ascii="宋体" w:hAnsi="宋体" w:eastAsia="宋体" w:cs="宋体"/>
          <w:color w:val="auto"/>
          <w:sz w:val="21"/>
          <w:szCs w:val="21"/>
        </w:rPr>
        <w:t>中铝洛阳铜加工有限公司提出，根据</w:t>
      </w:r>
      <w:r>
        <w:rPr>
          <w:rFonts w:hint="eastAsia" w:ascii="Times New Roman" w:hAnsi="Times New Roman" w:cs="Times New Roman" w:eastAsiaTheme="minorEastAsia"/>
          <w:color w:val="auto"/>
          <w:sz w:val="21"/>
          <w:szCs w:val="21"/>
          <w:lang w:val="en-US" w:eastAsia="zh-CN"/>
        </w:rPr>
        <w:t>色标委[2025]27号《关于转发2025年有色金属国家标准外文版、行业标准、团体标准项目计划并征集起草单位的通知》，《铜加工企业温室气体排放核算与报告要求》</w:t>
      </w:r>
      <w:r>
        <w:rPr>
          <w:rFonts w:hint="eastAsia" w:ascii="宋体" w:hAnsi="宋体" w:eastAsia="宋体" w:cs="宋体"/>
          <w:color w:val="auto"/>
          <w:sz w:val="21"/>
          <w:szCs w:val="21"/>
          <w:lang w:val="en-US" w:eastAsia="zh-CN"/>
        </w:rPr>
        <w:t>协会</w:t>
      </w:r>
      <w:r>
        <w:rPr>
          <w:rFonts w:hint="eastAsia" w:ascii="宋体" w:hAnsi="宋体" w:eastAsia="宋体" w:cs="宋体"/>
          <w:color w:val="auto"/>
          <w:sz w:val="21"/>
          <w:szCs w:val="21"/>
        </w:rPr>
        <w:t>标准获批立项，项目计划号 “</w:t>
      </w:r>
      <w:r>
        <w:rPr>
          <w:rFonts w:hint="eastAsia" w:ascii="Times New Roman" w:hAnsi="Times New Roman" w:cs="Times New Roman" w:eastAsiaTheme="minorEastAsia"/>
          <w:color w:val="auto"/>
          <w:sz w:val="21"/>
          <w:szCs w:val="21"/>
          <w:lang w:val="en-US" w:eastAsia="zh-CN"/>
        </w:rPr>
        <w:t>2025-021-T/CNIA</w:t>
      </w:r>
      <w:r>
        <w:rPr>
          <w:rFonts w:hint="eastAsia" w:ascii="宋体" w:hAnsi="宋体" w:eastAsia="宋体" w:cs="宋体"/>
          <w:color w:val="auto"/>
          <w:sz w:val="21"/>
          <w:szCs w:val="21"/>
        </w:rPr>
        <w:t>” 。</w:t>
      </w:r>
    </w:p>
    <w:p w14:paraId="16BB7440">
      <w:pPr>
        <w:pStyle w:val="8"/>
        <w:spacing w:beforeLines="50" w:afterLines="50" w:line="360" w:lineRule="auto"/>
        <w:rPr>
          <w:rFonts w:ascii="黑体" w:hAnsi="宋体" w:eastAsia="黑体"/>
          <w:bCs/>
          <w:color w:val="auto"/>
          <w:sz w:val="21"/>
          <w:szCs w:val="21"/>
          <w:highlight w:val="none"/>
        </w:rPr>
      </w:pPr>
      <w:r>
        <w:rPr>
          <w:rFonts w:hint="eastAsia" w:ascii="黑体" w:hAnsi="宋体" w:eastAsia="黑体"/>
          <w:bCs/>
          <w:color w:val="auto"/>
          <w:sz w:val="21"/>
          <w:szCs w:val="21"/>
          <w:highlight w:val="none"/>
        </w:rPr>
        <w:t>1.4.3项目分工</w:t>
      </w:r>
    </w:p>
    <w:p w14:paraId="70106EBF">
      <w:pPr>
        <w:widowControl w:val="0"/>
        <w:spacing w:after="0" w:line="360" w:lineRule="auto"/>
        <w:ind w:firstLine="420" w:firstLineChars="200"/>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标准制订计划任务正式下达后，立即成立了标准编制组，并落实起草任务，确定标准的主要起草人（详见表1），拟定该标准的工作计划。具体分工为：中铝洛阳铜加工有限公司总负责，市场和同行业信息收集、资料汇总及执笔；宁波兴业盛泰集团有限公司、宁波金田铜业有限公司、中铜华中铜业有限公司、浙江海亮股份有限公司、广东龙丰精密铜管有限公司、福建紫金铜业有限公司、重庆龙煜精密铜管有限公司、金龙精密铜管集团股份有限公司、有研工程技术研究院有限公司负责标准数据的验证、核算边界、温室气体排放来源及其种类的确定和指标确定、市场信息和标准信息的收集、调研工作，参与标准起草。编制组分工明确，紧密合作，进行了全面的市场调研、资料查询，比较全面和准确地了解铜加工企业的温室气体排放情况和核算宝盖要求，为本标准的制定提供了依据。</w:t>
      </w:r>
    </w:p>
    <w:p w14:paraId="21A9F6EF">
      <w:pPr>
        <w:spacing w:after="0" w:line="360" w:lineRule="auto"/>
        <w:jc w:val="center"/>
        <w:rPr>
          <w:rFonts w:hint="eastAsia" w:ascii="黑体" w:hAnsi="黑体" w:eastAsia="黑体" w:cs="黑体"/>
          <w:b w:val="0"/>
          <w:bCs/>
          <w:color w:val="auto"/>
          <w:sz w:val="21"/>
          <w:szCs w:val="21"/>
        </w:rPr>
      </w:pPr>
      <w:bookmarkStart w:id="2" w:name="_Toc109980016"/>
      <w:r>
        <w:rPr>
          <w:rFonts w:hint="eastAsia" w:ascii="黑体" w:hAnsi="黑体" w:eastAsia="黑体" w:cs="黑体"/>
          <w:b w:val="0"/>
          <w:bCs/>
          <w:color w:val="auto"/>
          <w:sz w:val="21"/>
          <w:szCs w:val="21"/>
        </w:rPr>
        <w:t xml:space="preserve">表1  </w:t>
      </w:r>
      <w:bookmarkEnd w:id="2"/>
      <w:r>
        <w:rPr>
          <w:rFonts w:hint="eastAsia" w:ascii="黑体" w:hAnsi="黑体" w:eastAsia="黑体" w:cs="黑体"/>
          <w:b w:val="0"/>
          <w:bCs/>
          <w:color w:val="auto"/>
          <w:sz w:val="21"/>
          <w:szCs w:val="21"/>
        </w:rPr>
        <w:t>主要工作成员及其分工</w:t>
      </w:r>
    </w:p>
    <w:tbl>
      <w:tblPr>
        <w:tblStyle w:val="17"/>
        <w:tblW w:w="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1"/>
        <w:gridCol w:w="1500"/>
        <w:gridCol w:w="6281"/>
      </w:tblGrid>
      <w:tr w14:paraId="7CA4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blHeader/>
        </w:trPr>
        <w:tc>
          <w:tcPr>
            <w:tcW w:w="691" w:type="dxa"/>
            <w:shd w:val="clear" w:color="auto" w:fill="auto"/>
            <w:vAlign w:val="center"/>
          </w:tcPr>
          <w:p w14:paraId="23B6C109">
            <w:pPr>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序号</w:t>
            </w:r>
          </w:p>
        </w:tc>
        <w:tc>
          <w:tcPr>
            <w:tcW w:w="1500" w:type="dxa"/>
            <w:shd w:val="clear" w:color="auto" w:fill="auto"/>
            <w:vAlign w:val="center"/>
          </w:tcPr>
          <w:p w14:paraId="315EE194">
            <w:pPr>
              <w:spacing w:after="0"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起草人</w:t>
            </w:r>
            <w:r>
              <w:rPr>
                <w:rFonts w:hint="eastAsia" w:ascii="宋体" w:hAnsi="宋体" w:eastAsia="宋体" w:cs="宋体"/>
                <w:color w:val="auto"/>
                <w:sz w:val="18"/>
                <w:szCs w:val="18"/>
              </w:rPr>
              <w:t>姓名</w:t>
            </w:r>
          </w:p>
        </w:tc>
        <w:tc>
          <w:tcPr>
            <w:tcW w:w="6281" w:type="dxa"/>
            <w:shd w:val="clear" w:color="auto" w:fill="auto"/>
            <w:vAlign w:val="center"/>
          </w:tcPr>
          <w:p w14:paraId="6BB4E562">
            <w:pPr>
              <w:spacing w:after="0"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职责及分工</w:t>
            </w:r>
          </w:p>
        </w:tc>
      </w:tr>
      <w:tr w14:paraId="1EC1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1" w:type="dxa"/>
            <w:shd w:val="clear" w:color="auto" w:fill="auto"/>
            <w:vAlign w:val="center"/>
          </w:tcPr>
          <w:p w14:paraId="6C647BC3">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500" w:type="dxa"/>
            <w:shd w:val="clear" w:color="auto" w:fill="auto"/>
            <w:vAlign w:val="center"/>
          </w:tcPr>
          <w:p w14:paraId="01F107A7">
            <w:pPr>
              <w:pStyle w:val="6"/>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赵万花</w:t>
            </w:r>
          </w:p>
        </w:tc>
        <w:tc>
          <w:tcPr>
            <w:tcW w:w="6281" w:type="dxa"/>
            <w:shd w:val="clear" w:color="auto" w:fill="auto"/>
            <w:vAlign w:val="center"/>
          </w:tcPr>
          <w:p w14:paraId="2811139D">
            <w:pPr>
              <w:keepNext w:val="0"/>
              <w:keepLines w:val="0"/>
              <w:pageBreakBefore w:val="0"/>
              <w:widowControl/>
              <w:kinsoku/>
              <w:wordWrap/>
              <w:overflowPunct/>
              <w:topLinePunct w:val="0"/>
              <w:autoSpaceDE/>
              <w:autoSpaceDN/>
              <w:bidi w:val="0"/>
              <w:spacing w:after="0" w:line="288"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标准执笔者</w:t>
            </w:r>
            <w:r>
              <w:rPr>
                <w:rFonts w:hint="eastAsia" w:ascii="宋体" w:hAnsi="宋体" w:eastAsia="宋体" w:cs="宋体"/>
                <w:color w:val="auto"/>
                <w:sz w:val="18"/>
                <w:szCs w:val="18"/>
              </w:rPr>
              <w:t>。负责标准制定工作</w:t>
            </w:r>
            <w:r>
              <w:rPr>
                <w:rFonts w:hint="eastAsia" w:ascii="宋体" w:hAnsi="宋体" w:eastAsia="宋体" w:cs="宋体"/>
                <w:color w:val="auto"/>
                <w:sz w:val="18"/>
                <w:szCs w:val="18"/>
                <w:lang w:val="en-US" w:eastAsia="zh-CN"/>
              </w:rPr>
              <w:t>方案</w:t>
            </w:r>
            <w:r>
              <w:rPr>
                <w:rFonts w:hint="eastAsia" w:ascii="宋体" w:hAnsi="宋体" w:eastAsia="宋体" w:cs="宋体"/>
                <w:color w:val="auto"/>
                <w:sz w:val="18"/>
                <w:szCs w:val="18"/>
              </w:rPr>
              <w:t>的</w:t>
            </w:r>
            <w:r>
              <w:rPr>
                <w:rFonts w:hint="eastAsia" w:ascii="宋体" w:hAnsi="宋体" w:eastAsia="宋体" w:cs="宋体"/>
                <w:color w:val="auto"/>
                <w:sz w:val="18"/>
                <w:szCs w:val="18"/>
                <w:lang w:val="en-US" w:eastAsia="zh-CN"/>
              </w:rPr>
              <w:t>编制和调研，</w:t>
            </w:r>
            <w:r>
              <w:rPr>
                <w:rFonts w:hint="eastAsia" w:ascii="宋体" w:hAnsi="宋体" w:eastAsia="宋体" w:cs="宋体"/>
                <w:color w:val="auto"/>
                <w:sz w:val="18"/>
                <w:szCs w:val="18"/>
              </w:rPr>
              <w:t>组织标准技术指标、编制说明的讨论</w:t>
            </w:r>
            <w:r>
              <w:rPr>
                <w:rFonts w:hint="eastAsia" w:ascii="宋体" w:hAnsi="宋体" w:eastAsia="宋体" w:cs="宋体"/>
                <w:color w:val="auto"/>
                <w:sz w:val="18"/>
                <w:szCs w:val="18"/>
                <w:lang w:val="en-US" w:eastAsia="zh-CN"/>
              </w:rPr>
              <w:t>和</w:t>
            </w:r>
            <w:r>
              <w:rPr>
                <w:rFonts w:hint="eastAsia" w:ascii="宋体" w:hAnsi="宋体" w:eastAsia="宋体" w:cs="宋体"/>
                <w:color w:val="auto"/>
                <w:sz w:val="18"/>
                <w:szCs w:val="18"/>
              </w:rPr>
              <w:t>研究。标准文本</w:t>
            </w:r>
            <w:r>
              <w:rPr>
                <w:rFonts w:hint="eastAsia" w:ascii="宋体" w:hAnsi="宋体" w:eastAsia="宋体" w:cs="宋体"/>
                <w:color w:val="auto"/>
                <w:sz w:val="18"/>
                <w:szCs w:val="18"/>
                <w:lang w:val="en-US" w:eastAsia="zh-CN"/>
              </w:rPr>
              <w:t>和</w:t>
            </w:r>
            <w:r>
              <w:rPr>
                <w:rFonts w:hint="eastAsia" w:ascii="宋体" w:hAnsi="宋体" w:eastAsia="宋体" w:cs="宋体"/>
                <w:color w:val="auto"/>
                <w:sz w:val="18"/>
                <w:szCs w:val="18"/>
              </w:rPr>
              <w:t>编制说明</w:t>
            </w:r>
            <w:r>
              <w:rPr>
                <w:rFonts w:hint="eastAsia" w:ascii="宋体" w:hAnsi="宋体" w:eastAsia="宋体" w:cs="宋体"/>
                <w:color w:val="auto"/>
                <w:sz w:val="18"/>
                <w:szCs w:val="18"/>
                <w:lang w:val="en-US" w:eastAsia="zh-CN"/>
              </w:rPr>
              <w:t>编写</w:t>
            </w:r>
            <w:r>
              <w:rPr>
                <w:rFonts w:hint="eastAsia" w:ascii="宋体" w:hAnsi="宋体" w:eastAsia="宋体" w:cs="宋体"/>
                <w:color w:val="auto"/>
                <w:sz w:val="18"/>
                <w:szCs w:val="18"/>
              </w:rPr>
              <w:t>，编制调研函</w:t>
            </w:r>
            <w:r>
              <w:rPr>
                <w:rFonts w:hint="eastAsia" w:ascii="宋体" w:hAnsi="宋体" w:eastAsia="宋体" w:cs="宋体"/>
                <w:color w:val="auto"/>
                <w:sz w:val="18"/>
                <w:szCs w:val="18"/>
                <w:lang w:val="en-US" w:eastAsia="zh-CN"/>
              </w:rPr>
              <w:t>和数据汇总</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协调和</w:t>
            </w:r>
            <w:r>
              <w:rPr>
                <w:rFonts w:hint="eastAsia" w:ascii="宋体" w:hAnsi="宋体" w:eastAsia="宋体" w:cs="宋体"/>
                <w:color w:val="auto"/>
                <w:sz w:val="18"/>
                <w:szCs w:val="18"/>
              </w:rPr>
              <w:t>完成各阶段标准资料的编制。</w:t>
            </w:r>
          </w:p>
        </w:tc>
      </w:tr>
      <w:tr w14:paraId="5D4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73D02B3C">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w:t>
            </w:r>
          </w:p>
        </w:tc>
        <w:tc>
          <w:tcPr>
            <w:tcW w:w="1500" w:type="dxa"/>
            <w:shd w:val="clear" w:color="auto" w:fill="auto"/>
            <w:vAlign w:val="center"/>
          </w:tcPr>
          <w:p w14:paraId="032D04D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18"/>
                <w:szCs w:val="18"/>
                <w:highlight w:val="yellow"/>
                <w:lang w:val="en-US" w:eastAsia="zh-CN"/>
              </w:rPr>
            </w:pPr>
            <w:r>
              <w:rPr>
                <w:rFonts w:hint="eastAsia" w:ascii="宋体" w:hAnsi="宋体" w:eastAsia="宋体" w:cs="宋体"/>
                <w:color w:val="auto"/>
                <w:sz w:val="18"/>
                <w:szCs w:val="18"/>
                <w:lang w:val="en-US" w:eastAsia="zh-CN"/>
              </w:rPr>
              <w:t>孙永辉</w:t>
            </w:r>
          </w:p>
        </w:tc>
        <w:tc>
          <w:tcPr>
            <w:tcW w:w="6281" w:type="dxa"/>
            <w:shd w:val="clear" w:color="auto" w:fill="auto"/>
            <w:vAlign w:val="center"/>
          </w:tcPr>
          <w:p w14:paraId="2247022A">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负责</w:t>
            </w:r>
            <w:r>
              <w:rPr>
                <w:rFonts w:hint="eastAsia" w:ascii="宋体" w:hAnsi="宋体" w:eastAsia="宋体" w:cs="宋体"/>
                <w:color w:val="auto"/>
                <w:sz w:val="18"/>
                <w:szCs w:val="18"/>
              </w:rPr>
              <w:t>标准制定的组织</w:t>
            </w:r>
            <w:r>
              <w:rPr>
                <w:rFonts w:hint="eastAsia" w:ascii="宋体" w:hAnsi="宋体" w:eastAsia="宋体" w:cs="宋体"/>
                <w:color w:val="auto"/>
                <w:sz w:val="18"/>
                <w:szCs w:val="18"/>
                <w:lang w:val="en-US" w:eastAsia="zh-CN"/>
              </w:rPr>
              <w:t>工作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负责标准制定工作</w:t>
            </w:r>
            <w:r>
              <w:rPr>
                <w:rFonts w:hint="eastAsia" w:ascii="宋体" w:hAnsi="宋体" w:eastAsia="宋体" w:cs="宋体"/>
                <w:color w:val="auto"/>
                <w:sz w:val="18"/>
                <w:szCs w:val="18"/>
                <w:lang w:val="en-US" w:eastAsia="zh-CN"/>
              </w:rPr>
              <w:t>方案</w:t>
            </w:r>
            <w:r>
              <w:rPr>
                <w:rFonts w:hint="eastAsia" w:ascii="宋体" w:hAnsi="宋体" w:eastAsia="宋体" w:cs="宋体"/>
                <w:color w:val="auto"/>
                <w:sz w:val="18"/>
                <w:szCs w:val="18"/>
              </w:rPr>
              <w:t>的审定</w:t>
            </w:r>
            <w:r>
              <w:rPr>
                <w:rFonts w:hint="eastAsia" w:ascii="宋体" w:hAnsi="宋体" w:eastAsia="宋体" w:cs="宋体"/>
                <w:color w:val="auto"/>
                <w:sz w:val="18"/>
                <w:szCs w:val="18"/>
                <w:lang w:val="en-US" w:eastAsia="zh-CN"/>
              </w:rPr>
              <w:t>和标准指标确定，做好调研和标准进行审查</w:t>
            </w:r>
            <w:r>
              <w:rPr>
                <w:rFonts w:hint="eastAsia" w:ascii="宋体" w:hAnsi="宋体" w:eastAsia="宋体" w:cs="宋体"/>
                <w:color w:val="auto"/>
                <w:sz w:val="18"/>
                <w:szCs w:val="18"/>
                <w:lang w:eastAsia="zh-CN"/>
              </w:rPr>
              <w:t>。</w:t>
            </w:r>
          </w:p>
        </w:tc>
      </w:tr>
      <w:tr w14:paraId="349A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26151E19">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3</w:t>
            </w:r>
          </w:p>
        </w:tc>
        <w:tc>
          <w:tcPr>
            <w:tcW w:w="1500" w:type="dxa"/>
            <w:shd w:val="clear" w:color="auto" w:fill="auto"/>
            <w:vAlign w:val="center"/>
          </w:tcPr>
          <w:p w14:paraId="45E5425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18"/>
                <w:szCs w:val="18"/>
                <w:highlight w:val="yellow"/>
                <w:lang w:val="en-US" w:eastAsia="zh-CN"/>
              </w:rPr>
            </w:pPr>
            <w:r>
              <w:rPr>
                <w:rFonts w:hint="eastAsia" w:ascii="宋体" w:hAnsi="宋体" w:eastAsia="宋体" w:cs="宋体"/>
                <w:color w:val="auto"/>
                <w:sz w:val="18"/>
                <w:szCs w:val="18"/>
                <w:lang w:val="en-US" w:eastAsia="zh-CN"/>
              </w:rPr>
              <w:t>刘博</w:t>
            </w:r>
          </w:p>
        </w:tc>
        <w:tc>
          <w:tcPr>
            <w:tcW w:w="6281" w:type="dxa"/>
            <w:shd w:val="clear" w:color="auto" w:fill="auto"/>
            <w:vAlign w:val="center"/>
          </w:tcPr>
          <w:p w14:paraId="553E77D3">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负责标准的审</w:t>
            </w:r>
            <w:r>
              <w:rPr>
                <w:rFonts w:hint="eastAsia" w:ascii="宋体" w:hAnsi="宋体" w:eastAsia="宋体" w:cs="宋体"/>
                <w:color w:val="auto"/>
                <w:sz w:val="18"/>
                <w:szCs w:val="18"/>
                <w:lang w:val="en-US" w:eastAsia="zh-CN"/>
              </w:rPr>
              <w:t>查，提供标准修改意见和建议，对标准指标进行确定，对洛铜数据进行归集，</w:t>
            </w:r>
            <w:r>
              <w:rPr>
                <w:rFonts w:hint="eastAsia" w:ascii="宋体" w:hAnsi="宋体" w:eastAsia="宋体" w:cs="宋体"/>
                <w:color w:val="auto"/>
                <w:sz w:val="18"/>
                <w:szCs w:val="18"/>
              </w:rPr>
              <w:t>做好调研工作</w:t>
            </w:r>
            <w:r>
              <w:rPr>
                <w:rFonts w:hint="eastAsia" w:ascii="宋体" w:hAnsi="宋体" w:eastAsia="宋体" w:cs="宋体"/>
                <w:color w:val="auto"/>
                <w:sz w:val="18"/>
                <w:szCs w:val="18"/>
                <w:lang w:val="en-US" w:eastAsia="zh-CN"/>
              </w:rPr>
              <w:t>和信息收集</w:t>
            </w:r>
            <w:r>
              <w:rPr>
                <w:rFonts w:hint="eastAsia" w:ascii="宋体" w:hAnsi="宋体" w:eastAsia="宋体" w:cs="宋体"/>
                <w:color w:val="auto"/>
                <w:sz w:val="18"/>
                <w:szCs w:val="18"/>
                <w:lang w:eastAsia="zh-CN"/>
              </w:rPr>
              <w:t>。</w:t>
            </w:r>
          </w:p>
        </w:tc>
      </w:tr>
      <w:tr w14:paraId="14F1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7728E0E8">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4</w:t>
            </w:r>
          </w:p>
        </w:tc>
        <w:tc>
          <w:tcPr>
            <w:tcW w:w="1500" w:type="dxa"/>
            <w:shd w:val="clear" w:color="auto" w:fill="auto"/>
            <w:vAlign w:val="center"/>
          </w:tcPr>
          <w:p w14:paraId="56BD144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梁丽滨</w:t>
            </w:r>
          </w:p>
        </w:tc>
        <w:tc>
          <w:tcPr>
            <w:tcW w:w="6281" w:type="dxa"/>
            <w:shd w:val="clear" w:color="auto" w:fill="auto"/>
            <w:vAlign w:val="center"/>
          </w:tcPr>
          <w:p w14:paraId="75D5A0CB">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兴业盛泰</w:t>
            </w:r>
            <w:r>
              <w:rPr>
                <w:rFonts w:hint="eastAsia" w:ascii="宋体" w:hAnsi="宋体" w:eastAsia="宋体" w:cs="宋体"/>
                <w:color w:val="auto"/>
                <w:sz w:val="18"/>
                <w:szCs w:val="18"/>
                <w:highlight w:val="none"/>
              </w:rPr>
              <w:t>数据，做好调研工作</w:t>
            </w:r>
            <w:r>
              <w:rPr>
                <w:rFonts w:hint="eastAsia" w:ascii="宋体" w:hAnsi="宋体" w:eastAsia="宋体" w:cs="宋体"/>
                <w:color w:val="auto"/>
                <w:sz w:val="18"/>
                <w:szCs w:val="18"/>
                <w:highlight w:val="none"/>
                <w:lang w:val="en-US" w:eastAsia="zh-CN"/>
              </w:rPr>
              <w:t>和标准信息收集，参加标准讨论、预审和审定。</w:t>
            </w:r>
          </w:p>
        </w:tc>
      </w:tr>
      <w:tr w14:paraId="1964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7DB1FA50">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5</w:t>
            </w:r>
          </w:p>
        </w:tc>
        <w:tc>
          <w:tcPr>
            <w:tcW w:w="1500" w:type="dxa"/>
            <w:shd w:val="clear" w:color="auto" w:fill="auto"/>
            <w:vAlign w:val="center"/>
          </w:tcPr>
          <w:p w14:paraId="5C74E9E9">
            <w:pPr>
              <w:adjustRightInd/>
              <w:snapToGrid/>
              <w:spacing w:after="0"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夏经攀</w:t>
            </w:r>
          </w:p>
        </w:tc>
        <w:tc>
          <w:tcPr>
            <w:tcW w:w="6281" w:type="dxa"/>
            <w:shd w:val="clear" w:color="auto" w:fill="auto"/>
            <w:vAlign w:val="center"/>
          </w:tcPr>
          <w:p w14:paraId="669AE852">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金田铜业</w:t>
            </w:r>
            <w:r>
              <w:rPr>
                <w:rFonts w:hint="eastAsia" w:ascii="宋体" w:hAnsi="宋体" w:eastAsia="宋体" w:cs="宋体"/>
                <w:color w:val="auto"/>
                <w:sz w:val="18"/>
                <w:szCs w:val="18"/>
                <w:highlight w:val="none"/>
              </w:rPr>
              <w:t>数据，做好调研工作</w:t>
            </w:r>
            <w:r>
              <w:rPr>
                <w:rFonts w:hint="eastAsia" w:ascii="宋体" w:hAnsi="宋体" w:eastAsia="宋体" w:cs="宋体"/>
                <w:color w:val="auto"/>
                <w:sz w:val="18"/>
                <w:szCs w:val="18"/>
                <w:highlight w:val="none"/>
                <w:lang w:val="en-US" w:eastAsia="zh-CN"/>
              </w:rPr>
              <w:t>和标准信息收集，参加标准讨论。</w:t>
            </w:r>
          </w:p>
        </w:tc>
      </w:tr>
      <w:tr w14:paraId="7D35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91" w:type="dxa"/>
            <w:shd w:val="clear" w:color="auto" w:fill="auto"/>
            <w:vAlign w:val="center"/>
          </w:tcPr>
          <w:p w14:paraId="1914D030">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6</w:t>
            </w:r>
          </w:p>
        </w:tc>
        <w:tc>
          <w:tcPr>
            <w:tcW w:w="1500" w:type="dxa"/>
            <w:shd w:val="clear" w:color="auto" w:fill="auto"/>
            <w:vAlign w:val="center"/>
          </w:tcPr>
          <w:p w14:paraId="0EAA4697">
            <w:pPr>
              <w:adjustRightInd/>
              <w:snapToGrid/>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赵智勇</w:t>
            </w:r>
          </w:p>
        </w:tc>
        <w:tc>
          <w:tcPr>
            <w:tcW w:w="6281" w:type="dxa"/>
            <w:shd w:val="clear" w:color="auto" w:fill="auto"/>
            <w:vAlign w:val="center"/>
          </w:tcPr>
          <w:p w14:paraId="56C43263">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华中铜业</w:t>
            </w:r>
            <w:r>
              <w:rPr>
                <w:rFonts w:hint="eastAsia" w:ascii="宋体" w:hAnsi="宋体" w:eastAsia="宋体" w:cs="宋体"/>
                <w:color w:val="auto"/>
                <w:sz w:val="18"/>
                <w:szCs w:val="18"/>
                <w:highlight w:val="none"/>
              </w:rPr>
              <w:t>数据，做好调研工作</w:t>
            </w:r>
            <w:r>
              <w:rPr>
                <w:rFonts w:hint="eastAsia" w:ascii="宋体" w:hAnsi="宋体" w:eastAsia="宋体" w:cs="宋体"/>
                <w:color w:val="auto"/>
                <w:sz w:val="18"/>
                <w:szCs w:val="18"/>
                <w:highlight w:val="none"/>
                <w:lang w:val="en-US" w:eastAsia="zh-CN"/>
              </w:rPr>
              <w:t>和标准信息收集，参加标准讨论、预审和审定。</w:t>
            </w:r>
          </w:p>
        </w:tc>
      </w:tr>
      <w:tr w14:paraId="6842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0C21BE91">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7</w:t>
            </w:r>
          </w:p>
        </w:tc>
        <w:tc>
          <w:tcPr>
            <w:tcW w:w="1500" w:type="dxa"/>
            <w:tcBorders>
              <w:top w:val="nil"/>
              <w:left w:val="nil"/>
              <w:bottom w:val="single" w:color="auto" w:sz="4" w:space="0"/>
              <w:right w:val="single" w:color="auto" w:sz="4" w:space="0"/>
            </w:tcBorders>
            <w:shd w:val="clear" w:color="auto" w:fill="auto"/>
            <w:noWrap/>
            <w:vAlign w:val="center"/>
          </w:tcPr>
          <w:p w14:paraId="46E0E252">
            <w:pPr>
              <w:adjustRightInd/>
              <w:snapToGrid/>
              <w:spacing w:after="0"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魏连运</w:t>
            </w:r>
          </w:p>
        </w:tc>
        <w:tc>
          <w:tcPr>
            <w:tcW w:w="6281" w:type="dxa"/>
            <w:tcBorders>
              <w:top w:val="nil"/>
              <w:left w:val="nil"/>
              <w:bottom w:val="single" w:color="auto" w:sz="4" w:space="0"/>
              <w:right w:val="single" w:color="auto" w:sz="4" w:space="0"/>
            </w:tcBorders>
            <w:shd w:val="clear" w:color="auto" w:fill="auto"/>
            <w:noWrap/>
            <w:vAlign w:val="center"/>
          </w:tcPr>
          <w:p w14:paraId="0EE3F192">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b w:val="0"/>
                <w:bCs w:val="0"/>
                <w:color w:val="auto"/>
                <w:sz w:val="18"/>
                <w:szCs w:val="18"/>
              </w:rPr>
              <w:t>海亮股份</w:t>
            </w:r>
            <w:r>
              <w:rPr>
                <w:rFonts w:hint="eastAsia" w:ascii="宋体" w:hAnsi="宋体" w:eastAsia="宋体" w:cs="宋体"/>
                <w:color w:val="auto"/>
                <w:sz w:val="18"/>
                <w:szCs w:val="18"/>
              </w:rPr>
              <w:t>数据，做好调研工作</w:t>
            </w:r>
            <w:r>
              <w:rPr>
                <w:rFonts w:hint="eastAsia" w:ascii="宋体" w:hAnsi="宋体" w:eastAsia="宋体" w:cs="宋体"/>
                <w:color w:val="auto"/>
                <w:sz w:val="18"/>
                <w:szCs w:val="18"/>
                <w:lang w:val="en-US" w:eastAsia="zh-CN"/>
              </w:rPr>
              <w:t>和标准信息收集，参加标准讨论、预审和审定。</w:t>
            </w:r>
          </w:p>
        </w:tc>
      </w:tr>
      <w:tr w14:paraId="6F90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51B385B0">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8</w:t>
            </w:r>
          </w:p>
        </w:tc>
        <w:tc>
          <w:tcPr>
            <w:tcW w:w="1500" w:type="dxa"/>
            <w:tcBorders>
              <w:top w:val="nil"/>
              <w:left w:val="nil"/>
              <w:bottom w:val="single" w:color="auto" w:sz="4" w:space="0"/>
              <w:right w:val="single" w:color="auto" w:sz="4" w:space="0"/>
            </w:tcBorders>
            <w:shd w:val="clear" w:color="auto" w:fill="auto"/>
            <w:noWrap/>
            <w:vAlign w:val="center"/>
          </w:tcPr>
          <w:p w14:paraId="4E8D0FAB">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胡宽雨</w:t>
            </w:r>
          </w:p>
        </w:tc>
        <w:tc>
          <w:tcPr>
            <w:tcW w:w="6281" w:type="dxa"/>
            <w:tcBorders>
              <w:top w:val="nil"/>
              <w:left w:val="nil"/>
              <w:bottom w:val="single" w:color="auto" w:sz="4" w:space="0"/>
              <w:right w:val="single" w:color="auto" w:sz="4" w:space="0"/>
            </w:tcBorders>
            <w:shd w:val="clear" w:color="auto" w:fill="auto"/>
            <w:noWrap/>
            <w:vAlign w:val="center"/>
          </w:tcPr>
          <w:p w14:paraId="49C2EAF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b w:val="0"/>
                <w:bCs w:val="0"/>
                <w:color w:val="auto"/>
                <w:sz w:val="18"/>
                <w:szCs w:val="18"/>
              </w:rPr>
              <w:t>龙丰精密铜</w:t>
            </w:r>
            <w:r>
              <w:rPr>
                <w:rFonts w:hint="eastAsia" w:ascii="宋体" w:hAnsi="宋体" w:eastAsia="宋体" w:cs="宋体"/>
                <w:b w:val="0"/>
                <w:bCs w:val="0"/>
                <w:color w:val="auto"/>
                <w:sz w:val="18"/>
                <w:szCs w:val="18"/>
                <w:lang w:val="en-US" w:eastAsia="zh-CN"/>
              </w:rPr>
              <w:t>管</w:t>
            </w:r>
            <w:r>
              <w:rPr>
                <w:rFonts w:hint="eastAsia" w:ascii="宋体" w:hAnsi="宋体" w:eastAsia="宋体" w:cs="宋体"/>
                <w:color w:val="auto"/>
                <w:sz w:val="18"/>
                <w:szCs w:val="18"/>
              </w:rPr>
              <w:t>数据，做好调研工作</w:t>
            </w:r>
            <w:r>
              <w:rPr>
                <w:rFonts w:hint="eastAsia" w:ascii="宋体" w:hAnsi="宋体" w:eastAsia="宋体" w:cs="宋体"/>
                <w:color w:val="auto"/>
                <w:sz w:val="18"/>
                <w:szCs w:val="18"/>
                <w:lang w:val="en-US" w:eastAsia="zh-CN"/>
              </w:rPr>
              <w:t>和标准信息收集，参加标准讨论。</w:t>
            </w:r>
          </w:p>
        </w:tc>
      </w:tr>
      <w:tr w14:paraId="1765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7A0DB723">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9</w:t>
            </w:r>
          </w:p>
        </w:tc>
        <w:tc>
          <w:tcPr>
            <w:tcW w:w="1500" w:type="dxa"/>
            <w:tcBorders>
              <w:top w:val="nil"/>
              <w:left w:val="nil"/>
              <w:bottom w:val="single" w:color="auto" w:sz="4" w:space="0"/>
              <w:right w:val="single" w:color="auto" w:sz="4" w:space="0"/>
            </w:tcBorders>
            <w:shd w:val="clear" w:color="auto" w:fill="auto"/>
            <w:noWrap/>
            <w:vAlign w:val="center"/>
          </w:tcPr>
          <w:p w14:paraId="7948AA8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邱建根</w:t>
            </w:r>
          </w:p>
        </w:tc>
        <w:tc>
          <w:tcPr>
            <w:tcW w:w="6281" w:type="dxa"/>
            <w:tcBorders>
              <w:top w:val="nil"/>
              <w:left w:val="nil"/>
              <w:bottom w:val="single" w:color="auto" w:sz="4" w:space="0"/>
              <w:right w:val="single" w:color="auto" w:sz="4" w:space="0"/>
            </w:tcBorders>
            <w:shd w:val="clear" w:color="auto" w:fill="auto"/>
            <w:noWrap/>
            <w:vAlign w:val="center"/>
          </w:tcPr>
          <w:p w14:paraId="1D9E3BDC">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b w:val="0"/>
                <w:bCs w:val="0"/>
                <w:color w:val="auto"/>
                <w:sz w:val="18"/>
                <w:szCs w:val="18"/>
                <w:lang w:val="en-US" w:eastAsia="zh-CN"/>
              </w:rPr>
              <w:t>紫金铜业</w:t>
            </w:r>
            <w:r>
              <w:rPr>
                <w:rFonts w:hint="eastAsia" w:ascii="宋体" w:hAnsi="宋体" w:eastAsia="宋体" w:cs="宋体"/>
                <w:color w:val="auto"/>
                <w:sz w:val="18"/>
                <w:szCs w:val="18"/>
              </w:rPr>
              <w:t>数据，配合做好调研工作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参加标准讨论、预审和审定。</w:t>
            </w:r>
          </w:p>
        </w:tc>
      </w:tr>
      <w:tr w14:paraId="4861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2AF5DD4B">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w:t>
            </w:r>
          </w:p>
        </w:tc>
        <w:tc>
          <w:tcPr>
            <w:tcW w:w="1500" w:type="dxa"/>
            <w:tcBorders>
              <w:top w:val="nil"/>
              <w:left w:val="nil"/>
              <w:bottom w:val="single" w:color="auto" w:sz="4" w:space="0"/>
              <w:right w:val="single" w:color="auto" w:sz="4" w:space="0"/>
            </w:tcBorders>
            <w:shd w:val="clear" w:color="auto" w:fill="auto"/>
            <w:noWrap/>
            <w:vAlign w:val="center"/>
          </w:tcPr>
          <w:p w14:paraId="233E1A6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赵宝民</w:t>
            </w:r>
          </w:p>
        </w:tc>
        <w:tc>
          <w:tcPr>
            <w:tcW w:w="6281" w:type="dxa"/>
            <w:tcBorders>
              <w:top w:val="nil"/>
              <w:left w:val="nil"/>
              <w:bottom w:val="single" w:color="auto" w:sz="4" w:space="0"/>
              <w:right w:val="single" w:color="auto" w:sz="4" w:space="0"/>
            </w:tcBorders>
            <w:shd w:val="clear" w:color="auto" w:fill="auto"/>
            <w:noWrap/>
            <w:vAlign w:val="center"/>
          </w:tcPr>
          <w:p w14:paraId="0CAB71CB">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b w:val="0"/>
                <w:bCs w:val="0"/>
                <w:color w:val="auto"/>
                <w:sz w:val="18"/>
                <w:szCs w:val="18"/>
                <w:lang w:val="en-US" w:eastAsia="zh-CN"/>
              </w:rPr>
              <w:t>龙煜精密铜管</w:t>
            </w:r>
            <w:r>
              <w:rPr>
                <w:rFonts w:hint="eastAsia" w:ascii="宋体" w:hAnsi="宋体" w:eastAsia="宋体" w:cs="宋体"/>
                <w:color w:val="auto"/>
                <w:sz w:val="18"/>
                <w:szCs w:val="18"/>
              </w:rPr>
              <w:t>数据，配合做好调研工作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参加标准讨论、预审和审定。</w:t>
            </w:r>
          </w:p>
        </w:tc>
      </w:tr>
      <w:tr w14:paraId="51CE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246B1">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D6AC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郭立全</w:t>
            </w:r>
          </w:p>
        </w:tc>
        <w:tc>
          <w:tcPr>
            <w:tcW w:w="6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49FC8">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金龙精密铜管</w:t>
            </w:r>
            <w:r>
              <w:rPr>
                <w:rFonts w:hint="eastAsia" w:ascii="宋体" w:hAnsi="宋体" w:eastAsia="宋体" w:cs="宋体"/>
                <w:color w:val="auto"/>
                <w:sz w:val="18"/>
                <w:szCs w:val="18"/>
                <w:highlight w:val="none"/>
              </w:rPr>
              <w:t>数据，配合做好调研工作</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参加标准讨论。</w:t>
            </w:r>
          </w:p>
        </w:tc>
      </w:tr>
      <w:tr w14:paraId="6A41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88C99">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45067">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张文婧</w:t>
            </w:r>
          </w:p>
        </w:tc>
        <w:tc>
          <w:tcPr>
            <w:tcW w:w="6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C993D">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有研工研院</w:t>
            </w:r>
            <w:r>
              <w:rPr>
                <w:rFonts w:hint="eastAsia" w:ascii="宋体" w:hAnsi="宋体" w:eastAsia="宋体" w:cs="宋体"/>
                <w:color w:val="auto"/>
                <w:sz w:val="18"/>
                <w:szCs w:val="18"/>
              </w:rPr>
              <w:t>单位数据，配合做好调研工作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参加标准预审和审定</w:t>
            </w:r>
          </w:p>
        </w:tc>
      </w:tr>
      <w:tr w14:paraId="4A2C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1F8592D7">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1500" w:type="dxa"/>
            <w:shd w:val="clear" w:color="auto" w:fill="auto"/>
            <w:vAlign w:val="center"/>
          </w:tcPr>
          <w:p w14:paraId="2F49FD3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王梦娜</w:t>
            </w:r>
          </w:p>
        </w:tc>
        <w:tc>
          <w:tcPr>
            <w:tcW w:w="6281" w:type="dxa"/>
            <w:shd w:val="clear" w:color="auto" w:fill="auto"/>
            <w:vAlign w:val="center"/>
          </w:tcPr>
          <w:p w14:paraId="23A43D15">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负责</w:t>
            </w:r>
            <w:r>
              <w:rPr>
                <w:rFonts w:hint="eastAsia" w:ascii="宋体" w:hAnsi="宋体" w:eastAsia="宋体" w:cs="宋体"/>
                <w:color w:val="auto"/>
                <w:sz w:val="18"/>
                <w:szCs w:val="18"/>
                <w:highlight w:val="none"/>
                <w:lang w:val="en-US" w:eastAsia="zh-CN"/>
              </w:rPr>
              <w:t>标准数据的分析，提供标准修改意见和建议，</w:t>
            </w:r>
            <w:r>
              <w:rPr>
                <w:rFonts w:hint="eastAsia" w:ascii="宋体" w:hAnsi="宋体" w:eastAsia="宋体" w:cs="宋体"/>
                <w:color w:val="auto"/>
                <w:sz w:val="18"/>
                <w:szCs w:val="18"/>
                <w:highlight w:val="none"/>
              </w:rPr>
              <w:t>做好调研工作</w:t>
            </w:r>
            <w:r>
              <w:rPr>
                <w:rFonts w:hint="eastAsia" w:ascii="宋体" w:hAnsi="宋体" w:eastAsia="宋体" w:cs="宋体"/>
                <w:color w:val="auto"/>
                <w:sz w:val="18"/>
                <w:szCs w:val="18"/>
                <w:highlight w:val="none"/>
                <w:lang w:val="en-US" w:eastAsia="zh-CN"/>
              </w:rPr>
              <w:t>和标准信息收集，参加标准讨论</w:t>
            </w:r>
            <w:r>
              <w:rPr>
                <w:rFonts w:hint="eastAsia" w:ascii="宋体" w:hAnsi="宋体" w:eastAsia="宋体" w:cs="宋体"/>
                <w:color w:val="auto"/>
                <w:sz w:val="18"/>
                <w:szCs w:val="18"/>
                <w:highlight w:val="none"/>
                <w:lang w:eastAsia="zh-CN"/>
              </w:rPr>
              <w:t>。</w:t>
            </w:r>
          </w:p>
        </w:tc>
      </w:tr>
      <w:tr w14:paraId="33F6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6A5BA0EA">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14</w:t>
            </w:r>
          </w:p>
        </w:tc>
        <w:tc>
          <w:tcPr>
            <w:tcW w:w="1500" w:type="dxa"/>
            <w:shd w:val="clear" w:color="auto" w:fill="auto"/>
            <w:vAlign w:val="center"/>
          </w:tcPr>
          <w:p w14:paraId="4F9C22E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徐顺雨</w:t>
            </w:r>
          </w:p>
        </w:tc>
        <w:tc>
          <w:tcPr>
            <w:tcW w:w="6281" w:type="dxa"/>
            <w:shd w:val="clear" w:color="auto" w:fill="auto"/>
            <w:vAlign w:val="center"/>
          </w:tcPr>
          <w:p w14:paraId="5975F2A0">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兴业盛泰</w:t>
            </w:r>
            <w:r>
              <w:rPr>
                <w:rFonts w:hint="eastAsia" w:ascii="宋体" w:hAnsi="宋体" w:eastAsia="宋体" w:cs="宋体"/>
                <w:color w:val="auto"/>
                <w:sz w:val="18"/>
                <w:szCs w:val="18"/>
                <w:highlight w:val="none"/>
              </w:rPr>
              <w:t>数据，做好调研工作</w:t>
            </w:r>
            <w:r>
              <w:rPr>
                <w:rFonts w:hint="eastAsia" w:ascii="宋体" w:hAnsi="宋体" w:eastAsia="宋体" w:cs="宋体"/>
                <w:color w:val="auto"/>
                <w:sz w:val="18"/>
                <w:szCs w:val="18"/>
                <w:highlight w:val="none"/>
                <w:lang w:val="en-US" w:eastAsia="zh-CN"/>
              </w:rPr>
              <w:t>和标准信息收集，参加标准讨论、预审和审定。</w:t>
            </w:r>
          </w:p>
        </w:tc>
      </w:tr>
      <w:tr w14:paraId="5B5E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shd w:val="clear" w:color="auto" w:fill="auto"/>
            <w:vAlign w:val="center"/>
          </w:tcPr>
          <w:p w14:paraId="2737AAFF">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15</w:t>
            </w:r>
          </w:p>
        </w:tc>
        <w:tc>
          <w:tcPr>
            <w:tcW w:w="1500" w:type="dxa"/>
            <w:shd w:val="clear" w:color="auto" w:fill="auto"/>
            <w:vAlign w:val="center"/>
          </w:tcPr>
          <w:p w14:paraId="30C9F028">
            <w:pPr>
              <w:adjustRightInd/>
              <w:snapToGrid/>
              <w:spacing w:after="0"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张 翼</w:t>
            </w:r>
          </w:p>
        </w:tc>
        <w:tc>
          <w:tcPr>
            <w:tcW w:w="6281" w:type="dxa"/>
            <w:shd w:val="clear" w:color="auto" w:fill="auto"/>
            <w:vAlign w:val="center"/>
          </w:tcPr>
          <w:p w14:paraId="649D2084">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归集金田铜业</w:t>
            </w:r>
            <w:r>
              <w:rPr>
                <w:rFonts w:hint="eastAsia" w:ascii="宋体" w:hAnsi="宋体" w:eastAsia="宋体" w:cs="宋体"/>
                <w:color w:val="auto"/>
                <w:sz w:val="18"/>
                <w:szCs w:val="18"/>
                <w:highlight w:val="none"/>
              </w:rPr>
              <w:t>数据，做好调研工作</w:t>
            </w:r>
            <w:r>
              <w:rPr>
                <w:rFonts w:hint="eastAsia" w:ascii="宋体" w:hAnsi="宋体" w:eastAsia="宋体" w:cs="宋体"/>
                <w:color w:val="auto"/>
                <w:sz w:val="18"/>
                <w:szCs w:val="18"/>
                <w:highlight w:val="none"/>
                <w:lang w:val="en-US" w:eastAsia="zh-CN"/>
              </w:rPr>
              <w:t>和标准信息收集，参加标准讨论。</w:t>
            </w:r>
          </w:p>
        </w:tc>
      </w:tr>
      <w:tr w14:paraId="7F5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691" w:type="dxa"/>
            <w:shd w:val="clear" w:color="auto" w:fill="auto"/>
            <w:vAlign w:val="center"/>
          </w:tcPr>
          <w:p w14:paraId="698E8DB1">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16</w:t>
            </w:r>
          </w:p>
        </w:tc>
        <w:tc>
          <w:tcPr>
            <w:tcW w:w="1500" w:type="dxa"/>
            <w:shd w:val="clear" w:color="auto" w:fill="auto"/>
            <w:vAlign w:val="center"/>
          </w:tcPr>
          <w:p w14:paraId="658B8EFB">
            <w:pPr>
              <w:adjustRightInd/>
              <w:snapToGrid/>
              <w:spacing w:after="0" w:line="240" w:lineRule="auto"/>
              <w:jc w:val="center"/>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冷梅勇</w:t>
            </w:r>
          </w:p>
        </w:tc>
        <w:tc>
          <w:tcPr>
            <w:tcW w:w="6281" w:type="dxa"/>
            <w:shd w:val="clear" w:color="auto" w:fill="auto"/>
            <w:vAlign w:val="center"/>
          </w:tcPr>
          <w:p w14:paraId="04E3997D">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归集华中铜业</w:t>
            </w:r>
            <w:r>
              <w:rPr>
                <w:rFonts w:hint="eastAsia" w:ascii="宋体" w:hAnsi="宋体" w:eastAsia="宋体" w:cs="宋体"/>
                <w:color w:val="auto"/>
                <w:sz w:val="18"/>
                <w:szCs w:val="18"/>
                <w:highlight w:val="none"/>
              </w:rPr>
              <w:t>数据</w:t>
            </w:r>
            <w:r>
              <w:rPr>
                <w:rFonts w:hint="eastAsia" w:ascii="宋体" w:hAnsi="宋体" w:eastAsia="宋体" w:cs="宋体"/>
                <w:color w:val="auto"/>
                <w:sz w:val="18"/>
                <w:szCs w:val="18"/>
              </w:rPr>
              <w:t>，做好调研工作</w:t>
            </w:r>
            <w:r>
              <w:rPr>
                <w:rFonts w:hint="eastAsia" w:ascii="宋体" w:hAnsi="宋体" w:eastAsia="宋体" w:cs="宋体"/>
                <w:color w:val="auto"/>
                <w:sz w:val="18"/>
                <w:szCs w:val="18"/>
                <w:lang w:val="en-US" w:eastAsia="zh-CN"/>
              </w:rPr>
              <w:t>和信息收集，参加标准讨论。</w:t>
            </w:r>
          </w:p>
        </w:tc>
      </w:tr>
      <w:tr w14:paraId="78FA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18A631EB">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17</w:t>
            </w:r>
          </w:p>
        </w:tc>
        <w:tc>
          <w:tcPr>
            <w:tcW w:w="1500" w:type="dxa"/>
            <w:tcBorders>
              <w:top w:val="nil"/>
              <w:left w:val="nil"/>
              <w:bottom w:val="single" w:color="auto" w:sz="4" w:space="0"/>
              <w:right w:val="single" w:color="auto" w:sz="4" w:space="0"/>
            </w:tcBorders>
            <w:shd w:val="clear" w:color="auto" w:fill="auto"/>
            <w:noWrap/>
            <w:vAlign w:val="center"/>
          </w:tcPr>
          <w:p w14:paraId="49511266">
            <w:pPr>
              <w:adjustRightInd/>
              <w:snapToGrid/>
              <w:spacing w:after="0"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石何威</w:t>
            </w:r>
          </w:p>
        </w:tc>
        <w:tc>
          <w:tcPr>
            <w:tcW w:w="6281" w:type="dxa"/>
            <w:tcBorders>
              <w:top w:val="nil"/>
              <w:left w:val="nil"/>
              <w:bottom w:val="single" w:color="auto" w:sz="4" w:space="0"/>
              <w:right w:val="single" w:color="auto" w:sz="4" w:space="0"/>
            </w:tcBorders>
            <w:shd w:val="clear" w:color="auto" w:fill="auto"/>
            <w:noWrap/>
            <w:vAlign w:val="center"/>
          </w:tcPr>
          <w:p w14:paraId="5AA47256">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归集</w:t>
            </w:r>
            <w:r>
              <w:rPr>
                <w:rFonts w:hint="eastAsia" w:ascii="宋体" w:hAnsi="宋体" w:eastAsia="宋体" w:cs="宋体"/>
                <w:b w:val="0"/>
                <w:bCs w:val="0"/>
                <w:color w:val="auto"/>
                <w:sz w:val="18"/>
                <w:szCs w:val="18"/>
              </w:rPr>
              <w:t>海亮股份</w:t>
            </w:r>
            <w:r>
              <w:rPr>
                <w:rFonts w:hint="eastAsia" w:ascii="宋体" w:hAnsi="宋体" w:eastAsia="宋体" w:cs="宋体"/>
                <w:color w:val="auto"/>
                <w:sz w:val="18"/>
                <w:szCs w:val="18"/>
              </w:rPr>
              <w:t>数据，做好调研工作</w:t>
            </w:r>
            <w:r>
              <w:rPr>
                <w:rFonts w:hint="eastAsia" w:ascii="宋体" w:hAnsi="宋体" w:eastAsia="宋体" w:cs="宋体"/>
                <w:color w:val="auto"/>
                <w:sz w:val="18"/>
                <w:szCs w:val="18"/>
                <w:lang w:val="en-US" w:eastAsia="zh-CN"/>
              </w:rPr>
              <w:t>和信息收集，参加标准讨论。</w:t>
            </w:r>
          </w:p>
        </w:tc>
      </w:tr>
      <w:tr w14:paraId="32B8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02E6413E">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18</w:t>
            </w:r>
          </w:p>
        </w:tc>
        <w:tc>
          <w:tcPr>
            <w:tcW w:w="1500" w:type="dxa"/>
            <w:tcBorders>
              <w:top w:val="nil"/>
              <w:left w:val="nil"/>
              <w:bottom w:val="single" w:color="auto" w:sz="4" w:space="0"/>
              <w:right w:val="single" w:color="auto" w:sz="4" w:space="0"/>
            </w:tcBorders>
            <w:shd w:val="clear" w:color="auto" w:fill="auto"/>
            <w:noWrap/>
            <w:vAlign w:val="center"/>
          </w:tcPr>
          <w:p w14:paraId="352AB61D">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齐文娟</w:t>
            </w:r>
          </w:p>
        </w:tc>
        <w:tc>
          <w:tcPr>
            <w:tcW w:w="6281" w:type="dxa"/>
            <w:tcBorders>
              <w:top w:val="nil"/>
              <w:left w:val="nil"/>
              <w:bottom w:val="single" w:color="auto" w:sz="4" w:space="0"/>
              <w:right w:val="single" w:color="auto" w:sz="4" w:space="0"/>
            </w:tcBorders>
            <w:shd w:val="clear" w:color="auto" w:fill="auto"/>
            <w:noWrap/>
            <w:vAlign w:val="center"/>
          </w:tcPr>
          <w:p w14:paraId="770AAD7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归集</w:t>
            </w:r>
            <w:r>
              <w:rPr>
                <w:rFonts w:hint="eastAsia" w:ascii="宋体" w:hAnsi="宋体" w:eastAsia="宋体" w:cs="宋体"/>
                <w:b w:val="0"/>
                <w:bCs w:val="0"/>
                <w:color w:val="auto"/>
                <w:sz w:val="18"/>
                <w:szCs w:val="18"/>
              </w:rPr>
              <w:t>龙丰精密铜</w:t>
            </w:r>
            <w:r>
              <w:rPr>
                <w:rFonts w:hint="eastAsia" w:ascii="宋体" w:hAnsi="宋体" w:eastAsia="宋体" w:cs="宋体"/>
                <w:b w:val="0"/>
                <w:bCs w:val="0"/>
                <w:color w:val="auto"/>
                <w:sz w:val="18"/>
                <w:szCs w:val="18"/>
                <w:lang w:val="en-US" w:eastAsia="zh-CN"/>
              </w:rPr>
              <w:t>管</w:t>
            </w:r>
            <w:r>
              <w:rPr>
                <w:rFonts w:hint="eastAsia" w:ascii="宋体" w:hAnsi="宋体" w:eastAsia="宋体" w:cs="宋体"/>
                <w:color w:val="auto"/>
                <w:sz w:val="18"/>
                <w:szCs w:val="18"/>
              </w:rPr>
              <w:t>数据，做好调研工作</w:t>
            </w:r>
            <w:r>
              <w:rPr>
                <w:rFonts w:hint="eastAsia" w:ascii="宋体" w:hAnsi="宋体" w:eastAsia="宋体" w:cs="宋体"/>
                <w:color w:val="auto"/>
                <w:sz w:val="18"/>
                <w:szCs w:val="18"/>
                <w:lang w:val="en-US" w:eastAsia="zh-CN"/>
              </w:rPr>
              <w:t>和信息收集，参加标准讨论。</w:t>
            </w:r>
          </w:p>
        </w:tc>
      </w:tr>
      <w:tr w14:paraId="3C6B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22C3FCD5">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19</w:t>
            </w:r>
          </w:p>
        </w:tc>
        <w:tc>
          <w:tcPr>
            <w:tcW w:w="1500" w:type="dxa"/>
            <w:tcBorders>
              <w:top w:val="nil"/>
              <w:left w:val="nil"/>
              <w:bottom w:val="single" w:color="auto" w:sz="4" w:space="0"/>
              <w:right w:val="single" w:color="auto" w:sz="4" w:space="0"/>
            </w:tcBorders>
            <w:shd w:val="clear" w:color="auto" w:fill="auto"/>
            <w:noWrap/>
            <w:vAlign w:val="center"/>
          </w:tcPr>
          <w:p w14:paraId="63C4B6E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伍宝英</w:t>
            </w:r>
          </w:p>
        </w:tc>
        <w:tc>
          <w:tcPr>
            <w:tcW w:w="6281" w:type="dxa"/>
            <w:tcBorders>
              <w:top w:val="nil"/>
              <w:left w:val="nil"/>
              <w:bottom w:val="single" w:color="auto" w:sz="4" w:space="0"/>
              <w:right w:val="single" w:color="auto" w:sz="4" w:space="0"/>
            </w:tcBorders>
            <w:shd w:val="clear" w:color="auto" w:fill="auto"/>
            <w:noWrap/>
            <w:vAlign w:val="center"/>
          </w:tcPr>
          <w:p w14:paraId="213C5247">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归集</w:t>
            </w:r>
            <w:r>
              <w:rPr>
                <w:rFonts w:hint="eastAsia" w:ascii="宋体" w:hAnsi="宋体" w:eastAsia="宋体" w:cs="宋体"/>
                <w:b w:val="0"/>
                <w:bCs w:val="0"/>
                <w:color w:val="auto"/>
                <w:sz w:val="18"/>
                <w:szCs w:val="18"/>
                <w:lang w:val="en-US" w:eastAsia="zh-CN"/>
              </w:rPr>
              <w:t>紫金铜业</w:t>
            </w:r>
            <w:r>
              <w:rPr>
                <w:rFonts w:hint="eastAsia" w:ascii="宋体" w:hAnsi="宋体" w:eastAsia="宋体" w:cs="宋体"/>
                <w:color w:val="auto"/>
                <w:sz w:val="18"/>
                <w:szCs w:val="18"/>
              </w:rPr>
              <w:t>数据，配合做好调研工作</w:t>
            </w:r>
            <w:r>
              <w:rPr>
                <w:rFonts w:hint="eastAsia" w:ascii="宋体" w:hAnsi="宋体" w:eastAsia="宋体" w:cs="宋体"/>
                <w:color w:val="auto"/>
                <w:sz w:val="18"/>
                <w:szCs w:val="18"/>
                <w:lang w:val="en-US" w:eastAsia="zh-CN"/>
              </w:rPr>
              <w:t>和信息收集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参加标准讨论。</w:t>
            </w:r>
          </w:p>
        </w:tc>
      </w:tr>
      <w:tr w14:paraId="1B96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nil"/>
              <w:left w:val="single" w:color="auto" w:sz="4" w:space="0"/>
              <w:bottom w:val="single" w:color="auto" w:sz="4" w:space="0"/>
              <w:right w:val="single" w:color="auto" w:sz="4" w:space="0"/>
            </w:tcBorders>
            <w:shd w:val="clear" w:color="auto" w:fill="auto"/>
            <w:noWrap/>
            <w:vAlign w:val="center"/>
          </w:tcPr>
          <w:p w14:paraId="230BA573">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20</w:t>
            </w:r>
          </w:p>
        </w:tc>
        <w:tc>
          <w:tcPr>
            <w:tcW w:w="1500" w:type="dxa"/>
            <w:tcBorders>
              <w:top w:val="nil"/>
              <w:left w:val="nil"/>
              <w:bottom w:val="single" w:color="auto" w:sz="4" w:space="0"/>
              <w:right w:val="single" w:color="auto" w:sz="4" w:space="0"/>
            </w:tcBorders>
            <w:shd w:val="clear" w:color="auto" w:fill="auto"/>
            <w:noWrap/>
            <w:vAlign w:val="center"/>
          </w:tcPr>
          <w:p w14:paraId="139556D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张德志</w:t>
            </w:r>
          </w:p>
        </w:tc>
        <w:tc>
          <w:tcPr>
            <w:tcW w:w="6281" w:type="dxa"/>
            <w:tcBorders>
              <w:top w:val="nil"/>
              <w:left w:val="nil"/>
              <w:bottom w:val="single" w:color="auto" w:sz="4" w:space="0"/>
              <w:right w:val="single" w:color="auto" w:sz="4" w:space="0"/>
            </w:tcBorders>
            <w:shd w:val="clear" w:color="auto" w:fill="auto"/>
            <w:noWrap/>
            <w:vAlign w:val="center"/>
          </w:tcPr>
          <w:p w14:paraId="6E18C02B">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归集</w:t>
            </w:r>
            <w:r>
              <w:rPr>
                <w:rFonts w:hint="eastAsia" w:ascii="宋体" w:hAnsi="宋体" w:eastAsia="宋体" w:cs="宋体"/>
                <w:b w:val="0"/>
                <w:bCs w:val="0"/>
                <w:color w:val="auto"/>
                <w:sz w:val="18"/>
                <w:szCs w:val="18"/>
                <w:lang w:val="en-US" w:eastAsia="zh-CN"/>
              </w:rPr>
              <w:t>龙煜精密铜管</w:t>
            </w:r>
            <w:r>
              <w:rPr>
                <w:rFonts w:hint="eastAsia" w:ascii="宋体" w:hAnsi="宋体" w:eastAsia="宋体" w:cs="宋体"/>
                <w:color w:val="auto"/>
                <w:sz w:val="18"/>
                <w:szCs w:val="18"/>
              </w:rPr>
              <w:t>数据，配合做好调研工作</w:t>
            </w:r>
            <w:r>
              <w:rPr>
                <w:rFonts w:hint="eastAsia" w:ascii="宋体" w:hAnsi="宋体" w:eastAsia="宋体" w:cs="宋体"/>
                <w:color w:val="auto"/>
                <w:sz w:val="18"/>
                <w:szCs w:val="18"/>
                <w:lang w:val="en-US" w:eastAsia="zh-CN"/>
              </w:rPr>
              <w:t>和信息收集。</w:t>
            </w:r>
          </w:p>
        </w:tc>
      </w:tr>
      <w:tr w14:paraId="44E5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81C1F">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8724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李普忠</w:t>
            </w:r>
          </w:p>
        </w:tc>
        <w:tc>
          <w:tcPr>
            <w:tcW w:w="6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CA24A">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提供标准起草意见/建议</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归集金龙精密铜管</w:t>
            </w:r>
            <w:r>
              <w:rPr>
                <w:rFonts w:hint="eastAsia" w:ascii="宋体" w:hAnsi="宋体" w:eastAsia="宋体" w:cs="宋体"/>
                <w:color w:val="auto"/>
                <w:sz w:val="18"/>
                <w:szCs w:val="18"/>
                <w:highlight w:val="none"/>
              </w:rPr>
              <w:t>数据，配合做好调研工作</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参加标准讨论。</w:t>
            </w:r>
          </w:p>
        </w:tc>
      </w:tr>
      <w:tr w14:paraId="5CF6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A2C8D">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15DC">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解浩峰</w:t>
            </w:r>
          </w:p>
        </w:tc>
        <w:tc>
          <w:tcPr>
            <w:tcW w:w="6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09E0E">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对有研工研院</w:t>
            </w:r>
            <w:r>
              <w:rPr>
                <w:rFonts w:hint="eastAsia" w:ascii="宋体" w:hAnsi="宋体" w:eastAsia="宋体" w:cs="宋体"/>
                <w:color w:val="auto"/>
                <w:sz w:val="18"/>
                <w:szCs w:val="18"/>
              </w:rPr>
              <w:t>单位数据</w:t>
            </w:r>
            <w:r>
              <w:rPr>
                <w:rFonts w:hint="eastAsia" w:ascii="宋体" w:hAnsi="宋体" w:eastAsia="宋体" w:cs="宋体"/>
                <w:color w:val="auto"/>
                <w:sz w:val="18"/>
                <w:szCs w:val="18"/>
                <w:lang w:val="en-US" w:eastAsia="zh-CN"/>
              </w:rPr>
              <w:t>进行确认</w:t>
            </w:r>
            <w:r>
              <w:rPr>
                <w:rFonts w:hint="eastAsia" w:ascii="宋体" w:hAnsi="宋体" w:eastAsia="宋体" w:cs="宋体"/>
                <w:color w:val="auto"/>
                <w:sz w:val="18"/>
                <w:szCs w:val="18"/>
              </w:rPr>
              <w:t>，配合做好调研工作</w:t>
            </w:r>
            <w:r>
              <w:rPr>
                <w:rFonts w:hint="eastAsia" w:ascii="宋体" w:hAnsi="宋体" w:eastAsia="宋体" w:cs="宋体"/>
                <w:color w:val="auto"/>
                <w:sz w:val="18"/>
                <w:szCs w:val="18"/>
                <w:lang w:val="en-US" w:eastAsia="zh-CN"/>
              </w:rPr>
              <w:t>和信息收集</w:t>
            </w:r>
            <w:r>
              <w:rPr>
                <w:rFonts w:hint="eastAsia" w:ascii="宋体" w:hAnsi="宋体" w:eastAsia="宋体" w:cs="宋体"/>
                <w:color w:val="auto"/>
                <w:sz w:val="18"/>
                <w:szCs w:val="18"/>
                <w:lang w:eastAsia="zh-CN"/>
              </w:rPr>
              <w:t>。</w:t>
            </w:r>
          </w:p>
        </w:tc>
      </w:tr>
      <w:tr w14:paraId="1187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08685">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02D09">
            <w:pPr>
              <w:adjustRightInd/>
              <w:snapToGrid/>
              <w:spacing w:after="0"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b w:val="0"/>
                <w:bCs w:val="0"/>
                <w:color w:val="auto"/>
                <w:sz w:val="18"/>
                <w:szCs w:val="18"/>
                <w:lang w:val="en-US" w:eastAsia="zh-CN"/>
              </w:rPr>
              <w:t>郭闻政</w:t>
            </w:r>
          </w:p>
        </w:tc>
        <w:tc>
          <w:tcPr>
            <w:tcW w:w="6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3FED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b w:val="0"/>
                <w:bCs w:val="0"/>
                <w:color w:val="auto"/>
                <w:sz w:val="18"/>
                <w:szCs w:val="18"/>
              </w:rPr>
              <w:t>龙丰精密铜</w:t>
            </w:r>
            <w:r>
              <w:rPr>
                <w:rFonts w:hint="eastAsia" w:ascii="宋体" w:hAnsi="宋体" w:eastAsia="宋体" w:cs="宋体"/>
                <w:b w:val="0"/>
                <w:bCs w:val="0"/>
                <w:color w:val="auto"/>
                <w:sz w:val="18"/>
                <w:szCs w:val="18"/>
                <w:lang w:val="en-US" w:eastAsia="zh-CN"/>
              </w:rPr>
              <w:t>管</w:t>
            </w:r>
            <w:r>
              <w:rPr>
                <w:rFonts w:hint="eastAsia" w:ascii="宋体" w:hAnsi="宋体" w:eastAsia="宋体" w:cs="宋体"/>
                <w:color w:val="auto"/>
                <w:sz w:val="18"/>
                <w:szCs w:val="18"/>
              </w:rPr>
              <w:t>数据，做好调研工作</w:t>
            </w:r>
            <w:r>
              <w:rPr>
                <w:rFonts w:hint="eastAsia" w:ascii="宋体" w:hAnsi="宋体" w:eastAsia="宋体" w:cs="宋体"/>
                <w:color w:val="auto"/>
                <w:sz w:val="18"/>
                <w:szCs w:val="18"/>
                <w:lang w:val="en-US" w:eastAsia="zh-CN"/>
              </w:rPr>
              <w:t>和标准信息收集，参加标准讨论、预审和审定。</w:t>
            </w:r>
          </w:p>
        </w:tc>
      </w:tr>
      <w:tr w14:paraId="1F3D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64E4C">
            <w:pPr>
              <w:adjustRightInd/>
              <w:snapToGrid/>
              <w:spacing w:after="0"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4D68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b w:val="0"/>
                <w:bCs w:val="0"/>
                <w:color w:val="auto"/>
                <w:sz w:val="18"/>
                <w:szCs w:val="18"/>
                <w:lang w:val="en-US" w:eastAsia="zh-CN"/>
              </w:rPr>
              <w:t>卢桂焕</w:t>
            </w:r>
          </w:p>
        </w:tc>
        <w:tc>
          <w:tcPr>
            <w:tcW w:w="6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11DE0">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提供标准起草意见/建议</w:t>
            </w:r>
            <w:r>
              <w:rPr>
                <w:rFonts w:hint="eastAsia" w:ascii="宋体" w:hAnsi="宋体" w:eastAsia="宋体" w:cs="宋体"/>
                <w:color w:val="auto"/>
                <w:sz w:val="18"/>
                <w:szCs w:val="18"/>
                <w:lang w:eastAsia="zh-CN"/>
              </w:rPr>
              <w:t>、</w:t>
            </w:r>
            <w:r>
              <w:rPr>
                <w:rFonts w:hint="eastAsia" w:ascii="宋体" w:hAnsi="宋体" w:eastAsia="宋体" w:cs="宋体"/>
                <w:b w:val="0"/>
                <w:bCs w:val="0"/>
                <w:color w:val="auto"/>
                <w:sz w:val="18"/>
                <w:szCs w:val="18"/>
                <w:lang w:val="en-US" w:eastAsia="zh-CN"/>
              </w:rPr>
              <w:t>龙煜精密铜管</w:t>
            </w:r>
            <w:r>
              <w:rPr>
                <w:rFonts w:hint="eastAsia" w:ascii="宋体" w:hAnsi="宋体" w:eastAsia="宋体" w:cs="宋体"/>
                <w:color w:val="auto"/>
                <w:sz w:val="18"/>
                <w:szCs w:val="18"/>
              </w:rPr>
              <w:t>数据，配合做好调研工作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参加标准讨论、预审和审定。</w:t>
            </w:r>
          </w:p>
        </w:tc>
      </w:tr>
    </w:tbl>
    <w:p w14:paraId="2DA0D0F8">
      <w:pPr>
        <w:pStyle w:val="8"/>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1.4.4各阶段工作过程</w:t>
      </w:r>
    </w:p>
    <w:p w14:paraId="39A8D096">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铜及铜合金加工企业众多、工艺复杂，加上我国南北环境的不同， 应根据铜加工实际情况，制定符合铜加工企业</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排放的核算方法与报告要求标准，规范和指导铜及铜合金加工温室气体排放量核算，助力双碳目标实现。</w:t>
      </w:r>
    </w:p>
    <w:p w14:paraId="3A05BC7A">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在标准起草过程中，</w:t>
      </w:r>
      <w:r>
        <w:rPr>
          <w:rFonts w:hint="eastAsia" w:ascii="宋体" w:hAnsi="宋体" w:eastAsia="宋体" w:cs="宋体"/>
          <w:color w:val="auto"/>
          <w:sz w:val="21"/>
          <w:szCs w:val="21"/>
          <w:lang w:val="en-US" w:eastAsia="zh-CN"/>
        </w:rPr>
        <w:t>编制组</w:t>
      </w:r>
      <w:r>
        <w:rPr>
          <w:rFonts w:hint="eastAsia" w:ascii="宋体" w:hAnsi="宋体" w:eastAsia="宋体" w:cs="宋体"/>
          <w:color w:val="auto"/>
          <w:sz w:val="21"/>
          <w:szCs w:val="21"/>
        </w:rPr>
        <w:t>查阅了国内外有关</w:t>
      </w:r>
      <w:r>
        <w:rPr>
          <w:rFonts w:hint="eastAsia" w:ascii="宋体" w:hAnsi="宋体" w:eastAsia="宋体" w:cs="宋体"/>
          <w:color w:val="auto"/>
          <w:sz w:val="21"/>
          <w:szCs w:val="21"/>
          <w:lang w:val="en-US" w:eastAsia="zh-CN"/>
        </w:rPr>
        <w:t>铜加工温室气体排放的</w:t>
      </w:r>
      <w:r>
        <w:rPr>
          <w:rFonts w:hint="eastAsia" w:ascii="宋体" w:hAnsi="宋体" w:eastAsia="宋体" w:cs="宋体"/>
          <w:color w:val="auto"/>
          <w:sz w:val="21"/>
          <w:szCs w:val="21"/>
        </w:rPr>
        <w:t>相关标准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国外已发布</w:t>
      </w:r>
      <w:r>
        <w:rPr>
          <w:rFonts w:hint="eastAsia" w:ascii="宋体" w:hAnsi="宋体" w:eastAsia="宋体" w:cs="宋体"/>
          <w:color w:val="auto"/>
          <w:sz w:val="21"/>
          <w:szCs w:val="21"/>
        </w:rPr>
        <w:t>ISO/TC207/SC7已发布ISO14064、ISO14065、ISO14066、ISO14067、ISO14080、ISO14090等碳排放相关标准；我国已发布GB/T 32150《工业企业温室气体排放核酸报告和通则》、GB/T 32151.3《温室气体排放核算与报告要求 第3部分：镁冶炼企业》、GB/T 32151.4《温室气体排放核算与报告要求 第3部分：铝冶炼企业》、GB/T 32151.14《碳排放核算与报告要求  第14部分：其他有色金属冶炼和压延加工业企业》等标准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本标准</w:t>
      </w:r>
      <w:r>
        <w:rPr>
          <w:rFonts w:hint="eastAsia" w:ascii="宋体" w:hAnsi="宋体" w:eastAsia="宋体" w:cs="宋体"/>
          <w:color w:val="auto"/>
          <w:sz w:val="21"/>
          <w:szCs w:val="21"/>
        </w:rPr>
        <w:t>针对铜及铜合金板带箔材、管材和棒型线材生产工艺确定其具体核算边界，完善产品工艺，使其适用于不同品种和</w:t>
      </w:r>
      <w:r>
        <w:rPr>
          <w:rFonts w:hint="eastAsia" w:ascii="宋体" w:hAnsi="宋体" w:eastAsia="宋体" w:cs="宋体"/>
          <w:color w:val="auto"/>
          <w:sz w:val="21"/>
          <w:szCs w:val="21"/>
          <w:lang w:val="en-US" w:eastAsia="zh-CN"/>
        </w:rPr>
        <w:t>生产工艺</w:t>
      </w:r>
      <w:r>
        <w:rPr>
          <w:rFonts w:hint="eastAsia" w:ascii="宋体" w:hAnsi="宋体" w:eastAsia="宋体" w:cs="宋体"/>
          <w:color w:val="auto"/>
          <w:sz w:val="21"/>
          <w:szCs w:val="21"/>
        </w:rPr>
        <w:t>的生产企业碳排放核算。</w:t>
      </w:r>
      <w:r>
        <w:rPr>
          <w:rFonts w:hint="eastAsia" w:ascii="宋体" w:hAnsi="宋体" w:eastAsia="宋体" w:cs="宋体"/>
          <w:color w:val="auto"/>
          <w:sz w:val="21"/>
          <w:szCs w:val="21"/>
          <w:lang w:val="en-US" w:eastAsia="zh-CN"/>
        </w:rPr>
        <w:t>本标准</w:t>
      </w:r>
      <w:r>
        <w:rPr>
          <w:rFonts w:hint="eastAsia" w:ascii="宋体" w:hAnsi="宋体" w:eastAsia="宋体" w:cs="宋体"/>
          <w:color w:val="auto"/>
          <w:sz w:val="21"/>
          <w:szCs w:val="21"/>
        </w:rPr>
        <w:t>针对铜加工和碳排放现状，规定铜加工</w:t>
      </w:r>
      <w:r>
        <w:rPr>
          <w:rFonts w:hint="eastAsia" w:ascii="宋体" w:hAnsi="宋体" w:eastAsia="宋体" w:cs="宋体"/>
          <w:color w:val="auto"/>
          <w:sz w:val="21"/>
          <w:szCs w:val="21"/>
          <w:lang w:val="en-US" w:eastAsia="zh-CN"/>
        </w:rPr>
        <w:t>企业</w:t>
      </w:r>
      <w:r>
        <w:rPr>
          <w:rFonts w:hint="eastAsia" w:ascii="宋体" w:hAnsi="宋体" w:eastAsia="宋体" w:cs="宋体"/>
          <w:color w:val="auto"/>
          <w:sz w:val="21"/>
          <w:szCs w:val="21"/>
        </w:rPr>
        <w:t>生产过程中</w:t>
      </w:r>
      <w:r>
        <w:rPr>
          <w:rFonts w:hint="eastAsia" w:ascii="宋体" w:hAnsi="宋体" w:eastAsia="宋体" w:cs="宋体"/>
          <w:color w:val="auto"/>
          <w:sz w:val="21"/>
          <w:szCs w:val="21"/>
          <w:lang w:val="en-US" w:eastAsia="zh-CN"/>
        </w:rPr>
        <w:t>温室气体排放</w:t>
      </w:r>
      <w:r>
        <w:rPr>
          <w:rFonts w:hint="eastAsia" w:ascii="宋体" w:hAnsi="宋体" w:eastAsia="宋体" w:cs="宋体"/>
          <w:color w:val="auto"/>
          <w:sz w:val="21"/>
          <w:szCs w:val="21"/>
        </w:rPr>
        <w:t>核算边界、</w:t>
      </w:r>
      <w:r>
        <w:rPr>
          <w:rFonts w:hint="eastAsia" w:ascii="宋体" w:hAnsi="宋体" w:eastAsia="宋体" w:cs="宋体"/>
          <w:color w:val="auto"/>
          <w:sz w:val="21"/>
          <w:szCs w:val="21"/>
          <w:lang w:val="en-US" w:eastAsia="zh-CN"/>
        </w:rPr>
        <w:t>计算与监/检测要求、</w:t>
      </w:r>
      <w:r>
        <w:rPr>
          <w:rFonts w:hint="eastAsia" w:ascii="宋体" w:hAnsi="宋体" w:eastAsia="宋体" w:cs="宋体"/>
          <w:color w:val="auto"/>
          <w:sz w:val="21"/>
          <w:szCs w:val="21"/>
        </w:rPr>
        <w:t>核算步骤与</w:t>
      </w:r>
      <w:r>
        <w:rPr>
          <w:rFonts w:hint="eastAsia" w:ascii="宋体" w:hAnsi="宋体" w:eastAsia="宋体" w:cs="宋体"/>
          <w:color w:val="auto"/>
          <w:sz w:val="21"/>
          <w:szCs w:val="21"/>
          <w:lang w:val="en-US" w:eastAsia="zh-CN"/>
        </w:rPr>
        <w:t>核算</w:t>
      </w:r>
      <w:r>
        <w:rPr>
          <w:rFonts w:hint="eastAsia" w:ascii="宋体" w:hAnsi="宋体" w:eastAsia="宋体" w:cs="宋体"/>
          <w:color w:val="auto"/>
          <w:sz w:val="21"/>
          <w:szCs w:val="21"/>
        </w:rPr>
        <w:t>方法、</w:t>
      </w:r>
      <w:r>
        <w:rPr>
          <w:rFonts w:hint="eastAsia" w:ascii="宋体" w:hAnsi="宋体" w:eastAsia="宋体" w:cs="宋体"/>
          <w:color w:val="auto"/>
          <w:sz w:val="21"/>
          <w:szCs w:val="21"/>
          <w:lang w:val="en-US" w:eastAsia="zh-CN"/>
        </w:rPr>
        <w:t>数据质量管理及</w:t>
      </w:r>
      <w:r>
        <w:rPr>
          <w:rFonts w:hint="eastAsia" w:ascii="宋体" w:hAnsi="宋体" w:eastAsia="宋体" w:cs="宋体"/>
          <w:color w:val="auto"/>
          <w:sz w:val="21"/>
          <w:szCs w:val="21"/>
        </w:rPr>
        <w:t>报告内容</w:t>
      </w:r>
      <w:r>
        <w:rPr>
          <w:rFonts w:hint="eastAsia" w:ascii="宋体" w:hAnsi="宋体" w:eastAsia="宋体" w:cs="宋体"/>
          <w:color w:val="auto"/>
          <w:sz w:val="21"/>
          <w:szCs w:val="21"/>
          <w:lang w:val="en-US" w:eastAsia="zh-CN"/>
        </w:rPr>
        <w:t>和格式</w:t>
      </w:r>
      <w:r>
        <w:rPr>
          <w:rFonts w:hint="eastAsia" w:ascii="宋体" w:hAnsi="宋体" w:eastAsia="宋体" w:cs="宋体"/>
          <w:color w:val="auto"/>
          <w:sz w:val="21"/>
          <w:szCs w:val="21"/>
        </w:rPr>
        <w:t>。适用于铜加工企业生产过程中</w:t>
      </w:r>
      <w:r>
        <w:rPr>
          <w:rFonts w:hint="eastAsia" w:ascii="宋体" w:hAnsi="宋体" w:eastAsia="宋体" w:cs="宋体"/>
          <w:color w:val="auto"/>
          <w:sz w:val="21"/>
          <w:szCs w:val="21"/>
          <w:lang w:val="en-US" w:eastAsia="zh-CN"/>
        </w:rPr>
        <w:t>温室气体排放</w:t>
      </w:r>
      <w:r>
        <w:rPr>
          <w:rFonts w:hint="eastAsia" w:ascii="宋体" w:hAnsi="宋体" w:eastAsia="宋体" w:cs="宋体"/>
          <w:color w:val="auto"/>
          <w:sz w:val="21"/>
          <w:szCs w:val="21"/>
        </w:rPr>
        <w:t>量的</w:t>
      </w:r>
      <w:r>
        <w:rPr>
          <w:rFonts w:hint="eastAsia" w:ascii="宋体" w:hAnsi="宋体" w:eastAsia="宋体" w:cs="宋体"/>
          <w:color w:val="auto"/>
          <w:sz w:val="21"/>
          <w:szCs w:val="21"/>
          <w:lang w:val="en-US" w:eastAsia="zh-CN"/>
        </w:rPr>
        <w:t>核算与报告</w:t>
      </w:r>
      <w:r>
        <w:rPr>
          <w:rFonts w:hint="eastAsia" w:ascii="宋体" w:hAnsi="宋体" w:eastAsia="宋体" w:cs="宋体"/>
          <w:color w:val="auto"/>
          <w:sz w:val="21"/>
          <w:szCs w:val="21"/>
        </w:rPr>
        <w:t>。</w:t>
      </w:r>
    </w:p>
    <w:p w14:paraId="0397D31F">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标准工作组</w:t>
      </w:r>
      <w:r>
        <w:rPr>
          <w:rFonts w:hint="eastAsia" w:ascii="宋体" w:hAnsi="宋体" w:eastAsia="宋体" w:cs="宋体"/>
          <w:color w:val="auto"/>
          <w:sz w:val="21"/>
          <w:szCs w:val="21"/>
          <w:lang w:val="en-US" w:eastAsia="zh-CN"/>
        </w:rPr>
        <w:t>对铜加工温室气体排放相关标准进行研究</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结合我国铜加工企业实际情况，</w:t>
      </w:r>
      <w:r>
        <w:rPr>
          <w:rFonts w:hint="eastAsia" w:ascii="宋体" w:hAnsi="宋体" w:eastAsia="宋体" w:cs="宋体"/>
          <w:color w:val="auto"/>
          <w:sz w:val="21"/>
          <w:szCs w:val="21"/>
        </w:rPr>
        <w:t>并充分借鉴其他温室气体排放核算标准修改完善了标准草案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经过充分讨论，于2025年3月初形成了标准《讨论稿》及其编制说明。</w:t>
      </w:r>
    </w:p>
    <w:p w14:paraId="4F4880B0">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26-29日，</w:t>
      </w:r>
      <w:r>
        <w:rPr>
          <w:rFonts w:hint="eastAsia" w:ascii="宋体" w:hAnsi="宋体" w:eastAsia="宋体" w:cs="宋体"/>
          <w:color w:val="auto"/>
          <w:sz w:val="21"/>
          <w:szCs w:val="21"/>
        </w:rPr>
        <w:t>全国有色金属标准化技术委员会低碳标准工作组在</w:t>
      </w:r>
      <w:r>
        <w:rPr>
          <w:rFonts w:hint="eastAsia" w:ascii="宋体" w:hAnsi="宋体" w:eastAsia="宋体" w:cs="宋体"/>
          <w:color w:val="auto"/>
          <w:sz w:val="21"/>
          <w:szCs w:val="21"/>
          <w:lang w:val="en-US" w:eastAsia="zh-CN"/>
        </w:rPr>
        <w:t>广东韶关</w:t>
      </w:r>
      <w:r>
        <w:rPr>
          <w:rFonts w:hint="eastAsia" w:ascii="宋体" w:hAnsi="宋体" w:eastAsia="宋体" w:cs="宋体"/>
          <w:color w:val="auto"/>
          <w:sz w:val="21"/>
          <w:szCs w:val="21"/>
        </w:rPr>
        <w:t>组织开展标准讨论</w:t>
      </w:r>
      <w:r>
        <w:rPr>
          <w:rFonts w:hint="eastAsia" w:ascii="宋体" w:hAnsi="宋体" w:eastAsia="宋体" w:cs="宋体"/>
          <w:color w:val="auto"/>
          <w:sz w:val="21"/>
          <w:szCs w:val="21"/>
          <w:lang w:val="en-US" w:eastAsia="zh-CN"/>
        </w:rPr>
        <w:t>会</w:t>
      </w:r>
      <w:r>
        <w:rPr>
          <w:rFonts w:hint="eastAsia" w:ascii="宋体" w:hAnsi="宋体" w:eastAsia="宋体" w:cs="宋体"/>
          <w:color w:val="auto"/>
          <w:sz w:val="21"/>
          <w:szCs w:val="21"/>
        </w:rPr>
        <w:t>，会上重点介绍了标准主要内容并听取专家意见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会后编制组根据会议要求和专家意见，进一步完善标准相关内容，形成征求意见稿，加快推进标准制订进程。</w:t>
      </w:r>
    </w:p>
    <w:p w14:paraId="4F6F9A96">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2025年7月28日～30日由全国有色金属标准化技术委员会主持在江西省鹰潭市召开该标准的预审会。预审会主要意见为：</w:t>
      </w:r>
    </w:p>
    <w:p w14:paraId="3DB69C19">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（1）4.1.2 中，直接生产系统增加表面处理，主要有热浸镀、钝化等工艺；</w:t>
      </w:r>
    </w:p>
    <w:p w14:paraId="1B320870">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（2）增加过程排放的核算和报告范围、计量与监/检测要求、核算步骤与核算方法等相关内容。主要考虑到融合组过程中的碳质原料作为</w:t>
      </w:r>
      <w:bookmarkStart w:id="17" w:name="_GoBack"/>
      <w:bookmarkEnd w:id="17"/>
      <w:r>
        <w:rPr>
          <w:rFonts w:hint="eastAsia" w:ascii="宋体" w:hAnsi="宋体" w:eastAsia="宋体" w:cs="宋体"/>
          <w:color w:val="auto"/>
          <w:sz w:val="21"/>
          <w:szCs w:val="21"/>
          <w:lang w:val="en-US" w:eastAsia="zh-CN"/>
        </w:rPr>
        <w:t>变质剂（还原剂和细化剂）、碳酸盐（如碳酸钙）高温分解时产生的二氧化碳。</w:t>
      </w:r>
    </w:p>
    <w:p w14:paraId="0EB7BD7C">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（3）删除“4.4温室气体排放源和温室气体类型”章节，表1与表2合并，表中增加过程排放相关内容。</w:t>
      </w:r>
    </w:p>
    <w:p w14:paraId="1F287537">
      <w:pPr>
        <w:widowControl w:val="0"/>
        <w:spacing w:after="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（3）附录B增加增加过程数据一览表；增加数据质量控制表模板。</w:t>
      </w:r>
    </w:p>
    <w:p w14:paraId="020A90F6">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编制组根据预审会议要求和专家意见，对标准进行修改和完善，形成了标准《征求意见稿》及《编制说明》。</w:t>
      </w:r>
    </w:p>
    <w:p w14:paraId="4C5FAA08">
      <w:pPr>
        <w:pStyle w:val="8"/>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1.4.5征求意见阶段</w:t>
      </w:r>
    </w:p>
    <w:p w14:paraId="6393277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本标准于202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4月和8月</w:t>
      </w:r>
      <w:r>
        <w:rPr>
          <w:rFonts w:hint="eastAsia" w:asciiTheme="minorEastAsia" w:hAnsiTheme="minorEastAsia" w:eastAsiaTheme="minorEastAsia" w:cstheme="minorEastAsia"/>
          <w:color w:val="auto"/>
          <w:sz w:val="21"/>
          <w:szCs w:val="21"/>
          <w:highlight w:val="none"/>
        </w:rPr>
        <w:t>发送《征求意见稿》，回函并有建议或意见的单位</w:t>
      </w:r>
      <w:r>
        <w:rPr>
          <w:rFonts w:hint="eastAsia" w:asciiTheme="minorEastAsia" w:hAnsiTheme="minorEastAsia" w:eastAsiaTheme="minorEastAsia" w:cstheme="minorEastAsia"/>
          <w:color w:val="auto"/>
          <w:sz w:val="21"/>
          <w:szCs w:val="21"/>
          <w:highlight w:val="none"/>
          <w:lang w:val="en-US" w:eastAsia="zh-CN"/>
        </w:rPr>
        <w:t>xx</w:t>
      </w:r>
      <w:r>
        <w:rPr>
          <w:rFonts w:hint="eastAsia" w:asciiTheme="minorEastAsia" w:hAnsiTheme="minorEastAsia" w:eastAsiaTheme="minorEastAsia" w:cstheme="minorEastAsia"/>
          <w:color w:val="auto"/>
          <w:sz w:val="21"/>
          <w:szCs w:val="21"/>
          <w:highlight w:val="none"/>
        </w:rPr>
        <w:t>个，回函无意见的单位</w:t>
      </w:r>
      <w:r>
        <w:rPr>
          <w:rFonts w:hint="eastAsia" w:asciiTheme="minorEastAsia" w:hAnsiTheme="minorEastAsia" w:eastAsiaTheme="minorEastAsia" w:cstheme="minorEastAsia"/>
          <w:color w:val="auto"/>
          <w:sz w:val="21"/>
          <w:szCs w:val="21"/>
          <w:highlight w:val="none"/>
          <w:lang w:val="en-US" w:eastAsia="zh-CN"/>
        </w:rPr>
        <w:t>xx</w:t>
      </w:r>
      <w:r>
        <w:rPr>
          <w:rFonts w:hint="eastAsia" w:asciiTheme="minorEastAsia" w:hAnsiTheme="minorEastAsia" w:eastAsiaTheme="minorEastAsia" w:cstheme="minorEastAsia"/>
          <w:color w:val="auto"/>
          <w:sz w:val="21"/>
          <w:szCs w:val="21"/>
          <w:highlight w:val="none"/>
        </w:rPr>
        <w:t>个，没有回函的单位</w:t>
      </w:r>
      <w:r>
        <w:rPr>
          <w:rFonts w:hint="eastAsia" w:asciiTheme="minorEastAsia" w:hAnsiTheme="minorEastAsia" w:eastAsiaTheme="minorEastAsia" w:cstheme="minorEastAsia"/>
          <w:color w:val="auto"/>
          <w:sz w:val="21"/>
          <w:szCs w:val="21"/>
          <w:highlight w:val="none"/>
          <w:lang w:val="en-US" w:eastAsia="zh-CN"/>
        </w:rPr>
        <w:t>xx</w:t>
      </w:r>
      <w:r>
        <w:rPr>
          <w:rFonts w:hint="eastAsia" w:asciiTheme="minorEastAsia" w:hAnsiTheme="minorEastAsia" w:eastAsiaTheme="minorEastAsia" w:cstheme="minorEastAsia"/>
          <w:color w:val="auto"/>
          <w:sz w:val="21"/>
          <w:szCs w:val="21"/>
          <w:highlight w:val="none"/>
        </w:rPr>
        <w:t>个；其中包括生产单位</w:t>
      </w:r>
      <w:r>
        <w:rPr>
          <w:rFonts w:hint="eastAsia" w:asciiTheme="minorEastAsia" w:hAnsiTheme="minorEastAsia" w:eastAsiaTheme="minorEastAsia" w:cstheme="minorEastAsia"/>
          <w:color w:val="auto"/>
          <w:sz w:val="21"/>
          <w:szCs w:val="21"/>
          <w:highlight w:val="none"/>
          <w:lang w:val="en-US" w:eastAsia="zh-CN"/>
        </w:rPr>
        <w:t>xx</w:t>
      </w:r>
      <w:r>
        <w:rPr>
          <w:rFonts w:hint="eastAsia" w:asciiTheme="minorEastAsia" w:hAnsiTheme="minorEastAsia" w:eastAsiaTheme="minorEastAsia" w:cstheme="minorEastAsia"/>
          <w:color w:val="auto"/>
          <w:sz w:val="21"/>
          <w:szCs w:val="21"/>
          <w:highlight w:val="none"/>
        </w:rPr>
        <w:t>家，科研院所</w:t>
      </w:r>
      <w:r>
        <w:rPr>
          <w:rFonts w:hint="eastAsia" w:asciiTheme="minorEastAsia" w:hAnsiTheme="minorEastAsia" w:eastAsiaTheme="minorEastAsia" w:cstheme="minorEastAsia"/>
          <w:color w:val="auto"/>
          <w:sz w:val="21"/>
          <w:szCs w:val="21"/>
          <w:highlight w:val="none"/>
          <w:lang w:val="en-US" w:eastAsia="zh-CN"/>
        </w:rPr>
        <w:t>xx</w:t>
      </w:r>
      <w:r>
        <w:rPr>
          <w:rFonts w:hint="eastAsia" w:asciiTheme="minorEastAsia" w:hAnsiTheme="minorEastAsia" w:eastAsiaTheme="minorEastAsia" w:cstheme="minorEastAsia"/>
          <w:color w:val="auto"/>
          <w:sz w:val="21"/>
          <w:szCs w:val="21"/>
          <w:highlight w:val="none"/>
        </w:rPr>
        <w:t>家，基本覆盖</w:t>
      </w:r>
      <w:r>
        <w:rPr>
          <w:rFonts w:hint="eastAsia" w:asciiTheme="minorEastAsia" w:hAnsiTheme="minorEastAsia" w:eastAsiaTheme="minorEastAsia" w:cstheme="minorEastAsia"/>
          <w:color w:val="auto"/>
          <w:sz w:val="21"/>
          <w:szCs w:val="21"/>
          <w:highlight w:val="none"/>
          <w:lang w:val="en-US" w:eastAsia="zh-CN"/>
        </w:rPr>
        <w:t>铜加工</w:t>
      </w:r>
      <w:r>
        <w:rPr>
          <w:rFonts w:hint="eastAsia" w:asciiTheme="minorEastAsia" w:hAnsiTheme="minorEastAsia" w:eastAsiaTheme="minorEastAsia" w:cstheme="minorEastAsia"/>
          <w:color w:val="auto"/>
          <w:sz w:val="21"/>
          <w:szCs w:val="21"/>
          <w:highlight w:val="none"/>
        </w:rPr>
        <w:t>领域相关的主要单位。编制组根据会议专家意见和回函意见情况，对标准稿进行修改和完善，于202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月初形成本标准《送审稿》及《编制说明》。</w:t>
      </w:r>
    </w:p>
    <w:p w14:paraId="2D82309B">
      <w:pPr>
        <w:pStyle w:val="8"/>
        <w:keepNext w:val="0"/>
        <w:keepLines w:val="0"/>
        <w:pageBreakBefore w:val="0"/>
        <w:widowControl w:val="0"/>
        <w:kinsoku/>
        <w:wordWrap/>
        <w:overflowPunct/>
        <w:topLinePunct w:val="0"/>
        <w:autoSpaceDE/>
        <w:autoSpaceDN/>
        <w:bidi w:val="0"/>
        <w:adjustRightInd/>
        <w:snapToGrid/>
        <w:spacing w:before="157" w:beforeLines="50" w:afterLines="50"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1.4.6</w:t>
      </w:r>
      <w:r>
        <w:rPr>
          <w:rFonts w:hint="eastAsia" w:ascii="宋体" w:hAnsi="宋体" w:eastAsia="宋体" w:cs="宋体"/>
          <w:bCs/>
          <w:color w:val="auto"/>
          <w:sz w:val="21"/>
          <w:szCs w:val="21"/>
          <w:highlight w:val="none"/>
        </w:rPr>
        <w:t>审查阶段</w:t>
      </w:r>
    </w:p>
    <w:p w14:paraId="1BB4D5A8">
      <w:pPr>
        <w:pStyle w:val="6"/>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技术专家审查</w:t>
      </w:r>
    </w:p>
    <w:p w14:paraId="14F0D6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日在</w:t>
      </w:r>
      <w:r>
        <w:rPr>
          <w:rFonts w:hint="eastAsia" w:ascii="宋体" w:hAnsi="宋体" w:eastAsia="宋体" w:cs="宋体"/>
          <w:bCs/>
          <w:color w:val="auto"/>
          <w:sz w:val="21"/>
          <w:szCs w:val="21"/>
          <w:highlight w:val="none"/>
          <w:lang w:val="en-US" w:eastAsia="zh-CN"/>
        </w:rPr>
        <w:t>湖北省荆门</w:t>
      </w:r>
      <w:r>
        <w:rPr>
          <w:rFonts w:hint="eastAsia" w:ascii="宋体" w:hAnsi="宋体" w:eastAsia="宋体" w:cs="宋体"/>
          <w:bCs/>
          <w:color w:val="auto"/>
          <w:sz w:val="21"/>
          <w:szCs w:val="21"/>
          <w:highlight w:val="none"/>
        </w:rPr>
        <w:t>市，由全国有色金属标准化技术委员会主持，召开</w:t>
      </w:r>
      <w:r>
        <w:rPr>
          <w:rFonts w:hint="eastAsia" w:ascii="宋体" w:hAnsi="宋体" w:eastAsia="宋体" w:cs="宋体"/>
          <w:bCs/>
          <w:color w:val="auto"/>
          <w:sz w:val="21"/>
          <w:szCs w:val="21"/>
          <w:highlight w:val="none"/>
          <w:lang w:val="en-US" w:eastAsia="zh-CN"/>
        </w:rPr>
        <w:t>《</w:t>
      </w:r>
      <w:r>
        <w:rPr>
          <w:rFonts w:hint="eastAsia" w:ascii="Times New Roman" w:hAnsi="Times New Roman" w:cs="Times New Roman" w:eastAsiaTheme="minorEastAsia"/>
          <w:color w:val="auto"/>
          <w:sz w:val="21"/>
          <w:szCs w:val="21"/>
          <w:lang w:val="en-US" w:eastAsia="zh-CN"/>
        </w:rPr>
        <w:t>铜加工企业温室气体排放核算与报告要求</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标准审定会，</w:t>
      </w:r>
      <w:r>
        <w:rPr>
          <w:rFonts w:hint="eastAsia" w:ascii="宋体" w:hAnsi="宋体" w:eastAsia="宋体" w:cs="宋体"/>
          <w:color w:val="auto"/>
          <w:sz w:val="21"/>
          <w:szCs w:val="21"/>
          <w:highlight w:val="none"/>
        </w:rPr>
        <w:t>共有</w:t>
      </w:r>
      <w:r>
        <w:rPr>
          <w:rFonts w:hint="eastAsia" w:ascii="宋体" w:hAnsi="宋体" w:eastAsia="宋体" w:cs="宋体"/>
          <w:color w:val="auto"/>
          <w:sz w:val="21"/>
          <w:szCs w:val="21"/>
          <w:highlight w:val="none"/>
          <w:lang w:val="en-US" w:eastAsia="zh-CN"/>
        </w:rPr>
        <w:t>xx</w:t>
      </w:r>
      <w:r>
        <w:rPr>
          <w:rFonts w:hint="eastAsia" w:ascii="宋体" w:hAnsi="宋体" w:eastAsia="宋体" w:cs="宋体"/>
          <w:color w:val="auto"/>
          <w:sz w:val="21"/>
          <w:szCs w:val="21"/>
          <w:highlight w:val="none"/>
        </w:rPr>
        <w:t>个单位的</w:t>
      </w:r>
      <w:r>
        <w:rPr>
          <w:rFonts w:hint="eastAsia" w:ascii="宋体" w:hAnsi="宋体" w:eastAsia="宋体" w:cs="宋体"/>
          <w:color w:val="auto"/>
          <w:sz w:val="21"/>
          <w:szCs w:val="21"/>
          <w:highlight w:val="none"/>
          <w:lang w:val="en-US" w:eastAsia="zh-CN"/>
        </w:rPr>
        <w:t>xx</w:t>
      </w:r>
      <w:r>
        <w:rPr>
          <w:rFonts w:hint="eastAsia" w:ascii="宋体" w:hAnsi="宋体" w:eastAsia="宋体" w:cs="宋体"/>
          <w:color w:val="auto"/>
          <w:sz w:val="21"/>
          <w:szCs w:val="21"/>
          <w:highlight w:val="none"/>
        </w:rPr>
        <w:t>名专家（详见有色金属标准审定会专家签名表）参加了会议。</w:t>
      </w:r>
    </w:p>
    <w:p w14:paraId="24D012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与会专家对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铜及铜合金无缝管材外形尺寸及允许偏差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标准的送审稿进行了认真审定，提出了</w:t>
      </w:r>
      <w:r>
        <w:rPr>
          <w:rFonts w:hint="eastAsia" w:ascii="宋体" w:hAnsi="宋体" w:eastAsia="宋体" w:cs="宋体"/>
          <w:color w:val="auto"/>
          <w:sz w:val="21"/>
          <w:szCs w:val="21"/>
          <w:highlight w:val="none"/>
          <w:lang w:val="en-US" w:eastAsia="zh-CN"/>
        </w:rPr>
        <w:t>x</w:t>
      </w:r>
      <w:r>
        <w:rPr>
          <w:rFonts w:hint="eastAsia" w:ascii="宋体" w:hAnsi="宋体" w:eastAsia="宋体" w:cs="宋体"/>
          <w:color w:val="auto"/>
          <w:sz w:val="21"/>
          <w:szCs w:val="21"/>
          <w:highlight w:val="none"/>
        </w:rPr>
        <w:t>条修改意见，编制小组会后按照专家的修改意见进行了修改，完善了《送审稿》及《送审稿编制说明》。</w:t>
      </w:r>
    </w:p>
    <w:p w14:paraId="4D704D33">
      <w:pPr>
        <w:pStyle w:val="6"/>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委员审查</w:t>
      </w:r>
    </w:p>
    <w:p w14:paraId="032B6AD9">
      <w:pPr>
        <w:pStyle w:val="6"/>
        <w:tabs>
          <w:tab w:val="left" w:pos="312"/>
        </w:tabs>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xx</w:t>
      </w:r>
      <w:r>
        <w:rPr>
          <w:rFonts w:hint="eastAsia" w:ascii="宋体" w:hAnsi="宋体" w:eastAsia="宋体" w:cs="宋体"/>
          <w:color w:val="auto"/>
          <w:sz w:val="21"/>
          <w:szCs w:val="21"/>
          <w:highlight w:val="none"/>
        </w:rPr>
        <w:t>日，全国有色金属标准化技术委员会在</w:t>
      </w:r>
      <w:r>
        <w:rPr>
          <w:rFonts w:hint="eastAsia" w:ascii="宋体" w:hAnsi="宋体" w:eastAsia="宋体" w:cs="宋体"/>
          <w:color w:val="auto"/>
          <w:sz w:val="21"/>
          <w:szCs w:val="21"/>
          <w:highlight w:val="none"/>
          <w:lang w:val="en-US" w:eastAsia="zh-CN"/>
        </w:rPr>
        <w:t>浙江省杭州</w:t>
      </w:r>
      <w:r>
        <w:rPr>
          <w:rFonts w:hint="eastAsia" w:ascii="宋体" w:hAnsi="宋体" w:eastAsia="宋体" w:cs="宋体"/>
          <w:color w:val="auto"/>
          <w:sz w:val="21"/>
          <w:szCs w:val="21"/>
          <w:highlight w:val="none"/>
        </w:rPr>
        <w:t xml:space="preserve">市召开了全体委员会议。全国有色金属标准化技术委员会重金属分技术委员会（SAC/TC243/SC2）全体委员共计 66名，实际参与投票工作 </w:t>
      </w:r>
      <w:r>
        <w:rPr>
          <w:rFonts w:hint="eastAsia" w:ascii="宋体" w:hAnsi="宋体" w:eastAsia="宋体" w:cs="宋体"/>
          <w:color w:val="auto"/>
          <w:sz w:val="21"/>
          <w:szCs w:val="21"/>
          <w:highlight w:val="none"/>
          <w:lang w:val="en-US" w:eastAsia="zh-CN"/>
        </w:rPr>
        <w:t>xx</w:t>
      </w:r>
      <w:r>
        <w:rPr>
          <w:rFonts w:hint="eastAsia" w:ascii="宋体" w:hAnsi="宋体" w:eastAsia="宋体" w:cs="宋体"/>
          <w:color w:val="auto"/>
          <w:sz w:val="21"/>
          <w:szCs w:val="21"/>
          <w:highlight w:val="none"/>
        </w:rPr>
        <w:t>名。会议经过认真的讨论，对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铜及铜合金无缝管材外形尺寸及允许偏差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标准制修订程序、征求意见的过程以及技术内容的确定等多方面进行了仔细审查。与会</w:t>
      </w:r>
      <w:r>
        <w:rPr>
          <w:rFonts w:hint="eastAsia" w:ascii="宋体" w:hAnsi="宋体" w:eastAsia="宋体" w:cs="宋体"/>
          <w:color w:val="auto"/>
          <w:sz w:val="21"/>
          <w:szCs w:val="21"/>
          <w:highlight w:val="none"/>
          <w:lang w:val="en-US" w:eastAsia="zh-CN"/>
        </w:rPr>
        <w:t>xx</w:t>
      </w:r>
      <w:r>
        <w:rPr>
          <w:rFonts w:hint="eastAsia" w:ascii="宋体" w:hAnsi="宋体" w:eastAsia="宋体" w:cs="宋体"/>
          <w:color w:val="auto"/>
          <w:sz w:val="21"/>
          <w:szCs w:val="21"/>
          <w:highlight w:val="none"/>
        </w:rPr>
        <w:t>名委员全体投票通过，</w:t>
      </w:r>
      <w:r>
        <w:rPr>
          <w:rFonts w:hint="eastAsia" w:ascii="宋体" w:hAnsi="宋体" w:eastAsia="宋体" w:cs="宋体"/>
          <w:color w:val="auto"/>
          <w:sz w:val="21"/>
          <w:szCs w:val="21"/>
        </w:rPr>
        <w:t>同意该标准《送审稿》及和《送审稿编制说明》通过审查，无修改意见，表决通过率为100%。</w:t>
      </w:r>
    </w:p>
    <w:p w14:paraId="218E1F7E">
      <w:pPr>
        <w:pStyle w:val="8"/>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二、编制原则</w:t>
      </w:r>
    </w:p>
    <w:p w14:paraId="51E6F9FA">
      <w:pPr>
        <w:pStyle w:val="8"/>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2.1标准的编制原则：</w:t>
      </w:r>
    </w:p>
    <w:p w14:paraId="27A780E6">
      <w:pPr>
        <w:numPr>
          <w:ilvl w:val="0"/>
          <w:numId w:val="2"/>
        </w:num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本标准按照 GB/T 1.1-2020《标准化工作导则 第 1 部分：标准化文件的结构和起草规则》的规定起草；</w:t>
      </w:r>
    </w:p>
    <w:p w14:paraId="79192A18">
      <w:pPr>
        <w:numPr>
          <w:ilvl w:val="0"/>
          <w:numId w:val="2"/>
        </w:num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查阅相关标准和调研国内外铜</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企业的实际生产情况；</w:t>
      </w:r>
    </w:p>
    <w:p w14:paraId="26720BCE">
      <w:pPr>
        <w:numPr>
          <w:ilvl w:val="0"/>
          <w:numId w:val="2"/>
        </w:num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根据国内铜</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行业的特点及实际用能情况，力求做到标准的合理与实用。</w:t>
      </w:r>
    </w:p>
    <w:p w14:paraId="32F8EC64">
      <w:pPr>
        <w:numPr>
          <w:ilvl w:val="0"/>
          <w:numId w:val="0"/>
        </w:num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本标准编制过程中，</w:t>
      </w:r>
      <w:r>
        <w:rPr>
          <w:rFonts w:hint="eastAsia" w:ascii="宋体" w:hAnsi="宋体" w:eastAsia="宋体" w:cs="宋体"/>
          <w:color w:val="auto"/>
          <w:sz w:val="21"/>
          <w:szCs w:val="21"/>
          <w:lang w:val="en-US" w:eastAsia="zh-CN"/>
        </w:rPr>
        <w:t>同时</w:t>
      </w:r>
      <w:r>
        <w:rPr>
          <w:rFonts w:hint="eastAsia" w:ascii="宋体" w:hAnsi="宋体" w:eastAsia="宋体" w:cs="宋体"/>
          <w:color w:val="auto"/>
          <w:sz w:val="21"/>
          <w:szCs w:val="21"/>
        </w:rPr>
        <w:t>遵循如下原则:</w:t>
      </w:r>
    </w:p>
    <w:p w14:paraId="07B1149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（1）兼容性原则：为满足可预见的碳足迹核查、绿色贸易等要求，温室气体核算的类别、范围与国际标准、其他行业标准、行业和地方已有标准化工作基础及资本市场披露要求等应比较容易实现兼容对接。</w:t>
      </w:r>
    </w:p>
    <w:p w14:paraId="2F6F0579">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（2）相关性原则：核算边界的确定要切实反映企业业务关系的本质和经济运行情况。</w:t>
      </w:r>
    </w:p>
    <w:p w14:paraId="5131C40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（3）完整性原则：核算和报告选定的核算边界内所有温室气体排放源和活动。</w:t>
      </w:r>
    </w:p>
    <w:p w14:paraId="7D3A2EE9">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（4）一致性和可比性原则：从我国</w:t>
      </w:r>
      <w:r>
        <w:rPr>
          <w:rFonts w:hint="eastAsia" w:ascii="宋体" w:hAnsi="宋体" w:eastAsia="宋体" w:cs="宋体"/>
          <w:color w:val="auto"/>
          <w:sz w:val="21"/>
          <w:szCs w:val="21"/>
          <w:lang w:val="en-US" w:eastAsia="zh-CN"/>
        </w:rPr>
        <w:t>铜加工</w:t>
      </w:r>
      <w:r>
        <w:rPr>
          <w:rFonts w:hint="eastAsia" w:ascii="宋体" w:hAnsi="宋体" w:eastAsia="宋体" w:cs="宋体"/>
          <w:color w:val="auto"/>
          <w:sz w:val="21"/>
          <w:szCs w:val="21"/>
        </w:rPr>
        <w:t>行业发展特点出发，充分考虑企业运营的差异性和</w:t>
      </w:r>
      <w:r>
        <w:rPr>
          <w:rFonts w:hint="eastAsia" w:ascii="宋体" w:hAnsi="宋体" w:eastAsia="宋体" w:cs="宋体"/>
          <w:color w:val="auto"/>
          <w:sz w:val="21"/>
          <w:szCs w:val="21"/>
          <w:lang w:val="en-US" w:eastAsia="zh-CN"/>
        </w:rPr>
        <w:t>铜加工</w:t>
      </w:r>
      <w:r>
        <w:rPr>
          <w:rFonts w:hint="eastAsia" w:ascii="宋体" w:hAnsi="宋体" w:eastAsia="宋体" w:cs="宋体"/>
          <w:color w:val="auto"/>
          <w:sz w:val="21"/>
          <w:szCs w:val="21"/>
        </w:rPr>
        <w:t>工艺复杂性，采用一致的方法学和统计口径，做到企业本身长期数据或企业间同期数据可追踪、可比较、可评价。</w:t>
      </w:r>
    </w:p>
    <w:p w14:paraId="3C268FD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（5）准确性原则：关注数据收集质量要求，尽可能在可行范围内减少活动数据、排放因子等数据的不确定性，切实帮助</w:t>
      </w:r>
      <w:r>
        <w:rPr>
          <w:rFonts w:hint="eastAsia" w:ascii="宋体" w:hAnsi="宋体" w:eastAsia="宋体" w:cs="宋体"/>
          <w:color w:val="auto"/>
          <w:sz w:val="21"/>
          <w:szCs w:val="21"/>
          <w:lang w:val="en-US" w:eastAsia="zh-CN"/>
        </w:rPr>
        <w:t>铜加工</w:t>
      </w:r>
      <w:r>
        <w:rPr>
          <w:rFonts w:hint="eastAsia" w:ascii="宋体" w:hAnsi="宋体" w:eastAsia="宋体" w:cs="宋体"/>
          <w:color w:val="auto"/>
          <w:sz w:val="21"/>
          <w:szCs w:val="21"/>
        </w:rPr>
        <w:t>企业</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温室气体核算与报告，提升碳排放管理水平。</w:t>
      </w:r>
    </w:p>
    <w:p w14:paraId="3930B75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Style w:val="42"/>
          <w:rFonts w:hint="eastAsia" w:ascii="宋体" w:hAnsi="宋体" w:eastAsia="宋体" w:cs="宋体"/>
          <w:color w:val="auto"/>
          <w:sz w:val="21"/>
          <w:szCs w:val="21"/>
        </w:rPr>
        <w:t>透明性原则：核算报告内容应全面、细致反应企业实际生产经营信息，以及其他任何对核算结果有影响的条件信息，包括物理边界、核算范围、核算方法等，使得行业或相关组织可以甄别对应关</w:t>
      </w:r>
      <w:r>
        <w:rPr>
          <w:rFonts w:hint="eastAsia" w:ascii="宋体" w:hAnsi="宋体" w:eastAsia="宋体" w:cs="宋体"/>
          <w:color w:val="auto"/>
          <w:sz w:val="21"/>
          <w:szCs w:val="21"/>
        </w:rPr>
        <w:t>系。</w:t>
      </w:r>
    </w:p>
    <w:p w14:paraId="48282BC8">
      <w:pPr>
        <w:pStyle w:val="8"/>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2.2标准编制依据</w:t>
      </w:r>
    </w:p>
    <w:p w14:paraId="551856AD">
      <w:pPr>
        <w:numPr>
          <w:ilvl w:val="0"/>
          <w:numId w:val="0"/>
        </w:num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GB/T 213 煤的发热量计算方法</w:t>
      </w:r>
    </w:p>
    <w:p w14:paraId="554D11ED">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384 石油产品热值测定法</w:t>
      </w:r>
    </w:p>
    <w:p w14:paraId="62D2735C">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6422 用能设备能量测试导则</w:t>
      </w:r>
    </w:p>
    <w:p w14:paraId="22942C13">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11062 天然气 发热量</w:t>
      </w:r>
      <w:r>
        <w:rPr>
          <w:rFonts w:hint="default" w:ascii="宋体" w:hAnsi="宋体" w:eastAsia="宋体" w:cs="宋体"/>
          <w:color w:val="auto"/>
          <w:sz w:val="21"/>
          <w:szCs w:val="21"/>
          <w:lang w:val="en-US" w:eastAsia="zh-CN"/>
        </w:rPr>
        <w:t xml:space="preserve">、密度、相对密度和沃泊指数的计算方法 </w:t>
      </w:r>
    </w:p>
    <w:p w14:paraId="21BD857A">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15316</w:t>
      </w:r>
      <w:r>
        <w:rPr>
          <w:rFonts w:hint="default"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节能监测技术通则 </w:t>
      </w:r>
    </w:p>
    <w:p w14:paraId="5EC6B9CD">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17167 用能单位能源计量器具配备和管理通则</w:t>
      </w:r>
    </w:p>
    <w:p w14:paraId="60869C1B">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GB/T 22723  天然气热能的测定</w:t>
      </w:r>
    </w:p>
    <w:p w14:paraId="556BF6B1">
      <w:pPr>
        <w:widowControl w:val="0"/>
        <w:spacing w:after="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23111  非自动衡器</w:t>
      </w:r>
    </w:p>
    <w:p w14:paraId="00DDD654">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32150-2015 工业企业温室气体排放核算和报告通则</w:t>
      </w:r>
    </w:p>
    <w:p w14:paraId="01CC3E6C">
      <w:pPr>
        <w:widowControl w:val="0"/>
        <w:spacing w:after="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GB/T 32151.14 碳排放核算与报告要求 第 14 部分：其他有色金属冶炼和压延加工企业 </w:t>
      </w:r>
    </w:p>
    <w:p w14:paraId="67B200B5">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YS/T 1401  铜加工行业能源计量器具配备和管理要求</w:t>
      </w:r>
    </w:p>
    <w:p w14:paraId="73733916">
      <w:pPr>
        <w:pStyle w:val="8"/>
        <w:spacing w:beforeLines="50" w:afterLines="50" w:line="360" w:lineRule="auto"/>
        <w:rPr>
          <w:rFonts w:hint="eastAsia" w:ascii="黑体" w:hAnsi="宋体" w:eastAsia="黑体"/>
          <w:bCs/>
          <w:color w:val="auto"/>
          <w:sz w:val="21"/>
          <w:szCs w:val="21"/>
          <w:highlight w:val="none"/>
          <w:lang w:val="en-US" w:eastAsia="zh-CN"/>
        </w:rPr>
      </w:pPr>
      <w:bookmarkStart w:id="3" w:name="_Toc109980026"/>
      <w:bookmarkStart w:id="4" w:name="_Toc110463624"/>
      <w:r>
        <w:rPr>
          <w:rFonts w:hint="eastAsia" w:ascii="黑体" w:hAnsi="宋体" w:eastAsia="黑体"/>
          <w:bCs/>
          <w:color w:val="auto"/>
          <w:sz w:val="21"/>
          <w:szCs w:val="21"/>
          <w:highlight w:val="none"/>
          <w:lang w:val="en-US" w:eastAsia="zh-CN"/>
        </w:rPr>
        <w:t>三、标准主要技术内容的确定依据及主要试验和验证情况分析</w:t>
      </w:r>
      <w:bookmarkEnd w:id="3"/>
      <w:bookmarkEnd w:id="4"/>
    </w:p>
    <w:p w14:paraId="7EDA154C">
      <w:pPr>
        <w:pStyle w:val="8"/>
        <w:keepNext w:val="0"/>
        <w:keepLines w:val="0"/>
        <w:pageBreakBefore w:val="0"/>
        <w:widowControl/>
        <w:kinsoku/>
        <w:wordWrap/>
        <w:overflowPunct/>
        <w:topLinePunct w:val="0"/>
        <w:autoSpaceDE/>
        <w:autoSpaceDN/>
        <w:bidi w:val="0"/>
        <w:adjustRightInd w:val="0"/>
        <w:snapToGrid w:val="0"/>
        <w:spacing w:before="181" w:beforeLines="50" w:after="181" w:afterLines="50" w:line="360" w:lineRule="auto"/>
        <w:textAlignment w:val="auto"/>
        <w:rPr>
          <w:rFonts w:hint="eastAsia" w:ascii="黑体" w:hAnsi="宋体" w:eastAsia="黑体"/>
          <w:bCs/>
          <w:color w:val="auto"/>
          <w:sz w:val="21"/>
          <w:szCs w:val="21"/>
          <w:highlight w:val="none"/>
          <w:lang w:val="en-US" w:eastAsia="zh-CN"/>
        </w:rPr>
      </w:pPr>
      <w:bookmarkStart w:id="5" w:name="_Toc110463626"/>
      <w:r>
        <w:rPr>
          <w:rFonts w:hint="eastAsia" w:ascii="黑体" w:hAnsi="宋体" w:eastAsia="黑体"/>
          <w:bCs/>
          <w:color w:val="auto"/>
          <w:sz w:val="21"/>
          <w:szCs w:val="21"/>
          <w:highlight w:val="none"/>
          <w:lang w:val="en-US" w:eastAsia="zh-CN"/>
        </w:rPr>
        <w:t>3.1范围</w:t>
      </w:r>
      <w:bookmarkEnd w:id="5"/>
    </w:p>
    <w:p w14:paraId="37E724EA">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本文件规定铜加工材生产过程中</w:t>
      </w:r>
      <w:bookmarkStart w:id="6" w:name="OLE_LINK18"/>
      <w:r>
        <w:rPr>
          <w:rFonts w:hint="eastAsia" w:ascii="宋体" w:hAnsi="宋体" w:eastAsia="宋体" w:cs="宋体"/>
          <w:color w:val="auto"/>
          <w:sz w:val="21"/>
          <w:szCs w:val="21"/>
          <w:lang w:val="en-US" w:eastAsia="zh-CN"/>
        </w:rPr>
        <w:t>温室气体</w:t>
      </w:r>
      <w:bookmarkEnd w:id="6"/>
      <w:r>
        <w:rPr>
          <w:rFonts w:hint="eastAsia" w:ascii="宋体" w:hAnsi="宋体" w:eastAsia="宋体" w:cs="宋体"/>
          <w:color w:val="auto"/>
          <w:sz w:val="21"/>
          <w:szCs w:val="21"/>
          <w:lang w:val="en-US" w:eastAsia="zh-CN"/>
        </w:rPr>
        <w:t>排放</w:t>
      </w:r>
      <w:r>
        <w:rPr>
          <w:rFonts w:hint="eastAsia" w:ascii="宋体" w:hAnsi="宋体" w:eastAsia="宋体" w:cs="宋体"/>
          <w:color w:val="auto"/>
          <w:sz w:val="21"/>
          <w:szCs w:val="21"/>
        </w:rPr>
        <w:t>核算边界、核算步骤与</w:t>
      </w:r>
      <w:r>
        <w:rPr>
          <w:rFonts w:hint="eastAsia" w:ascii="宋体" w:hAnsi="宋体" w:eastAsia="宋体" w:cs="宋体"/>
          <w:color w:val="auto"/>
          <w:sz w:val="21"/>
          <w:szCs w:val="21"/>
          <w:lang w:val="en-US" w:eastAsia="zh-CN"/>
        </w:rPr>
        <w:t>核算</w:t>
      </w:r>
      <w:r>
        <w:rPr>
          <w:rFonts w:hint="eastAsia" w:ascii="宋体" w:hAnsi="宋体" w:eastAsia="宋体" w:cs="宋体"/>
          <w:color w:val="auto"/>
          <w:sz w:val="21"/>
          <w:szCs w:val="21"/>
        </w:rPr>
        <w:t>方法、</w:t>
      </w:r>
      <w:r>
        <w:rPr>
          <w:rFonts w:hint="eastAsia" w:ascii="宋体" w:hAnsi="宋体" w:eastAsia="宋体" w:cs="宋体"/>
          <w:color w:val="auto"/>
          <w:sz w:val="21"/>
          <w:szCs w:val="21"/>
          <w:lang w:val="en-US" w:eastAsia="zh-CN"/>
        </w:rPr>
        <w:t>数据质量管理及</w:t>
      </w:r>
      <w:r>
        <w:rPr>
          <w:rFonts w:hint="eastAsia" w:ascii="宋体" w:hAnsi="宋体" w:eastAsia="宋体" w:cs="宋体"/>
          <w:color w:val="auto"/>
          <w:sz w:val="21"/>
          <w:szCs w:val="21"/>
        </w:rPr>
        <w:t>报告内容</w:t>
      </w:r>
      <w:r>
        <w:rPr>
          <w:rFonts w:hint="eastAsia" w:ascii="宋体" w:hAnsi="宋体" w:eastAsia="宋体" w:cs="宋体"/>
          <w:color w:val="auto"/>
          <w:sz w:val="21"/>
          <w:szCs w:val="21"/>
          <w:lang w:val="en-US" w:eastAsia="zh-CN"/>
        </w:rPr>
        <w:t>和格式</w:t>
      </w:r>
      <w:r>
        <w:rPr>
          <w:rFonts w:hint="eastAsia" w:ascii="宋体" w:hAnsi="宋体" w:eastAsia="宋体" w:cs="宋体"/>
          <w:color w:val="auto"/>
          <w:sz w:val="21"/>
          <w:szCs w:val="21"/>
        </w:rPr>
        <w:t>。</w:t>
      </w:r>
    </w:p>
    <w:p w14:paraId="6595F308">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本文件适用于铜加工材生产企业生产过程中</w:t>
      </w:r>
      <w:r>
        <w:rPr>
          <w:rFonts w:hint="eastAsia" w:ascii="宋体" w:hAnsi="宋体" w:eastAsia="宋体" w:cs="宋体"/>
          <w:color w:val="auto"/>
          <w:sz w:val="21"/>
          <w:szCs w:val="21"/>
          <w:lang w:val="en-US" w:eastAsia="zh-CN"/>
        </w:rPr>
        <w:t>温室气体排放</w:t>
      </w:r>
      <w:r>
        <w:rPr>
          <w:rFonts w:hint="eastAsia" w:ascii="宋体" w:hAnsi="宋体" w:eastAsia="宋体" w:cs="宋体"/>
          <w:color w:val="auto"/>
          <w:sz w:val="21"/>
          <w:szCs w:val="21"/>
        </w:rPr>
        <w:t>量的</w:t>
      </w:r>
      <w:r>
        <w:rPr>
          <w:rFonts w:hint="eastAsia" w:ascii="宋体" w:hAnsi="宋体" w:eastAsia="宋体" w:cs="宋体"/>
          <w:color w:val="auto"/>
          <w:sz w:val="21"/>
          <w:szCs w:val="21"/>
          <w:lang w:val="en-US" w:eastAsia="zh-CN"/>
        </w:rPr>
        <w:t>核算与报告</w:t>
      </w:r>
      <w:r>
        <w:rPr>
          <w:rFonts w:hint="eastAsia" w:ascii="宋体" w:hAnsi="宋体" w:eastAsia="宋体" w:cs="宋体"/>
          <w:color w:val="auto"/>
          <w:sz w:val="21"/>
          <w:szCs w:val="21"/>
        </w:rPr>
        <w:t>。</w:t>
      </w:r>
    </w:p>
    <w:p w14:paraId="4651D0E2">
      <w:pPr>
        <w:pStyle w:val="8"/>
        <w:keepNext w:val="0"/>
        <w:keepLines w:val="0"/>
        <w:pageBreakBefore w:val="0"/>
        <w:widowControl/>
        <w:kinsoku/>
        <w:wordWrap/>
        <w:overflowPunct/>
        <w:topLinePunct w:val="0"/>
        <w:autoSpaceDE/>
        <w:autoSpaceDN/>
        <w:bidi w:val="0"/>
        <w:adjustRightInd w:val="0"/>
        <w:snapToGrid w:val="0"/>
        <w:spacing w:before="181" w:beforeLines="50" w:after="181" w:afterLines="50" w:line="360" w:lineRule="auto"/>
        <w:textAlignment w:val="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3.2术语和定义</w:t>
      </w:r>
    </w:p>
    <w:p w14:paraId="2FC29534">
      <w:pPr>
        <w:widowControl w:val="0"/>
        <w:spacing w:after="0" w:line="360" w:lineRule="auto"/>
        <w:ind w:left="240" w:leftChars="109"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规定了</w:t>
      </w:r>
      <w:r>
        <w:rPr>
          <w:rFonts w:hint="eastAsia" w:ascii="宋体" w:hAnsi="宋体" w:eastAsia="宋体" w:cs="宋体"/>
          <w:color w:val="auto"/>
          <w:sz w:val="21"/>
          <w:szCs w:val="21"/>
          <w:lang w:val="en-US" w:eastAsia="zh-CN"/>
        </w:rPr>
        <w:t>温室气体、报告主体、铜加工企业等9</w:t>
      </w:r>
      <w:r>
        <w:rPr>
          <w:rFonts w:hint="eastAsia" w:ascii="宋体" w:hAnsi="宋体" w:eastAsia="宋体" w:cs="宋体"/>
          <w:color w:val="auto"/>
          <w:sz w:val="21"/>
          <w:szCs w:val="21"/>
        </w:rPr>
        <w:t>个主要术语，主要参考</w:t>
      </w:r>
      <w:r>
        <w:rPr>
          <w:rFonts w:hint="eastAsia" w:ascii="宋体" w:hAnsi="宋体" w:eastAsia="宋体" w:cs="宋体"/>
          <w:color w:val="auto"/>
          <w:sz w:val="21"/>
          <w:szCs w:val="21"/>
          <w:lang w:val="en-US" w:eastAsia="zh-CN"/>
        </w:rPr>
        <w:t>GB/T32150-2015</w:t>
      </w:r>
      <w:r>
        <w:rPr>
          <w:rFonts w:hint="eastAsia" w:ascii="宋体" w:hAnsi="宋体" w:eastAsia="宋体" w:cs="宋体"/>
          <w:color w:val="auto"/>
          <w:sz w:val="21"/>
          <w:szCs w:val="21"/>
        </w:rPr>
        <w:t>《工业企业温室气体排放核算和报告通则》和</w:t>
      </w:r>
      <w:r>
        <w:rPr>
          <w:rFonts w:hint="eastAsia" w:ascii="宋体" w:hAnsi="宋体" w:eastAsia="宋体" w:cs="宋体"/>
          <w:color w:val="auto"/>
          <w:sz w:val="21"/>
          <w:szCs w:val="21"/>
          <w:lang w:val="en-US" w:eastAsia="zh-CN"/>
        </w:rPr>
        <w:t>GB/T 32151.14-2023</w:t>
      </w:r>
      <w:r>
        <w:rPr>
          <w:rFonts w:hint="eastAsia" w:ascii="宋体" w:hAnsi="宋体" w:eastAsia="宋体" w:cs="宋体"/>
          <w:color w:val="auto"/>
          <w:sz w:val="21"/>
          <w:szCs w:val="21"/>
        </w:rPr>
        <w:t>《碳排放核算与报告要求 第14部分：其他有色金属冶炼和压延加工企业》标准中的规范用语。</w:t>
      </w:r>
    </w:p>
    <w:p w14:paraId="448AF70F">
      <w:pPr>
        <w:pStyle w:val="8"/>
        <w:keepNext w:val="0"/>
        <w:keepLines w:val="0"/>
        <w:pageBreakBefore w:val="0"/>
        <w:widowControl/>
        <w:kinsoku/>
        <w:wordWrap/>
        <w:overflowPunct/>
        <w:topLinePunct w:val="0"/>
        <w:autoSpaceDE/>
        <w:autoSpaceDN/>
        <w:bidi w:val="0"/>
        <w:adjustRightInd w:val="0"/>
        <w:snapToGrid w:val="0"/>
        <w:spacing w:before="181" w:beforeLines="50" w:after="181" w:afterLines="50" w:line="360" w:lineRule="auto"/>
        <w:textAlignment w:val="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3.3 核算边界</w:t>
      </w:r>
    </w:p>
    <w:p w14:paraId="38FFEF2C">
      <w:pPr>
        <w:pStyle w:val="8"/>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3.3.1总则</w:t>
      </w:r>
    </w:p>
    <w:p w14:paraId="0385796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本标准明确了报告主体应以企业法人或视同法人的独立核算单位为边界，核算和报告其生产系统产生的温室气体排放。</w:t>
      </w:r>
      <w:r>
        <w:rPr>
          <w:rFonts w:hint="eastAsia" w:ascii="宋体" w:hAnsi="宋体" w:eastAsia="宋体" w:cs="宋体"/>
          <w:color w:val="auto"/>
          <w:sz w:val="21"/>
          <w:szCs w:val="21"/>
          <w:lang w:val="en-US" w:eastAsia="zh-CN"/>
        </w:rPr>
        <w:t>铜加工企业</w:t>
      </w:r>
      <w:r>
        <w:rPr>
          <w:rFonts w:hint="eastAsia" w:ascii="宋体" w:hAnsi="宋体" w:eastAsia="宋体" w:cs="宋体"/>
          <w:color w:val="auto"/>
          <w:sz w:val="21"/>
          <w:szCs w:val="21"/>
        </w:rPr>
        <w:t>生产系统主要包括直接生产系统、辅助生产系统和</w:t>
      </w:r>
      <w:r>
        <w:rPr>
          <w:rFonts w:hint="eastAsia" w:ascii="宋体" w:hAnsi="宋体" w:eastAsia="宋体" w:cs="宋体"/>
          <w:color w:val="auto"/>
          <w:sz w:val="21"/>
          <w:szCs w:val="21"/>
          <w:lang w:val="en-US" w:eastAsia="zh-CN"/>
        </w:rPr>
        <w:t>直接为生产服务</w:t>
      </w:r>
      <w:r>
        <w:rPr>
          <w:rFonts w:hint="eastAsia" w:ascii="宋体" w:hAnsi="宋体" w:eastAsia="宋体" w:cs="宋体"/>
          <w:color w:val="auto"/>
          <w:sz w:val="21"/>
          <w:szCs w:val="21"/>
        </w:rPr>
        <w:t>附属生产系统</w:t>
      </w:r>
      <w:r>
        <w:rPr>
          <w:rFonts w:hint="eastAsia" w:ascii="宋体" w:hAnsi="宋体" w:eastAsia="宋体" w:cs="宋体"/>
          <w:color w:val="auto"/>
          <w:sz w:val="21"/>
          <w:szCs w:val="21"/>
          <w:lang w:eastAsia="zh-CN"/>
        </w:rPr>
        <w:t>。</w:t>
      </w:r>
    </w:p>
    <w:p w14:paraId="70937C49">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（1）铜加工企业直接生产系统排放的设施为直接生产铜及铜合金产品或制品的生产过程和设备，主要包括熔铸、加热、轧制（热轧、冷轧、轧管）、铣面、热处理、挤压、拉伸、精整、清洗等。</w:t>
      </w:r>
    </w:p>
    <w:p w14:paraId="4EAABF8C">
      <w:pPr>
        <w:widowControl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其中铜及铜合金板带箔材工艺的主要生产系统包括熔铸工序、热轧和冷轧工序、热处理工序和酸碱洗工序等；管材和棒型线材工艺的主要生产系统包括熔铸工序、热挤压、冷轧和拉伸工序、热处理工序等。</w:t>
      </w:r>
    </w:p>
    <w:p w14:paraId="1ACD33BF">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辅助生产系统排放的设施为辅助直接生产系统的设施，主要包括包括动力、供电、供水、化验、机修、库房、运输、环保设施等等。如果有外包耗能工质、三废处理厂等外包工序，则应在报告主体基本信息和其他报告信息中说明。</w:t>
      </w:r>
    </w:p>
    <w:p w14:paraId="32C1445D">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eastAsia="宋体" w:cs="Times New Roman"/>
          <w:color w:val="auto"/>
          <w:sz w:val="21"/>
          <w:szCs w:val="21"/>
        </w:rPr>
        <w:t>附属生产系统包括生产指挥系统和厂区内未生产服务的部门和单位</w:t>
      </w:r>
      <w:r>
        <w:rPr>
          <w:rFonts w:hint="eastAsia" w:eastAsia="宋体" w:cs="Times New Roman"/>
          <w:color w:val="auto"/>
          <w:sz w:val="21"/>
          <w:szCs w:val="21"/>
          <w:lang w:eastAsia="zh-CN"/>
        </w:rPr>
        <w:t>，</w:t>
      </w:r>
      <w:r>
        <w:rPr>
          <w:rFonts w:hint="eastAsia" w:ascii="宋体" w:hAnsi="宋体" w:eastAsia="宋体" w:cs="宋体"/>
          <w:color w:val="auto"/>
          <w:sz w:val="21"/>
          <w:szCs w:val="21"/>
          <w:lang w:val="en-US" w:eastAsia="zh-CN"/>
        </w:rPr>
        <w:t>如厂区行政办公、职工食堂、职工宿舍和车间浴室、保健站等。</w:t>
      </w:r>
    </w:p>
    <w:p w14:paraId="3C1671E1">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如果报告主体除铜加工外还存在其他生产活动，并存在本文件未涵盖的温室气体排放环节，还应按照其他相关行业的企业温室气体排放核算与报告要求，一并进行核算并汇总报告。 </w:t>
      </w:r>
    </w:p>
    <w:p w14:paraId="06FBBA52">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铜加工企业温室气体排放核算和报告范围包括以下部分或全部排放：化石燃料燃烧排放、净购入的电力和热力产生的排放。 </w:t>
      </w:r>
    </w:p>
    <w:p w14:paraId="53E1397E">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设备检修、开停炉期间消耗的能源，应核算温室气体排放量。 </w:t>
      </w:r>
    </w:p>
    <w:p w14:paraId="177B9861">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报告主体宜单独核算碳捕集、利用与封存（CCUS）、碳汇等其他碳减排情况。报告主体法人边界或工序涉及外包、生物质燃料情况的，宜单独核算其产生的温室气体排放量。涉及外购耗能工质对应的温室气体排放情况宜单独核算。国家和地方政策另有说明除外。 </w:t>
      </w:r>
    </w:p>
    <w:p w14:paraId="1494E370">
      <w:pPr>
        <w:widowControl w:val="0"/>
        <w:numPr>
          <w:ilvl w:val="0"/>
          <w:numId w:val="3"/>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铜加工企业温室气体核算报告期原则上为上一自然年或财务年度。</w:t>
      </w:r>
    </w:p>
    <w:p w14:paraId="0F54B014">
      <w:pPr>
        <w:pStyle w:val="8"/>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3.3.2 核算边界</w:t>
      </w:r>
    </w:p>
    <w:p w14:paraId="29C79FDC">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bCs w:val="0"/>
          <w:color w:val="auto"/>
          <w:sz w:val="21"/>
          <w:szCs w:val="21"/>
        </w:rPr>
      </w:pPr>
      <w:r>
        <w:rPr>
          <w:rFonts w:hint="eastAsia" w:ascii="宋体" w:hAnsi="宋体" w:eastAsia="宋体" w:cs="宋体"/>
          <w:color w:val="auto"/>
          <w:sz w:val="21"/>
          <w:szCs w:val="21"/>
          <w:lang w:val="en-US" w:eastAsia="zh-CN"/>
        </w:rPr>
        <w:t>依据铜加工铜加工实际情况，</w:t>
      </w:r>
      <w:r>
        <w:rPr>
          <w:rFonts w:hint="eastAsia" w:ascii="宋体" w:hAnsi="宋体" w:eastAsia="宋体" w:cs="宋体"/>
          <w:color w:val="auto"/>
          <w:sz w:val="21"/>
          <w:szCs w:val="21"/>
        </w:rPr>
        <w:t>铜</w:t>
      </w:r>
      <w:bookmarkStart w:id="7" w:name="OLE_LINK8"/>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企业</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排放及核算边界</w:t>
      </w:r>
      <w:r>
        <w:rPr>
          <w:rFonts w:hint="eastAsia" w:ascii="宋体" w:hAnsi="宋体" w:eastAsia="宋体" w:cs="宋体"/>
          <w:color w:val="auto"/>
          <w:sz w:val="21"/>
          <w:szCs w:val="21"/>
          <w:lang w:val="en-US" w:eastAsia="zh-CN"/>
        </w:rPr>
        <w:t>分别</w:t>
      </w:r>
      <w:r>
        <w:rPr>
          <w:rFonts w:hint="eastAsia" w:ascii="宋体" w:hAnsi="宋体" w:eastAsia="宋体" w:cs="宋体"/>
          <w:color w:val="auto"/>
          <w:sz w:val="21"/>
          <w:szCs w:val="21"/>
        </w:rPr>
        <w:t>见图1</w:t>
      </w:r>
      <w:r>
        <w:rPr>
          <w:rFonts w:hint="eastAsia" w:ascii="宋体" w:hAnsi="宋体" w:eastAsia="宋体" w:cs="宋体"/>
          <w:color w:val="auto"/>
          <w:sz w:val="21"/>
          <w:szCs w:val="21"/>
          <w:lang w:val="en-US" w:eastAsia="zh-CN"/>
        </w:rPr>
        <w:t>、图2和图3</w:t>
      </w:r>
      <w:bookmarkEnd w:id="7"/>
      <w:r>
        <w:rPr>
          <w:rFonts w:hint="eastAsia" w:ascii="宋体" w:hAnsi="宋体" w:eastAsia="宋体" w:cs="宋体"/>
          <w:color w:val="auto"/>
          <w:sz w:val="21"/>
          <w:szCs w:val="21"/>
        </w:rPr>
        <w:t>。</w:t>
      </w:r>
      <w:bookmarkStart w:id="8" w:name="OLE_LINK17"/>
      <w:r>
        <w:rPr>
          <w:rFonts w:hint="eastAsia" w:ascii="宋体" w:hAnsi="宋体" w:eastAsia="宋体" w:cs="宋体"/>
          <w:color w:val="auto"/>
          <w:sz w:val="21"/>
          <w:szCs w:val="21"/>
          <w:lang w:val="en-US" w:eastAsia="zh-CN"/>
        </w:rPr>
        <w:t>其中：实线框表示企业报告主体核算边界，虚线框表示工序核算边界。工序碳排放量核算边界包括主要生产系统及相关辅助生产系统。</w:t>
      </w:r>
      <w:bookmarkEnd w:id="8"/>
      <w:r>
        <w:rPr>
          <w:rFonts w:hint="eastAsia" w:ascii="宋体" w:hAnsi="宋体" w:eastAsia="宋体" w:cs="宋体"/>
          <w:color w:val="auto"/>
          <w:sz w:val="21"/>
          <w:szCs w:val="21"/>
          <w:lang w:val="en-US" w:eastAsia="zh-CN"/>
        </w:rPr>
        <w:t xml:space="preserve"> </w:t>
      </w:r>
    </w:p>
    <w:p w14:paraId="1B78CFAF">
      <w:pPr>
        <w:pStyle w:val="8"/>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3.3.3工序核算边界</w:t>
      </w:r>
    </w:p>
    <w:p w14:paraId="357A7B0B">
      <w:pPr>
        <w:widowControl w:val="0"/>
        <w:numPr>
          <w:ilvl w:val="0"/>
          <w:numId w:val="0"/>
        </w:numPr>
        <w:spacing w:after="0"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工序核算边界按企业边界中的主要生产系统进行划分，包括与工序相关的主要生产系统及相关辅助生产系统，不包括附属生产系统。 铜加工应分别对熔铸工序（铜原料—铜坯料）、加工工序（铜坯料—加工产品）产生的碳排放量进行核算。开展工序温室气体核算对企业的重要性体现在以下方面：</w:t>
      </w:r>
    </w:p>
    <w:p w14:paraId="51354BC8">
      <w:pPr>
        <w:widowControl w:val="0"/>
        <w:numPr>
          <w:ilvl w:val="0"/>
          <w:numId w:val="0"/>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（1）精准识别高排放环节：通过细化到工序的排放核算，可精准定位具体生产环节的碳排放量，如铜熔炼铸造、铜热加工热处理等工序的排放数据，便于针对性优化。</w:t>
      </w:r>
    </w:p>
    <w:p w14:paraId="5A34CCAF">
      <w:pPr>
        <w:widowControl w:val="0"/>
        <w:numPr>
          <w:ilvl w:val="0"/>
          <w:numId w:val="0"/>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（2）挖掘减排潜力：分析各工序排放数据可发现节能降碳机会，例如替换低效设备、优化能源结构或改进工艺流程，从而降低单位产值碳排放强度。</w:t>
      </w:r>
    </w:p>
    <w:p w14:paraId="2D97DBE9">
      <w:pPr>
        <w:widowControl w:val="0"/>
        <w:numPr>
          <w:ilvl w:val="0"/>
          <w:numId w:val="0"/>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（3）提升管理精细化水平：工序核算能建立更完善的碳排放台账体系，为制定分阶段减排目标提供依据，支持企业构建碳排放管理体系。 </w:t>
      </w:r>
    </w:p>
    <w:p w14:paraId="29425442">
      <w:pPr>
        <w:widowControl w:val="0"/>
        <w:numPr>
          <w:ilvl w:val="0"/>
          <w:numId w:val="0"/>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（4）支撑碳交易与政策合规：企业通过核算各工序排放可满足碳交易市场要求，同时为应对碳税、碳披露等政策提供数据支撑，降低合规风险。 </w:t>
      </w:r>
    </w:p>
    <w:p w14:paraId="45E7F769">
      <w:pPr>
        <w:widowControl w:val="0"/>
        <w:numPr>
          <w:ilvl w:val="0"/>
          <w:numId w:val="0"/>
        </w:num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（5）增强供应链协同：部分企业要求供应商报告工序排放数据，通过核算可识别供应链中的高排放环节，推动供应商改进，形成低碳供应链生态。</w:t>
      </w:r>
    </w:p>
    <w:p w14:paraId="29328380">
      <w:pPr>
        <w:pStyle w:val="6"/>
        <w:spacing w:line="360" w:lineRule="auto"/>
        <w:rPr>
          <w:rFonts w:hint="eastAsia"/>
          <w:color w:val="auto"/>
          <w:sz w:val="21"/>
          <w:szCs w:val="21"/>
        </w:rPr>
      </w:pPr>
    </w:p>
    <w:p w14:paraId="17AFFF85">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color w:val="auto"/>
        </w:rPr>
      </w:pPr>
    </w:p>
    <w:p w14:paraId="00879399">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color w:val="auto"/>
        </w:rPr>
      </w:pPr>
    </w:p>
    <w:p w14:paraId="6D57F4AB">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color w:val="auto"/>
        </w:rPr>
      </w:pPr>
    </w:p>
    <w:p w14:paraId="194BF5F0">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color w:val="auto"/>
        </w:rPr>
      </w:pPr>
    </w:p>
    <w:p w14:paraId="2555BED4">
      <w:pPr>
        <w:bidi w:val="0"/>
        <w:rPr>
          <w:rFonts w:ascii="Tahoma" w:hAnsi="Tahoma" w:eastAsia="微软雅黑" w:cstheme="minorBidi"/>
          <w:color w:val="auto"/>
          <w:sz w:val="22"/>
          <w:szCs w:val="22"/>
          <w:lang w:val="en-US" w:eastAsia="zh-CN" w:bidi="ar-SA"/>
        </w:rPr>
      </w:pPr>
    </w:p>
    <w:p w14:paraId="5377ECA9">
      <w:pPr>
        <w:bidi w:val="0"/>
        <w:rPr>
          <w:color w:val="auto"/>
          <w:lang w:val="en-US" w:eastAsia="zh-CN"/>
        </w:rPr>
      </w:pPr>
    </w:p>
    <w:p w14:paraId="5065453B">
      <w:pPr>
        <w:bidi w:val="0"/>
        <w:rPr>
          <w:color w:val="auto"/>
          <w:lang w:val="en-US" w:eastAsia="zh-CN"/>
        </w:rPr>
      </w:pPr>
    </w:p>
    <w:p w14:paraId="1BDEC41E">
      <w:pPr>
        <w:tabs>
          <w:tab w:val="left" w:pos="870"/>
        </w:tabs>
        <w:bidi w:val="0"/>
        <w:jc w:val="left"/>
        <w:rPr>
          <w:rFonts w:hint="eastAsia"/>
          <w:color w:val="auto"/>
          <w:lang w:val="en-US" w:eastAsia="zh-CN"/>
        </w:rPr>
      </w:pPr>
      <w:r>
        <w:rPr>
          <w:rFonts w:hint="eastAsia"/>
          <w:color w:val="auto"/>
          <w:lang w:val="en-US" w:eastAsia="zh-CN"/>
        </w:rPr>
        <w:tab/>
      </w:r>
    </w:p>
    <w:p w14:paraId="602A0444">
      <w:pPr>
        <w:tabs>
          <w:tab w:val="left" w:pos="870"/>
        </w:tabs>
        <w:bidi w:val="0"/>
        <w:jc w:val="left"/>
        <w:rPr>
          <w:rFonts w:hint="eastAsia"/>
          <w:color w:val="auto"/>
          <w:lang w:val="en-US" w:eastAsia="zh-CN"/>
        </w:rPr>
      </w:pPr>
    </w:p>
    <w:p w14:paraId="26ED7B85">
      <w:pPr>
        <w:pStyle w:val="6"/>
        <w:rPr>
          <w:rFonts w:hint="eastAsia"/>
          <w:color w:val="auto"/>
          <w:lang w:val="en-US" w:eastAsia="zh-CN"/>
        </w:rPr>
      </w:pPr>
    </w:p>
    <w:p w14:paraId="78866A2B">
      <w:pPr>
        <w:pStyle w:val="6"/>
        <w:rPr>
          <w:rFonts w:hint="eastAsia"/>
          <w:color w:val="auto"/>
          <w:lang w:val="en-US" w:eastAsia="zh-CN"/>
        </w:rPr>
      </w:pPr>
    </w:p>
    <w:p w14:paraId="1EAAA633">
      <w:pPr>
        <w:pStyle w:val="6"/>
        <w:rPr>
          <w:rFonts w:hint="eastAsia"/>
          <w:color w:val="auto"/>
          <w:lang w:val="en-US" w:eastAsia="zh-CN"/>
        </w:rPr>
      </w:pPr>
    </w:p>
    <w:p w14:paraId="6FDF848F">
      <w:pPr>
        <w:keepNext w:val="0"/>
        <w:keepLines w:val="0"/>
        <w:pageBreakBefore w:val="0"/>
        <w:widowControl/>
        <w:kinsoku/>
        <w:wordWrap w:val="0"/>
        <w:overflowPunct/>
        <w:topLinePunct w:val="0"/>
        <w:autoSpaceDE/>
        <w:autoSpaceDN/>
        <w:bidi w:val="0"/>
        <w:adjustRightInd w:val="0"/>
        <w:snapToGrid w:val="0"/>
        <w:spacing w:after="0" w:line="360" w:lineRule="auto"/>
        <w:jc w:val="both"/>
        <w:textAlignment w:val="auto"/>
        <w:rPr>
          <w:rFonts w:hint="eastAsia" w:ascii="宋体" w:hAnsi="宋体" w:eastAsia="宋体" w:cs="宋体"/>
          <w:color w:val="auto"/>
          <w:sz w:val="24"/>
          <w:szCs w:val="24"/>
        </w:rPr>
      </w:pPr>
      <w:r>
        <w:drawing>
          <wp:inline distT="0" distB="0" distL="114300" distR="114300">
            <wp:extent cx="5551805" cy="6614795"/>
            <wp:effectExtent l="0" t="0" r="1079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551805" cy="6614795"/>
                    </a:xfrm>
                    <a:prstGeom prst="rect">
                      <a:avLst/>
                    </a:prstGeom>
                    <a:noFill/>
                    <a:ln>
                      <a:noFill/>
                    </a:ln>
                  </pic:spPr>
                </pic:pic>
              </a:graphicData>
            </a:graphic>
          </wp:inline>
        </w:drawing>
      </w:r>
    </w:p>
    <w:p w14:paraId="216E6010">
      <w:pPr>
        <w:widowControl/>
        <w:tabs>
          <w:tab w:val="left" w:pos="6795"/>
          <w:tab w:val="left" w:pos="6840"/>
          <w:tab w:val="left" w:pos="7395"/>
        </w:tabs>
        <w:spacing w:beforeLines="50" w:afterLines="50"/>
        <w:jc w:val="center"/>
        <w:rPr>
          <w:rFonts w:hint="eastAsia" w:ascii="黑体" w:hAnsi="宋体" w:eastAsia="黑体"/>
          <w:color w:val="auto"/>
          <w:sz w:val="21"/>
          <w:szCs w:val="21"/>
        </w:rPr>
      </w:pPr>
      <w:bookmarkStart w:id="9" w:name="OLE_LINK4"/>
    </w:p>
    <w:p w14:paraId="6EF2F42D">
      <w:pPr>
        <w:widowControl/>
        <w:tabs>
          <w:tab w:val="left" w:pos="6795"/>
          <w:tab w:val="left" w:pos="6840"/>
          <w:tab w:val="left" w:pos="7395"/>
        </w:tabs>
        <w:spacing w:beforeLines="50" w:afterLines="50"/>
        <w:jc w:val="center"/>
        <w:rPr>
          <w:rFonts w:hint="eastAsia" w:ascii="黑体" w:eastAsia="黑体"/>
          <w:color w:val="auto"/>
          <w:spacing w:val="8"/>
          <w:kern w:val="0"/>
          <w:sz w:val="21"/>
          <w:szCs w:val="21"/>
        </w:rPr>
      </w:pPr>
      <w:r>
        <w:rPr>
          <w:rFonts w:hint="eastAsia" w:ascii="黑体" w:hAnsi="宋体" w:eastAsia="黑体"/>
          <w:color w:val="auto"/>
          <w:sz w:val="21"/>
          <w:szCs w:val="21"/>
        </w:rPr>
        <w:t xml:space="preserve">图1   </w:t>
      </w:r>
      <w:r>
        <w:rPr>
          <w:rFonts w:hint="eastAsia" w:ascii="黑体" w:hAnsi="宋体" w:eastAsia="黑体"/>
          <w:color w:val="auto"/>
          <w:spacing w:val="8"/>
          <w:kern w:val="0"/>
          <w:sz w:val="21"/>
          <w:szCs w:val="21"/>
        </w:rPr>
        <w:t>铜及</w:t>
      </w:r>
      <w:r>
        <w:rPr>
          <w:rFonts w:hint="eastAsia" w:ascii="黑体" w:eastAsia="黑体"/>
          <w:color w:val="auto"/>
          <w:spacing w:val="8"/>
          <w:kern w:val="0"/>
          <w:sz w:val="21"/>
          <w:szCs w:val="21"/>
        </w:rPr>
        <w:t>铜合金</w:t>
      </w:r>
      <w:bookmarkStart w:id="10" w:name="OLE_LINK6"/>
      <w:r>
        <w:rPr>
          <w:rFonts w:hint="eastAsia" w:ascii="黑体" w:eastAsia="黑体"/>
          <w:color w:val="auto"/>
          <w:spacing w:val="8"/>
          <w:kern w:val="0"/>
          <w:sz w:val="21"/>
          <w:szCs w:val="21"/>
          <w:lang w:val="en-US" w:eastAsia="zh-CN"/>
        </w:rPr>
        <w:t>板带箔材</w:t>
      </w:r>
      <w:bookmarkEnd w:id="10"/>
      <w:r>
        <w:rPr>
          <w:rFonts w:hint="eastAsia" w:ascii="黑体" w:eastAsia="黑体"/>
          <w:color w:val="auto"/>
          <w:spacing w:val="8"/>
          <w:kern w:val="0"/>
          <w:sz w:val="21"/>
          <w:szCs w:val="21"/>
        </w:rPr>
        <w:t>加工企业</w:t>
      </w:r>
      <w:r>
        <w:rPr>
          <w:rFonts w:hint="eastAsia" w:ascii="黑体" w:eastAsia="黑体"/>
          <w:color w:val="auto"/>
          <w:spacing w:val="8"/>
          <w:kern w:val="0"/>
          <w:sz w:val="21"/>
          <w:szCs w:val="21"/>
          <w:lang w:val="en-US" w:eastAsia="zh-CN"/>
        </w:rPr>
        <w:t>温室气体</w:t>
      </w:r>
      <w:r>
        <w:rPr>
          <w:rFonts w:hint="eastAsia" w:ascii="黑体" w:eastAsia="黑体"/>
          <w:color w:val="auto"/>
          <w:spacing w:val="8"/>
          <w:kern w:val="0"/>
          <w:sz w:val="21"/>
          <w:szCs w:val="21"/>
        </w:rPr>
        <w:t>排放和核算边界</w:t>
      </w:r>
    </w:p>
    <w:p w14:paraId="23916C9D">
      <w:pPr>
        <w:widowControl/>
        <w:tabs>
          <w:tab w:val="left" w:pos="6795"/>
          <w:tab w:val="left" w:pos="6840"/>
          <w:tab w:val="left" w:pos="7395"/>
        </w:tabs>
        <w:spacing w:beforeLines="50" w:afterLines="50"/>
        <w:jc w:val="center"/>
        <w:rPr>
          <w:rFonts w:hint="eastAsia" w:ascii="黑体" w:eastAsia="黑体"/>
          <w:color w:val="auto"/>
          <w:spacing w:val="8"/>
          <w:kern w:val="0"/>
          <w:sz w:val="21"/>
          <w:szCs w:val="21"/>
        </w:rPr>
      </w:pPr>
    </w:p>
    <w:p w14:paraId="0C95E3E7">
      <w:pPr>
        <w:widowControl/>
        <w:tabs>
          <w:tab w:val="left" w:pos="6795"/>
          <w:tab w:val="left" w:pos="6840"/>
          <w:tab w:val="left" w:pos="7395"/>
        </w:tabs>
        <w:spacing w:beforeLines="50" w:afterLines="50"/>
        <w:jc w:val="center"/>
        <w:rPr>
          <w:rFonts w:hint="eastAsia" w:ascii="黑体" w:eastAsia="黑体"/>
          <w:color w:val="auto"/>
          <w:spacing w:val="8"/>
          <w:kern w:val="0"/>
          <w:sz w:val="21"/>
          <w:szCs w:val="21"/>
        </w:rPr>
      </w:pPr>
    </w:p>
    <w:p w14:paraId="7B8B2351">
      <w:pPr>
        <w:widowControl/>
        <w:tabs>
          <w:tab w:val="left" w:pos="6795"/>
          <w:tab w:val="left" w:pos="6840"/>
          <w:tab w:val="left" w:pos="7395"/>
        </w:tabs>
        <w:spacing w:beforeLines="50" w:afterLines="50"/>
        <w:jc w:val="center"/>
        <w:rPr>
          <w:rFonts w:hint="eastAsia" w:ascii="黑体" w:eastAsia="黑体"/>
          <w:color w:val="auto"/>
          <w:spacing w:val="8"/>
          <w:kern w:val="0"/>
          <w:sz w:val="21"/>
          <w:szCs w:val="21"/>
        </w:rPr>
      </w:pPr>
    </w:p>
    <w:p w14:paraId="5F14BF86">
      <w:pPr>
        <w:widowControl/>
        <w:tabs>
          <w:tab w:val="left" w:pos="6795"/>
          <w:tab w:val="left" w:pos="6840"/>
          <w:tab w:val="left" w:pos="7395"/>
        </w:tabs>
        <w:spacing w:beforeLines="50" w:afterLines="50"/>
        <w:jc w:val="center"/>
        <w:rPr>
          <w:rFonts w:hint="eastAsia" w:ascii="黑体" w:eastAsia="黑体"/>
          <w:color w:val="auto"/>
          <w:spacing w:val="8"/>
          <w:kern w:val="0"/>
          <w:sz w:val="21"/>
          <w:szCs w:val="21"/>
        </w:rPr>
      </w:pPr>
    </w:p>
    <w:bookmarkEnd w:id="9"/>
    <w:p w14:paraId="58646CFA">
      <w:pPr>
        <w:widowControl w:val="0"/>
        <w:spacing w:after="0" w:line="360" w:lineRule="auto"/>
        <w:jc w:val="center"/>
        <w:rPr>
          <w:color w:val="auto"/>
        </w:rPr>
      </w:pPr>
      <w:r>
        <w:drawing>
          <wp:inline distT="0" distB="0" distL="114300" distR="114300">
            <wp:extent cx="5253355" cy="6961505"/>
            <wp:effectExtent l="0" t="0" r="444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53355" cy="6961505"/>
                    </a:xfrm>
                    <a:prstGeom prst="rect">
                      <a:avLst/>
                    </a:prstGeom>
                    <a:noFill/>
                    <a:ln>
                      <a:noFill/>
                    </a:ln>
                  </pic:spPr>
                </pic:pic>
              </a:graphicData>
            </a:graphic>
          </wp:inline>
        </w:drawing>
      </w:r>
    </w:p>
    <w:p w14:paraId="1A7D2C63">
      <w:pPr>
        <w:widowControl w:val="0"/>
        <w:spacing w:after="0" w:line="360" w:lineRule="auto"/>
        <w:jc w:val="center"/>
        <w:rPr>
          <w:rFonts w:hint="eastAsia" w:ascii="黑体" w:hAnsi="宋体" w:eastAsia="黑体"/>
          <w:color w:val="auto"/>
          <w:sz w:val="21"/>
          <w:szCs w:val="21"/>
        </w:rPr>
      </w:pPr>
    </w:p>
    <w:p w14:paraId="644CAE7E">
      <w:pPr>
        <w:widowControl w:val="0"/>
        <w:spacing w:after="0" w:line="360" w:lineRule="auto"/>
        <w:jc w:val="center"/>
        <w:rPr>
          <w:rFonts w:hint="eastAsia" w:ascii="黑体" w:eastAsia="黑体"/>
          <w:color w:val="auto"/>
          <w:spacing w:val="8"/>
          <w:kern w:val="0"/>
          <w:sz w:val="21"/>
          <w:szCs w:val="21"/>
        </w:rPr>
      </w:pPr>
      <w:r>
        <w:rPr>
          <w:rFonts w:hint="eastAsia" w:ascii="黑体" w:hAnsi="宋体" w:eastAsia="黑体"/>
          <w:color w:val="auto"/>
          <w:sz w:val="21"/>
          <w:szCs w:val="21"/>
        </w:rPr>
        <w:t>图</w:t>
      </w:r>
      <w:r>
        <w:rPr>
          <w:rFonts w:hint="eastAsia" w:ascii="黑体" w:hAnsi="宋体" w:eastAsia="黑体"/>
          <w:color w:val="auto"/>
          <w:sz w:val="21"/>
          <w:szCs w:val="21"/>
          <w:lang w:val="en-US" w:eastAsia="zh-CN"/>
        </w:rPr>
        <w:t>2</w:t>
      </w:r>
      <w:r>
        <w:rPr>
          <w:rFonts w:hint="eastAsia" w:ascii="黑体" w:hAnsi="宋体" w:eastAsia="黑体"/>
          <w:color w:val="auto"/>
          <w:sz w:val="21"/>
          <w:szCs w:val="21"/>
        </w:rPr>
        <w:t xml:space="preserve">   </w:t>
      </w:r>
      <w:r>
        <w:rPr>
          <w:rFonts w:hint="eastAsia" w:ascii="黑体" w:hAnsi="宋体" w:eastAsia="黑体"/>
          <w:color w:val="auto"/>
          <w:spacing w:val="8"/>
          <w:kern w:val="0"/>
          <w:sz w:val="21"/>
          <w:szCs w:val="21"/>
        </w:rPr>
        <w:t>铜及</w:t>
      </w:r>
      <w:r>
        <w:rPr>
          <w:rFonts w:hint="eastAsia" w:ascii="黑体" w:eastAsia="黑体"/>
          <w:color w:val="auto"/>
          <w:spacing w:val="8"/>
          <w:kern w:val="0"/>
          <w:sz w:val="21"/>
          <w:szCs w:val="21"/>
        </w:rPr>
        <w:t>铜合金</w:t>
      </w:r>
      <w:r>
        <w:rPr>
          <w:rFonts w:hint="eastAsia" w:ascii="黑体" w:eastAsia="黑体"/>
          <w:color w:val="auto"/>
          <w:spacing w:val="8"/>
          <w:kern w:val="0"/>
          <w:sz w:val="21"/>
          <w:szCs w:val="21"/>
          <w:lang w:val="en-US" w:eastAsia="zh-CN"/>
        </w:rPr>
        <w:t>管材</w:t>
      </w:r>
      <w:r>
        <w:rPr>
          <w:rFonts w:hint="eastAsia" w:ascii="黑体" w:eastAsia="黑体"/>
          <w:color w:val="auto"/>
          <w:spacing w:val="8"/>
          <w:kern w:val="0"/>
          <w:sz w:val="21"/>
          <w:szCs w:val="21"/>
        </w:rPr>
        <w:t>加工企业</w:t>
      </w:r>
      <w:r>
        <w:rPr>
          <w:rFonts w:hint="eastAsia" w:ascii="黑体" w:eastAsia="黑体"/>
          <w:color w:val="auto"/>
          <w:spacing w:val="8"/>
          <w:kern w:val="0"/>
          <w:sz w:val="21"/>
          <w:szCs w:val="21"/>
          <w:lang w:val="en-US" w:eastAsia="zh-CN"/>
        </w:rPr>
        <w:t>温室气体</w:t>
      </w:r>
      <w:r>
        <w:rPr>
          <w:rFonts w:hint="eastAsia" w:ascii="黑体" w:eastAsia="黑体"/>
          <w:color w:val="auto"/>
          <w:spacing w:val="8"/>
          <w:kern w:val="0"/>
          <w:sz w:val="21"/>
          <w:szCs w:val="21"/>
        </w:rPr>
        <w:t>排放和核算边界</w:t>
      </w:r>
    </w:p>
    <w:p w14:paraId="39D9E120">
      <w:pPr>
        <w:widowControl w:val="0"/>
        <w:spacing w:after="0" w:line="360" w:lineRule="auto"/>
        <w:jc w:val="center"/>
        <w:rPr>
          <w:rFonts w:hint="eastAsia" w:ascii="黑体" w:eastAsia="黑体"/>
          <w:color w:val="auto"/>
          <w:spacing w:val="8"/>
          <w:kern w:val="0"/>
          <w:sz w:val="21"/>
          <w:szCs w:val="21"/>
        </w:rPr>
      </w:pPr>
    </w:p>
    <w:p w14:paraId="1FCBDF15">
      <w:pPr>
        <w:widowControl w:val="0"/>
        <w:spacing w:after="0" w:line="360" w:lineRule="auto"/>
        <w:jc w:val="center"/>
        <w:rPr>
          <w:rFonts w:hint="eastAsia" w:ascii="黑体" w:eastAsia="黑体"/>
          <w:color w:val="auto"/>
          <w:spacing w:val="8"/>
          <w:kern w:val="0"/>
          <w:sz w:val="21"/>
          <w:szCs w:val="21"/>
        </w:rPr>
      </w:pPr>
    </w:p>
    <w:p w14:paraId="49FDFFA4">
      <w:pPr>
        <w:widowControl w:val="0"/>
        <w:spacing w:after="0" w:line="360" w:lineRule="auto"/>
        <w:jc w:val="center"/>
        <w:rPr>
          <w:rFonts w:hint="eastAsia" w:ascii="黑体" w:eastAsia="黑体"/>
          <w:color w:val="auto"/>
          <w:spacing w:val="8"/>
          <w:kern w:val="0"/>
          <w:sz w:val="21"/>
          <w:szCs w:val="21"/>
        </w:rPr>
      </w:pPr>
    </w:p>
    <w:p w14:paraId="30DB9632">
      <w:pPr>
        <w:widowControl w:val="0"/>
        <w:spacing w:after="0" w:line="360" w:lineRule="auto"/>
        <w:jc w:val="center"/>
        <w:rPr>
          <w:rFonts w:hint="eastAsia" w:ascii="黑体" w:eastAsia="黑体"/>
          <w:color w:val="auto"/>
          <w:spacing w:val="8"/>
          <w:kern w:val="0"/>
          <w:sz w:val="21"/>
          <w:szCs w:val="21"/>
        </w:rPr>
      </w:pPr>
    </w:p>
    <w:p w14:paraId="0B8E1030">
      <w:pPr>
        <w:widowControl w:val="0"/>
        <w:spacing w:after="0" w:line="360" w:lineRule="auto"/>
        <w:jc w:val="center"/>
        <w:rPr>
          <w:rFonts w:hint="eastAsia" w:ascii="黑体" w:eastAsia="黑体"/>
          <w:color w:val="auto"/>
          <w:spacing w:val="8"/>
          <w:kern w:val="0"/>
          <w:sz w:val="21"/>
          <w:szCs w:val="21"/>
        </w:rPr>
      </w:pPr>
    </w:p>
    <w:p w14:paraId="41C7451F">
      <w:pPr>
        <w:widowControl w:val="0"/>
        <w:spacing w:after="0" w:line="360" w:lineRule="auto"/>
        <w:jc w:val="center"/>
        <w:rPr>
          <w:rFonts w:hint="eastAsia" w:ascii="黑体" w:eastAsia="黑体"/>
          <w:color w:val="auto"/>
          <w:spacing w:val="8"/>
          <w:kern w:val="0"/>
          <w:sz w:val="21"/>
          <w:szCs w:val="21"/>
        </w:rPr>
      </w:pPr>
    </w:p>
    <w:p w14:paraId="26E46851">
      <w:pPr>
        <w:widowControl w:val="0"/>
        <w:spacing w:after="0" w:line="360" w:lineRule="auto"/>
        <w:jc w:val="center"/>
        <w:rPr>
          <w:rFonts w:hint="eastAsia" w:ascii="黑体" w:eastAsia="黑体"/>
          <w:color w:val="auto"/>
          <w:spacing w:val="8"/>
          <w:kern w:val="0"/>
          <w:sz w:val="21"/>
          <w:szCs w:val="21"/>
        </w:rPr>
      </w:pPr>
    </w:p>
    <w:p w14:paraId="584985A3">
      <w:pPr>
        <w:widowControl w:val="0"/>
        <w:spacing w:after="0" w:line="360" w:lineRule="auto"/>
        <w:jc w:val="center"/>
        <w:rPr>
          <w:rFonts w:hint="eastAsia" w:ascii="黑体" w:eastAsia="黑体"/>
          <w:color w:val="auto"/>
          <w:spacing w:val="8"/>
          <w:kern w:val="0"/>
          <w:sz w:val="21"/>
          <w:szCs w:val="21"/>
        </w:rPr>
      </w:pPr>
      <w:r>
        <w:drawing>
          <wp:inline distT="0" distB="0" distL="114300" distR="114300">
            <wp:extent cx="5651500" cy="6360795"/>
            <wp:effectExtent l="0" t="0" r="635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651500" cy="6360795"/>
                    </a:xfrm>
                    <a:prstGeom prst="rect">
                      <a:avLst/>
                    </a:prstGeom>
                    <a:noFill/>
                    <a:ln>
                      <a:noFill/>
                    </a:ln>
                  </pic:spPr>
                </pic:pic>
              </a:graphicData>
            </a:graphic>
          </wp:inline>
        </w:drawing>
      </w:r>
    </w:p>
    <w:p w14:paraId="0E146E99">
      <w:pPr>
        <w:widowControl w:val="0"/>
        <w:spacing w:after="0" w:line="360" w:lineRule="auto"/>
        <w:jc w:val="center"/>
        <w:rPr>
          <w:rFonts w:hint="eastAsia" w:ascii="黑体" w:eastAsia="黑体"/>
          <w:color w:val="auto"/>
          <w:spacing w:val="8"/>
          <w:kern w:val="0"/>
          <w:sz w:val="21"/>
          <w:szCs w:val="21"/>
        </w:rPr>
      </w:pPr>
    </w:p>
    <w:p w14:paraId="2B22FC34">
      <w:pPr>
        <w:keepNext w:val="0"/>
        <w:keepLines w:val="0"/>
        <w:pageBreakBefore w:val="0"/>
        <w:widowControl/>
        <w:tabs>
          <w:tab w:val="left" w:pos="6795"/>
          <w:tab w:val="left" w:pos="6840"/>
          <w:tab w:val="left" w:pos="7395"/>
        </w:tabs>
        <w:kinsoku/>
        <w:wordWrap/>
        <w:overflowPunct/>
        <w:topLinePunct w:val="0"/>
        <w:autoSpaceDE/>
        <w:autoSpaceDN/>
        <w:bidi w:val="0"/>
        <w:adjustRightInd w:val="0"/>
        <w:snapToGrid w:val="0"/>
        <w:spacing w:after="0"/>
        <w:jc w:val="center"/>
        <w:textAlignment w:val="auto"/>
        <w:rPr>
          <w:rFonts w:ascii="宋体" w:hAnsi="宋体" w:eastAsiaTheme="minorEastAsia"/>
          <w:color w:val="auto"/>
          <w:sz w:val="21"/>
          <w:szCs w:val="21"/>
        </w:rPr>
      </w:pPr>
      <w:r>
        <w:rPr>
          <w:rFonts w:hint="eastAsia" w:ascii="黑体" w:hAnsi="宋体" w:eastAsia="黑体"/>
          <w:color w:val="auto"/>
          <w:sz w:val="21"/>
          <w:szCs w:val="21"/>
        </w:rPr>
        <w:t>图</w:t>
      </w:r>
      <w:r>
        <w:rPr>
          <w:rFonts w:hint="eastAsia" w:ascii="黑体" w:hAnsi="宋体" w:eastAsia="黑体"/>
          <w:color w:val="auto"/>
          <w:sz w:val="21"/>
          <w:szCs w:val="21"/>
          <w:lang w:val="en-US" w:eastAsia="zh-CN"/>
        </w:rPr>
        <w:t>3</w:t>
      </w:r>
      <w:r>
        <w:rPr>
          <w:rFonts w:hint="eastAsia" w:ascii="黑体" w:hAnsi="宋体" w:eastAsia="黑体"/>
          <w:color w:val="auto"/>
          <w:sz w:val="21"/>
          <w:szCs w:val="21"/>
        </w:rPr>
        <w:t xml:space="preserve">   </w:t>
      </w:r>
      <w:r>
        <w:rPr>
          <w:rFonts w:hint="eastAsia" w:ascii="黑体" w:hAnsi="宋体" w:eastAsia="黑体"/>
          <w:color w:val="auto"/>
          <w:spacing w:val="8"/>
          <w:kern w:val="0"/>
          <w:sz w:val="21"/>
          <w:szCs w:val="21"/>
        </w:rPr>
        <w:t>铜及</w:t>
      </w:r>
      <w:r>
        <w:rPr>
          <w:rFonts w:hint="eastAsia" w:ascii="黑体" w:eastAsia="黑体"/>
          <w:color w:val="auto"/>
          <w:spacing w:val="8"/>
          <w:kern w:val="0"/>
          <w:sz w:val="21"/>
          <w:szCs w:val="21"/>
        </w:rPr>
        <w:t>铜合金</w:t>
      </w:r>
      <w:r>
        <w:rPr>
          <w:rFonts w:hint="eastAsia" w:ascii="黑体" w:eastAsia="黑体"/>
          <w:color w:val="auto"/>
          <w:spacing w:val="8"/>
          <w:kern w:val="0"/>
          <w:sz w:val="21"/>
          <w:szCs w:val="21"/>
          <w:lang w:val="en-US" w:eastAsia="zh-CN"/>
        </w:rPr>
        <w:t>棒型线材</w:t>
      </w:r>
      <w:r>
        <w:rPr>
          <w:rFonts w:hint="eastAsia" w:ascii="黑体" w:eastAsia="黑体"/>
          <w:color w:val="auto"/>
          <w:spacing w:val="8"/>
          <w:kern w:val="0"/>
          <w:sz w:val="21"/>
          <w:szCs w:val="21"/>
        </w:rPr>
        <w:t>加工企业</w:t>
      </w:r>
      <w:r>
        <w:rPr>
          <w:rFonts w:hint="eastAsia" w:ascii="黑体" w:eastAsia="黑体"/>
          <w:color w:val="auto"/>
          <w:spacing w:val="8"/>
          <w:kern w:val="0"/>
          <w:sz w:val="21"/>
          <w:szCs w:val="21"/>
          <w:lang w:val="en-US" w:eastAsia="zh-CN"/>
        </w:rPr>
        <w:t>温室气体</w:t>
      </w:r>
      <w:r>
        <w:rPr>
          <w:rFonts w:hint="eastAsia" w:ascii="黑体" w:eastAsia="黑体"/>
          <w:color w:val="auto"/>
          <w:spacing w:val="8"/>
          <w:kern w:val="0"/>
          <w:sz w:val="21"/>
          <w:szCs w:val="21"/>
        </w:rPr>
        <w:t>排放和核算边界</w:t>
      </w:r>
    </w:p>
    <w:p w14:paraId="657F0AA7">
      <w:pPr>
        <w:pStyle w:val="8"/>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1"/>
          <w:szCs w:val="21"/>
          <w:highlight w:val="none"/>
          <w:lang w:val="en-US" w:eastAsia="zh-CN"/>
        </w:rPr>
      </w:pPr>
    </w:p>
    <w:p w14:paraId="1577F4A4">
      <w:pPr>
        <w:pStyle w:val="8"/>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1"/>
          <w:szCs w:val="21"/>
          <w:highlight w:val="none"/>
          <w:lang w:val="en-US" w:eastAsia="zh-CN"/>
        </w:rPr>
      </w:pPr>
    </w:p>
    <w:p w14:paraId="4C1E8CBF">
      <w:pPr>
        <w:pStyle w:val="8"/>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3.3.4 核算报告与范围</w:t>
      </w:r>
    </w:p>
    <w:p w14:paraId="24765730">
      <w:pPr>
        <w:pStyle w:val="41"/>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z w:val="21"/>
          <w:szCs w:val="21"/>
        </w:rPr>
        <w:t>本条是标准的核心内容之一，</w:t>
      </w:r>
      <w:r>
        <w:rPr>
          <w:rFonts w:hint="eastAsia" w:ascii="宋体" w:hAnsi="宋体" w:eastAsia="宋体" w:cs="宋体"/>
          <w:color w:val="auto"/>
          <w:spacing w:val="8"/>
          <w:kern w:val="0"/>
          <w:sz w:val="21"/>
          <w:szCs w:val="21"/>
        </w:rPr>
        <w:t>铜加工材生产的</w:t>
      </w:r>
      <w:r>
        <w:rPr>
          <w:rFonts w:hint="eastAsia" w:ascii="宋体" w:hAnsi="宋体" w:eastAsia="宋体" w:cs="宋体"/>
          <w:color w:val="auto"/>
          <w:spacing w:val="8"/>
          <w:kern w:val="0"/>
          <w:sz w:val="21"/>
          <w:szCs w:val="21"/>
          <w:lang w:val="en-US" w:eastAsia="zh-CN"/>
        </w:rPr>
        <w:t>温室气体</w:t>
      </w:r>
      <w:r>
        <w:rPr>
          <w:rFonts w:hint="eastAsia" w:ascii="宋体" w:hAnsi="宋体" w:eastAsia="宋体" w:cs="宋体"/>
          <w:color w:val="auto"/>
          <w:spacing w:val="8"/>
          <w:kern w:val="0"/>
          <w:sz w:val="21"/>
          <w:szCs w:val="21"/>
        </w:rPr>
        <w:t>排放核算和报告范围</w:t>
      </w:r>
      <w:r>
        <w:rPr>
          <w:rFonts w:hint="eastAsia" w:ascii="宋体" w:hAnsi="宋体" w:eastAsia="宋体" w:cs="宋体"/>
          <w:color w:val="auto"/>
          <w:sz w:val="21"/>
          <w:szCs w:val="21"/>
        </w:rPr>
        <w:t>应根据其生产工艺流程如</w:t>
      </w:r>
      <w:r>
        <w:rPr>
          <w:rFonts w:hint="eastAsia" w:ascii="宋体" w:hAnsi="宋体" w:eastAsia="宋体" w:cs="宋体"/>
          <w:color w:val="auto"/>
          <w:sz w:val="21"/>
          <w:szCs w:val="21"/>
          <w:lang w:val="en-US" w:eastAsia="zh-CN"/>
        </w:rPr>
        <w:t>熔炼工序</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加工工序</w:t>
      </w:r>
      <w:r>
        <w:rPr>
          <w:rFonts w:hint="eastAsia" w:ascii="宋体" w:hAnsi="宋体" w:eastAsia="宋体" w:cs="宋体"/>
          <w:color w:val="auto"/>
          <w:sz w:val="21"/>
          <w:szCs w:val="21"/>
        </w:rPr>
        <w:t>等分别开展核算工作。</w:t>
      </w:r>
      <w:r>
        <w:rPr>
          <w:rFonts w:hint="eastAsia" w:ascii="宋体" w:hAnsi="宋体" w:eastAsia="宋体" w:cs="宋体"/>
          <w:color w:val="auto"/>
          <w:kern w:val="0"/>
          <w:sz w:val="21"/>
          <w:szCs w:val="21"/>
          <w:lang w:val="en-US" w:eastAsia="zh-CN" w:bidi="ar"/>
        </w:rPr>
        <w:t>根据铜加工生产特点和实际情况，</w:t>
      </w:r>
      <w:r>
        <w:rPr>
          <w:rFonts w:hint="eastAsia" w:ascii="宋体" w:hAnsi="宋体" w:eastAsia="宋体" w:cs="宋体"/>
          <w:color w:val="auto"/>
          <w:sz w:val="21"/>
          <w:szCs w:val="21"/>
          <w:lang w:val="en-US" w:eastAsia="zh-CN"/>
        </w:rPr>
        <w:t>核算范围</w:t>
      </w:r>
      <w:r>
        <w:rPr>
          <w:rFonts w:hint="eastAsia" w:ascii="宋体" w:hAnsi="宋体" w:eastAsia="宋体" w:cs="宋体"/>
          <w:color w:val="auto"/>
          <w:spacing w:val="8"/>
          <w:kern w:val="0"/>
          <w:sz w:val="21"/>
          <w:szCs w:val="21"/>
        </w:rPr>
        <w:t>主要包括以下排放：</w:t>
      </w:r>
      <w:r>
        <w:rPr>
          <w:rFonts w:hint="eastAsia" w:ascii="宋体" w:hAnsi="宋体" w:eastAsia="宋体" w:cs="宋体"/>
          <w:color w:val="auto"/>
          <w:spacing w:val="8"/>
          <w:kern w:val="0"/>
          <w:sz w:val="21"/>
          <w:szCs w:val="21"/>
          <w:lang w:val="en-US" w:eastAsia="zh-CN"/>
        </w:rPr>
        <w:t>化石</w:t>
      </w:r>
      <w:r>
        <w:rPr>
          <w:rFonts w:hint="eastAsia" w:ascii="宋体" w:hAnsi="宋体" w:eastAsia="宋体" w:cs="宋体"/>
          <w:color w:val="auto"/>
          <w:spacing w:val="8"/>
          <w:kern w:val="0"/>
          <w:sz w:val="21"/>
          <w:szCs w:val="21"/>
        </w:rPr>
        <w:t>燃料燃烧产生的排放、</w:t>
      </w:r>
      <w:r>
        <w:rPr>
          <w:rFonts w:hint="eastAsia" w:eastAsia="宋体" w:cs="宋体"/>
          <w:color w:val="auto"/>
          <w:spacing w:val="8"/>
          <w:kern w:val="0"/>
          <w:sz w:val="21"/>
          <w:szCs w:val="21"/>
          <w:lang w:val="en-US" w:eastAsia="zh-CN"/>
        </w:rPr>
        <w:t>过程排放、</w:t>
      </w:r>
      <w:r>
        <w:rPr>
          <w:rFonts w:hint="eastAsia" w:ascii="宋体" w:hAnsi="宋体" w:eastAsia="宋体" w:cs="宋体"/>
          <w:color w:val="auto"/>
          <w:spacing w:val="8"/>
          <w:kern w:val="0"/>
          <w:sz w:val="21"/>
          <w:szCs w:val="21"/>
        </w:rPr>
        <w:t>企业购入</w:t>
      </w:r>
      <w:r>
        <w:rPr>
          <w:rFonts w:hint="eastAsia" w:ascii="宋体" w:hAnsi="宋体" w:eastAsia="宋体" w:cs="宋体"/>
          <w:color w:val="auto"/>
          <w:spacing w:val="8"/>
          <w:kern w:val="0"/>
          <w:sz w:val="21"/>
          <w:szCs w:val="21"/>
          <w:lang w:val="en-US" w:eastAsia="zh-CN"/>
        </w:rPr>
        <w:t>和输出的</w:t>
      </w:r>
      <w:r>
        <w:rPr>
          <w:rFonts w:hint="eastAsia" w:ascii="宋体" w:hAnsi="宋体" w:eastAsia="宋体" w:cs="宋体"/>
          <w:color w:val="auto"/>
          <w:spacing w:val="8"/>
          <w:kern w:val="0"/>
          <w:sz w:val="21"/>
          <w:szCs w:val="21"/>
        </w:rPr>
        <w:t>电力、热力产生的排放。</w:t>
      </w:r>
    </w:p>
    <w:p w14:paraId="321DADAE">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铜加工企业涉及的化石燃料燃烧产生的排放主要包括：（1）固定燃烧源：燃气、燃油作为燃料的设备，如：熔铸燃气预热、烤炉、烘干设备，燃气加热炉及热处理炉等；（2）移动燃烧源：燃油运输车。</w:t>
      </w:r>
    </w:p>
    <w:p w14:paraId="259DC6BD">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加工企业涉及的过程排放主要包括铜及铜合金融合组生产过程中，碳质原料（如焦炭、木炭等）作为还原剂和变质剂等使用时燃烧、氧化产生的二氧化碳排放，以及作为变质剂等使用的碳酸盐（如碳酸钙）高温分解产生的二氧化碳排放。</w:t>
      </w:r>
    </w:p>
    <w:p w14:paraId="5F5A6DE5">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铜加工企业涉及的购入和输出电力和热力产生的排放包括铜加工生产过程购入和输出的电力和热力产生的二氧化碳排放， 使用电力的直接生产系统，如轧机、挤压机、拉伸机、精整设备等；使用电力的辅助生产系统，如循环水站、收尘及烟尘处理设备、车间照明系统、理化检测、工模具制造等；使用电力的附属生产系统，如厂区照明、行政管理、维修、厂区食堂等；购入和输出的热力，如购入和输出的蒸汽、热水等。</w:t>
      </w:r>
    </w:p>
    <w:p w14:paraId="55D9EFD1">
      <w:pPr>
        <w:pStyle w:val="4"/>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ind w:left="0" w:left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3.4计量与监测要求</w:t>
      </w:r>
    </w:p>
    <w:p w14:paraId="7898EA9B">
      <w:pPr>
        <w:keepNext w:val="0"/>
        <w:keepLines w:val="0"/>
        <w:pageBreakBefore w:val="0"/>
        <w:widowControl w:val="0"/>
        <w:kinsoku/>
        <w:overflowPunct/>
        <w:topLinePunct w:val="0"/>
        <w:autoSpaceDE/>
        <w:autoSpaceDN/>
        <w:bidi w:val="0"/>
        <w:snapToGrid w:val="0"/>
        <w:spacing w:after="0" w:line="360" w:lineRule="auto"/>
        <w:ind w:firstLine="420" w:firstLineChars="20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本标准对企业温室气体排放计量与监测提出了具体的管理要求，一是要求企业根据排放源逐个对计量</w:t>
      </w:r>
      <w:r>
        <w:rPr>
          <w:rFonts w:hint="eastAsia" w:ascii="宋体" w:hAnsi="宋体" w:eastAsia="宋体" w:cs="宋体"/>
          <w:color w:val="auto"/>
          <w:sz w:val="21"/>
          <w:szCs w:val="21"/>
          <w:lang w:val="en-US" w:eastAsia="zh-CN"/>
        </w:rPr>
        <w:t>与监/检测</w:t>
      </w:r>
      <w:r>
        <w:rPr>
          <w:rFonts w:hint="eastAsia" w:ascii="宋体" w:hAnsi="宋体" w:eastAsia="宋体" w:cs="宋体"/>
          <w:color w:val="auto"/>
          <w:sz w:val="21"/>
          <w:szCs w:val="21"/>
        </w:rPr>
        <w:t>参数类型及计量方法进行识别，避免遗漏；二是明确了</w:t>
      </w:r>
      <w:r>
        <w:rPr>
          <w:rFonts w:hint="eastAsia" w:ascii="宋体" w:hAnsi="宋体" w:eastAsia="宋体" w:cs="宋体"/>
          <w:color w:val="auto"/>
          <w:sz w:val="21"/>
          <w:szCs w:val="21"/>
          <w:lang w:val="en-US" w:eastAsia="zh-CN"/>
        </w:rPr>
        <w:t>温室气体排放</w:t>
      </w:r>
      <w:r>
        <w:rPr>
          <w:rFonts w:hint="eastAsia" w:ascii="宋体" w:hAnsi="宋体" w:eastAsia="宋体" w:cs="宋体"/>
          <w:color w:val="auto"/>
          <w:sz w:val="21"/>
          <w:szCs w:val="21"/>
        </w:rPr>
        <w:t>核算时涉及的化石燃料消耗量所涉及的</w:t>
      </w:r>
      <w:r>
        <w:rPr>
          <w:rFonts w:hint="eastAsia" w:ascii="宋体" w:hAnsi="宋体" w:eastAsia="宋体" w:cs="宋体"/>
          <w:color w:val="auto"/>
          <w:sz w:val="21"/>
          <w:szCs w:val="21"/>
          <w:lang w:val="en-US" w:eastAsia="zh-CN"/>
        </w:rPr>
        <w:t>计量要求</w:t>
      </w:r>
      <w:r>
        <w:rPr>
          <w:rFonts w:hint="eastAsia" w:ascii="宋体" w:hAnsi="宋体" w:eastAsia="宋体" w:cs="宋体"/>
          <w:color w:val="auto"/>
          <w:sz w:val="21"/>
          <w:szCs w:val="21"/>
        </w:rPr>
        <w:t>、购入和输出的电力和热力对应的排放等的计量要求；三是明确计量与监</w:t>
      </w:r>
      <w:r>
        <w:rPr>
          <w:rFonts w:hint="eastAsia" w:ascii="宋体" w:hAnsi="宋体" w:eastAsia="宋体" w:cs="宋体"/>
          <w:color w:val="auto"/>
          <w:sz w:val="21"/>
          <w:szCs w:val="21"/>
          <w:lang w:val="en-US" w:eastAsia="zh-CN"/>
        </w:rPr>
        <w:t>/检</w:t>
      </w:r>
      <w:r>
        <w:rPr>
          <w:rFonts w:hint="eastAsia" w:ascii="宋体" w:hAnsi="宋体" w:eastAsia="宋体" w:cs="宋体"/>
          <w:color w:val="auto"/>
          <w:sz w:val="21"/>
          <w:szCs w:val="21"/>
        </w:rPr>
        <w:t>测管理的要求，包括规范能源计量器具的</w:t>
      </w:r>
      <w:r>
        <w:rPr>
          <w:rFonts w:hint="eastAsia" w:ascii="宋体" w:hAnsi="宋体" w:eastAsia="宋体" w:cs="宋体"/>
          <w:color w:val="auto"/>
          <w:sz w:val="21"/>
          <w:szCs w:val="21"/>
          <w:lang w:val="en-US" w:eastAsia="zh-CN"/>
        </w:rPr>
        <w:t>配备、使用和</w:t>
      </w:r>
      <w:r>
        <w:rPr>
          <w:rFonts w:hint="eastAsia" w:ascii="宋体" w:hAnsi="宋体" w:eastAsia="宋体" w:cs="宋体"/>
          <w:color w:val="auto"/>
          <w:sz w:val="21"/>
          <w:szCs w:val="21"/>
        </w:rPr>
        <w:t>检定校准，确保计量器具依法计量检定或校准合格后使用，建立计量器具档案，确保企业使用的计量器具在有效的检定/校准周期内等。</w:t>
      </w:r>
    </w:p>
    <w:p w14:paraId="5138934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3.5核算步骤和核算方法</w:t>
      </w:r>
    </w:p>
    <w:p w14:paraId="1CF2D6F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3.</w:t>
      </w: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.1 识别排放源</w:t>
      </w:r>
    </w:p>
    <w:p w14:paraId="0885EEB0">
      <w:pPr>
        <w:keepNext w:val="0"/>
        <w:keepLines w:val="0"/>
        <w:pageBreakBefore w:val="0"/>
        <w:widowControl w:val="0"/>
        <w:kinsoku/>
        <w:overflowPunct/>
        <w:topLinePunct w:val="0"/>
        <w:autoSpaceDE/>
        <w:autoSpaceDN/>
        <w:bidi w:val="0"/>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通过调研统计出</w:t>
      </w:r>
      <w:r>
        <w:rPr>
          <w:rFonts w:hint="eastAsia" w:ascii="宋体" w:hAnsi="宋体" w:eastAsia="宋体" w:cs="宋体"/>
          <w:color w:val="auto"/>
          <w:sz w:val="21"/>
          <w:szCs w:val="21"/>
          <w:lang w:val="en-US" w:eastAsia="zh-CN"/>
        </w:rPr>
        <w:t>铜加工各工序</w:t>
      </w:r>
      <w:r>
        <w:rPr>
          <w:rFonts w:hint="eastAsia" w:ascii="宋体" w:hAnsi="宋体" w:eastAsia="宋体" w:cs="宋体"/>
          <w:color w:val="auto"/>
          <w:sz w:val="21"/>
          <w:szCs w:val="21"/>
        </w:rPr>
        <w:t>排放源</w:t>
      </w:r>
      <w:r>
        <w:rPr>
          <w:rFonts w:hint="eastAsia" w:ascii="宋体" w:hAnsi="宋体" w:eastAsia="宋体" w:cs="宋体"/>
          <w:color w:val="auto"/>
          <w:sz w:val="21"/>
          <w:szCs w:val="21"/>
          <w:lang w:val="en-US" w:eastAsia="zh-CN"/>
        </w:rPr>
        <w:t>简标3。</w:t>
      </w:r>
    </w:p>
    <w:p w14:paraId="1D2C948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3 铜加工</w:t>
      </w:r>
      <w:r>
        <w:rPr>
          <w:rFonts w:hint="eastAsia" w:ascii="宋体" w:hAnsi="宋体" w:eastAsia="宋体" w:cs="宋体"/>
          <w:b/>
          <w:bCs/>
          <w:color w:val="auto"/>
          <w:sz w:val="21"/>
          <w:szCs w:val="21"/>
        </w:rPr>
        <w:t>各工序排放源</w:t>
      </w:r>
    </w:p>
    <w:tbl>
      <w:tblPr>
        <w:tblStyle w:val="18"/>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364"/>
        <w:gridCol w:w="2762"/>
        <w:gridCol w:w="1613"/>
        <w:gridCol w:w="1590"/>
      </w:tblGrid>
      <w:tr w14:paraId="6D16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Align w:val="center"/>
          </w:tcPr>
          <w:p w14:paraId="6B2B736A">
            <w:pPr>
              <w:widowControl w:val="0"/>
              <w:adjustRightInd/>
              <w:spacing w:after="0" w:line="240" w:lineRule="auto"/>
              <w:jc w:val="center"/>
              <w:rPr>
                <w:rFonts w:hint="eastAsia" w:ascii="宋体" w:hAnsi="宋体" w:eastAsia="宋体" w:cs="宋体"/>
                <w:b/>
                <w:color w:val="auto"/>
                <w:kern w:val="2"/>
                <w:sz w:val="18"/>
                <w:szCs w:val="18"/>
              </w:rPr>
            </w:pPr>
            <w:r>
              <w:rPr>
                <w:rFonts w:hint="eastAsia" w:ascii="宋体" w:hAnsi="宋体" w:eastAsia="宋体" w:cs="宋体"/>
                <w:b/>
                <w:color w:val="auto"/>
                <w:kern w:val="2"/>
                <w:sz w:val="18"/>
                <w:szCs w:val="18"/>
              </w:rPr>
              <w:t>工艺</w:t>
            </w:r>
          </w:p>
        </w:tc>
        <w:tc>
          <w:tcPr>
            <w:tcW w:w="1364" w:type="dxa"/>
            <w:vAlign w:val="center"/>
          </w:tcPr>
          <w:p w14:paraId="638A0A60">
            <w:pPr>
              <w:widowControl w:val="0"/>
              <w:adjustRightInd/>
              <w:spacing w:after="0" w:line="240" w:lineRule="auto"/>
              <w:jc w:val="center"/>
              <w:rPr>
                <w:rFonts w:hint="eastAsia" w:ascii="宋体" w:hAnsi="宋体" w:eastAsia="宋体" w:cs="宋体"/>
                <w:b/>
                <w:color w:val="auto"/>
                <w:kern w:val="2"/>
                <w:sz w:val="18"/>
                <w:szCs w:val="18"/>
              </w:rPr>
            </w:pPr>
            <w:r>
              <w:rPr>
                <w:rFonts w:hint="eastAsia" w:ascii="宋体" w:hAnsi="宋体" w:eastAsia="宋体" w:cs="宋体"/>
                <w:b/>
                <w:color w:val="auto"/>
                <w:kern w:val="2"/>
                <w:sz w:val="18"/>
                <w:szCs w:val="18"/>
              </w:rPr>
              <w:t>工序</w:t>
            </w:r>
          </w:p>
        </w:tc>
        <w:tc>
          <w:tcPr>
            <w:tcW w:w="2762" w:type="dxa"/>
            <w:vAlign w:val="center"/>
          </w:tcPr>
          <w:p w14:paraId="3CC7D821">
            <w:pPr>
              <w:widowControl w:val="0"/>
              <w:adjustRightInd/>
              <w:spacing w:after="0" w:line="240" w:lineRule="auto"/>
              <w:jc w:val="center"/>
              <w:rPr>
                <w:rFonts w:hint="eastAsia" w:ascii="宋体" w:hAnsi="宋体" w:eastAsia="宋体" w:cs="宋体"/>
                <w:b/>
                <w:color w:val="auto"/>
                <w:kern w:val="2"/>
                <w:sz w:val="18"/>
                <w:szCs w:val="18"/>
              </w:rPr>
            </w:pPr>
            <w:r>
              <w:rPr>
                <w:rFonts w:hint="eastAsia" w:ascii="宋体" w:hAnsi="宋体" w:eastAsia="宋体" w:cs="宋体"/>
                <w:b/>
                <w:color w:val="auto"/>
                <w:kern w:val="2"/>
                <w:sz w:val="18"/>
                <w:szCs w:val="18"/>
              </w:rPr>
              <w:t>燃料燃烧排放</w:t>
            </w:r>
          </w:p>
        </w:tc>
        <w:tc>
          <w:tcPr>
            <w:tcW w:w="1613" w:type="dxa"/>
            <w:vAlign w:val="center"/>
          </w:tcPr>
          <w:p w14:paraId="4CB79724">
            <w:pPr>
              <w:widowControl w:val="0"/>
              <w:adjustRightInd/>
              <w:spacing w:after="0" w:line="240" w:lineRule="auto"/>
              <w:jc w:val="center"/>
              <w:rPr>
                <w:rFonts w:hint="eastAsia" w:ascii="宋体" w:hAnsi="宋体" w:eastAsia="宋体" w:cs="宋体"/>
                <w:b/>
                <w:color w:val="auto"/>
                <w:kern w:val="2"/>
                <w:sz w:val="18"/>
                <w:szCs w:val="18"/>
              </w:rPr>
            </w:pPr>
            <w:r>
              <w:rPr>
                <w:rFonts w:hint="eastAsia" w:ascii="宋体" w:hAnsi="宋体" w:eastAsia="宋体" w:cs="宋体"/>
                <w:b/>
                <w:color w:val="auto"/>
                <w:kern w:val="2"/>
                <w:sz w:val="18"/>
                <w:szCs w:val="18"/>
              </w:rPr>
              <w:t>购入和输出热力产生的排放</w:t>
            </w:r>
          </w:p>
        </w:tc>
        <w:tc>
          <w:tcPr>
            <w:tcW w:w="1590" w:type="dxa"/>
            <w:vAlign w:val="center"/>
          </w:tcPr>
          <w:p w14:paraId="7CFE0ACB">
            <w:pPr>
              <w:widowControl w:val="0"/>
              <w:adjustRightInd/>
              <w:spacing w:after="0" w:line="240" w:lineRule="auto"/>
              <w:jc w:val="center"/>
              <w:rPr>
                <w:rFonts w:hint="eastAsia" w:ascii="宋体" w:hAnsi="宋体" w:eastAsia="宋体" w:cs="宋体"/>
                <w:b/>
                <w:color w:val="auto"/>
                <w:kern w:val="2"/>
                <w:sz w:val="18"/>
                <w:szCs w:val="18"/>
              </w:rPr>
            </w:pPr>
            <w:r>
              <w:rPr>
                <w:rFonts w:hint="eastAsia" w:ascii="宋体" w:hAnsi="宋体" w:eastAsia="宋体" w:cs="宋体"/>
                <w:b/>
                <w:color w:val="auto"/>
                <w:kern w:val="2"/>
                <w:sz w:val="18"/>
                <w:szCs w:val="18"/>
              </w:rPr>
              <w:t>购入和输出电力产生的排放</w:t>
            </w:r>
          </w:p>
        </w:tc>
      </w:tr>
      <w:tr w14:paraId="316F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vAlign w:val="center"/>
          </w:tcPr>
          <w:p w14:paraId="00833239">
            <w:pPr>
              <w:widowControl w:val="0"/>
              <w:adjustRightInd/>
              <w:spacing w:after="0" w:line="240" w:lineRule="auto"/>
              <w:jc w:val="cente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val="en-US" w:eastAsia="zh-CN"/>
              </w:rPr>
              <w:t>铜板带箔加工工艺</w:t>
            </w:r>
          </w:p>
        </w:tc>
        <w:tc>
          <w:tcPr>
            <w:tcW w:w="1364" w:type="dxa"/>
            <w:vAlign w:val="center"/>
          </w:tcPr>
          <w:p w14:paraId="738B6771">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熔铸</w:t>
            </w:r>
          </w:p>
        </w:tc>
        <w:tc>
          <w:tcPr>
            <w:tcW w:w="2762" w:type="dxa"/>
            <w:vAlign w:val="center"/>
          </w:tcPr>
          <w:p w14:paraId="576B6A6F">
            <w:pPr>
              <w:widowControl w:val="0"/>
              <w:adjustRightInd/>
              <w:spacing w:after="0" w:line="240" w:lineRule="auto"/>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原</w:t>
            </w:r>
            <w:r>
              <w:rPr>
                <w:rFonts w:hint="eastAsia" w:ascii="宋体" w:hAnsi="宋体" w:eastAsia="宋体" w:cs="宋体"/>
                <w:color w:val="auto"/>
                <w:kern w:val="2"/>
                <w:sz w:val="18"/>
                <w:szCs w:val="18"/>
              </w:rPr>
              <w:t>油、柴油、</w:t>
            </w:r>
            <w:r>
              <w:rPr>
                <w:rFonts w:hint="eastAsia" w:ascii="宋体" w:hAnsi="宋体" w:eastAsia="宋体" w:cs="宋体"/>
                <w:color w:val="auto"/>
                <w:kern w:val="2"/>
                <w:sz w:val="18"/>
                <w:szCs w:val="18"/>
                <w:lang w:val="en-US" w:eastAsia="zh-CN"/>
              </w:rPr>
              <w:t>汽油、柴油、煤油、</w:t>
            </w:r>
            <w:r>
              <w:rPr>
                <w:rFonts w:hint="eastAsia" w:ascii="宋体" w:hAnsi="宋体" w:eastAsia="宋体" w:cs="宋体"/>
                <w:color w:val="auto"/>
                <w:kern w:val="2"/>
                <w:sz w:val="18"/>
                <w:szCs w:val="18"/>
              </w:rPr>
              <w:t>天然气、煤、煤气</w:t>
            </w:r>
            <w:r>
              <w:rPr>
                <w:rFonts w:hint="eastAsia" w:ascii="宋体" w:hAnsi="宋体" w:eastAsia="宋体" w:cs="宋体"/>
                <w:color w:val="auto"/>
                <w:kern w:val="2"/>
                <w:sz w:val="18"/>
                <w:szCs w:val="18"/>
                <w:lang w:eastAsia="zh-CN"/>
              </w:rPr>
              <w:t>、</w:t>
            </w:r>
            <w:r>
              <w:rPr>
                <w:rFonts w:hint="eastAsia" w:ascii="宋体" w:hAnsi="宋体" w:eastAsia="宋体" w:cs="宋体"/>
                <w:color w:val="auto"/>
                <w:kern w:val="2"/>
                <w:sz w:val="18"/>
                <w:szCs w:val="18"/>
                <w:lang w:val="en-US" w:eastAsia="zh-CN"/>
              </w:rPr>
              <w:t>焦炭炭等</w:t>
            </w:r>
          </w:p>
        </w:tc>
        <w:tc>
          <w:tcPr>
            <w:tcW w:w="1613" w:type="dxa"/>
            <w:vAlign w:val="center"/>
          </w:tcPr>
          <w:p w14:paraId="47AB33C1">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蒸汽</w:t>
            </w:r>
          </w:p>
        </w:tc>
        <w:tc>
          <w:tcPr>
            <w:tcW w:w="1590" w:type="dxa"/>
            <w:vAlign w:val="center"/>
          </w:tcPr>
          <w:p w14:paraId="647A02B0">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3ED8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vAlign w:val="center"/>
          </w:tcPr>
          <w:p w14:paraId="7CF916E3">
            <w:pPr>
              <w:widowControl w:val="0"/>
              <w:adjustRightInd/>
              <w:spacing w:after="0" w:line="240" w:lineRule="auto"/>
              <w:jc w:val="center"/>
              <w:rPr>
                <w:rFonts w:hint="eastAsia" w:ascii="宋体" w:hAnsi="宋体" w:eastAsia="宋体" w:cs="宋体"/>
                <w:color w:val="auto"/>
                <w:kern w:val="2"/>
                <w:sz w:val="18"/>
                <w:szCs w:val="18"/>
              </w:rPr>
            </w:pPr>
          </w:p>
        </w:tc>
        <w:tc>
          <w:tcPr>
            <w:tcW w:w="1364" w:type="dxa"/>
            <w:vAlign w:val="center"/>
          </w:tcPr>
          <w:p w14:paraId="370CF7F7">
            <w:pPr>
              <w:widowControl w:val="0"/>
              <w:adjustRightInd/>
              <w:spacing w:after="0" w:line="240" w:lineRule="auto"/>
              <w:jc w:val="cente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val="en-US" w:eastAsia="zh-CN"/>
              </w:rPr>
              <w:t>热轧</w:t>
            </w:r>
          </w:p>
        </w:tc>
        <w:tc>
          <w:tcPr>
            <w:tcW w:w="2762" w:type="dxa"/>
            <w:vAlign w:val="center"/>
          </w:tcPr>
          <w:p w14:paraId="2D61A762">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重柴油、</w:t>
            </w:r>
            <w:r>
              <w:rPr>
                <w:rFonts w:hint="eastAsia" w:ascii="宋体" w:hAnsi="宋体" w:eastAsia="宋体" w:cs="宋体"/>
                <w:color w:val="auto"/>
                <w:kern w:val="2"/>
                <w:sz w:val="18"/>
                <w:szCs w:val="18"/>
                <w:lang w:val="en-US" w:eastAsia="zh-CN"/>
              </w:rPr>
              <w:t>汽油、柴油、煤油、</w:t>
            </w:r>
            <w:r>
              <w:rPr>
                <w:rFonts w:hint="eastAsia" w:ascii="宋体" w:hAnsi="宋体" w:eastAsia="宋体" w:cs="宋体"/>
                <w:color w:val="auto"/>
                <w:kern w:val="2"/>
                <w:sz w:val="18"/>
                <w:szCs w:val="18"/>
              </w:rPr>
              <w:t>天然气、煤、煤气</w:t>
            </w:r>
            <w:r>
              <w:rPr>
                <w:rFonts w:hint="eastAsia" w:ascii="宋体" w:hAnsi="宋体" w:eastAsia="宋体" w:cs="宋体"/>
                <w:color w:val="auto"/>
                <w:kern w:val="2"/>
                <w:sz w:val="18"/>
                <w:szCs w:val="18"/>
                <w:lang w:val="en-US" w:eastAsia="zh-CN"/>
              </w:rPr>
              <w:t>等</w:t>
            </w:r>
          </w:p>
        </w:tc>
        <w:tc>
          <w:tcPr>
            <w:tcW w:w="1613" w:type="dxa"/>
            <w:vAlign w:val="center"/>
          </w:tcPr>
          <w:p w14:paraId="6A0D70D4">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蒸汽</w:t>
            </w:r>
          </w:p>
        </w:tc>
        <w:tc>
          <w:tcPr>
            <w:tcW w:w="1590" w:type="dxa"/>
            <w:vAlign w:val="center"/>
          </w:tcPr>
          <w:p w14:paraId="5DAAAC29">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6787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5BF6D7B4">
            <w:pPr>
              <w:widowControl w:val="0"/>
              <w:adjustRightInd/>
              <w:spacing w:after="0" w:line="240" w:lineRule="auto"/>
              <w:jc w:val="center"/>
              <w:rPr>
                <w:rFonts w:hint="eastAsia" w:ascii="宋体" w:hAnsi="宋体" w:eastAsia="宋体" w:cs="宋体"/>
                <w:color w:val="auto"/>
                <w:kern w:val="2"/>
                <w:sz w:val="18"/>
                <w:szCs w:val="18"/>
              </w:rPr>
            </w:pPr>
          </w:p>
        </w:tc>
        <w:tc>
          <w:tcPr>
            <w:tcW w:w="1364" w:type="dxa"/>
            <w:vAlign w:val="center"/>
          </w:tcPr>
          <w:p w14:paraId="5A9388B3">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冷轧或拉伸</w:t>
            </w:r>
          </w:p>
        </w:tc>
        <w:tc>
          <w:tcPr>
            <w:tcW w:w="2762" w:type="dxa"/>
            <w:vAlign w:val="center"/>
          </w:tcPr>
          <w:p w14:paraId="4B9742F6">
            <w:pPr>
              <w:widowControl w:val="0"/>
              <w:adjustRightInd/>
              <w:spacing w:after="0" w:line="240" w:lineRule="auto"/>
              <w:jc w:val="center"/>
              <w:rPr>
                <w:rFonts w:hint="eastAsia" w:ascii="宋体" w:hAnsi="宋体" w:eastAsia="宋体" w:cs="宋体"/>
                <w:color w:val="auto"/>
                <w:kern w:val="2"/>
                <w:sz w:val="18"/>
                <w:szCs w:val="18"/>
              </w:rPr>
            </w:pPr>
          </w:p>
        </w:tc>
        <w:tc>
          <w:tcPr>
            <w:tcW w:w="1613" w:type="dxa"/>
            <w:vAlign w:val="center"/>
          </w:tcPr>
          <w:p w14:paraId="4FA87524">
            <w:pPr>
              <w:widowControl w:val="0"/>
              <w:adjustRightInd/>
              <w:spacing w:after="0" w:line="240" w:lineRule="auto"/>
              <w:jc w:val="center"/>
              <w:rPr>
                <w:rFonts w:hint="eastAsia" w:ascii="宋体" w:hAnsi="宋体" w:eastAsia="宋体" w:cs="宋体"/>
                <w:color w:val="auto"/>
                <w:kern w:val="2"/>
                <w:sz w:val="18"/>
                <w:szCs w:val="18"/>
              </w:rPr>
            </w:pPr>
          </w:p>
        </w:tc>
        <w:tc>
          <w:tcPr>
            <w:tcW w:w="1590" w:type="dxa"/>
            <w:vAlign w:val="center"/>
          </w:tcPr>
          <w:p w14:paraId="418FEF81">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3655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5BDC9A48">
            <w:pPr>
              <w:widowControl w:val="0"/>
              <w:adjustRightInd/>
              <w:spacing w:after="0" w:line="240" w:lineRule="auto"/>
              <w:jc w:val="center"/>
              <w:rPr>
                <w:rFonts w:hint="eastAsia" w:ascii="宋体" w:hAnsi="宋体" w:eastAsia="宋体" w:cs="宋体"/>
                <w:color w:val="auto"/>
                <w:kern w:val="2"/>
                <w:sz w:val="18"/>
                <w:szCs w:val="18"/>
              </w:rPr>
            </w:pPr>
          </w:p>
        </w:tc>
        <w:tc>
          <w:tcPr>
            <w:tcW w:w="1364" w:type="dxa"/>
            <w:vAlign w:val="center"/>
          </w:tcPr>
          <w:p w14:paraId="299D0FF4">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热处理</w:t>
            </w:r>
          </w:p>
        </w:tc>
        <w:tc>
          <w:tcPr>
            <w:tcW w:w="2762" w:type="dxa"/>
            <w:vAlign w:val="center"/>
          </w:tcPr>
          <w:p w14:paraId="41F61D04">
            <w:pPr>
              <w:widowControl w:val="0"/>
              <w:adjustRightInd/>
              <w:spacing w:after="0" w:line="240" w:lineRule="auto"/>
              <w:jc w:val="center"/>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kern w:val="2"/>
                <w:sz w:val="18"/>
                <w:szCs w:val="18"/>
                <w:highlight w:val="none"/>
                <w:lang w:val="en-US" w:eastAsia="zh-CN"/>
              </w:rPr>
              <w:t>天然气</w:t>
            </w:r>
          </w:p>
        </w:tc>
        <w:tc>
          <w:tcPr>
            <w:tcW w:w="1613" w:type="dxa"/>
            <w:vAlign w:val="center"/>
          </w:tcPr>
          <w:p w14:paraId="7D013A76">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蒸汽</w:t>
            </w:r>
          </w:p>
        </w:tc>
        <w:tc>
          <w:tcPr>
            <w:tcW w:w="1590" w:type="dxa"/>
            <w:vAlign w:val="center"/>
          </w:tcPr>
          <w:p w14:paraId="3723BA12">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101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0EFE7719">
            <w:pPr>
              <w:widowControl w:val="0"/>
              <w:adjustRightInd/>
              <w:spacing w:after="0" w:line="240" w:lineRule="auto"/>
              <w:jc w:val="center"/>
              <w:rPr>
                <w:rFonts w:hint="eastAsia" w:ascii="宋体" w:hAnsi="宋体" w:eastAsia="宋体" w:cs="宋体"/>
                <w:color w:val="auto"/>
                <w:kern w:val="2"/>
                <w:sz w:val="18"/>
                <w:szCs w:val="18"/>
              </w:rPr>
            </w:pPr>
          </w:p>
        </w:tc>
        <w:tc>
          <w:tcPr>
            <w:tcW w:w="1364" w:type="dxa"/>
            <w:vAlign w:val="center"/>
          </w:tcPr>
          <w:p w14:paraId="283DEC8E">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精整</w:t>
            </w:r>
          </w:p>
        </w:tc>
        <w:tc>
          <w:tcPr>
            <w:tcW w:w="2762" w:type="dxa"/>
            <w:vAlign w:val="center"/>
          </w:tcPr>
          <w:p w14:paraId="62D290D6">
            <w:pPr>
              <w:widowControl w:val="0"/>
              <w:adjustRightInd/>
              <w:spacing w:after="0" w:line="240" w:lineRule="auto"/>
              <w:jc w:val="center"/>
              <w:rPr>
                <w:rFonts w:hint="eastAsia" w:ascii="宋体" w:hAnsi="宋体" w:eastAsia="宋体" w:cs="宋体"/>
                <w:color w:val="auto"/>
                <w:kern w:val="2"/>
                <w:sz w:val="18"/>
                <w:szCs w:val="18"/>
              </w:rPr>
            </w:pPr>
          </w:p>
        </w:tc>
        <w:tc>
          <w:tcPr>
            <w:tcW w:w="1613" w:type="dxa"/>
            <w:vAlign w:val="center"/>
          </w:tcPr>
          <w:p w14:paraId="48FE9DED">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蒸汽</w:t>
            </w:r>
          </w:p>
        </w:tc>
        <w:tc>
          <w:tcPr>
            <w:tcW w:w="1590" w:type="dxa"/>
            <w:vAlign w:val="center"/>
          </w:tcPr>
          <w:p w14:paraId="2670C24D">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424A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vAlign w:val="center"/>
          </w:tcPr>
          <w:p w14:paraId="48D6756D">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铜管加工工艺</w:t>
            </w:r>
          </w:p>
        </w:tc>
        <w:tc>
          <w:tcPr>
            <w:tcW w:w="1364" w:type="dxa"/>
            <w:vAlign w:val="center"/>
          </w:tcPr>
          <w:p w14:paraId="5679A414">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熔铸</w:t>
            </w:r>
          </w:p>
        </w:tc>
        <w:tc>
          <w:tcPr>
            <w:tcW w:w="2762" w:type="dxa"/>
            <w:vAlign w:val="center"/>
          </w:tcPr>
          <w:p w14:paraId="0EF0D9EE">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重油、柴油、天然气、煤、煤气</w:t>
            </w:r>
            <w:r>
              <w:rPr>
                <w:rFonts w:hint="eastAsia" w:ascii="宋体" w:hAnsi="宋体" w:eastAsia="宋体" w:cs="宋体"/>
                <w:color w:val="auto"/>
                <w:kern w:val="2"/>
                <w:sz w:val="18"/>
                <w:szCs w:val="18"/>
                <w:lang w:eastAsia="zh-CN"/>
              </w:rPr>
              <w:t>、</w:t>
            </w:r>
            <w:r>
              <w:rPr>
                <w:rFonts w:hint="eastAsia" w:ascii="宋体" w:hAnsi="宋体" w:eastAsia="宋体" w:cs="宋体"/>
                <w:color w:val="auto"/>
                <w:kern w:val="2"/>
                <w:sz w:val="18"/>
                <w:szCs w:val="18"/>
                <w:lang w:val="en-US" w:eastAsia="zh-CN"/>
              </w:rPr>
              <w:t>木炭</w:t>
            </w:r>
          </w:p>
        </w:tc>
        <w:tc>
          <w:tcPr>
            <w:tcW w:w="1613" w:type="dxa"/>
            <w:vAlign w:val="center"/>
          </w:tcPr>
          <w:p w14:paraId="1E6DA53F">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蒸汽</w:t>
            </w:r>
          </w:p>
        </w:tc>
        <w:tc>
          <w:tcPr>
            <w:tcW w:w="1590" w:type="dxa"/>
            <w:vAlign w:val="center"/>
          </w:tcPr>
          <w:p w14:paraId="5682EAAF">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2EA9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vAlign w:val="center"/>
          </w:tcPr>
          <w:p w14:paraId="2BEEFB6D">
            <w:pPr>
              <w:widowControl w:val="0"/>
              <w:adjustRightInd/>
              <w:spacing w:after="0" w:line="240" w:lineRule="auto"/>
              <w:jc w:val="center"/>
              <w:rPr>
                <w:rFonts w:hint="eastAsia" w:ascii="宋体" w:hAnsi="宋体" w:eastAsia="宋体" w:cs="宋体"/>
                <w:color w:val="auto"/>
                <w:kern w:val="2"/>
                <w:sz w:val="18"/>
                <w:szCs w:val="18"/>
              </w:rPr>
            </w:pPr>
          </w:p>
        </w:tc>
        <w:tc>
          <w:tcPr>
            <w:tcW w:w="1364" w:type="dxa"/>
            <w:vAlign w:val="center"/>
          </w:tcPr>
          <w:p w14:paraId="28C9FCE5">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热挤压</w:t>
            </w:r>
          </w:p>
        </w:tc>
        <w:tc>
          <w:tcPr>
            <w:tcW w:w="2762" w:type="dxa"/>
            <w:vAlign w:val="center"/>
          </w:tcPr>
          <w:p w14:paraId="4CFAC584">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rPr>
              <w:t>柴油、</w:t>
            </w:r>
            <w:r>
              <w:rPr>
                <w:rFonts w:hint="eastAsia" w:ascii="宋体" w:hAnsi="宋体" w:eastAsia="宋体" w:cs="宋体"/>
                <w:color w:val="auto"/>
                <w:kern w:val="2"/>
                <w:sz w:val="18"/>
                <w:szCs w:val="18"/>
                <w:lang w:val="en-US" w:eastAsia="zh-CN"/>
              </w:rPr>
              <w:t>汽油、柴油、煤油、</w:t>
            </w:r>
            <w:r>
              <w:rPr>
                <w:rFonts w:hint="eastAsia" w:ascii="宋体" w:hAnsi="宋体" w:eastAsia="宋体" w:cs="宋体"/>
                <w:color w:val="auto"/>
                <w:kern w:val="2"/>
                <w:sz w:val="18"/>
                <w:szCs w:val="18"/>
              </w:rPr>
              <w:t>天然气、煤、煤气</w:t>
            </w:r>
            <w:r>
              <w:rPr>
                <w:rFonts w:hint="eastAsia" w:ascii="宋体" w:hAnsi="宋体" w:eastAsia="宋体" w:cs="宋体"/>
                <w:color w:val="auto"/>
                <w:kern w:val="2"/>
                <w:sz w:val="18"/>
                <w:szCs w:val="18"/>
                <w:lang w:val="en-US" w:eastAsia="zh-CN"/>
              </w:rPr>
              <w:t>等</w:t>
            </w:r>
          </w:p>
        </w:tc>
        <w:tc>
          <w:tcPr>
            <w:tcW w:w="1613" w:type="dxa"/>
            <w:vAlign w:val="center"/>
          </w:tcPr>
          <w:p w14:paraId="7CFC2D12">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蒸汽</w:t>
            </w:r>
          </w:p>
        </w:tc>
        <w:tc>
          <w:tcPr>
            <w:tcW w:w="1590" w:type="dxa"/>
            <w:vAlign w:val="center"/>
          </w:tcPr>
          <w:p w14:paraId="667A810C">
            <w:pPr>
              <w:widowControl w:val="0"/>
              <w:adjustRightInd/>
              <w:spacing w:after="0" w:line="240" w:lineRule="auto"/>
              <w:ind w:firstLine="210"/>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电力</w:t>
            </w:r>
          </w:p>
        </w:tc>
      </w:tr>
      <w:tr w14:paraId="0E0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6BAC4AF5">
            <w:pPr>
              <w:widowControl w:val="0"/>
              <w:adjustRightInd/>
              <w:spacing w:after="0" w:line="240" w:lineRule="auto"/>
              <w:jc w:val="center"/>
              <w:rPr>
                <w:rFonts w:hint="eastAsia" w:ascii="宋体" w:hAnsi="宋体" w:eastAsia="宋体" w:cs="宋体"/>
                <w:color w:val="auto"/>
                <w:kern w:val="2"/>
                <w:sz w:val="18"/>
                <w:szCs w:val="18"/>
              </w:rPr>
            </w:pPr>
          </w:p>
        </w:tc>
        <w:tc>
          <w:tcPr>
            <w:tcW w:w="1364" w:type="dxa"/>
            <w:vAlign w:val="center"/>
          </w:tcPr>
          <w:p w14:paraId="23847ECF">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冷轧或拉伸</w:t>
            </w:r>
          </w:p>
        </w:tc>
        <w:tc>
          <w:tcPr>
            <w:tcW w:w="2762" w:type="dxa"/>
            <w:vAlign w:val="center"/>
          </w:tcPr>
          <w:p w14:paraId="56808D15">
            <w:pPr>
              <w:widowControl w:val="0"/>
              <w:adjustRightInd/>
              <w:spacing w:after="0" w:line="240" w:lineRule="auto"/>
              <w:jc w:val="center"/>
              <w:rPr>
                <w:rFonts w:hint="eastAsia" w:ascii="宋体" w:hAnsi="宋体" w:eastAsia="宋体" w:cs="宋体"/>
                <w:color w:val="auto"/>
                <w:kern w:val="2"/>
                <w:sz w:val="18"/>
                <w:szCs w:val="18"/>
              </w:rPr>
            </w:pPr>
          </w:p>
        </w:tc>
        <w:tc>
          <w:tcPr>
            <w:tcW w:w="1613" w:type="dxa"/>
            <w:vAlign w:val="center"/>
          </w:tcPr>
          <w:p w14:paraId="17BC8B5B">
            <w:pPr>
              <w:widowControl w:val="0"/>
              <w:adjustRightInd/>
              <w:spacing w:after="0" w:line="240" w:lineRule="auto"/>
              <w:ind w:firstLine="210"/>
              <w:jc w:val="center"/>
              <w:rPr>
                <w:rFonts w:hint="eastAsia" w:ascii="宋体" w:hAnsi="宋体" w:eastAsia="宋体" w:cs="宋体"/>
                <w:color w:val="auto"/>
                <w:kern w:val="2"/>
                <w:sz w:val="18"/>
                <w:szCs w:val="18"/>
              </w:rPr>
            </w:pPr>
          </w:p>
        </w:tc>
        <w:tc>
          <w:tcPr>
            <w:tcW w:w="1590" w:type="dxa"/>
            <w:vAlign w:val="center"/>
          </w:tcPr>
          <w:p w14:paraId="38006229">
            <w:pPr>
              <w:widowControl w:val="0"/>
              <w:adjustRightInd/>
              <w:spacing w:after="0" w:line="240" w:lineRule="auto"/>
              <w:ind w:firstLine="210"/>
              <w:jc w:val="center"/>
              <w:rPr>
                <w:rFonts w:hint="eastAsia" w:ascii="宋体" w:hAnsi="宋体" w:eastAsia="宋体" w:cs="宋体"/>
                <w:color w:val="auto"/>
                <w:kern w:val="2"/>
                <w:sz w:val="18"/>
                <w:szCs w:val="18"/>
              </w:rPr>
            </w:pPr>
          </w:p>
        </w:tc>
      </w:tr>
      <w:tr w14:paraId="0283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638C06EC">
            <w:pPr>
              <w:widowControl w:val="0"/>
              <w:adjustRightInd/>
              <w:spacing w:after="0" w:line="240" w:lineRule="auto"/>
              <w:jc w:val="center"/>
              <w:rPr>
                <w:rFonts w:hint="eastAsia" w:ascii="宋体" w:hAnsi="宋体" w:eastAsia="宋体" w:cs="宋体"/>
                <w:color w:val="auto"/>
                <w:kern w:val="2"/>
                <w:sz w:val="18"/>
                <w:szCs w:val="18"/>
              </w:rPr>
            </w:pPr>
          </w:p>
        </w:tc>
        <w:tc>
          <w:tcPr>
            <w:tcW w:w="1364" w:type="dxa"/>
            <w:shd w:val="clear" w:color="auto" w:fill="auto"/>
            <w:vAlign w:val="center"/>
          </w:tcPr>
          <w:p w14:paraId="0887BE5D">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热处理</w:t>
            </w:r>
          </w:p>
        </w:tc>
        <w:tc>
          <w:tcPr>
            <w:tcW w:w="2762" w:type="dxa"/>
            <w:shd w:val="clear" w:color="auto" w:fill="auto"/>
            <w:vAlign w:val="center"/>
          </w:tcPr>
          <w:p w14:paraId="31FC3F38">
            <w:pPr>
              <w:widowControl w:val="0"/>
              <w:adjustRightInd/>
              <w:spacing w:after="0"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rPr>
              <w:t>天然气</w:t>
            </w:r>
          </w:p>
        </w:tc>
        <w:tc>
          <w:tcPr>
            <w:tcW w:w="1613" w:type="dxa"/>
            <w:shd w:val="clear" w:color="auto" w:fill="auto"/>
            <w:vAlign w:val="center"/>
          </w:tcPr>
          <w:p w14:paraId="7AE16CB6">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蒸汽</w:t>
            </w:r>
          </w:p>
        </w:tc>
        <w:tc>
          <w:tcPr>
            <w:tcW w:w="1590" w:type="dxa"/>
            <w:shd w:val="clear" w:color="auto" w:fill="auto"/>
            <w:vAlign w:val="center"/>
          </w:tcPr>
          <w:p w14:paraId="67B9A414">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电力</w:t>
            </w:r>
          </w:p>
        </w:tc>
      </w:tr>
      <w:tr w14:paraId="4669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307ACF99">
            <w:pPr>
              <w:widowControl w:val="0"/>
              <w:adjustRightInd/>
              <w:spacing w:after="0" w:line="240" w:lineRule="auto"/>
              <w:jc w:val="center"/>
              <w:rPr>
                <w:rFonts w:hint="eastAsia" w:ascii="宋体" w:hAnsi="宋体" w:eastAsia="宋体" w:cs="宋体"/>
                <w:color w:val="auto"/>
                <w:kern w:val="2"/>
                <w:sz w:val="18"/>
                <w:szCs w:val="18"/>
              </w:rPr>
            </w:pPr>
          </w:p>
        </w:tc>
        <w:tc>
          <w:tcPr>
            <w:tcW w:w="1364" w:type="dxa"/>
            <w:shd w:val="clear" w:color="auto" w:fill="auto"/>
            <w:vAlign w:val="center"/>
          </w:tcPr>
          <w:p w14:paraId="11FB4648">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精整</w:t>
            </w:r>
          </w:p>
        </w:tc>
        <w:tc>
          <w:tcPr>
            <w:tcW w:w="2762" w:type="dxa"/>
            <w:shd w:val="clear" w:color="auto" w:fill="auto"/>
            <w:vAlign w:val="center"/>
          </w:tcPr>
          <w:p w14:paraId="71F66E04">
            <w:pPr>
              <w:widowControl w:val="0"/>
              <w:adjustRightInd/>
              <w:spacing w:after="0" w:line="240" w:lineRule="auto"/>
              <w:jc w:val="center"/>
              <w:rPr>
                <w:rFonts w:hint="eastAsia" w:ascii="宋体" w:hAnsi="宋体" w:eastAsia="宋体" w:cs="宋体"/>
                <w:color w:val="auto"/>
                <w:kern w:val="2"/>
                <w:sz w:val="18"/>
                <w:szCs w:val="18"/>
                <w:lang w:val="en-US" w:eastAsia="zh-CN" w:bidi="ar-SA"/>
              </w:rPr>
            </w:pPr>
          </w:p>
        </w:tc>
        <w:tc>
          <w:tcPr>
            <w:tcW w:w="1613" w:type="dxa"/>
            <w:shd w:val="clear" w:color="auto" w:fill="auto"/>
            <w:vAlign w:val="center"/>
          </w:tcPr>
          <w:p w14:paraId="084A7A5D">
            <w:pPr>
              <w:widowControl w:val="0"/>
              <w:adjustRightInd/>
              <w:spacing w:after="0" w:line="240" w:lineRule="auto"/>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蒸汽</w:t>
            </w:r>
            <w:r>
              <w:rPr>
                <w:rFonts w:hint="eastAsia" w:ascii="宋体" w:hAnsi="宋体" w:eastAsia="宋体" w:cs="宋体"/>
                <w:color w:val="auto"/>
                <w:kern w:val="2"/>
                <w:sz w:val="18"/>
                <w:szCs w:val="18"/>
                <w:lang w:eastAsia="zh-CN"/>
              </w:rPr>
              <w:t>、</w:t>
            </w:r>
            <w:r>
              <w:rPr>
                <w:rFonts w:hint="eastAsia" w:ascii="宋体" w:hAnsi="宋体" w:eastAsia="宋体" w:cs="宋体"/>
                <w:color w:val="auto"/>
                <w:kern w:val="2"/>
                <w:sz w:val="18"/>
                <w:szCs w:val="18"/>
                <w:lang w:val="en-US" w:eastAsia="zh-CN"/>
              </w:rPr>
              <w:t>热水</w:t>
            </w:r>
          </w:p>
        </w:tc>
        <w:tc>
          <w:tcPr>
            <w:tcW w:w="1590" w:type="dxa"/>
            <w:shd w:val="clear" w:color="auto" w:fill="auto"/>
            <w:vAlign w:val="center"/>
          </w:tcPr>
          <w:p w14:paraId="271B800D">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电力</w:t>
            </w:r>
          </w:p>
        </w:tc>
      </w:tr>
      <w:tr w14:paraId="31CB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vAlign w:val="center"/>
          </w:tcPr>
          <w:p w14:paraId="5AF6833D">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rPr>
              <w:t>铜棒线加工工艺</w:t>
            </w:r>
          </w:p>
        </w:tc>
        <w:tc>
          <w:tcPr>
            <w:tcW w:w="1364" w:type="dxa"/>
            <w:vAlign w:val="center"/>
          </w:tcPr>
          <w:p w14:paraId="7EDEFE76">
            <w:pPr>
              <w:widowControl w:val="0"/>
              <w:adjustRightInd/>
              <w:spacing w:after="0" w:line="240" w:lineRule="auto"/>
              <w:jc w:val="center"/>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rPr>
              <w:t>熔铸</w:t>
            </w:r>
          </w:p>
        </w:tc>
        <w:tc>
          <w:tcPr>
            <w:tcW w:w="2762" w:type="dxa"/>
            <w:shd w:val="clear" w:color="auto" w:fill="auto"/>
            <w:vAlign w:val="center"/>
          </w:tcPr>
          <w:p w14:paraId="1365833C">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重油、柴油、天然气、煤、煤气</w:t>
            </w:r>
            <w:r>
              <w:rPr>
                <w:rFonts w:hint="eastAsia" w:ascii="宋体" w:hAnsi="宋体" w:eastAsia="宋体" w:cs="宋体"/>
                <w:color w:val="auto"/>
                <w:kern w:val="2"/>
                <w:sz w:val="18"/>
                <w:szCs w:val="18"/>
                <w:lang w:eastAsia="zh-CN"/>
              </w:rPr>
              <w:t>、</w:t>
            </w:r>
            <w:r>
              <w:rPr>
                <w:rFonts w:hint="eastAsia" w:ascii="宋体" w:hAnsi="宋体" w:eastAsia="宋体" w:cs="宋体"/>
                <w:color w:val="auto"/>
                <w:kern w:val="2"/>
                <w:sz w:val="18"/>
                <w:szCs w:val="18"/>
                <w:lang w:val="en-US" w:eastAsia="zh-CN"/>
              </w:rPr>
              <w:t>木炭</w:t>
            </w:r>
          </w:p>
        </w:tc>
        <w:tc>
          <w:tcPr>
            <w:tcW w:w="1613" w:type="dxa"/>
            <w:shd w:val="clear" w:color="auto" w:fill="auto"/>
            <w:vAlign w:val="center"/>
          </w:tcPr>
          <w:p w14:paraId="7748569E">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蒸汽</w:t>
            </w:r>
          </w:p>
        </w:tc>
        <w:tc>
          <w:tcPr>
            <w:tcW w:w="1590" w:type="dxa"/>
            <w:shd w:val="clear" w:color="auto" w:fill="auto"/>
            <w:vAlign w:val="center"/>
          </w:tcPr>
          <w:p w14:paraId="00993A0D">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电力</w:t>
            </w:r>
          </w:p>
        </w:tc>
      </w:tr>
      <w:tr w14:paraId="1033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vAlign w:val="center"/>
          </w:tcPr>
          <w:p w14:paraId="63F3A05B">
            <w:pPr>
              <w:widowControl w:val="0"/>
              <w:adjustRightInd/>
              <w:spacing w:after="0" w:line="240" w:lineRule="auto"/>
              <w:jc w:val="center"/>
              <w:rPr>
                <w:rFonts w:hint="eastAsia" w:ascii="宋体" w:hAnsi="宋体" w:eastAsia="宋体" w:cs="宋体"/>
                <w:color w:val="auto"/>
                <w:kern w:val="2"/>
                <w:sz w:val="18"/>
                <w:szCs w:val="18"/>
                <w:lang w:val="en-US" w:eastAsia="zh-CN"/>
              </w:rPr>
            </w:pPr>
          </w:p>
        </w:tc>
        <w:tc>
          <w:tcPr>
            <w:tcW w:w="1364" w:type="dxa"/>
            <w:vAlign w:val="center"/>
          </w:tcPr>
          <w:p w14:paraId="05FA9BC1">
            <w:pPr>
              <w:widowControl w:val="0"/>
              <w:adjustRightInd/>
              <w:spacing w:after="0" w:line="240" w:lineRule="auto"/>
              <w:jc w:val="center"/>
              <w:rPr>
                <w:rFonts w:hint="eastAsia" w:ascii="宋体" w:hAnsi="宋体" w:eastAsia="宋体" w:cs="宋体"/>
                <w:color w:val="auto"/>
                <w:kern w:val="2"/>
                <w:sz w:val="18"/>
                <w:szCs w:val="18"/>
                <w:lang w:val="en-US"/>
              </w:rPr>
            </w:pPr>
            <w:r>
              <w:rPr>
                <w:rFonts w:hint="eastAsia" w:ascii="宋体" w:hAnsi="宋体" w:eastAsia="宋体" w:cs="宋体"/>
                <w:color w:val="auto"/>
                <w:kern w:val="2"/>
                <w:sz w:val="18"/>
                <w:szCs w:val="18"/>
                <w:lang w:val="en-US" w:eastAsia="zh-CN"/>
              </w:rPr>
              <w:t>热挤压、热轧或连续挤压</w:t>
            </w:r>
          </w:p>
        </w:tc>
        <w:tc>
          <w:tcPr>
            <w:tcW w:w="2762" w:type="dxa"/>
            <w:shd w:val="clear" w:color="auto" w:fill="auto"/>
            <w:vAlign w:val="center"/>
          </w:tcPr>
          <w:p w14:paraId="48AE3583">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柴油、</w:t>
            </w:r>
            <w:r>
              <w:rPr>
                <w:rFonts w:hint="eastAsia" w:ascii="宋体" w:hAnsi="宋体" w:eastAsia="宋体" w:cs="宋体"/>
                <w:color w:val="auto"/>
                <w:kern w:val="2"/>
                <w:sz w:val="18"/>
                <w:szCs w:val="18"/>
                <w:lang w:val="en-US" w:eastAsia="zh-CN"/>
              </w:rPr>
              <w:t>汽油、柴油、煤油、</w:t>
            </w:r>
            <w:r>
              <w:rPr>
                <w:rFonts w:hint="eastAsia" w:ascii="宋体" w:hAnsi="宋体" w:eastAsia="宋体" w:cs="宋体"/>
                <w:color w:val="auto"/>
                <w:kern w:val="2"/>
                <w:sz w:val="18"/>
                <w:szCs w:val="18"/>
              </w:rPr>
              <w:t>天然气、煤、煤气</w:t>
            </w:r>
            <w:r>
              <w:rPr>
                <w:rFonts w:hint="eastAsia" w:ascii="宋体" w:hAnsi="宋体" w:eastAsia="宋体" w:cs="宋体"/>
                <w:color w:val="auto"/>
                <w:kern w:val="2"/>
                <w:sz w:val="18"/>
                <w:szCs w:val="18"/>
                <w:lang w:val="en-US" w:eastAsia="zh-CN"/>
              </w:rPr>
              <w:t>等</w:t>
            </w:r>
          </w:p>
        </w:tc>
        <w:tc>
          <w:tcPr>
            <w:tcW w:w="1613" w:type="dxa"/>
            <w:shd w:val="clear" w:color="auto" w:fill="auto"/>
            <w:vAlign w:val="center"/>
          </w:tcPr>
          <w:p w14:paraId="1D90EF66">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蒸汽</w:t>
            </w:r>
          </w:p>
        </w:tc>
        <w:tc>
          <w:tcPr>
            <w:tcW w:w="1590" w:type="dxa"/>
            <w:shd w:val="clear" w:color="auto" w:fill="auto"/>
            <w:vAlign w:val="center"/>
          </w:tcPr>
          <w:p w14:paraId="19519D51">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电力</w:t>
            </w:r>
          </w:p>
        </w:tc>
      </w:tr>
      <w:tr w14:paraId="1B8C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594A3667">
            <w:pPr>
              <w:widowControl w:val="0"/>
              <w:adjustRightInd/>
              <w:spacing w:after="0" w:line="240" w:lineRule="auto"/>
              <w:jc w:val="center"/>
              <w:rPr>
                <w:rFonts w:hint="eastAsia" w:ascii="宋体" w:hAnsi="宋体" w:eastAsia="宋体" w:cs="宋体"/>
                <w:color w:val="auto"/>
                <w:kern w:val="2"/>
                <w:sz w:val="18"/>
                <w:szCs w:val="18"/>
                <w:lang w:val="en-US" w:eastAsia="zh-CN"/>
              </w:rPr>
            </w:pPr>
          </w:p>
        </w:tc>
        <w:tc>
          <w:tcPr>
            <w:tcW w:w="1364" w:type="dxa"/>
            <w:shd w:val="clear" w:color="auto" w:fill="auto"/>
            <w:vAlign w:val="center"/>
          </w:tcPr>
          <w:p w14:paraId="621C5415">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冷轧或拉伸</w:t>
            </w:r>
          </w:p>
        </w:tc>
        <w:tc>
          <w:tcPr>
            <w:tcW w:w="2762" w:type="dxa"/>
            <w:vAlign w:val="center"/>
          </w:tcPr>
          <w:p w14:paraId="27593972">
            <w:pPr>
              <w:widowControl w:val="0"/>
              <w:adjustRightInd/>
              <w:spacing w:after="0" w:line="240" w:lineRule="auto"/>
              <w:jc w:val="center"/>
              <w:rPr>
                <w:rFonts w:hint="eastAsia" w:ascii="宋体" w:hAnsi="宋体" w:eastAsia="宋体" w:cs="宋体"/>
                <w:color w:val="auto"/>
                <w:kern w:val="2"/>
                <w:sz w:val="18"/>
                <w:szCs w:val="18"/>
              </w:rPr>
            </w:pPr>
          </w:p>
        </w:tc>
        <w:tc>
          <w:tcPr>
            <w:tcW w:w="1613" w:type="dxa"/>
            <w:vAlign w:val="center"/>
          </w:tcPr>
          <w:p w14:paraId="3D4701AE">
            <w:pPr>
              <w:widowControl w:val="0"/>
              <w:adjustRightInd/>
              <w:spacing w:after="0" w:line="240" w:lineRule="auto"/>
              <w:ind w:firstLine="210"/>
              <w:jc w:val="center"/>
              <w:rPr>
                <w:rFonts w:hint="eastAsia" w:ascii="宋体" w:hAnsi="宋体" w:eastAsia="宋体" w:cs="宋体"/>
                <w:color w:val="auto"/>
                <w:kern w:val="2"/>
                <w:sz w:val="18"/>
                <w:szCs w:val="18"/>
              </w:rPr>
            </w:pPr>
          </w:p>
        </w:tc>
        <w:tc>
          <w:tcPr>
            <w:tcW w:w="1590" w:type="dxa"/>
            <w:vAlign w:val="center"/>
          </w:tcPr>
          <w:p w14:paraId="3BDB12F4">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电力</w:t>
            </w:r>
          </w:p>
        </w:tc>
      </w:tr>
      <w:tr w14:paraId="4F5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34499CE7">
            <w:pPr>
              <w:widowControl w:val="0"/>
              <w:adjustRightInd/>
              <w:spacing w:after="0" w:line="240" w:lineRule="auto"/>
              <w:jc w:val="center"/>
              <w:rPr>
                <w:rFonts w:hint="eastAsia" w:ascii="宋体" w:hAnsi="宋体" w:eastAsia="宋体" w:cs="宋体"/>
                <w:color w:val="auto"/>
                <w:kern w:val="2"/>
                <w:sz w:val="18"/>
                <w:szCs w:val="18"/>
                <w:lang w:val="en-US" w:eastAsia="zh-CN"/>
              </w:rPr>
            </w:pPr>
          </w:p>
        </w:tc>
        <w:tc>
          <w:tcPr>
            <w:tcW w:w="1364" w:type="dxa"/>
            <w:shd w:val="clear" w:color="auto" w:fill="auto"/>
            <w:vAlign w:val="center"/>
          </w:tcPr>
          <w:p w14:paraId="345DBF73">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热处理</w:t>
            </w:r>
          </w:p>
        </w:tc>
        <w:tc>
          <w:tcPr>
            <w:tcW w:w="2762" w:type="dxa"/>
            <w:shd w:val="clear" w:color="auto" w:fill="auto"/>
            <w:vAlign w:val="center"/>
          </w:tcPr>
          <w:p w14:paraId="4E6A9571">
            <w:pPr>
              <w:widowControl w:val="0"/>
              <w:adjustRightInd/>
              <w:spacing w:after="0"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rPr>
              <w:t>天然气</w:t>
            </w:r>
          </w:p>
        </w:tc>
        <w:tc>
          <w:tcPr>
            <w:tcW w:w="1613" w:type="dxa"/>
            <w:shd w:val="clear" w:color="auto" w:fill="auto"/>
            <w:vAlign w:val="center"/>
          </w:tcPr>
          <w:p w14:paraId="1981C60C">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蒸汽</w:t>
            </w:r>
          </w:p>
        </w:tc>
        <w:tc>
          <w:tcPr>
            <w:tcW w:w="1590" w:type="dxa"/>
            <w:shd w:val="clear" w:color="auto" w:fill="auto"/>
            <w:vAlign w:val="center"/>
          </w:tcPr>
          <w:p w14:paraId="6E5D2FC2">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rPr>
              <w:t>电力</w:t>
            </w:r>
          </w:p>
        </w:tc>
      </w:tr>
      <w:tr w14:paraId="1973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7" w:type="dxa"/>
            <w:vMerge w:val="continue"/>
            <w:vAlign w:val="center"/>
          </w:tcPr>
          <w:p w14:paraId="65336713">
            <w:pPr>
              <w:widowControl w:val="0"/>
              <w:adjustRightInd/>
              <w:spacing w:after="0" w:line="240" w:lineRule="auto"/>
              <w:jc w:val="center"/>
              <w:rPr>
                <w:rFonts w:hint="eastAsia" w:ascii="宋体" w:hAnsi="宋体" w:eastAsia="宋体" w:cs="宋体"/>
                <w:color w:val="auto"/>
                <w:kern w:val="2"/>
                <w:sz w:val="18"/>
                <w:szCs w:val="18"/>
                <w:lang w:val="en-US" w:eastAsia="zh-CN"/>
              </w:rPr>
            </w:pPr>
          </w:p>
        </w:tc>
        <w:tc>
          <w:tcPr>
            <w:tcW w:w="1364" w:type="dxa"/>
            <w:shd w:val="clear" w:color="auto" w:fill="auto"/>
            <w:vAlign w:val="center"/>
          </w:tcPr>
          <w:p w14:paraId="58436262">
            <w:pPr>
              <w:widowControl w:val="0"/>
              <w:adjustRightInd/>
              <w:spacing w:after="0"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精整</w:t>
            </w:r>
          </w:p>
        </w:tc>
        <w:tc>
          <w:tcPr>
            <w:tcW w:w="2762" w:type="dxa"/>
            <w:vAlign w:val="center"/>
          </w:tcPr>
          <w:p w14:paraId="3EC9DE46">
            <w:pPr>
              <w:widowControl w:val="0"/>
              <w:adjustRightInd/>
              <w:spacing w:after="0" w:line="240" w:lineRule="auto"/>
              <w:jc w:val="center"/>
              <w:rPr>
                <w:rFonts w:hint="eastAsia" w:ascii="宋体" w:hAnsi="宋体" w:eastAsia="宋体" w:cs="宋体"/>
                <w:color w:val="auto"/>
                <w:kern w:val="2"/>
                <w:sz w:val="18"/>
                <w:szCs w:val="18"/>
              </w:rPr>
            </w:pPr>
          </w:p>
        </w:tc>
        <w:tc>
          <w:tcPr>
            <w:tcW w:w="1613" w:type="dxa"/>
            <w:vAlign w:val="center"/>
          </w:tcPr>
          <w:p w14:paraId="7CF55127">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rPr>
              <w:t>蒸汽</w:t>
            </w:r>
            <w:r>
              <w:rPr>
                <w:rFonts w:hint="eastAsia" w:ascii="宋体" w:hAnsi="宋体" w:eastAsia="宋体" w:cs="宋体"/>
                <w:color w:val="auto"/>
                <w:kern w:val="2"/>
                <w:sz w:val="18"/>
                <w:szCs w:val="18"/>
                <w:lang w:eastAsia="zh-CN"/>
              </w:rPr>
              <w:t>、</w:t>
            </w:r>
            <w:r>
              <w:rPr>
                <w:rFonts w:hint="eastAsia" w:ascii="宋体" w:hAnsi="宋体" w:eastAsia="宋体" w:cs="宋体"/>
                <w:color w:val="auto"/>
                <w:kern w:val="2"/>
                <w:sz w:val="18"/>
                <w:szCs w:val="18"/>
                <w:lang w:val="en-US" w:eastAsia="zh-CN"/>
              </w:rPr>
              <w:t>热水</w:t>
            </w:r>
          </w:p>
        </w:tc>
        <w:tc>
          <w:tcPr>
            <w:tcW w:w="1590" w:type="dxa"/>
            <w:vAlign w:val="center"/>
          </w:tcPr>
          <w:p w14:paraId="077F35F6">
            <w:pPr>
              <w:widowControl w:val="0"/>
              <w:adjustRightInd/>
              <w:spacing w:after="0" w:line="24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电力</w:t>
            </w:r>
          </w:p>
        </w:tc>
      </w:tr>
    </w:tbl>
    <w:p w14:paraId="728D0525">
      <w:pPr>
        <w:keepNext w:val="0"/>
        <w:keepLines w:val="0"/>
        <w:pageBreakBefore w:val="0"/>
        <w:widowControl w:val="0"/>
        <w:kinsoku/>
        <w:wordWrap/>
        <w:overflowPunct/>
        <w:topLinePunct w:val="0"/>
        <w:autoSpaceDE/>
        <w:autoSpaceDN/>
        <w:bidi w:val="0"/>
        <w:adjustRightInd w:val="0"/>
        <w:snapToGrid w:val="0"/>
        <w:spacing w:before="361" w:beforeLines="100" w:afterLines="50" w:line="360" w:lineRule="auto"/>
        <w:textAlignment w:val="auto"/>
        <w:outlineLvl w:val="3"/>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.2企业温室气体核算方法</w:t>
      </w:r>
    </w:p>
    <w:p w14:paraId="50BA9F63">
      <w:pPr>
        <w:pStyle w:val="25"/>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总量计算</w:t>
      </w:r>
    </w:p>
    <w:p w14:paraId="35C2A57D">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企业温室气体排放总量按核算边界内所有</w:t>
      </w:r>
      <w:r>
        <w:rPr>
          <w:rFonts w:hint="eastAsia" w:ascii="宋体" w:hAnsi="宋体" w:eastAsia="宋体" w:cs="宋体"/>
          <w:color w:val="auto"/>
          <w:sz w:val="21"/>
          <w:szCs w:val="21"/>
          <w:lang w:val="en-US" w:eastAsia="zh-CN"/>
        </w:rPr>
        <w:t>化石</w:t>
      </w:r>
      <w:r>
        <w:rPr>
          <w:rFonts w:hint="eastAsia" w:ascii="宋体" w:hAnsi="宋体" w:eastAsia="宋体" w:cs="宋体"/>
          <w:color w:val="auto"/>
          <w:sz w:val="21"/>
          <w:szCs w:val="21"/>
        </w:rPr>
        <w:t>燃料燃烧量、</w:t>
      </w:r>
      <w:r>
        <w:rPr>
          <w:rFonts w:hint="eastAsia" w:ascii="宋体" w:hAnsi="宋体" w:eastAsia="宋体" w:cs="宋体"/>
          <w:color w:val="auto"/>
          <w:sz w:val="21"/>
          <w:szCs w:val="21"/>
          <w:lang w:val="en-US" w:eastAsia="zh-CN"/>
        </w:rPr>
        <w:t>过程排放</w:t>
      </w:r>
      <w:r>
        <w:rPr>
          <w:rFonts w:hint="eastAsia" w:ascii="宋体" w:hAnsi="宋体" w:eastAsia="宋体" w:cs="宋体"/>
          <w:color w:val="auto"/>
          <w:sz w:val="21"/>
          <w:szCs w:val="21"/>
        </w:rPr>
        <w:t>及企业购入的电力和热力所对应的</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排放量之和，同时扣除输出的电力和热力所对应的</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排放量计算。</w:t>
      </w:r>
    </w:p>
    <w:p w14:paraId="31C6B64F">
      <w:pPr>
        <w:pStyle w:val="25"/>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化石</w:t>
      </w:r>
      <w:r>
        <w:rPr>
          <w:rFonts w:hint="eastAsia" w:ascii="宋体" w:hAnsi="宋体" w:eastAsia="宋体" w:cs="宋体"/>
          <w:color w:val="auto"/>
          <w:sz w:val="21"/>
          <w:szCs w:val="21"/>
        </w:rPr>
        <w:t>燃料燃烧排放</w:t>
      </w:r>
    </w:p>
    <w:p w14:paraId="3D7912CC">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outlineLvl w:val="2"/>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 xml:space="preserve">（1）化石燃料燃烧导致的温室气体排放量是铜加工企业核算和报告年度内各种化石燃料燃烧产生的温室气体排放量的总和。其中，对于生物质混合燃料燃烧产生的温室气体排放，仅核算混合燃料中化石燃料（如燃煤）的温室气体排放。 </w:t>
      </w:r>
    </w:p>
    <w:p w14:paraId="392D1C46">
      <w:pPr>
        <w:pStyle w:val="25"/>
        <w:widowControl w:val="0"/>
        <w:spacing w:after="0"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（2）化石燃料消耗量是指各燃烧设备分品种化石燃料实际消耗量。企业应保留化石燃料实际消耗量的原始数据记录或在企业能源消费台账或统计报表中有所体现。</w:t>
      </w:r>
    </w:p>
    <w:p w14:paraId="168789E0">
      <w:pPr>
        <w:pStyle w:val="25"/>
        <w:widowControl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铜</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企业所涉及的燃料燃烧排放是指重油、柴油、天然气、煤、煤气、</w:t>
      </w:r>
      <w:r>
        <w:rPr>
          <w:rFonts w:hint="eastAsia" w:ascii="宋体" w:hAnsi="宋体" w:eastAsia="宋体" w:cs="宋体"/>
          <w:color w:val="auto"/>
          <w:sz w:val="21"/>
          <w:szCs w:val="21"/>
          <w:lang w:val="en-US" w:eastAsia="zh-CN"/>
        </w:rPr>
        <w:t>木炭、氢气、氮气</w:t>
      </w:r>
      <w:r>
        <w:rPr>
          <w:rFonts w:hint="eastAsia" w:ascii="宋体" w:hAnsi="宋体" w:eastAsia="宋体" w:cs="宋体"/>
          <w:color w:val="auto"/>
          <w:sz w:val="21"/>
          <w:szCs w:val="21"/>
        </w:rPr>
        <w:t>等化石燃料在各种类型的固定或移动的燃烧设备（如</w:t>
      </w:r>
      <w:r>
        <w:rPr>
          <w:rFonts w:hint="eastAsia" w:ascii="宋体" w:hAnsi="宋体" w:eastAsia="宋体" w:cs="宋体"/>
          <w:color w:val="auto"/>
          <w:sz w:val="21"/>
          <w:szCs w:val="21"/>
          <w:lang w:val="en-US" w:eastAsia="zh-CN"/>
        </w:rPr>
        <w:t>熔铸</w:t>
      </w:r>
      <w:r>
        <w:rPr>
          <w:rFonts w:hint="eastAsia" w:ascii="宋体" w:hAnsi="宋体" w:eastAsia="宋体" w:cs="宋体"/>
          <w:color w:val="auto"/>
          <w:sz w:val="21"/>
          <w:szCs w:val="21"/>
        </w:rPr>
        <w:t>炉</w:t>
      </w:r>
      <w:r>
        <w:rPr>
          <w:rFonts w:hint="eastAsia" w:ascii="宋体" w:hAnsi="宋体" w:eastAsia="宋体" w:cs="宋体"/>
          <w:color w:val="auto"/>
          <w:sz w:val="21"/>
          <w:szCs w:val="21"/>
          <w:lang w:val="en-US" w:eastAsia="zh-CN"/>
        </w:rPr>
        <w:t>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热轧和热挤压</w:t>
      </w:r>
      <w:r>
        <w:rPr>
          <w:rFonts w:hint="eastAsia" w:ascii="宋体" w:hAnsi="宋体" w:eastAsia="宋体" w:cs="宋体"/>
          <w:color w:val="auto"/>
          <w:sz w:val="21"/>
          <w:szCs w:val="21"/>
        </w:rPr>
        <w:t>等）中与氧气发生氧化过程产生的</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。对于企业外购的化石燃料，只计算这些化石燃料在本企业燃烧所产生的温室气体排放，生产这些化石燃料的过程中（如天然气液化、煤制品加工等）产生的温室气体排放不纳入核算范围。</w:t>
      </w:r>
    </w:p>
    <w:p w14:paraId="0147F145">
      <w:pPr>
        <w:pStyle w:val="25"/>
        <w:widowControl w:val="0"/>
        <w:spacing w:after="0"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低位发热量、单位热值含碳量等参数，企业可实测，也可委托专业机构进行检测；也可采用与相关方结算凭证中提供的实测值，或采用本文件提供的化石燃料平均低位发热量、单位热值含碳量缺省值，见附录C。附录C给出了常用化石燃料相关参数的缺省值。建议相关参数的获取优先采用该化石燃料的实测值，其次采用数据的相关参数缺省值。</w:t>
      </w:r>
    </w:p>
    <w:p w14:paraId="40AB1719">
      <w:pPr>
        <w:pStyle w:val="25"/>
        <w:widowControl w:val="0"/>
        <w:spacing w:after="0"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（4）碳氧化率可参见附录C提供的化石燃料碳氧化率的缺省值。</w:t>
      </w:r>
    </w:p>
    <w:p w14:paraId="11E20B1C">
      <w:pPr>
        <w:pStyle w:val="25"/>
        <w:widowControl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（5）文件中的气体标准状况是大气压力为101.325 kPa，温度为273.15 K（0℃）。</w:t>
      </w:r>
    </w:p>
    <w:p w14:paraId="27F8AC23">
      <w:pPr>
        <w:pStyle w:val="25"/>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过程排放</w:t>
      </w:r>
    </w:p>
    <w:p w14:paraId="652E0219">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企业涉及的过程排放主要是铜及铜合金熔炼铸造生产过程中，</w:t>
      </w:r>
      <w:r>
        <w:rPr>
          <w:rFonts w:hint="eastAsia" w:ascii="宋体" w:hAnsi="宋体" w:eastAsia="宋体" w:cs="宋体"/>
          <w:color w:val="auto"/>
          <w:kern w:val="0"/>
          <w:sz w:val="21"/>
          <w:szCs w:val="21"/>
          <w:lang w:val="en-US" w:eastAsia="zh-CN" w:bidi="ar"/>
        </w:rPr>
        <w:t>碳质原料（如焦炭、木炭等）作为变质剂和还原剂等使用时，其燃烧、氧化产生的二氧化碳排放，以及作为变质剂使用的碳酸盐（如碳酸钙）高温分解产生的二氧化碳排放。</w:t>
      </w:r>
    </w:p>
    <w:p w14:paraId="2A0EF62F">
      <w:pPr>
        <w:pStyle w:val="25"/>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购入和输出的电力产生的排放</w:t>
      </w:r>
    </w:p>
    <w:p w14:paraId="0A4D7241">
      <w:pPr>
        <w:pStyle w:val="41"/>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企业购入和输出电量数据应以结算电表为准；如果没有，可采用供应商提供的电费发票或者结算单等结算凭证中的数据。</w:t>
      </w:r>
    </w:p>
    <w:p w14:paraId="468873B8">
      <w:pPr>
        <w:pStyle w:val="41"/>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w:t>
      </w:r>
      <w:r>
        <w:rPr>
          <w:rFonts w:hint="eastAsia" w:ascii="宋体" w:hAnsi="宋体" w:eastAsia="宋体" w:cs="宋体"/>
          <w:color w:val="auto"/>
          <w:sz w:val="21"/>
          <w:szCs w:val="21"/>
          <w:lang w:val="en-US" w:eastAsia="zh-CN"/>
        </w:rPr>
        <w:t>购入</w:t>
      </w:r>
      <w:r>
        <w:rPr>
          <w:rFonts w:hint="eastAsia" w:ascii="宋体" w:hAnsi="宋体" w:eastAsia="宋体" w:cs="宋体"/>
          <w:color w:val="auto"/>
          <w:sz w:val="21"/>
          <w:szCs w:val="21"/>
        </w:rPr>
        <w:t>和输出的电力所产生的二氧化碳排放，</w:t>
      </w:r>
      <w:r>
        <w:rPr>
          <w:rFonts w:hint="eastAsia" w:ascii="宋体" w:hAnsi="宋体" w:eastAsia="宋体" w:cs="宋体"/>
          <w:color w:val="auto"/>
          <w:sz w:val="21"/>
          <w:szCs w:val="21"/>
          <w:lang w:val="en-US" w:eastAsia="zh-CN"/>
        </w:rPr>
        <w:t>采用国家主管部门最近年份公布的全国统一电网年平均</w:t>
      </w:r>
      <w:r>
        <w:rPr>
          <w:rFonts w:hint="default" w:ascii="Times New Roman" w:hAnsi="Times New Roman" w:eastAsia="宋体" w:cs="Times New Roman"/>
          <w:color w:val="auto"/>
          <w:sz w:val="21"/>
          <w:szCs w:val="21"/>
          <w:lang w:val="en-US" w:eastAsia="zh-CN"/>
        </w:rPr>
        <w:t>CO</w:t>
      </w:r>
      <w:r>
        <w:rPr>
          <w:rFonts w:hint="default" w:ascii="Times New Roman" w:hAnsi="Times New Roman" w:eastAsia="宋体" w:cs="Times New Roman"/>
          <w:color w:val="auto"/>
          <w:sz w:val="21"/>
          <w:szCs w:val="21"/>
          <w:vertAlign w:val="subscript"/>
          <w:lang w:val="en-US" w:eastAsia="zh-CN"/>
        </w:rPr>
        <w:t>2</w:t>
      </w:r>
      <w:r>
        <w:rPr>
          <w:rFonts w:hint="eastAsia" w:ascii="宋体" w:hAnsi="宋体" w:eastAsia="宋体" w:cs="宋体"/>
          <w:color w:val="auto"/>
          <w:sz w:val="21"/>
          <w:szCs w:val="21"/>
          <w:lang w:val="en-US" w:eastAsia="zh-CN"/>
        </w:rPr>
        <w:t>排放因子进行计算。使用的绿证电力应单独报告，不进行扣减。</w:t>
      </w:r>
    </w:p>
    <w:p w14:paraId="3F1CEDDA">
      <w:pPr>
        <w:pStyle w:val="25"/>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42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购入和输出的热力产生的排放</w:t>
      </w:r>
    </w:p>
    <w:p w14:paraId="193E9033">
      <w:pPr>
        <w:pStyle w:val="41"/>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企业购入和输出热力数据，应以结算热力表或计量表为准，如果没有，可采用供应商提供的供热量发票或者结算单等结算凭证上的数据。企业</w:t>
      </w:r>
      <w:r>
        <w:rPr>
          <w:rFonts w:hint="eastAsia" w:ascii="宋体" w:hAnsi="宋体" w:eastAsia="宋体" w:cs="宋体"/>
          <w:color w:val="auto"/>
          <w:sz w:val="21"/>
          <w:szCs w:val="21"/>
          <w:lang w:val="en-US" w:eastAsia="zh-CN"/>
        </w:rPr>
        <w:t>购入</w:t>
      </w:r>
      <w:r>
        <w:rPr>
          <w:rFonts w:hint="eastAsia" w:ascii="宋体" w:hAnsi="宋体" w:eastAsia="宋体" w:cs="宋体"/>
          <w:color w:val="auto"/>
          <w:sz w:val="21"/>
          <w:szCs w:val="21"/>
        </w:rPr>
        <w:t>和输出的热力所产生的二氧化碳排放，热力排放因子优先采用供热单位的实测值，也可按推荐值0.11 tC0</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/GJ计算。</w:t>
      </w:r>
    </w:p>
    <w:p w14:paraId="094F5224">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.3各工序温室气体核算方法</w:t>
      </w:r>
    </w:p>
    <w:p w14:paraId="0F8FC559">
      <w:pPr>
        <w:pStyle w:val="2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auto"/>
        <w:ind w:left="420" w:hanging="420" w:firstLineChars="0"/>
        <w:textAlignment w:val="auto"/>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熔铸工序</w:t>
      </w:r>
    </w:p>
    <w:p w14:paraId="0FD94A43">
      <w:pPr>
        <w:pStyle w:val="25"/>
        <w:widowControl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 xml:space="preserve"> 熔铸工序（铜原料—铜坯料）温室气体排放包括</w:t>
      </w:r>
      <w:r>
        <w:rPr>
          <w:rFonts w:hint="eastAsia" w:ascii="宋体" w:hAnsi="宋体" w:eastAsia="宋体" w:cs="宋体"/>
          <w:color w:val="auto"/>
          <w:sz w:val="21"/>
          <w:szCs w:val="21"/>
        </w:rPr>
        <w:t>核算边界内所有</w:t>
      </w:r>
      <w:r>
        <w:rPr>
          <w:rFonts w:hint="eastAsia" w:ascii="宋体" w:hAnsi="宋体" w:eastAsia="宋体" w:cs="宋体"/>
          <w:color w:val="auto"/>
          <w:sz w:val="21"/>
          <w:szCs w:val="21"/>
          <w:lang w:val="en-US" w:eastAsia="zh-CN"/>
        </w:rPr>
        <w:t>燃料燃烧排放、购入电力排放、输出热力排放，所对应产生的</w:t>
      </w:r>
      <w:r>
        <w:rPr>
          <w:rFonts w:hint="eastAsia" w:ascii="宋体" w:hAnsi="宋体" w:eastAsia="宋体" w:cs="宋体"/>
          <w:color w:val="auto"/>
          <w:sz w:val="21"/>
          <w:szCs w:val="21"/>
        </w:rPr>
        <w:t>二氧化碳排放量之和计算。</w:t>
      </w:r>
      <w:r>
        <w:rPr>
          <w:rFonts w:hint="eastAsia" w:ascii="宋体" w:hAnsi="宋体" w:eastAsia="宋体" w:cs="宋体"/>
          <w:color w:val="auto"/>
          <w:kern w:val="0"/>
          <w:sz w:val="21"/>
          <w:szCs w:val="21"/>
          <w:highlight w:val="none"/>
          <w:lang w:val="en-US" w:eastAsia="zh-CN" w:bidi="ar"/>
        </w:rPr>
        <w:t xml:space="preserve"> </w:t>
      </w:r>
    </w:p>
    <w:p w14:paraId="50F1D440">
      <w:pPr>
        <w:pStyle w:val="2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auto"/>
        <w:ind w:left="420" w:hanging="420" w:firstLineChars="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加工工序</w:t>
      </w:r>
    </w:p>
    <w:p w14:paraId="3EE05C9D">
      <w:pPr>
        <w:pStyle w:val="25"/>
        <w:widowControl w:val="0"/>
        <w:spacing w:after="0"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加工工序（铜坯料—铜产品）温室气体包括</w:t>
      </w:r>
      <w:bookmarkStart w:id="11" w:name="OLE_LINK15"/>
      <w:r>
        <w:rPr>
          <w:rFonts w:hint="eastAsia" w:ascii="宋体" w:hAnsi="宋体" w:eastAsia="宋体" w:cs="宋体"/>
          <w:color w:val="auto"/>
          <w:sz w:val="21"/>
          <w:szCs w:val="21"/>
          <w:lang w:val="en-US" w:eastAsia="zh-CN"/>
        </w:rPr>
        <w:t>核算边界内所有购入电力</w:t>
      </w:r>
      <w:bookmarkEnd w:id="11"/>
      <w:r>
        <w:rPr>
          <w:rFonts w:hint="eastAsia" w:ascii="宋体" w:hAnsi="宋体" w:eastAsia="宋体" w:cs="宋体"/>
          <w:color w:val="auto"/>
          <w:sz w:val="21"/>
          <w:szCs w:val="21"/>
          <w:lang w:val="en-US" w:eastAsia="zh-CN"/>
        </w:rPr>
        <w:t xml:space="preserve">排放、购入热力排放，所对应产生的二氧化碳排放量之和计算。如果热加工工序的余热得到利用，热力则是输出排放。 </w:t>
      </w:r>
    </w:p>
    <w:p w14:paraId="50F6ED47">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w:t>
      </w:r>
      <w:r>
        <w:rPr>
          <w:rFonts w:hint="eastAsia" w:ascii="黑体" w:hAnsi="黑体" w:eastAsia="黑体" w:cs="黑体"/>
          <w:b w:val="0"/>
          <w:bCs w:val="0"/>
          <w:color w:val="auto"/>
          <w:sz w:val="21"/>
          <w:szCs w:val="21"/>
          <w:lang w:val="en-US" w:eastAsia="zh-CN"/>
        </w:rPr>
        <w:t>6</w:t>
      </w:r>
      <w:r>
        <w:rPr>
          <w:rFonts w:hint="eastAsia" w:ascii="黑体" w:hAnsi="黑体" w:eastAsia="黑体" w:cs="黑体"/>
          <w:b w:val="0"/>
          <w:bCs w:val="0"/>
          <w:color w:val="auto"/>
          <w:sz w:val="21"/>
          <w:szCs w:val="21"/>
        </w:rPr>
        <w:t>数据质量管理</w:t>
      </w:r>
    </w:p>
    <w:p w14:paraId="724E14BA">
      <w:pPr>
        <w:pStyle w:val="25"/>
        <w:widowControl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报告主题应加强温室气体排放的质量管理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建立企业温室气体排放核算与报告的规章制度，建立健全企业温室气体排放检测计划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立健全温室气体排放和能源消耗台账记录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建立企业温室气体数据记录管理体系</w:t>
      </w:r>
      <w:r>
        <w:rPr>
          <w:rFonts w:hint="eastAsia" w:ascii="宋体" w:hAnsi="宋体" w:eastAsia="宋体" w:cs="宋体"/>
          <w:color w:val="auto"/>
          <w:sz w:val="21"/>
          <w:szCs w:val="21"/>
          <w:lang w:val="en-US" w:eastAsia="zh-CN"/>
        </w:rPr>
        <w:t>等，使企业温室气体排放核算更好的实施，为企业减少碳排放提供助力</w:t>
      </w:r>
      <w:r>
        <w:rPr>
          <w:rFonts w:hint="eastAsia" w:ascii="宋体" w:hAnsi="宋体" w:eastAsia="宋体" w:cs="宋体"/>
          <w:color w:val="auto"/>
          <w:sz w:val="21"/>
          <w:szCs w:val="21"/>
        </w:rPr>
        <w:t>。</w:t>
      </w:r>
    </w:p>
    <w:p w14:paraId="0D7509BF">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w:t>
      </w:r>
      <w:r>
        <w:rPr>
          <w:rFonts w:hint="eastAsia" w:ascii="黑体" w:hAnsi="黑体" w:eastAsia="黑体" w:cs="黑体"/>
          <w:b w:val="0"/>
          <w:bCs w:val="0"/>
          <w:color w:val="auto"/>
          <w:sz w:val="21"/>
          <w:szCs w:val="21"/>
          <w:lang w:val="en-US" w:eastAsia="zh-CN"/>
        </w:rPr>
        <w:t>7</w:t>
      </w:r>
      <w:r>
        <w:rPr>
          <w:rFonts w:hint="eastAsia" w:ascii="黑体" w:hAnsi="黑体" w:eastAsia="黑体" w:cs="黑体"/>
          <w:b w:val="0"/>
          <w:bCs w:val="0"/>
          <w:color w:val="auto"/>
          <w:sz w:val="21"/>
          <w:szCs w:val="21"/>
        </w:rPr>
        <w:t>报告内容和格式</w:t>
      </w:r>
    </w:p>
    <w:p w14:paraId="71DFD12B">
      <w:pPr>
        <w:pStyle w:val="25"/>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报告主体应按照附录</w:t>
      </w: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的格式进行报告。</w:t>
      </w:r>
    </w:p>
    <w:p w14:paraId="4A662F5E">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w:t>
      </w:r>
      <w:r>
        <w:rPr>
          <w:rFonts w:hint="eastAsia" w:ascii="黑体" w:hAnsi="黑体" w:eastAsia="黑体" w:cs="黑体"/>
          <w:b w:val="0"/>
          <w:bCs w:val="0"/>
          <w:color w:val="auto"/>
          <w:sz w:val="21"/>
          <w:szCs w:val="21"/>
          <w:lang w:val="en-US" w:eastAsia="zh-CN"/>
        </w:rPr>
        <w:t>8</w:t>
      </w:r>
      <w:r>
        <w:rPr>
          <w:rFonts w:hint="eastAsia" w:ascii="黑体" w:hAnsi="黑体" w:eastAsia="黑体" w:cs="黑体"/>
          <w:b w:val="0"/>
          <w:bCs w:val="0"/>
          <w:color w:val="auto"/>
          <w:sz w:val="21"/>
          <w:szCs w:val="21"/>
        </w:rPr>
        <w:t>附录</w:t>
      </w:r>
    </w:p>
    <w:p w14:paraId="56599483">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附录B</w:t>
      </w:r>
      <w:r>
        <w:rPr>
          <w:rFonts w:hint="eastAsia" w:ascii="宋体" w:hAnsi="宋体" w:eastAsia="宋体" w:cs="宋体"/>
          <w:color w:val="auto"/>
          <w:sz w:val="21"/>
          <w:szCs w:val="21"/>
        </w:rPr>
        <w:t>给出了铜</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企业温室气体排放核算</w:t>
      </w:r>
      <w:r>
        <w:rPr>
          <w:rFonts w:hint="eastAsia" w:ascii="宋体" w:hAnsi="宋体" w:eastAsia="宋体" w:cs="宋体"/>
          <w:color w:val="auto"/>
          <w:sz w:val="21"/>
          <w:szCs w:val="21"/>
          <w:lang w:val="en-US" w:eastAsia="zh-CN"/>
        </w:rPr>
        <w:t>报告。</w:t>
      </w:r>
      <w:r>
        <w:rPr>
          <w:rFonts w:hint="eastAsia" w:ascii="宋体" w:hAnsi="宋体" w:eastAsia="宋体" w:cs="宋体"/>
          <w:color w:val="auto"/>
          <w:sz w:val="21"/>
          <w:szCs w:val="21"/>
        </w:rPr>
        <w:t>铜</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温室气体报告中，除给出《报告主体年温室气体排放量汇总表》模板，同时给出《报告主体年</w:t>
      </w:r>
      <w:r>
        <w:rPr>
          <w:rFonts w:hint="eastAsia" w:ascii="宋体" w:hAnsi="宋体" w:eastAsia="宋体" w:cs="宋体"/>
          <w:color w:val="auto"/>
          <w:sz w:val="21"/>
          <w:szCs w:val="21"/>
          <w:lang w:val="en-US" w:eastAsia="zh-CN"/>
        </w:rPr>
        <w:t>二氧化碳排</w:t>
      </w:r>
      <w:r>
        <w:rPr>
          <w:rFonts w:hint="eastAsia" w:ascii="宋体" w:hAnsi="宋体" w:eastAsia="宋体" w:cs="宋体"/>
          <w:color w:val="auto"/>
          <w:sz w:val="21"/>
          <w:szCs w:val="21"/>
        </w:rPr>
        <w:t>放量汇总表》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《报告主体年</w:t>
      </w:r>
      <w:r>
        <w:rPr>
          <w:rFonts w:hint="eastAsia" w:ascii="宋体" w:hAnsi="宋体" w:eastAsia="宋体" w:cs="宋体"/>
          <w:color w:val="auto"/>
          <w:sz w:val="21"/>
          <w:szCs w:val="21"/>
          <w:lang w:val="en-US" w:eastAsia="zh-CN"/>
        </w:rPr>
        <w:t>活动水平数据一览表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《报告主体年排放因子数据一览表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铜</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企业选择报告。</w:t>
      </w:r>
    </w:p>
    <w:p w14:paraId="44FC44FB">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附录C</w:t>
      </w:r>
      <w:r>
        <w:rPr>
          <w:rFonts w:hint="eastAsia" w:ascii="宋体" w:hAnsi="宋体" w:eastAsia="宋体" w:cs="宋体"/>
          <w:color w:val="auto"/>
          <w:sz w:val="21"/>
          <w:szCs w:val="21"/>
        </w:rPr>
        <w:t>给出了常用化石燃料相关参数</w:t>
      </w:r>
      <w:r>
        <w:rPr>
          <w:rFonts w:hint="eastAsia" w:ascii="宋体" w:hAnsi="宋体" w:eastAsia="宋体" w:cs="宋体"/>
          <w:color w:val="auto"/>
          <w:sz w:val="21"/>
          <w:szCs w:val="21"/>
          <w:lang w:val="en-US" w:eastAsia="zh-CN"/>
        </w:rPr>
        <w:t>的缺省</w:t>
      </w:r>
      <w:r>
        <w:rPr>
          <w:rFonts w:hint="eastAsia" w:ascii="宋体" w:hAnsi="宋体" w:eastAsia="宋体" w:cs="宋体"/>
          <w:color w:val="auto"/>
          <w:sz w:val="21"/>
          <w:szCs w:val="21"/>
        </w:rPr>
        <w:t>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针对标准中提及或可能存在的燃料品种，通过对《中国能源统计年鉴 2021》、《IPCC国家温室气体清单指南》2006版及2019修订版等文献的查找，给出了常用化石燃料相关参数推荐值。</w:t>
      </w:r>
    </w:p>
    <w:p w14:paraId="0042D1CA">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四、标准中涉及专利的情况</w:t>
      </w:r>
    </w:p>
    <w:p w14:paraId="1AE93984">
      <w:pPr>
        <w:pStyle w:val="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Times New Roman"/>
          <w:color w:val="auto"/>
          <w:kern w:val="2"/>
          <w:sz w:val="21"/>
          <w:szCs w:val="21"/>
          <w:lang w:val="en-US" w:eastAsia="zh-CN" w:bidi="ar-SA"/>
        </w:rPr>
        <w:t>本标准不涉及专利问题。</w:t>
      </w:r>
    </w:p>
    <w:p w14:paraId="447B55EC">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五、预期达到的经济效果</w:t>
      </w:r>
    </w:p>
    <w:p w14:paraId="05502FF8">
      <w:pPr>
        <w:pStyle w:val="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本标准有利于推进经济社会发展实现全面绿色转型、推动铜加工行业产业结构优化升级，实现节能减排，</w:t>
      </w:r>
      <w:r>
        <w:rPr>
          <w:rFonts w:hint="eastAsia" w:ascii="宋体" w:hAnsi="宋体" w:eastAsia="宋体" w:cs="宋体"/>
          <w:color w:val="auto"/>
          <w:sz w:val="21"/>
          <w:szCs w:val="21"/>
        </w:rPr>
        <w:t>实现履行社会责任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可以引导企业正确实现碳减排，从源头削减能源和原材料的消耗，节约自然资源，降低污染物的排放，极大的保护生态环境。</w:t>
      </w:r>
      <w:r>
        <w:rPr>
          <w:rFonts w:hint="eastAsia" w:ascii="宋体" w:hAnsi="宋体" w:eastAsia="宋体" w:cs="宋体"/>
          <w:color w:val="auto"/>
          <w:sz w:val="21"/>
          <w:szCs w:val="21"/>
          <w:lang w:val="en-US" w:eastAsia="zh-CN"/>
        </w:rPr>
        <w:t>同时有助于企业实现节能降碳技术创新，提供企业核心竞争力。可以更好的帮助企业确定在节能减排和技术升级上的投入，提升企业运营效率，节约企业生产成本。本标准可以对铜加工企业碳排放核算提供指导和规范，引导和规范企业降低能耗和碳排放，促进企业高质量、绿色发展。</w:t>
      </w:r>
    </w:p>
    <w:p w14:paraId="67AC1F9C">
      <w:pPr>
        <w:pStyle w:val="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本标准的发布和实施可有效提升企业温室气体碳排放管理和控制水平、降低排放量，</w:t>
      </w:r>
      <w:r>
        <w:rPr>
          <w:rFonts w:hint="eastAsia" w:ascii="宋体" w:hAnsi="宋体" w:eastAsia="宋体" w:cs="宋体"/>
          <w:color w:val="auto"/>
          <w:sz w:val="21"/>
          <w:szCs w:val="21"/>
        </w:rPr>
        <w:t>实现节约能源资源，助力双碳目标实现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规范的温室气体核算，可以</w:t>
      </w:r>
      <w:r>
        <w:rPr>
          <w:rFonts w:hint="eastAsia" w:ascii="宋体" w:hAnsi="宋体" w:eastAsia="宋体" w:cs="宋体"/>
          <w:color w:val="auto"/>
          <w:sz w:val="21"/>
          <w:szCs w:val="21"/>
        </w:rPr>
        <w:t>有效应对绿色低碳转型可能伴随的经济、社会风险，确保安全降碳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具有巨大的经济和社会效益。首先，有效</w:t>
      </w:r>
      <w:r>
        <w:rPr>
          <w:rFonts w:hint="default" w:ascii="宋体" w:hAnsi="宋体" w:eastAsia="宋体" w:cs="宋体"/>
          <w:color w:val="auto"/>
          <w:sz w:val="21"/>
          <w:szCs w:val="21"/>
          <w:lang w:val="en-US" w:eastAsia="zh-CN"/>
        </w:rPr>
        <w:t>降低</w:t>
      </w:r>
      <w:r>
        <w:rPr>
          <w:rFonts w:hint="eastAsia" w:ascii="宋体" w:hAnsi="宋体" w:eastAsia="宋体" w:cs="宋体"/>
          <w:color w:val="auto"/>
          <w:sz w:val="21"/>
          <w:szCs w:val="21"/>
          <w:lang w:val="en-US" w:eastAsia="zh-CN"/>
        </w:rPr>
        <w:t>企业</w:t>
      </w:r>
      <w:r>
        <w:rPr>
          <w:rFonts w:hint="default" w:ascii="宋体" w:hAnsi="宋体" w:eastAsia="宋体" w:cs="宋体"/>
          <w:color w:val="auto"/>
          <w:sz w:val="21"/>
          <w:szCs w:val="21"/>
          <w:lang w:val="en-US" w:eastAsia="zh-CN"/>
        </w:rPr>
        <w:t>履约成本</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通过温室气体核算，企业可以清楚地了解各个时段、各个部门或生产环节产生的温室气体排放量，从而制定针对性的节能减排措施，减少成本，提升温室气体管理能力。</w:t>
      </w:r>
      <w:r>
        <w:rPr>
          <w:rFonts w:hint="eastAsia" w:ascii="宋体" w:hAnsi="宋体" w:eastAsia="宋体" w:cs="宋体"/>
          <w:color w:val="auto"/>
          <w:sz w:val="21"/>
          <w:szCs w:val="21"/>
          <w:lang w:val="en-US" w:eastAsia="zh-CN"/>
        </w:rPr>
        <w:t>其次，助力企业</w:t>
      </w:r>
      <w:r>
        <w:rPr>
          <w:rFonts w:hint="default" w:ascii="宋体" w:hAnsi="宋体" w:eastAsia="宋体" w:cs="宋体"/>
          <w:color w:val="auto"/>
          <w:sz w:val="21"/>
          <w:szCs w:val="21"/>
          <w:lang w:val="en-US" w:eastAsia="zh-CN"/>
        </w:rPr>
        <w:t>‌经济效益提升</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企业通过温室气体核算，可以形成潜在的碳财富，获取经济效益。</w:t>
      </w:r>
      <w:r>
        <w:rPr>
          <w:rFonts w:hint="eastAsia" w:ascii="宋体" w:hAnsi="宋体" w:eastAsia="宋体" w:cs="宋体"/>
          <w:color w:val="auto"/>
          <w:sz w:val="21"/>
          <w:szCs w:val="21"/>
          <w:lang w:val="en-US" w:eastAsia="zh-CN"/>
        </w:rPr>
        <w:t>同时</w:t>
      </w:r>
      <w:r>
        <w:rPr>
          <w:rFonts w:hint="default" w:ascii="宋体" w:hAnsi="宋体" w:eastAsia="宋体" w:cs="宋体"/>
          <w:color w:val="auto"/>
          <w:sz w:val="21"/>
          <w:szCs w:val="21"/>
          <w:lang w:val="en-US" w:eastAsia="zh-CN"/>
        </w:rPr>
        <w:t>企业可以化被动为主动，获取潜在经济收益。</w:t>
      </w:r>
      <w:r>
        <w:rPr>
          <w:rFonts w:hint="eastAsia" w:ascii="宋体" w:hAnsi="宋体" w:eastAsia="宋体" w:cs="宋体"/>
          <w:color w:val="auto"/>
          <w:sz w:val="21"/>
          <w:szCs w:val="21"/>
          <w:lang w:val="en-US" w:eastAsia="zh-CN"/>
        </w:rPr>
        <w:t>可有效</w:t>
      </w:r>
      <w:r>
        <w:rPr>
          <w:rFonts w:hint="default" w:ascii="宋体" w:hAnsi="宋体" w:eastAsia="宋体" w:cs="宋体"/>
          <w:color w:val="auto"/>
          <w:sz w:val="21"/>
          <w:szCs w:val="21"/>
          <w:lang w:val="en-US" w:eastAsia="zh-CN"/>
        </w:rPr>
        <w:t>提升碳资产管理能力</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助力企业在碳市场中获得更多机会，提升市场绿色竞争力‌。</w:t>
      </w:r>
      <w:r>
        <w:rPr>
          <w:rFonts w:hint="eastAsia" w:ascii="宋体" w:hAnsi="宋体" w:eastAsia="宋体" w:cs="宋体"/>
          <w:color w:val="auto"/>
          <w:sz w:val="21"/>
          <w:szCs w:val="21"/>
          <w:lang w:val="en-US" w:eastAsia="zh-CN"/>
        </w:rPr>
        <w:t>第三，增强企业</w:t>
      </w:r>
      <w:r>
        <w:rPr>
          <w:rFonts w:hint="default" w:ascii="宋体" w:hAnsi="宋体" w:eastAsia="宋体" w:cs="宋体"/>
          <w:color w:val="auto"/>
          <w:sz w:val="21"/>
          <w:szCs w:val="21"/>
          <w:lang w:val="en-US" w:eastAsia="zh-CN"/>
        </w:rPr>
        <w:t>‌市场竞争力</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通过披露温室气体排放数据和管理能力，企业可以树立绿色品牌形象，从而增强市场竞争力‌。</w:t>
      </w:r>
      <w:r>
        <w:rPr>
          <w:rFonts w:hint="eastAsia" w:ascii="宋体" w:hAnsi="宋体" w:eastAsia="宋体" w:cs="宋体"/>
          <w:color w:val="auto"/>
          <w:sz w:val="21"/>
          <w:szCs w:val="21"/>
          <w:lang w:val="en-US" w:eastAsia="zh-CN"/>
        </w:rPr>
        <w:t>最后，</w:t>
      </w:r>
      <w:r>
        <w:rPr>
          <w:rFonts w:hint="default" w:ascii="宋体" w:hAnsi="宋体" w:eastAsia="宋体" w:cs="宋体"/>
          <w:color w:val="auto"/>
          <w:sz w:val="21"/>
          <w:szCs w:val="21"/>
          <w:lang w:val="en-US" w:eastAsia="zh-CN"/>
        </w:rPr>
        <w:t>规避‌风险</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积极进行温室气体管控的企业能够满足日趋严格的减排政策和环保法律法规要求，为未来适应温室气体排放标准奠定基础</w:t>
      </w:r>
      <w:r>
        <w:rPr>
          <w:rFonts w:hint="eastAsia" w:ascii="宋体" w:hAnsi="宋体" w:eastAsia="宋体" w:cs="宋体"/>
          <w:color w:val="auto"/>
          <w:sz w:val="21"/>
          <w:szCs w:val="21"/>
          <w:lang w:val="en-US" w:eastAsia="zh-CN"/>
        </w:rPr>
        <w:t>。</w:t>
      </w:r>
    </w:p>
    <w:p w14:paraId="678FCD4A">
      <w:pPr>
        <w:pStyle w:val="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本标准的实施可促进企业通过</w:t>
      </w:r>
      <w:r>
        <w:rPr>
          <w:rFonts w:hint="eastAsia" w:ascii="宋体" w:hAnsi="宋体" w:eastAsia="宋体" w:cs="宋体"/>
          <w:color w:val="auto"/>
          <w:sz w:val="21"/>
          <w:szCs w:val="21"/>
          <w:lang w:val="en-US" w:eastAsia="zh-CN"/>
        </w:rPr>
        <w:t>温室气体排放核算</w:t>
      </w:r>
      <w:r>
        <w:rPr>
          <w:rFonts w:hint="eastAsia" w:ascii="宋体" w:hAnsi="宋体" w:eastAsia="宋体" w:cs="宋体"/>
          <w:color w:val="auto"/>
          <w:sz w:val="21"/>
          <w:szCs w:val="21"/>
        </w:rPr>
        <w:t>，</w:t>
      </w:r>
      <w:r>
        <w:rPr>
          <w:rFonts w:hint="default" w:ascii="Times New Roman" w:hAnsi="Times New Roman" w:cs="Times New Roman" w:eastAsiaTheme="minorEastAsia"/>
          <w:color w:val="auto"/>
          <w:sz w:val="21"/>
          <w:szCs w:val="21"/>
          <w:lang w:val="en-US" w:eastAsia="zh-CN"/>
        </w:rPr>
        <w:t>是</w:t>
      </w:r>
      <w:r>
        <w:rPr>
          <w:rFonts w:hint="eastAsia" w:ascii="Times New Roman" w:hAnsi="Times New Roman" w:cs="Times New Roman" w:eastAsiaTheme="minorEastAsia"/>
          <w:color w:val="auto"/>
          <w:sz w:val="21"/>
          <w:szCs w:val="21"/>
          <w:lang w:val="en-US" w:eastAsia="zh-CN"/>
        </w:rPr>
        <w:t>铜加工</w:t>
      </w:r>
      <w:r>
        <w:rPr>
          <w:rFonts w:hint="default" w:ascii="Times New Roman" w:hAnsi="Times New Roman" w:cs="Times New Roman" w:eastAsiaTheme="minorEastAsia"/>
          <w:color w:val="auto"/>
          <w:sz w:val="21"/>
          <w:szCs w:val="21"/>
          <w:lang w:val="en-US" w:eastAsia="zh-CN"/>
        </w:rPr>
        <w:t>企业承担社会责任、提升</w:t>
      </w:r>
      <w:r>
        <w:rPr>
          <w:rFonts w:hint="eastAsia" w:ascii="Times New Roman" w:hAnsi="Times New Roman" w:cs="Times New Roman" w:eastAsiaTheme="minorEastAsia"/>
          <w:color w:val="auto"/>
          <w:sz w:val="21"/>
          <w:szCs w:val="21"/>
          <w:lang w:val="en-US" w:eastAsia="zh-CN"/>
        </w:rPr>
        <w:t>自身</w:t>
      </w:r>
      <w:r>
        <w:rPr>
          <w:rFonts w:hint="default" w:ascii="Times New Roman" w:hAnsi="Times New Roman" w:cs="Times New Roman" w:eastAsiaTheme="minorEastAsia"/>
          <w:color w:val="auto"/>
          <w:sz w:val="21"/>
          <w:szCs w:val="21"/>
          <w:lang w:val="en-US" w:eastAsia="zh-CN"/>
        </w:rPr>
        <w:t>形象的重要</w:t>
      </w:r>
      <w:r>
        <w:rPr>
          <w:rFonts w:hint="eastAsia" w:ascii="Times New Roman" w:hAnsi="Times New Roman" w:cs="Times New Roman" w:eastAsiaTheme="minorEastAsia"/>
          <w:color w:val="auto"/>
          <w:sz w:val="21"/>
          <w:szCs w:val="21"/>
          <w:lang w:val="en-US" w:eastAsia="zh-CN"/>
        </w:rPr>
        <w:t>途径</w:t>
      </w:r>
      <w:r>
        <w:rPr>
          <w:rFonts w:hint="default" w:ascii="Times New Roman" w:hAnsi="Times New Roman" w:cs="Times New Roman" w:eastAsiaTheme="minorEastAsia"/>
          <w:color w:val="auto"/>
          <w:sz w:val="21"/>
          <w:szCs w:val="21"/>
          <w:lang w:val="en-US" w:eastAsia="zh-CN"/>
        </w:rPr>
        <w:t>。</w:t>
      </w:r>
      <w:r>
        <w:rPr>
          <w:rFonts w:hint="eastAsia" w:ascii="Times New Roman" w:hAnsi="Times New Roman" w:cs="Times New Roman" w:eastAsiaTheme="minorEastAsia"/>
          <w:color w:val="auto"/>
          <w:sz w:val="21"/>
          <w:szCs w:val="21"/>
          <w:lang w:val="en-US" w:eastAsia="zh-CN"/>
        </w:rPr>
        <w:t>随着</w:t>
      </w:r>
      <w:r>
        <w:rPr>
          <w:rFonts w:hint="default" w:ascii="Times New Roman" w:hAnsi="Times New Roman" w:cs="Times New Roman" w:eastAsiaTheme="minorEastAsia"/>
          <w:color w:val="auto"/>
          <w:sz w:val="21"/>
          <w:szCs w:val="21"/>
          <w:lang w:val="en-US" w:eastAsia="zh-CN"/>
        </w:rPr>
        <w:t>公众对环境问题的关注度不断提高，企业的环保表现已成为评价其社会责任感的重要指标‌。通过标准化的报告，</w:t>
      </w:r>
      <w:r>
        <w:rPr>
          <w:rFonts w:hint="eastAsia" w:ascii="Times New Roman" w:hAnsi="Times New Roman" w:cs="Times New Roman" w:eastAsiaTheme="minorEastAsia"/>
          <w:color w:val="auto"/>
          <w:sz w:val="21"/>
          <w:szCs w:val="21"/>
          <w:lang w:val="en-US" w:eastAsia="zh-CN"/>
        </w:rPr>
        <w:t>企业</w:t>
      </w:r>
      <w:r>
        <w:rPr>
          <w:rFonts w:hint="default" w:ascii="Times New Roman" w:hAnsi="Times New Roman" w:cs="Times New Roman" w:eastAsiaTheme="minorEastAsia"/>
          <w:color w:val="auto"/>
          <w:sz w:val="21"/>
          <w:szCs w:val="21"/>
          <w:lang w:val="en-US" w:eastAsia="zh-CN"/>
        </w:rPr>
        <w:t>可以更清晰地展示其环境绩效，增加对外部利益相关者的透明度</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了解和管理温室气体排放有助于</w:t>
      </w:r>
      <w:r>
        <w:rPr>
          <w:rFonts w:hint="eastAsia" w:ascii="Times New Roman" w:hAnsi="Times New Roman" w:cs="Times New Roman" w:eastAsiaTheme="minorEastAsia"/>
          <w:color w:val="auto"/>
          <w:sz w:val="21"/>
          <w:szCs w:val="21"/>
          <w:lang w:val="en-US" w:eastAsia="zh-CN"/>
        </w:rPr>
        <w:t>企业</w:t>
      </w:r>
      <w:r>
        <w:rPr>
          <w:rFonts w:hint="default" w:ascii="Times New Roman" w:hAnsi="Times New Roman" w:cs="Times New Roman" w:eastAsiaTheme="minorEastAsia"/>
          <w:color w:val="auto"/>
          <w:sz w:val="21"/>
          <w:szCs w:val="21"/>
          <w:lang w:val="en-US" w:eastAsia="zh-CN"/>
        </w:rPr>
        <w:t>识别和应对与气候变化相关的风险，</w:t>
      </w:r>
      <w:r>
        <w:rPr>
          <w:rFonts w:hint="eastAsia" w:ascii="Times New Roman" w:hAnsi="Times New Roman" w:cs="Times New Roman" w:eastAsiaTheme="minorEastAsia"/>
          <w:color w:val="auto"/>
          <w:sz w:val="21"/>
          <w:szCs w:val="21"/>
          <w:lang w:val="en-US" w:eastAsia="zh-CN"/>
        </w:rPr>
        <w:t>促进铜加工行业</w:t>
      </w:r>
      <w:r>
        <w:rPr>
          <w:rFonts w:hint="default" w:ascii="Times New Roman" w:hAnsi="Times New Roman" w:cs="Times New Roman" w:eastAsiaTheme="minorEastAsia"/>
          <w:color w:val="auto"/>
          <w:sz w:val="21"/>
          <w:szCs w:val="21"/>
          <w:lang w:val="en-US" w:eastAsia="zh-CN"/>
        </w:rPr>
        <w:t>的长期稳定发展‌。</w:t>
      </w:r>
    </w:p>
    <w:p w14:paraId="41B76DA2">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六、采用国际标准和国外先进标准的情况</w:t>
      </w:r>
    </w:p>
    <w:p w14:paraId="51B7A704">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国际上已发布碳排放标准，</w:t>
      </w:r>
      <w:r>
        <w:rPr>
          <w:rFonts w:hint="eastAsia" w:ascii="宋体" w:hAnsi="宋体" w:eastAsia="宋体" w:cs="宋体"/>
          <w:color w:val="auto"/>
          <w:sz w:val="21"/>
          <w:szCs w:val="21"/>
        </w:rPr>
        <w:t>ISO/TC207/SC7已发布ISO14064、ISO14065、ISO14066、ISO14067、ISO14080、ISO14090等碳排放相关标准；英国PAS2050:2011《产品和服务的生命周期 温室气体排放评价规范》。</w:t>
      </w:r>
    </w:p>
    <w:p w14:paraId="68943903">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我国碳排放已发布GB/T 32150《工业企业温室气体排放核酸报告和通则》、 GB/T 32151.3《温室气体排放核算与报告要求  第3部分：镁冶炼企业》、GB/T 32151.4《温室气体排放核算与报告要求  第3部分：铝冶炼企业》、 GB/T 32151.14《碳排放核算与报告要求  第14部分：其他有色金属冶炼和压延加工业企业》等标准。</w:t>
      </w:r>
    </w:p>
    <w:p w14:paraId="167E3777">
      <w:pPr>
        <w:widowControl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其中</w:t>
      </w:r>
      <w:r>
        <w:rPr>
          <w:rFonts w:hint="eastAsia" w:ascii="宋体" w:hAnsi="宋体" w:eastAsia="宋体" w:cs="宋体"/>
          <w:color w:val="auto"/>
          <w:sz w:val="21"/>
          <w:szCs w:val="21"/>
        </w:rPr>
        <w:t>GB/T 32151.14《温室气体排放核算与报告要求  第</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部分：其他有色金属冶炼和压延加工业企业》不完全适用于铜加工企业温室气体排放的核算预报告，主要原因</w:t>
      </w: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rPr>
        <w:t>：铜合金结构复杂，不同品种加工工艺不同，用能不尽相同，碳排放因子不同；铜加工企业主要是燃料排放和能源消耗排放，不含过程排放、能源作为原料排放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碳排放核算与单位产品能源消耗是紧密相关的，因此应考虑量标准的衔接</w:t>
      </w:r>
      <w:r>
        <w:rPr>
          <w:rFonts w:hint="eastAsia" w:ascii="宋体" w:hAnsi="宋体" w:eastAsia="宋体" w:cs="宋体"/>
          <w:color w:val="auto"/>
          <w:sz w:val="21"/>
          <w:szCs w:val="21"/>
          <w:lang w:eastAsia="zh-CN"/>
        </w:rPr>
        <w:t>。</w:t>
      </w:r>
    </w:p>
    <w:p w14:paraId="78DB6D0F">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本标准参考了相关国际</w:t>
      </w:r>
      <w:r>
        <w:rPr>
          <w:rFonts w:hint="eastAsia" w:ascii="宋体" w:hAnsi="宋体" w:eastAsia="宋体" w:cs="宋体"/>
          <w:color w:val="auto"/>
          <w:sz w:val="21"/>
          <w:szCs w:val="21"/>
          <w:lang w:val="en-US" w:eastAsia="zh-CN"/>
        </w:rPr>
        <w:t>和国内</w:t>
      </w:r>
      <w:r>
        <w:rPr>
          <w:rFonts w:hint="eastAsia" w:ascii="宋体" w:hAnsi="宋体" w:eastAsia="宋体" w:cs="宋体"/>
          <w:color w:val="auto"/>
          <w:sz w:val="21"/>
          <w:szCs w:val="21"/>
        </w:rPr>
        <w:t>标准，</w:t>
      </w:r>
      <w:r>
        <w:rPr>
          <w:rFonts w:hint="default" w:ascii="宋体" w:hAnsi="宋体" w:eastAsia="宋体" w:cs="宋体"/>
          <w:color w:val="auto"/>
          <w:sz w:val="21"/>
          <w:szCs w:val="21"/>
        </w:rPr>
        <w:t>针对铜加工</w:t>
      </w:r>
      <w:r>
        <w:rPr>
          <w:rFonts w:hint="eastAsia" w:ascii="宋体" w:hAnsi="宋体" w:eastAsia="宋体" w:cs="宋体"/>
          <w:color w:val="auto"/>
          <w:sz w:val="21"/>
          <w:szCs w:val="21"/>
        </w:rPr>
        <w:t>工企业众多、工艺复杂</w:t>
      </w:r>
      <w:r>
        <w:rPr>
          <w:rFonts w:hint="default" w:ascii="宋体" w:hAnsi="宋体" w:eastAsia="宋体" w:cs="宋体"/>
          <w:color w:val="auto"/>
          <w:sz w:val="21"/>
          <w:szCs w:val="21"/>
        </w:rPr>
        <w:t>和碳排放</w:t>
      </w:r>
      <w:r>
        <w:rPr>
          <w:rFonts w:hint="eastAsia" w:ascii="宋体" w:hAnsi="宋体" w:eastAsia="宋体" w:cs="宋体"/>
          <w:color w:val="auto"/>
          <w:sz w:val="21"/>
          <w:szCs w:val="21"/>
        </w:rPr>
        <w:t>实际情况，制定符合铜加工企业</w:t>
      </w:r>
      <w:r>
        <w:rPr>
          <w:rFonts w:hint="eastAsia" w:ascii="宋体" w:hAnsi="宋体" w:eastAsia="宋体" w:cs="宋体"/>
          <w:color w:val="auto"/>
          <w:sz w:val="21"/>
          <w:szCs w:val="21"/>
          <w:lang w:val="en-US" w:eastAsia="zh-CN"/>
        </w:rPr>
        <w:t>温室气体</w:t>
      </w:r>
      <w:r>
        <w:rPr>
          <w:rFonts w:hint="eastAsia" w:ascii="宋体" w:hAnsi="宋体" w:eastAsia="宋体" w:cs="宋体"/>
          <w:color w:val="auto"/>
          <w:sz w:val="21"/>
          <w:szCs w:val="21"/>
        </w:rPr>
        <w:t>排放的核算方法与报告要求标准，规范和指导铜及铜合金加工温室气体排放量核算，</w:t>
      </w:r>
      <w:r>
        <w:rPr>
          <w:rFonts w:hint="default" w:ascii="宋体" w:hAnsi="宋体" w:eastAsia="宋体" w:cs="宋体"/>
          <w:color w:val="auto"/>
          <w:sz w:val="21"/>
          <w:szCs w:val="21"/>
        </w:rPr>
        <w:t>提升企业</w:t>
      </w:r>
      <w:bookmarkStart w:id="12" w:name="OLE_LINK1"/>
      <w:r>
        <w:rPr>
          <w:rFonts w:hint="default" w:ascii="宋体" w:hAnsi="宋体" w:eastAsia="宋体" w:cs="宋体"/>
          <w:color w:val="auto"/>
          <w:sz w:val="21"/>
          <w:szCs w:val="21"/>
        </w:rPr>
        <w:t>温室气体</w:t>
      </w:r>
      <w:bookmarkEnd w:id="12"/>
      <w:r>
        <w:rPr>
          <w:rFonts w:hint="default" w:ascii="宋体" w:hAnsi="宋体" w:eastAsia="宋体" w:cs="宋体"/>
          <w:color w:val="auto"/>
          <w:sz w:val="21"/>
          <w:szCs w:val="21"/>
        </w:rPr>
        <w:t>碳排放管理和控制水平、降低排放量，为实现双碳目标提供支撑。</w:t>
      </w:r>
    </w:p>
    <w:p w14:paraId="675118A8">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七、与现行法律、法规、强制性国家标准及相关标准协调配套情况</w:t>
      </w:r>
    </w:p>
    <w:p w14:paraId="43BF42C2">
      <w:pPr>
        <w:widowControl w:val="0"/>
        <w:snapToGrid/>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本标准的编制遵循了现行相关法律和法规。</w:t>
      </w:r>
    </w:p>
    <w:p w14:paraId="65FC60D6">
      <w:pPr>
        <w:widowControl w:val="0"/>
        <w:snapToGrid/>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国家标准：本标准属于 GB/T 32151《温室气体排放核算与报告要求》系列</w:t>
      </w:r>
    </w:p>
    <w:p w14:paraId="627CD86C">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相关指南：生态环境部发布的相关指南在操作的可行性上对本标准的编制具有借鉴性意义</w:t>
      </w:r>
    </w:p>
    <w:p w14:paraId="5F929FFF">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bookmarkStart w:id="13" w:name="_Toc32100"/>
      <w:r>
        <w:rPr>
          <w:rFonts w:hint="eastAsia" w:ascii="黑体" w:hAnsi="黑体" w:eastAsia="黑体" w:cs="黑体"/>
          <w:b w:val="0"/>
          <w:bCs w:val="0"/>
          <w:color w:val="auto"/>
          <w:sz w:val="21"/>
          <w:szCs w:val="21"/>
          <w:lang w:val="en-US" w:eastAsia="zh-CN"/>
        </w:rPr>
        <w:t>八、重大分歧意见的处理经过和依据</w:t>
      </w:r>
      <w:bookmarkEnd w:id="13"/>
    </w:p>
    <w:p w14:paraId="5455F00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暂无。</w:t>
      </w:r>
    </w:p>
    <w:p w14:paraId="6D306AF7">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bookmarkStart w:id="14" w:name="_Toc15989"/>
      <w:r>
        <w:rPr>
          <w:rFonts w:hint="eastAsia" w:ascii="黑体" w:hAnsi="黑体" w:eastAsia="黑体" w:cs="黑体"/>
          <w:b w:val="0"/>
          <w:bCs w:val="0"/>
          <w:color w:val="auto"/>
          <w:sz w:val="21"/>
          <w:szCs w:val="21"/>
          <w:lang w:val="en-US" w:eastAsia="zh-CN"/>
        </w:rPr>
        <w:t>九、作为强制性或推荐性国家标准的建议</w:t>
      </w:r>
    </w:p>
    <w:p w14:paraId="1CA013AC">
      <w:pPr>
        <w:keepNext w:val="0"/>
        <w:keepLines w:val="0"/>
        <w:pageBreakBefore w:val="0"/>
        <w:widowControl/>
        <w:kinsoku/>
        <w:wordWrap/>
        <w:overflowPunct/>
        <w:topLinePunct w:val="0"/>
        <w:autoSpaceDE/>
        <w:autoSpaceDN/>
        <w:bidi w:val="0"/>
        <w:adjustRightInd w:val="0"/>
        <w:snapToGrid/>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本标准建议不作为强制性标准，而建议作为推荐性</w:t>
      </w:r>
      <w:r>
        <w:rPr>
          <w:rFonts w:hint="eastAsia" w:ascii="宋体" w:hAnsi="宋体" w:eastAsia="宋体" w:cs="宋体"/>
          <w:color w:val="auto"/>
          <w:sz w:val="21"/>
          <w:szCs w:val="21"/>
          <w:lang w:eastAsia="zh-CN"/>
        </w:rPr>
        <w:t>。</w:t>
      </w:r>
    </w:p>
    <w:bookmarkEnd w:id="14"/>
    <w:p w14:paraId="5A91AB0E">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十、贯彻标准的要求和措施建议</w:t>
      </w:r>
    </w:p>
    <w:p w14:paraId="13D2DFB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本标准是根据市场需求、订货技术要求和我国实际生产使用情况。标准，建议相关单位组织专项标准宣贯会进行系统学习。本标准发布后，各企业应积极宣传和贯彻，以保证产品质量，满足国内、外市场及用户的需要。</w:t>
      </w:r>
    </w:p>
    <w:p w14:paraId="463F8CC8">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bookmarkStart w:id="15" w:name="_Toc7802"/>
      <w:r>
        <w:rPr>
          <w:rFonts w:hint="eastAsia" w:ascii="黑体" w:hAnsi="黑体" w:eastAsia="黑体" w:cs="黑体"/>
          <w:b w:val="0"/>
          <w:bCs w:val="0"/>
          <w:color w:val="auto"/>
          <w:sz w:val="21"/>
          <w:szCs w:val="21"/>
          <w:lang w:val="en-US" w:eastAsia="zh-CN"/>
        </w:rPr>
        <w:t>十一、废止现行有关标准的建议</w:t>
      </w:r>
      <w:bookmarkEnd w:id="15"/>
    </w:p>
    <w:p w14:paraId="27E6239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p w14:paraId="57D8BCD5">
      <w:pPr>
        <w:keepNext w:val="0"/>
        <w:keepLines w:val="0"/>
        <w:pageBreakBefore w:val="0"/>
        <w:widowControl w:val="0"/>
        <w:kinsoku/>
        <w:wordWrap/>
        <w:overflowPunct/>
        <w:topLinePunct w:val="0"/>
        <w:autoSpaceDE/>
        <w:autoSpaceDN/>
        <w:bidi w:val="0"/>
        <w:adjustRightInd w:val="0"/>
        <w:snapToGrid w:val="0"/>
        <w:spacing w:before="181" w:beforeLines="50" w:after="181" w:afterLines="50" w:line="360" w:lineRule="auto"/>
        <w:textAlignment w:val="auto"/>
        <w:outlineLvl w:val="3"/>
        <w:rPr>
          <w:rFonts w:hint="eastAsia" w:ascii="黑体" w:hAnsi="黑体" w:eastAsia="黑体" w:cs="黑体"/>
          <w:b w:val="0"/>
          <w:bCs w:val="0"/>
          <w:color w:val="auto"/>
          <w:sz w:val="21"/>
          <w:szCs w:val="21"/>
          <w:lang w:val="en-US" w:eastAsia="zh-CN"/>
        </w:rPr>
      </w:pPr>
      <w:bookmarkStart w:id="16" w:name="_Toc22451"/>
      <w:r>
        <w:rPr>
          <w:rFonts w:hint="eastAsia" w:ascii="黑体" w:hAnsi="黑体" w:eastAsia="黑体" w:cs="黑体"/>
          <w:b w:val="0"/>
          <w:bCs w:val="0"/>
          <w:color w:val="auto"/>
          <w:sz w:val="21"/>
          <w:szCs w:val="21"/>
          <w:lang w:val="en-US" w:eastAsia="zh-CN"/>
        </w:rPr>
        <w:t>十二、其他主要内容的解释和其他需要说明的事项</w:t>
      </w:r>
      <w:bookmarkEnd w:id="16"/>
    </w:p>
    <w:p w14:paraId="029BD761">
      <w:pPr>
        <w:pStyle w:val="36"/>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hAnsi="宋体" w:cs="宋体"/>
          <w:color w:val="auto"/>
          <w:kern w:val="2"/>
          <w:sz w:val="21"/>
          <w:szCs w:val="21"/>
        </w:rPr>
      </w:pPr>
      <w:r>
        <w:rPr>
          <w:rFonts w:hint="eastAsia" w:hAnsi="宋体" w:cs="宋体"/>
          <w:color w:val="auto"/>
          <w:kern w:val="2"/>
          <w:sz w:val="21"/>
          <w:szCs w:val="21"/>
        </w:rPr>
        <w:t>考虑随着</w:t>
      </w:r>
      <w:r>
        <w:rPr>
          <w:rFonts w:hint="eastAsia" w:hAnsi="宋体" w:cs="宋体"/>
          <w:color w:val="auto"/>
          <w:kern w:val="2"/>
          <w:sz w:val="21"/>
          <w:szCs w:val="21"/>
          <w:lang w:val="en-US" w:eastAsia="zh-CN"/>
        </w:rPr>
        <w:t>铜加工</w:t>
      </w:r>
      <w:r>
        <w:rPr>
          <w:rFonts w:hint="eastAsia" w:hAnsi="宋体" w:cs="宋体"/>
          <w:color w:val="auto"/>
          <w:kern w:val="2"/>
          <w:sz w:val="21"/>
          <w:szCs w:val="21"/>
        </w:rPr>
        <w:t>的开发使用和生产装备的更新，如果</w:t>
      </w:r>
      <w:r>
        <w:rPr>
          <w:rFonts w:hint="eastAsia" w:hAnsi="宋体" w:cs="宋体"/>
          <w:color w:val="auto"/>
          <w:kern w:val="2"/>
          <w:sz w:val="21"/>
          <w:szCs w:val="21"/>
          <w:lang w:val="en-US" w:eastAsia="zh-CN"/>
        </w:rPr>
        <w:t>新技术或工艺对温室气体放有影响需要纳入的，</w:t>
      </w:r>
      <w:r>
        <w:rPr>
          <w:rFonts w:hint="eastAsia" w:hAnsi="宋体" w:cs="宋体"/>
          <w:color w:val="auto"/>
          <w:kern w:val="2"/>
          <w:sz w:val="21"/>
          <w:szCs w:val="21"/>
        </w:rPr>
        <w:t>可在下一版中进行补充修订。</w:t>
      </w:r>
    </w:p>
    <w:p w14:paraId="34C2D713">
      <w:pPr>
        <w:widowControl w:val="0"/>
        <w:spacing w:after="0" w:line="360" w:lineRule="auto"/>
        <w:rPr>
          <w:rFonts w:hint="eastAsia" w:ascii="宋体" w:hAnsi="宋体" w:eastAsia="宋体" w:cs="宋体"/>
          <w:color w:val="auto"/>
          <w:sz w:val="24"/>
          <w:szCs w:val="24"/>
          <w:highlight w:val="yellow"/>
        </w:rPr>
      </w:pPr>
    </w:p>
    <w:p w14:paraId="5A471E83">
      <w:pPr>
        <w:widowControl w:val="0"/>
        <w:spacing w:after="0" w:line="360" w:lineRule="auto"/>
        <w:rPr>
          <w:rFonts w:hint="eastAsia" w:ascii="宋体" w:hAnsi="宋体" w:eastAsia="宋体" w:cs="宋体"/>
          <w:color w:val="auto"/>
          <w:sz w:val="24"/>
          <w:szCs w:val="24"/>
          <w:highlight w:val="yellow"/>
        </w:rPr>
      </w:pPr>
    </w:p>
    <w:p w14:paraId="642CABCC">
      <w:pPr>
        <w:widowControl w:val="0"/>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rPr>
        <w:t>铜加工企业</w:t>
      </w:r>
      <w:r>
        <w:rPr>
          <w:rFonts w:hint="eastAsia" w:ascii="宋体" w:hAnsi="宋体" w:eastAsia="宋体" w:cs="宋体"/>
          <w:color w:val="auto"/>
          <w:sz w:val="21"/>
          <w:szCs w:val="21"/>
          <w:lang w:val="en-US" w:eastAsia="zh-CN"/>
        </w:rPr>
        <w:t>温室气体排放</w:t>
      </w:r>
      <w:r>
        <w:rPr>
          <w:rFonts w:hint="eastAsia" w:ascii="宋体" w:hAnsi="宋体" w:eastAsia="宋体" w:cs="宋体"/>
          <w:color w:val="auto"/>
          <w:sz w:val="21"/>
          <w:szCs w:val="21"/>
        </w:rPr>
        <w:t>核算与报告要求</w:t>
      </w:r>
      <w:r>
        <w:rPr>
          <w:rFonts w:hint="eastAsia" w:ascii="宋体" w:hAnsi="宋体" w:eastAsia="宋体" w:cs="宋体"/>
          <w:color w:val="auto"/>
          <w:sz w:val="21"/>
          <w:szCs w:val="21"/>
          <w:highlight w:val="none"/>
          <w:lang w:val="en-US" w:eastAsia="zh-CN"/>
        </w:rPr>
        <w:t>》</w:t>
      </w:r>
    </w:p>
    <w:p w14:paraId="610F0128">
      <w:pPr>
        <w:widowControl w:val="0"/>
        <w:spacing w:after="0" w:line="360" w:lineRule="auto"/>
        <w:ind w:firstLine="4200" w:firstLineChars="20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标准编制组</w:t>
      </w:r>
    </w:p>
    <w:p w14:paraId="381B1B58">
      <w:pPr>
        <w:widowControl w:val="0"/>
        <w:spacing w:after="0" w:line="360" w:lineRule="auto"/>
        <w:ind w:firstLine="4200" w:firstLineChars="20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2025.09.30</w:t>
      </w:r>
    </w:p>
    <w:p w14:paraId="697C3D65">
      <w:pPr>
        <w:pStyle w:val="6"/>
        <w:rPr>
          <w:rFonts w:hint="eastAsia" w:ascii="宋体" w:hAnsi="宋体" w:eastAsia="宋体" w:cs="宋体"/>
          <w:color w:val="auto"/>
          <w:sz w:val="24"/>
          <w:szCs w:val="24"/>
          <w:highlight w:val="none"/>
          <w:lang w:val="en-US" w:eastAsia="zh-CN"/>
        </w:rPr>
      </w:pPr>
    </w:p>
    <w:p w14:paraId="6F9786E4">
      <w:pPr>
        <w:pStyle w:val="6"/>
        <w:rPr>
          <w:rFonts w:hint="eastAsia" w:ascii="宋体" w:hAnsi="宋体" w:eastAsia="宋体" w:cs="宋体"/>
          <w:color w:val="auto"/>
          <w:sz w:val="24"/>
          <w:szCs w:val="24"/>
          <w:highlight w:val="none"/>
          <w:lang w:val="en-US" w:eastAsia="zh-CN"/>
        </w:rPr>
      </w:pPr>
    </w:p>
    <w:p w14:paraId="3D99F9A5">
      <w:pPr>
        <w:pStyle w:val="6"/>
        <w:rPr>
          <w:rFonts w:hint="eastAsia" w:ascii="宋体" w:hAnsi="宋体" w:eastAsia="宋体" w:cs="宋体"/>
          <w:color w:val="auto"/>
          <w:sz w:val="24"/>
          <w:szCs w:val="24"/>
          <w:highlight w:val="none"/>
          <w:lang w:val="en-US" w:eastAsia="zh-CN"/>
        </w:rPr>
      </w:pPr>
    </w:p>
    <w:p w14:paraId="31B8CA9F">
      <w:pPr>
        <w:pStyle w:val="6"/>
        <w:rPr>
          <w:rFonts w:hint="eastAsia" w:ascii="宋体" w:hAnsi="宋体" w:eastAsia="宋体" w:cs="宋体"/>
          <w:color w:val="auto"/>
          <w:sz w:val="24"/>
          <w:szCs w:val="24"/>
          <w:highlight w:val="none"/>
          <w:lang w:val="en-US" w:eastAsia="zh-CN"/>
        </w:rPr>
      </w:pPr>
    </w:p>
    <w:p w14:paraId="5B6C0F75">
      <w:pPr>
        <w:pStyle w:val="6"/>
        <w:rPr>
          <w:rFonts w:hint="eastAsia" w:ascii="宋体" w:hAnsi="宋体" w:eastAsia="宋体" w:cs="宋体"/>
          <w:color w:val="auto"/>
          <w:sz w:val="24"/>
          <w:szCs w:val="24"/>
          <w:highlight w:val="none"/>
          <w:lang w:val="en-US" w:eastAsia="zh-CN"/>
        </w:rPr>
      </w:pPr>
    </w:p>
    <w:p w14:paraId="6845571F">
      <w:pPr>
        <w:pStyle w:val="6"/>
        <w:rPr>
          <w:rFonts w:hint="eastAsia" w:ascii="宋体" w:hAnsi="宋体" w:eastAsia="宋体" w:cs="宋体"/>
          <w:color w:val="auto"/>
          <w:sz w:val="24"/>
          <w:szCs w:val="24"/>
          <w:highlight w:val="none"/>
          <w:lang w:val="en-US" w:eastAsia="zh-CN"/>
        </w:rPr>
      </w:pPr>
    </w:p>
    <w:p w14:paraId="64E800A8">
      <w:pPr>
        <w:pStyle w:val="6"/>
        <w:rPr>
          <w:rFonts w:hint="eastAsia" w:ascii="宋体" w:hAnsi="宋体" w:eastAsia="宋体" w:cs="宋体"/>
          <w:color w:val="auto"/>
          <w:sz w:val="24"/>
          <w:szCs w:val="24"/>
          <w:highlight w:val="none"/>
          <w:lang w:val="en-US" w:eastAsia="zh-CN"/>
        </w:rPr>
      </w:pPr>
    </w:p>
    <w:p w14:paraId="1273C357">
      <w:pPr>
        <w:pStyle w:val="6"/>
        <w:rPr>
          <w:rFonts w:hint="eastAsia" w:ascii="宋体" w:hAnsi="宋体" w:eastAsia="宋体" w:cs="宋体"/>
          <w:color w:val="auto"/>
          <w:sz w:val="24"/>
          <w:szCs w:val="24"/>
          <w:highlight w:val="none"/>
          <w:lang w:val="en-US" w:eastAsia="zh-CN"/>
        </w:rPr>
      </w:pPr>
    </w:p>
    <w:p w14:paraId="24B95894">
      <w:pPr>
        <w:pStyle w:val="6"/>
        <w:rPr>
          <w:color w:val="auto"/>
        </w:rPr>
      </w:pPr>
    </w:p>
    <w:p w14:paraId="7CA51B61">
      <w:pPr>
        <w:pStyle w:val="6"/>
        <w:rPr>
          <w:color w:val="auto"/>
        </w:rPr>
      </w:pPr>
    </w:p>
    <w:p w14:paraId="20DA45ED">
      <w:pPr>
        <w:pStyle w:val="6"/>
        <w:rPr>
          <w:color w:val="auto"/>
        </w:rPr>
      </w:pPr>
    </w:p>
    <w:p w14:paraId="6E7A6BA3">
      <w:pPr>
        <w:pStyle w:val="6"/>
        <w:rPr>
          <w:rFonts w:hint="default"/>
          <w:color w:val="auto"/>
          <w:lang w:val="en-US" w:eastAsia="zh-CN"/>
        </w:rPr>
      </w:pPr>
    </w:p>
    <w:sectPr>
      <w:headerReference r:id="rId4" w:type="default"/>
      <w:footerReference r:id="rId5" w:type="default"/>
      <w:pgSz w:w="11906" w:h="16838"/>
      <w:pgMar w:top="1440" w:right="1633" w:bottom="1440" w:left="1633"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275893"/>
    </w:sdtPr>
    <w:sdtContent>
      <w:p w14:paraId="6C9DD574">
        <w:pPr>
          <w:pStyle w:val="11"/>
          <w:jc w:val="center"/>
        </w:pPr>
        <w:r>
          <w:fldChar w:fldCharType="begin"/>
        </w:r>
        <w:r>
          <w:instrText xml:space="preserve">PAGE   \* MERGEFORMAT</w:instrText>
        </w:r>
        <w:r>
          <w:fldChar w:fldCharType="separate"/>
        </w:r>
        <w:r>
          <w:rPr>
            <w:lang w:val="zh-CN"/>
          </w:rPr>
          <w:t>12</w:t>
        </w:r>
        <w:r>
          <w:rPr>
            <w:lang w:val="zh-CN"/>
          </w:rPr>
          <w:fldChar w:fldCharType="end"/>
        </w:r>
      </w:p>
    </w:sdtContent>
  </w:sdt>
  <w:p w14:paraId="252BC89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CC0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C1184"/>
    <w:multiLevelType w:val="singleLevel"/>
    <w:tmpl w:val="C05C1184"/>
    <w:lvl w:ilvl="0" w:tentative="0">
      <w:start w:val="1"/>
      <w:numFmt w:val="decimal"/>
      <w:suff w:val="nothing"/>
      <w:lvlText w:val="（%1）"/>
      <w:lvlJc w:val="left"/>
    </w:lvl>
  </w:abstractNum>
  <w:abstractNum w:abstractNumId="1">
    <w:nsid w:val="0E2B40FB"/>
    <w:multiLevelType w:val="singleLevel"/>
    <w:tmpl w:val="0E2B40FB"/>
    <w:lvl w:ilvl="0" w:tentative="0">
      <w:start w:val="1"/>
      <w:numFmt w:val="upperLetter"/>
      <w:lvlText w:val="%1."/>
      <w:lvlJc w:val="left"/>
      <w:pPr>
        <w:tabs>
          <w:tab w:val="left" w:pos="312"/>
        </w:tabs>
      </w:pPr>
    </w:lvl>
  </w:abstractNum>
  <w:abstractNum w:abstractNumId="2">
    <w:nsid w:val="28503306"/>
    <w:multiLevelType w:val="multilevel"/>
    <w:tmpl w:val="2850330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BF2C7A5"/>
    <w:multiLevelType w:val="singleLevel"/>
    <w:tmpl w:val="3BF2C7A5"/>
    <w:lvl w:ilvl="0" w:tentative="0">
      <w:start w:val="2"/>
      <w:numFmt w:val="decimal"/>
      <w:suff w:val="nothing"/>
      <w:lvlText w:val="（%1）"/>
      <w:lvlJc w:val="left"/>
    </w:lvl>
  </w:abstractNum>
  <w:abstractNum w:abstractNumId="4">
    <w:nsid w:val="49172A3B"/>
    <w:multiLevelType w:val="multilevel"/>
    <w:tmpl w:val="49172A3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zRmMzVkZGU0NjcxMDNjYzQ1MWE0YmZjNzAwY2I0MDYifQ=="/>
    <w:docVar w:name="KSO_WPS_MARK_KEY" w:val="2f40944f-a4ff-4e4c-a740-27215803e76e"/>
  </w:docVars>
  <w:rsids>
    <w:rsidRoot w:val="00D31D50"/>
    <w:rsid w:val="00000974"/>
    <w:rsid w:val="000056B9"/>
    <w:rsid w:val="00010F2B"/>
    <w:rsid w:val="000225FB"/>
    <w:rsid w:val="00031435"/>
    <w:rsid w:val="00031DB2"/>
    <w:rsid w:val="00032F66"/>
    <w:rsid w:val="000378DF"/>
    <w:rsid w:val="00043DAB"/>
    <w:rsid w:val="00053E05"/>
    <w:rsid w:val="000578F2"/>
    <w:rsid w:val="00061532"/>
    <w:rsid w:val="0006262D"/>
    <w:rsid w:val="00062ABE"/>
    <w:rsid w:val="000641B3"/>
    <w:rsid w:val="0006439C"/>
    <w:rsid w:val="00064DCE"/>
    <w:rsid w:val="00064E48"/>
    <w:rsid w:val="00073713"/>
    <w:rsid w:val="00080F79"/>
    <w:rsid w:val="000814F5"/>
    <w:rsid w:val="00083740"/>
    <w:rsid w:val="00085538"/>
    <w:rsid w:val="00091305"/>
    <w:rsid w:val="00091647"/>
    <w:rsid w:val="000943D9"/>
    <w:rsid w:val="00097BB7"/>
    <w:rsid w:val="000A0DF8"/>
    <w:rsid w:val="000A2089"/>
    <w:rsid w:val="000A424F"/>
    <w:rsid w:val="000A4C04"/>
    <w:rsid w:val="000B07BB"/>
    <w:rsid w:val="000B160F"/>
    <w:rsid w:val="000B19B0"/>
    <w:rsid w:val="000B3B8A"/>
    <w:rsid w:val="000B3ED2"/>
    <w:rsid w:val="000C2648"/>
    <w:rsid w:val="000C5C71"/>
    <w:rsid w:val="000D0B48"/>
    <w:rsid w:val="000D2C06"/>
    <w:rsid w:val="000D2E25"/>
    <w:rsid w:val="000D3D9B"/>
    <w:rsid w:val="000D6235"/>
    <w:rsid w:val="000D7235"/>
    <w:rsid w:val="000D7C2D"/>
    <w:rsid w:val="000E628F"/>
    <w:rsid w:val="000E75DB"/>
    <w:rsid w:val="000F5019"/>
    <w:rsid w:val="00100E6C"/>
    <w:rsid w:val="00102DDF"/>
    <w:rsid w:val="00103F91"/>
    <w:rsid w:val="00104355"/>
    <w:rsid w:val="0010719B"/>
    <w:rsid w:val="00110E0D"/>
    <w:rsid w:val="00111318"/>
    <w:rsid w:val="00120611"/>
    <w:rsid w:val="00120A25"/>
    <w:rsid w:val="00133DB7"/>
    <w:rsid w:val="001352AB"/>
    <w:rsid w:val="001451DE"/>
    <w:rsid w:val="00150F9A"/>
    <w:rsid w:val="001520C0"/>
    <w:rsid w:val="001558DC"/>
    <w:rsid w:val="001564F9"/>
    <w:rsid w:val="00156862"/>
    <w:rsid w:val="001635B1"/>
    <w:rsid w:val="001671D9"/>
    <w:rsid w:val="001679DD"/>
    <w:rsid w:val="00167D23"/>
    <w:rsid w:val="00171D5D"/>
    <w:rsid w:val="001728E8"/>
    <w:rsid w:val="001740AB"/>
    <w:rsid w:val="00176596"/>
    <w:rsid w:val="001767F8"/>
    <w:rsid w:val="00182303"/>
    <w:rsid w:val="00183208"/>
    <w:rsid w:val="00183933"/>
    <w:rsid w:val="0018767C"/>
    <w:rsid w:val="001903F0"/>
    <w:rsid w:val="00191B24"/>
    <w:rsid w:val="0019642A"/>
    <w:rsid w:val="001A0815"/>
    <w:rsid w:val="001A3146"/>
    <w:rsid w:val="001A40E8"/>
    <w:rsid w:val="001A43F3"/>
    <w:rsid w:val="001A5549"/>
    <w:rsid w:val="001B17FB"/>
    <w:rsid w:val="001C588C"/>
    <w:rsid w:val="001D1845"/>
    <w:rsid w:val="001D448F"/>
    <w:rsid w:val="001D51AE"/>
    <w:rsid w:val="001D588C"/>
    <w:rsid w:val="001E0CC6"/>
    <w:rsid w:val="001E5ECE"/>
    <w:rsid w:val="001F2123"/>
    <w:rsid w:val="001F218B"/>
    <w:rsid w:val="002033B0"/>
    <w:rsid w:val="00203DCF"/>
    <w:rsid w:val="00205CFB"/>
    <w:rsid w:val="00206DD1"/>
    <w:rsid w:val="00210451"/>
    <w:rsid w:val="00214C97"/>
    <w:rsid w:val="002151C3"/>
    <w:rsid w:val="00220F9C"/>
    <w:rsid w:val="0022297D"/>
    <w:rsid w:val="00235C72"/>
    <w:rsid w:val="0024176B"/>
    <w:rsid w:val="00243144"/>
    <w:rsid w:val="0024523F"/>
    <w:rsid w:val="002473EB"/>
    <w:rsid w:val="00250871"/>
    <w:rsid w:val="002530BB"/>
    <w:rsid w:val="0025432F"/>
    <w:rsid w:val="0026336A"/>
    <w:rsid w:val="00263683"/>
    <w:rsid w:val="0026489A"/>
    <w:rsid w:val="00265A25"/>
    <w:rsid w:val="00271545"/>
    <w:rsid w:val="00276707"/>
    <w:rsid w:val="00277F16"/>
    <w:rsid w:val="00280900"/>
    <w:rsid w:val="00282FF8"/>
    <w:rsid w:val="00283A80"/>
    <w:rsid w:val="002841C4"/>
    <w:rsid w:val="002842B0"/>
    <w:rsid w:val="00287D08"/>
    <w:rsid w:val="002912ED"/>
    <w:rsid w:val="00292AB7"/>
    <w:rsid w:val="00293669"/>
    <w:rsid w:val="002A0B30"/>
    <w:rsid w:val="002B1DCA"/>
    <w:rsid w:val="002B6500"/>
    <w:rsid w:val="002B7F65"/>
    <w:rsid w:val="002C22D9"/>
    <w:rsid w:val="002D0760"/>
    <w:rsid w:val="002D313B"/>
    <w:rsid w:val="002E14EC"/>
    <w:rsid w:val="002E1580"/>
    <w:rsid w:val="002E3975"/>
    <w:rsid w:val="002E42FE"/>
    <w:rsid w:val="002E4338"/>
    <w:rsid w:val="002E5140"/>
    <w:rsid w:val="002F79BA"/>
    <w:rsid w:val="003016A6"/>
    <w:rsid w:val="00301FEE"/>
    <w:rsid w:val="00302CEB"/>
    <w:rsid w:val="003062BB"/>
    <w:rsid w:val="003107A2"/>
    <w:rsid w:val="00310B8A"/>
    <w:rsid w:val="00322FA2"/>
    <w:rsid w:val="00323B43"/>
    <w:rsid w:val="00341423"/>
    <w:rsid w:val="00343E4F"/>
    <w:rsid w:val="0034403B"/>
    <w:rsid w:val="00344ABB"/>
    <w:rsid w:val="003467E4"/>
    <w:rsid w:val="00347325"/>
    <w:rsid w:val="003479C6"/>
    <w:rsid w:val="00350E66"/>
    <w:rsid w:val="0035246E"/>
    <w:rsid w:val="00352B00"/>
    <w:rsid w:val="00355472"/>
    <w:rsid w:val="00362460"/>
    <w:rsid w:val="00374C96"/>
    <w:rsid w:val="003753E8"/>
    <w:rsid w:val="00377B0F"/>
    <w:rsid w:val="00382F5F"/>
    <w:rsid w:val="0038529C"/>
    <w:rsid w:val="00391640"/>
    <w:rsid w:val="003924F9"/>
    <w:rsid w:val="00392641"/>
    <w:rsid w:val="003A0D0D"/>
    <w:rsid w:val="003A13C6"/>
    <w:rsid w:val="003A4EEF"/>
    <w:rsid w:val="003A7ADE"/>
    <w:rsid w:val="003C4829"/>
    <w:rsid w:val="003C63C8"/>
    <w:rsid w:val="003D055F"/>
    <w:rsid w:val="003D2901"/>
    <w:rsid w:val="003D37D8"/>
    <w:rsid w:val="003D4A59"/>
    <w:rsid w:val="003E2FA0"/>
    <w:rsid w:val="003E5EBC"/>
    <w:rsid w:val="003F090F"/>
    <w:rsid w:val="003F2D41"/>
    <w:rsid w:val="003F4DB7"/>
    <w:rsid w:val="003F59C7"/>
    <w:rsid w:val="00403502"/>
    <w:rsid w:val="00412EED"/>
    <w:rsid w:val="0041312D"/>
    <w:rsid w:val="004157BB"/>
    <w:rsid w:val="00415F01"/>
    <w:rsid w:val="004211CA"/>
    <w:rsid w:val="00423DC8"/>
    <w:rsid w:val="00424ED0"/>
    <w:rsid w:val="00426133"/>
    <w:rsid w:val="00432F09"/>
    <w:rsid w:val="004358AB"/>
    <w:rsid w:val="0043703B"/>
    <w:rsid w:val="0044445C"/>
    <w:rsid w:val="00456F51"/>
    <w:rsid w:val="00460DFD"/>
    <w:rsid w:val="004651FA"/>
    <w:rsid w:val="00467CFA"/>
    <w:rsid w:val="004700A9"/>
    <w:rsid w:val="00474C60"/>
    <w:rsid w:val="00481578"/>
    <w:rsid w:val="00481BFA"/>
    <w:rsid w:val="00483147"/>
    <w:rsid w:val="00483F9B"/>
    <w:rsid w:val="004864A0"/>
    <w:rsid w:val="00493EE3"/>
    <w:rsid w:val="004A4770"/>
    <w:rsid w:val="004A68C9"/>
    <w:rsid w:val="004A7AFB"/>
    <w:rsid w:val="004B0159"/>
    <w:rsid w:val="004B17C9"/>
    <w:rsid w:val="004B33D4"/>
    <w:rsid w:val="004B603F"/>
    <w:rsid w:val="004B6B29"/>
    <w:rsid w:val="004C0218"/>
    <w:rsid w:val="004C0A44"/>
    <w:rsid w:val="004D652F"/>
    <w:rsid w:val="004D716E"/>
    <w:rsid w:val="004E02C2"/>
    <w:rsid w:val="004E390A"/>
    <w:rsid w:val="004F7D43"/>
    <w:rsid w:val="0051048C"/>
    <w:rsid w:val="00513E6E"/>
    <w:rsid w:val="005156BA"/>
    <w:rsid w:val="005167E0"/>
    <w:rsid w:val="005203F4"/>
    <w:rsid w:val="00522416"/>
    <w:rsid w:val="00524F02"/>
    <w:rsid w:val="00526FDC"/>
    <w:rsid w:val="005274E9"/>
    <w:rsid w:val="00530A79"/>
    <w:rsid w:val="00530ACD"/>
    <w:rsid w:val="005330C4"/>
    <w:rsid w:val="0054124F"/>
    <w:rsid w:val="0054130B"/>
    <w:rsid w:val="0054794A"/>
    <w:rsid w:val="00547A43"/>
    <w:rsid w:val="00551385"/>
    <w:rsid w:val="00571216"/>
    <w:rsid w:val="00580CF8"/>
    <w:rsid w:val="00584714"/>
    <w:rsid w:val="00587BDA"/>
    <w:rsid w:val="00590D4C"/>
    <w:rsid w:val="0059639D"/>
    <w:rsid w:val="005A1DFD"/>
    <w:rsid w:val="005A6335"/>
    <w:rsid w:val="005B434D"/>
    <w:rsid w:val="005B44B0"/>
    <w:rsid w:val="005B6D6F"/>
    <w:rsid w:val="005C21B3"/>
    <w:rsid w:val="005C2709"/>
    <w:rsid w:val="005C3E5B"/>
    <w:rsid w:val="005C63BC"/>
    <w:rsid w:val="005D1ACB"/>
    <w:rsid w:val="005D2AED"/>
    <w:rsid w:val="005D64F4"/>
    <w:rsid w:val="005E269E"/>
    <w:rsid w:val="005E28DC"/>
    <w:rsid w:val="005E2CF3"/>
    <w:rsid w:val="005E4C5F"/>
    <w:rsid w:val="005E7BA3"/>
    <w:rsid w:val="005F48A4"/>
    <w:rsid w:val="005F76AA"/>
    <w:rsid w:val="00602D4F"/>
    <w:rsid w:val="00602E1A"/>
    <w:rsid w:val="006037C9"/>
    <w:rsid w:val="0061014F"/>
    <w:rsid w:val="006115A0"/>
    <w:rsid w:val="00612402"/>
    <w:rsid w:val="006137BD"/>
    <w:rsid w:val="00616670"/>
    <w:rsid w:val="006173B1"/>
    <w:rsid w:val="006301E4"/>
    <w:rsid w:val="00633258"/>
    <w:rsid w:val="00634FE4"/>
    <w:rsid w:val="00641BC7"/>
    <w:rsid w:val="00643110"/>
    <w:rsid w:val="00646971"/>
    <w:rsid w:val="0065040F"/>
    <w:rsid w:val="00652213"/>
    <w:rsid w:val="00657B66"/>
    <w:rsid w:val="00660A69"/>
    <w:rsid w:val="00662711"/>
    <w:rsid w:val="00665F5E"/>
    <w:rsid w:val="00666969"/>
    <w:rsid w:val="00673AEF"/>
    <w:rsid w:val="0068038F"/>
    <w:rsid w:val="00681376"/>
    <w:rsid w:val="00682B9B"/>
    <w:rsid w:val="00684426"/>
    <w:rsid w:val="00684581"/>
    <w:rsid w:val="0068610F"/>
    <w:rsid w:val="0068673F"/>
    <w:rsid w:val="006876E7"/>
    <w:rsid w:val="0069530C"/>
    <w:rsid w:val="00697225"/>
    <w:rsid w:val="00697E7E"/>
    <w:rsid w:val="006A1494"/>
    <w:rsid w:val="006A1A83"/>
    <w:rsid w:val="006A656D"/>
    <w:rsid w:val="006A71CF"/>
    <w:rsid w:val="006B5A60"/>
    <w:rsid w:val="006B5C37"/>
    <w:rsid w:val="006B6305"/>
    <w:rsid w:val="006C04BF"/>
    <w:rsid w:val="006C04CA"/>
    <w:rsid w:val="006C7E3E"/>
    <w:rsid w:val="006D5A2E"/>
    <w:rsid w:val="006E17FF"/>
    <w:rsid w:val="006F1173"/>
    <w:rsid w:val="006F7378"/>
    <w:rsid w:val="00701671"/>
    <w:rsid w:val="00703615"/>
    <w:rsid w:val="00706E3A"/>
    <w:rsid w:val="00715D5C"/>
    <w:rsid w:val="007207E1"/>
    <w:rsid w:val="00721A16"/>
    <w:rsid w:val="00722AD9"/>
    <w:rsid w:val="00724123"/>
    <w:rsid w:val="007256F5"/>
    <w:rsid w:val="00726FC6"/>
    <w:rsid w:val="007308A0"/>
    <w:rsid w:val="0073126E"/>
    <w:rsid w:val="007346BF"/>
    <w:rsid w:val="0073502C"/>
    <w:rsid w:val="0073544E"/>
    <w:rsid w:val="00742256"/>
    <w:rsid w:val="0074606A"/>
    <w:rsid w:val="00762289"/>
    <w:rsid w:val="00770E15"/>
    <w:rsid w:val="00771D99"/>
    <w:rsid w:val="007723B0"/>
    <w:rsid w:val="007752AA"/>
    <w:rsid w:val="007800F4"/>
    <w:rsid w:val="00786DE6"/>
    <w:rsid w:val="007879FD"/>
    <w:rsid w:val="007909B6"/>
    <w:rsid w:val="007945A1"/>
    <w:rsid w:val="00794E7B"/>
    <w:rsid w:val="0079715A"/>
    <w:rsid w:val="007A64C7"/>
    <w:rsid w:val="007B0E35"/>
    <w:rsid w:val="007B1472"/>
    <w:rsid w:val="007B28E2"/>
    <w:rsid w:val="007B46D8"/>
    <w:rsid w:val="007B4D31"/>
    <w:rsid w:val="007B4F75"/>
    <w:rsid w:val="007B52C8"/>
    <w:rsid w:val="007B7460"/>
    <w:rsid w:val="007B762F"/>
    <w:rsid w:val="007C0B67"/>
    <w:rsid w:val="007C0FB4"/>
    <w:rsid w:val="007C20A5"/>
    <w:rsid w:val="007C517F"/>
    <w:rsid w:val="007C59AC"/>
    <w:rsid w:val="007D00EC"/>
    <w:rsid w:val="007D6D45"/>
    <w:rsid w:val="007E3174"/>
    <w:rsid w:val="007F3068"/>
    <w:rsid w:val="008008B8"/>
    <w:rsid w:val="00802A9C"/>
    <w:rsid w:val="008050A4"/>
    <w:rsid w:val="008139FA"/>
    <w:rsid w:val="00814D3E"/>
    <w:rsid w:val="008236A7"/>
    <w:rsid w:val="0082467C"/>
    <w:rsid w:val="00832A71"/>
    <w:rsid w:val="008335E3"/>
    <w:rsid w:val="0083763F"/>
    <w:rsid w:val="0084113D"/>
    <w:rsid w:val="00841882"/>
    <w:rsid w:val="00841A18"/>
    <w:rsid w:val="00842248"/>
    <w:rsid w:val="00843F49"/>
    <w:rsid w:val="00851F17"/>
    <w:rsid w:val="00854E24"/>
    <w:rsid w:val="008606F5"/>
    <w:rsid w:val="008613BE"/>
    <w:rsid w:val="0086221E"/>
    <w:rsid w:val="00863B99"/>
    <w:rsid w:val="0086579F"/>
    <w:rsid w:val="00867341"/>
    <w:rsid w:val="008723D8"/>
    <w:rsid w:val="00872E9F"/>
    <w:rsid w:val="00876363"/>
    <w:rsid w:val="00876DE9"/>
    <w:rsid w:val="00882D96"/>
    <w:rsid w:val="00883E79"/>
    <w:rsid w:val="00884849"/>
    <w:rsid w:val="00884AFA"/>
    <w:rsid w:val="00884CBD"/>
    <w:rsid w:val="00886D9A"/>
    <w:rsid w:val="0089157C"/>
    <w:rsid w:val="0089285B"/>
    <w:rsid w:val="00893896"/>
    <w:rsid w:val="00895C94"/>
    <w:rsid w:val="00895D0B"/>
    <w:rsid w:val="00896846"/>
    <w:rsid w:val="00896CC1"/>
    <w:rsid w:val="00897FEB"/>
    <w:rsid w:val="008A4713"/>
    <w:rsid w:val="008A68F3"/>
    <w:rsid w:val="008A69C9"/>
    <w:rsid w:val="008B3FEF"/>
    <w:rsid w:val="008B6000"/>
    <w:rsid w:val="008B7726"/>
    <w:rsid w:val="008C1907"/>
    <w:rsid w:val="008C60E2"/>
    <w:rsid w:val="008D3EC8"/>
    <w:rsid w:val="008D3F35"/>
    <w:rsid w:val="008D5ABD"/>
    <w:rsid w:val="008F02C9"/>
    <w:rsid w:val="008F1124"/>
    <w:rsid w:val="008F1C60"/>
    <w:rsid w:val="008F5338"/>
    <w:rsid w:val="00900081"/>
    <w:rsid w:val="009016E6"/>
    <w:rsid w:val="00901B4B"/>
    <w:rsid w:val="00902287"/>
    <w:rsid w:val="0090316E"/>
    <w:rsid w:val="009064FD"/>
    <w:rsid w:val="0090743F"/>
    <w:rsid w:val="00911030"/>
    <w:rsid w:val="00920D83"/>
    <w:rsid w:val="009219BC"/>
    <w:rsid w:val="00923811"/>
    <w:rsid w:val="00927510"/>
    <w:rsid w:val="00927560"/>
    <w:rsid w:val="00930242"/>
    <w:rsid w:val="0093052A"/>
    <w:rsid w:val="00931683"/>
    <w:rsid w:val="00932433"/>
    <w:rsid w:val="00937EA1"/>
    <w:rsid w:val="00937FA4"/>
    <w:rsid w:val="00943C51"/>
    <w:rsid w:val="00951222"/>
    <w:rsid w:val="009524DB"/>
    <w:rsid w:val="00952A7A"/>
    <w:rsid w:val="0095340B"/>
    <w:rsid w:val="00954638"/>
    <w:rsid w:val="00960AF6"/>
    <w:rsid w:val="0096126E"/>
    <w:rsid w:val="00963C39"/>
    <w:rsid w:val="009667C0"/>
    <w:rsid w:val="00970E6E"/>
    <w:rsid w:val="0097196E"/>
    <w:rsid w:val="0097383D"/>
    <w:rsid w:val="00982575"/>
    <w:rsid w:val="00983F7E"/>
    <w:rsid w:val="00984020"/>
    <w:rsid w:val="009879F1"/>
    <w:rsid w:val="00987CA8"/>
    <w:rsid w:val="00991505"/>
    <w:rsid w:val="00992754"/>
    <w:rsid w:val="0099458B"/>
    <w:rsid w:val="009A0187"/>
    <w:rsid w:val="009A083D"/>
    <w:rsid w:val="009C11A3"/>
    <w:rsid w:val="009C4CED"/>
    <w:rsid w:val="009C5D41"/>
    <w:rsid w:val="009D09C6"/>
    <w:rsid w:val="009D1AC6"/>
    <w:rsid w:val="009D1CA0"/>
    <w:rsid w:val="009D4C6E"/>
    <w:rsid w:val="009D4E64"/>
    <w:rsid w:val="009D5A21"/>
    <w:rsid w:val="009D5E0B"/>
    <w:rsid w:val="009E12CA"/>
    <w:rsid w:val="009E1CFE"/>
    <w:rsid w:val="009E30D7"/>
    <w:rsid w:val="009E54FD"/>
    <w:rsid w:val="009F1D60"/>
    <w:rsid w:val="009F4BBD"/>
    <w:rsid w:val="009F7D53"/>
    <w:rsid w:val="00A000ED"/>
    <w:rsid w:val="00A05359"/>
    <w:rsid w:val="00A06302"/>
    <w:rsid w:val="00A137BF"/>
    <w:rsid w:val="00A156E4"/>
    <w:rsid w:val="00A3248B"/>
    <w:rsid w:val="00A33849"/>
    <w:rsid w:val="00A3638C"/>
    <w:rsid w:val="00A405AD"/>
    <w:rsid w:val="00A42165"/>
    <w:rsid w:val="00A43FFA"/>
    <w:rsid w:val="00A44273"/>
    <w:rsid w:val="00A476D1"/>
    <w:rsid w:val="00A53A3F"/>
    <w:rsid w:val="00A54C78"/>
    <w:rsid w:val="00A642CA"/>
    <w:rsid w:val="00A6612A"/>
    <w:rsid w:val="00A70F89"/>
    <w:rsid w:val="00A73E30"/>
    <w:rsid w:val="00A76500"/>
    <w:rsid w:val="00A837B0"/>
    <w:rsid w:val="00A83F2D"/>
    <w:rsid w:val="00A85451"/>
    <w:rsid w:val="00A91AA4"/>
    <w:rsid w:val="00A927DB"/>
    <w:rsid w:val="00AB12C2"/>
    <w:rsid w:val="00AB3817"/>
    <w:rsid w:val="00AB4242"/>
    <w:rsid w:val="00AB6F5B"/>
    <w:rsid w:val="00AB7BE6"/>
    <w:rsid w:val="00AD2E89"/>
    <w:rsid w:val="00AE40EF"/>
    <w:rsid w:val="00AE461A"/>
    <w:rsid w:val="00AE508D"/>
    <w:rsid w:val="00AE5577"/>
    <w:rsid w:val="00AF3673"/>
    <w:rsid w:val="00AF6C3C"/>
    <w:rsid w:val="00B00C63"/>
    <w:rsid w:val="00B01221"/>
    <w:rsid w:val="00B05746"/>
    <w:rsid w:val="00B10D2C"/>
    <w:rsid w:val="00B14F91"/>
    <w:rsid w:val="00B20A30"/>
    <w:rsid w:val="00B20A4E"/>
    <w:rsid w:val="00B2574D"/>
    <w:rsid w:val="00B26330"/>
    <w:rsid w:val="00B32678"/>
    <w:rsid w:val="00B33AD1"/>
    <w:rsid w:val="00B44567"/>
    <w:rsid w:val="00B44EF7"/>
    <w:rsid w:val="00B45E38"/>
    <w:rsid w:val="00B464F1"/>
    <w:rsid w:val="00B475E7"/>
    <w:rsid w:val="00B47E44"/>
    <w:rsid w:val="00B52C47"/>
    <w:rsid w:val="00B565FC"/>
    <w:rsid w:val="00B56618"/>
    <w:rsid w:val="00B570B4"/>
    <w:rsid w:val="00B617E4"/>
    <w:rsid w:val="00B621A1"/>
    <w:rsid w:val="00B634F5"/>
    <w:rsid w:val="00B671E4"/>
    <w:rsid w:val="00B749FB"/>
    <w:rsid w:val="00B756E8"/>
    <w:rsid w:val="00B80D04"/>
    <w:rsid w:val="00B84CFF"/>
    <w:rsid w:val="00B84ED6"/>
    <w:rsid w:val="00B85A09"/>
    <w:rsid w:val="00B9365E"/>
    <w:rsid w:val="00BA5163"/>
    <w:rsid w:val="00BB2ECD"/>
    <w:rsid w:val="00BB3734"/>
    <w:rsid w:val="00BB3BC0"/>
    <w:rsid w:val="00BC00EC"/>
    <w:rsid w:val="00BD08B9"/>
    <w:rsid w:val="00BD2782"/>
    <w:rsid w:val="00BD2784"/>
    <w:rsid w:val="00BE008D"/>
    <w:rsid w:val="00BE0770"/>
    <w:rsid w:val="00BE44ED"/>
    <w:rsid w:val="00BF060C"/>
    <w:rsid w:val="00BF2A06"/>
    <w:rsid w:val="00BF5BD6"/>
    <w:rsid w:val="00C02A62"/>
    <w:rsid w:val="00C05CB0"/>
    <w:rsid w:val="00C0751F"/>
    <w:rsid w:val="00C10586"/>
    <w:rsid w:val="00C12286"/>
    <w:rsid w:val="00C12810"/>
    <w:rsid w:val="00C13E17"/>
    <w:rsid w:val="00C16518"/>
    <w:rsid w:val="00C205EC"/>
    <w:rsid w:val="00C3063B"/>
    <w:rsid w:val="00C40AA3"/>
    <w:rsid w:val="00C41009"/>
    <w:rsid w:val="00C412CD"/>
    <w:rsid w:val="00C416E6"/>
    <w:rsid w:val="00C450E2"/>
    <w:rsid w:val="00C46A73"/>
    <w:rsid w:val="00C514C7"/>
    <w:rsid w:val="00C51EB4"/>
    <w:rsid w:val="00C545BD"/>
    <w:rsid w:val="00C552F1"/>
    <w:rsid w:val="00C560AD"/>
    <w:rsid w:val="00C570F9"/>
    <w:rsid w:val="00C576A5"/>
    <w:rsid w:val="00C605C7"/>
    <w:rsid w:val="00C60A18"/>
    <w:rsid w:val="00C627BC"/>
    <w:rsid w:val="00C62853"/>
    <w:rsid w:val="00C63ABA"/>
    <w:rsid w:val="00C66853"/>
    <w:rsid w:val="00C67DC5"/>
    <w:rsid w:val="00C70A58"/>
    <w:rsid w:val="00C736BE"/>
    <w:rsid w:val="00C756D4"/>
    <w:rsid w:val="00C77C89"/>
    <w:rsid w:val="00C81380"/>
    <w:rsid w:val="00C85570"/>
    <w:rsid w:val="00C92E8E"/>
    <w:rsid w:val="00C9643B"/>
    <w:rsid w:val="00C96736"/>
    <w:rsid w:val="00CA447D"/>
    <w:rsid w:val="00CA506A"/>
    <w:rsid w:val="00CB06A6"/>
    <w:rsid w:val="00CB1622"/>
    <w:rsid w:val="00CB2734"/>
    <w:rsid w:val="00CB2D09"/>
    <w:rsid w:val="00CB5C80"/>
    <w:rsid w:val="00CC568C"/>
    <w:rsid w:val="00CC6BC6"/>
    <w:rsid w:val="00CD1F2C"/>
    <w:rsid w:val="00CD42C3"/>
    <w:rsid w:val="00CF340C"/>
    <w:rsid w:val="00CF415B"/>
    <w:rsid w:val="00CF64A5"/>
    <w:rsid w:val="00D021B4"/>
    <w:rsid w:val="00D022E1"/>
    <w:rsid w:val="00D059E0"/>
    <w:rsid w:val="00D07652"/>
    <w:rsid w:val="00D246C1"/>
    <w:rsid w:val="00D24AE3"/>
    <w:rsid w:val="00D31D50"/>
    <w:rsid w:val="00D33580"/>
    <w:rsid w:val="00D4088B"/>
    <w:rsid w:val="00D442F4"/>
    <w:rsid w:val="00D55959"/>
    <w:rsid w:val="00D60282"/>
    <w:rsid w:val="00D709DA"/>
    <w:rsid w:val="00D70E80"/>
    <w:rsid w:val="00D71ED7"/>
    <w:rsid w:val="00D75637"/>
    <w:rsid w:val="00D760F3"/>
    <w:rsid w:val="00D86052"/>
    <w:rsid w:val="00D94B3D"/>
    <w:rsid w:val="00D97975"/>
    <w:rsid w:val="00DA33E9"/>
    <w:rsid w:val="00DA5266"/>
    <w:rsid w:val="00DB2A7C"/>
    <w:rsid w:val="00DB42FB"/>
    <w:rsid w:val="00DB5803"/>
    <w:rsid w:val="00DB6ADF"/>
    <w:rsid w:val="00DC4716"/>
    <w:rsid w:val="00DC4B11"/>
    <w:rsid w:val="00DD137C"/>
    <w:rsid w:val="00DD3FEF"/>
    <w:rsid w:val="00DD4824"/>
    <w:rsid w:val="00DD5BCD"/>
    <w:rsid w:val="00DD6972"/>
    <w:rsid w:val="00DD7025"/>
    <w:rsid w:val="00DE0C5A"/>
    <w:rsid w:val="00DE2A74"/>
    <w:rsid w:val="00DE3D2B"/>
    <w:rsid w:val="00DE5AD9"/>
    <w:rsid w:val="00DE6DBA"/>
    <w:rsid w:val="00DF2199"/>
    <w:rsid w:val="00DF2AD1"/>
    <w:rsid w:val="00DF4870"/>
    <w:rsid w:val="00E02A4D"/>
    <w:rsid w:val="00E043D9"/>
    <w:rsid w:val="00E07CDD"/>
    <w:rsid w:val="00E10877"/>
    <w:rsid w:val="00E108C7"/>
    <w:rsid w:val="00E10E90"/>
    <w:rsid w:val="00E10F84"/>
    <w:rsid w:val="00E126E6"/>
    <w:rsid w:val="00E15665"/>
    <w:rsid w:val="00E21CA8"/>
    <w:rsid w:val="00E22B6E"/>
    <w:rsid w:val="00E2437F"/>
    <w:rsid w:val="00E27909"/>
    <w:rsid w:val="00E30E3D"/>
    <w:rsid w:val="00E40D81"/>
    <w:rsid w:val="00E42190"/>
    <w:rsid w:val="00E45DBF"/>
    <w:rsid w:val="00E5104D"/>
    <w:rsid w:val="00E62EAA"/>
    <w:rsid w:val="00E662D7"/>
    <w:rsid w:val="00E6662B"/>
    <w:rsid w:val="00E7438E"/>
    <w:rsid w:val="00E83626"/>
    <w:rsid w:val="00E83EE6"/>
    <w:rsid w:val="00E84448"/>
    <w:rsid w:val="00E84D01"/>
    <w:rsid w:val="00E85E83"/>
    <w:rsid w:val="00E908D2"/>
    <w:rsid w:val="00E90F17"/>
    <w:rsid w:val="00E97617"/>
    <w:rsid w:val="00EA109C"/>
    <w:rsid w:val="00EA1550"/>
    <w:rsid w:val="00EA53FE"/>
    <w:rsid w:val="00EA5620"/>
    <w:rsid w:val="00EA5A01"/>
    <w:rsid w:val="00EA7167"/>
    <w:rsid w:val="00EB0E13"/>
    <w:rsid w:val="00EB329B"/>
    <w:rsid w:val="00EB6A41"/>
    <w:rsid w:val="00EC0052"/>
    <w:rsid w:val="00EC3466"/>
    <w:rsid w:val="00EC4D9D"/>
    <w:rsid w:val="00EC5B6E"/>
    <w:rsid w:val="00EC60F1"/>
    <w:rsid w:val="00ED5124"/>
    <w:rsid w:val="00EE4BB3"/>
    <w:rsid w:val="00EE5F13"/>
    <w:rsid w:val="00EF5FE5"/>
    <w:rsid w:val="00EF6575"/>
    <w:rsid w:val="00F01C73"/>
    <w:rsid w:val="00F026CC"/>
    <w:rsid w:val="00F11B22"/>
    <w:rsid w:val="00F11D19"/>
    <w:rsid w:val="00F16B01"/>
    <w:rsid w:val="00F2516C"/>
    <w:rsid w:val="00F320E3"/>
    <w:rsid w:val="00F37496"/>
    <w:rsid w:val="00F37776"/>
    <w:rsid w:val="00F401E3"/>
    <w:rsid w:val="00F46AD9"/>
    <w:rsid w:val="00F50086"/>
    <w:rsid w:val="00F5060B"/>
    <w:rsid w:val="00F51A5E"/>
    <w:rsid w:val="00F572A7"/>
    <w:rsid w:val="00F67772"/>
    <w:rsid w:val="00F711FA"/>
    <w:rsid w:val="00F72FA0"/>
    <w:rsid w:val="00F7534E"/>
    <w:rsid w:val="00F76931"/>
    <w:rsid w:val="00F80E89"/>
    <w:rsid w:val="00F860F8"/>
    <w:rsid w:val="00F901C5"/>
    <w:rsid w:val="00F950E8"/>
    <w:rsid w:val="00FA4A6F"/>
    <w:rsid w:val="00FB0497"/>
    <w:rsid w:val="00FB21E7"/>
    <w:rsid w:val="00FB3082"/>
    <w:rsid w:val="00FB6183"/>
    <w:rsid w:val="00FC20EB"/>
    <w:rsid w:val="00FC7345"/>
    <w:rsid w:val="00FE5F3D"/>
    <w:rsid w:val="00FE7F13"/>
    <w:rsid w:val="00FF04DC"/>
    <w:rsid w:val="00FF09E0"/>
    <w:rsid w:val="00FF0F1C"/>
    <w:rsid w:val="00FF1896"/>
    <w:rsid w:val="01064BBD"/>
    <w:rsid w:val="014A102B"/>
    <w:rsid w:val="01C71E66"/>
    <w:rsid w:val="01F63289"/>
    <w:rsid w:val="02007C73"/>
    <w:rsid w:val="041A146A"/>
    <w:rsid w:val="04713EF7"/>
    <w:rsid w:val="052B1173"/>
    <w:rsid w:val="055E32F7"/>
    <w:rsid w:val="059E1E1A"/>
    <w:rsid w:val="063B1D9A"/>
    <w:rsid w:val="07F27D26"/>
    <w:rsid w:val="08450259"/>
    <w:rsid w:val="0A3D5547"/>
    <w:rsid w:val="0A5B6946"/>
    <w:rsid w:val="0A666BF9"/>
    <w:rsid w:val="0AD602A6"/>
    <w:rsid w:val="0B3429E1"/>
    <w:rsid w:val="0C4526F0"/>
    <w:rsid w:val="0C483C49"/>
    <w:rsid w:val="0D0A1E1F"/>
    <w:rsid w:val="0D1E30E5"/>
    <w:rsid w:val="0DBC2527"/>
    <w:rsid w:val="0E666D78"/>
    <w:rsid w:val="0F452E31"/>
    <w:rsid w:val="0F900551"/>
    <w:rsid w:val="10032BDC"/>
    <w:rsid w:val="13627EB5"/>
    <w:rsid w:val="13861FDE"/>
    <w:rsid w:val="13B621D8"/>
    <w:rsid w:val="13D13679"/>
    <w:rsid w:val="13F45A3B"/>
    <w:rsid w:val="14D93FE7"/>
    <w:rsid w:val="156E34DE"/>
    <w:rsid w:val="16BB3CCE"/>
    <w:rsid w:val="16D65A69"/>
    <w:rsid w:val="16F745D0"/>
    <w:rsid w:val="16FD421E"/>
    <w:rsid w:val="18834AC3"/>
    <w:rsid w:val="189C3090"/>
    <w:rsid w:val="1A246465"/>
    <w:rsid w:val="1DBA6E81"/>
    <w:rsid w:val="1EBB0A1A"/>
    <w:rsid w:val="20200EB1"/>
    <w:rsid w:val="21020B82"/>
    <w:rsid w:val="21656977"/>
    <w:rsid w:val="22EA74F8"/>
    <w:rsid w:val="238616DF"/>
    <w:rsid w:val="2424063E"/>
    <w:rsid w:val="24EC7A51"/>
    <w:rsid w:val="255E2348"/>
    <w:rsid w:val="26136A1D"/>
    <w:rsid w:val="26C10BAC"/>
    <w:rsid w:val="295D311A"/>
    <w:rsid w:val="2A1D3EF6"/>
    <w:rsid w:val="2A9F2506"/>
    <w:rsid w:val="2AC15C90"/>
    <w:rsid w:val="2AE119EA"/>
    <w:rsid w:val="2AF3404E"/>
    <w:rsid w:val="2AF75AE0"/>
    <w:rsid w:val="2DBD23A6"/>
    <w:rsid w:val="2DEA0655"/>
    <w:rsid w:val="2E3A7258"/>
    <w:rsid w:val="2FA33244"/>
    <w:rsid w:val="2FB22480"/>
    <w:rsid w:val="2FBA281D"/>
    <w:rsid w:val="30317FD2"/>
    <w:rsid w:val="304F0015"/>
    <w:rsid w:val="32B01C75"/>
    <w:rsid w:val="32F62F56"/>
    <w:rsid w:val="33087DBE"/>
    <w:rsid w:val="35284F31"/>
    <w:rsid w:val="35B56A23"/>
    <w:rsid w:val="35DD0451"/>
    <w:rsid w:val="364266A7"/>
    <w:rsid w:val="38EF29DB"/>
    <w:rsid w:val="390A4197"/>
    <w:rsid w:val="39365415"/>
    <w:rsid w:val="3BAA385C"/>
    <w:rsid w:val="3CFD7983"/>
    <w:rsid w:val="3D1145C3"/>
    <w:rsid w:val="3D153A13"/>
    <w:rsid w:val="3E686071"/>
    <w:rsid w:val="3F632305"/>
    <w:rsid w:val="40C81049"/>
    <w:rsid w:val="41EB4A0A"/>
    <w:rsid w:val="437879AF"/>
    <w:rsid w:val="43FE1D61"/>
    <w:rsid w:val="44760DBC"/>
    <w:rsid w:val="448160DE"/>
    <w:rsid w:val="45777BCA"/>
    <w:rsid w:val="45B3724C"/>
    <w:rsid w:val="468B24BB"/>
    <w:rsid w:val="48B13749"/>
    <w:rsid w:val="48B156B4"/>
    <w:rsid w:val="4AA54E42"/>
    <w:rsid w:val="4C3E1DFC"/>
    <w:rsid w:val="4EC405E6"/>
    <w:rsid w:val="4F624D5E"/>
    <w:rsid w:val="4FC14C88"/>
    <w:rsid w:val="4FE15C83"/>
    <w:rsid w:val="50A17253"/>
    <w:rsid w:val="50CF569A"/>
    <w:rsid w:val="51EE0B2B"/>
    <w:rsid w:val="52F821D4"/>
    <w:rsid w:val="54744F8E"/>
    <w:rsid w:val="55252FED"/>
    <w:rsid w:val="56A7105C"/>
    <w:rsid w:val="574E0BDB"/>
    <w:rsid w:val="59835FFD"/>
    <w:rsid w:val="5A031258"/>
    <w:rsid w:val="5B3947D4"/>
    <w:rsid w:val="5B973A7B"/>
    <w:rsid w:val="5BC94E9C"/>
    <w:rsid w:val="5E7F14A6"/>
    <w:rsid w:val="5F270887"/>
    <w:rsid w:val="6022031E"/>
    <w:rsid w:val="62137E26"/>
    <w:rsid w:val="622A65E7"/>
    <w:rsid w:val="63C92F6C"/>
    <w:rsid w:val="63EB0270"/>
    <w:rsid w:val="66D45D20"/>
    <w:rsid w:val="6760377E"/>
    <w:rsid w:val="68071BA7"/>
    <w:rsid w:val="682D3D04"/>
    <w:rsid w:val="68E121C6"/>
    <w:rsid w:val="68E93E8C"/>
    <w:rsid w:val="69240D1A"/>
    <w:rsid w:val="6A8F55DA"/>
    <w:rsid w:val="6AE037DE"/>
    <w:rsid w:val="6B616389"/>
    <w:rsid w:val="6B9B469F"/>
    <w:rsid w:val="6BA67BD7"/>
    <w:rsid w:val="6BF23145"/>
    <w:rsid w:val="6C861C34"/>
    <w:rsid w:val="6C984B76"/>
    <w:rsid w:val="6DC74845"/>
    <w:rsid w:val="6DE23DD1"/>
    <w:rsid w:val="6E315BD0"/>
    <w:rsid w:val="6EA82E67"/>
    <w:rsid w:val="6EBC4F98"/>
    <w:rsid w:val="6EC151A6"/>
    <w:rsid w:val="6FC772D4"/>
    <w:rsid w:val="70AC59E2"/>
    <w:rsid w:val="715C11B6"/>
    <w:rsid w:val="71DA5BD8"/>
    <w:rsid w:val="725477F8"/>
    <w:rsid w:val="738F17C1"/>
    <w:rsid w:val="73D164F4"/>
    <w:rsid w:val="741B2CA5"/>
    <w:rsid w:val="76051C98"/>
    <w:rsid w:val="77BB738F"/>
    <w:rsid w:val="78236589"/>
    <w:rsid w:val="78610AD8"/>
    <w:rsid w:val="78EA354B"/>
    <w:rsid w:val="79A90D10"/>
    <w:rsid w:val="7ADD0F40"/>
    <w:rsid w:val="7AF406B1"/>
    <w:rsid w:val="7CDC31AB"/>
    <w:rsid w:val="7D6F5542"/>
    <w:rsid w:val="7E1F1A4E"/>
    <w:rsid w:val="7EEE7286"/>
    <w:rsid w:val="7F122309"/>
    <w:rsid w:val="7F806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8"/>
    <w:qFormat/>
    <w:uiPriority w:val="0"/>
    <w:pPr>
      <w:keepNext/>
      <w:keepLines/>
      <w:spacing w:after="0"/>
      <w:outlineLvl w:val="0"/>
    </w:pPr>
    <w:rPr>
      <w:b/>
      <w:bCs/>
      <w:kern w:val="44"/>
      <w:sz w:val="30"/>
      <w:szCs w:val="44"/>
    </w:rPr>
  </w:style>
  <w:style w:type="paragraph" w:styleId="3">
    <w:name w:val="heading 2"/>
    <w:basedOn w:val="1"/>
    <w:next w:val="1"/>
    <w:link w:val="24"/>
    <w:qFormat/>
    <w:uiPriority w:val="0"/>
    <w:pPr>
      <w:keepNext/>
      <w:keepLines/>
      <w:widowControl w:val="0"/>
      <w:adjustRightInd/>
      <w:snapToGrid/>
      <w:spacing w:after="0"/>
      <w:ind w:left="100" w:leftChars="100"/>
      <w:jc w:val="both"/>
      <w:outlineLvl w:val="1"/>
    </w:pPr>
    <w:rPr>
      <w:rFonts w:ascii="Arial" w:hAnsi="Arial" w:eastAsia="黑体" w:cs="Times New Roman"/>
      <w:bCs/>
      <w:kern w:val="2"/>
      <w:sz w:val="28"/>
      <w:szCs w:val="32"/>
    </w:rPr>
  </w:style>
  <w:style w:type="paragraph" w:styleId="4">
    <w:name w:val="heading 3"/>
    <w:basedOn w:val="1"/>
    <w:next w:val="1"/>
    <w:link w:val="31"/>
    <w:unhideWhenUsed/>
    <w:qFormat/>
    <w:uiPriority w:val="0"/>
    <w:pPr>
      <w:keepNext/>
      <w:keepLines/>
      <w:spacing w:after="0"/>
      <w:ind w:left="100" w:leftChars="100"/>
      <w:outlineLvl w:val="2"/>
    </w:pPr>
    <w:rPr>
      <w:bCs/>
      <w:sz w:val="28"/>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styleId="6">
    <w:name w:val="Body Text"/>
    <w:basedOn w:val="1"/>
    <w:link w:val="39"/>
    <w:autoRedefine/>
    <w:unhideWhenUsed/>
    <w:qFormat/>
    <w:uiPriority w:val="99"/>
    <w:pPr>
      <w:widowControl w:val="0"/>
      <w:adjustRightInd/>
      <w:snapToGrid/>
      <w:spacing w:after="120"/>
      <w:jc w:val="both"/>
    </w:pPr>
    <w:rPr>
      <w:rFonts w:eastAsia="仿宋_GB2312" w:asciiTheme="minorHAnsi" w:hAnsiTheme="minorHAnsi"/>
      <w:kern w:val="2"/>
      <w:sz w:val="21"/>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cs="Courier New"/>
      <w:szCs w:val="21"/>
    </w:rPr>
  </w:style>
  <w:style w:type="paragraph" w:styleId="9">
    <w:name w:val="Date"/>
    <w:basedOn w:val="1"/>
    <w:next w:val="1"/>
    <w:link w:val="26"/>
    <w:semiHidden/>
    <w:unhideWhenUsed/>
    <w:qFormat/>
    <w:uiPriority w:val="99"/>
    <w:pPr>
      <w:ind w:left="100" w:leftChars="2500"/>
    </w:pPr>
  </w:style>
  <w:style w:type="paragraph" w:styleId="10">
    <w:name w:val="Balloon Text"/>
    <w:basedOn w:val="1"/>
    <w:link w:val="30"/>
    <w:autoRedefine/>
    <w:semiHidden/>
    <w:unhideWhenUsed/>
    <w:qFormat/>
    <w:uiPriority w:val="99"/>
    <w:pPr>
      <w:spacing w:after="0"/>
    </w:pPr>
    <w:rPr>
      <w:sz w:val="18"/>
      <w:szCs w:val="18"/>
    </w:rPr>
  </w:style>
  <w:style w:type="paragraph" w:styleId="11">
    <w:name w:val="footer"/>
    <w:basedOn w:val="1"/>
    <w:link w:val="23"/>
    <w:autoRedefine/>
    <w:unhideWhenUsed/>
    <w:qFormat/>
    <w:uiPriority w:val="99"/>
    <w:pPr>
      <w:tabs>
        <w:tab w:val="center" w:pos="4153"/>
        <w:tab w:val="right" w:pos="8306"/>
      </w:tabs>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39"/>
    <w:pPr>
      <w:tabs>
        <w:tab w:val="right" w:leader="dot" w:pos="8296"/>
      </w:tabs>
      <w:spacing w:after="0" w:line="240" w:lineRule="atLeast"/>
    </w:pPr>
  </w:style>
  <w:style w:type="paragraph" w:styleId="14">
    <w:name w:val="toc 2"/>
    <w:basedOn w:val="1"/>
    <w:next w:val="1"/>
    <w:unhideWhenUsed/>
    <w:qFormat/>
    <w:uiPriority w:val="39"/>
    <w:pPr>
      <w:tabs>
        <w:tab w:val="right" w:leader="dot" w:pos="8296"/>
      </w:tabs>
      <w:spacing w:after="0"/>
      <w:ind w:left="440" w:leftChars="200"/>
    </w:pPr>
  </w:style>
  <w:style w:type="paragraph" w:styleId="15">
    <w:name w:val="Normal (Web)"/>
    <w:basedOn w:val="1"/>
    <w:autoRedefine/>
    <w:qFormat/>
    <w:uiPriority w:val="0"/>
    <w:pPr>
      <w:adjustRightInd/>
      <w:snapToGrid/>
      <w:spacing w:after="0" w:line="360" w:lineRule="auto"/>
      <w:jc w:val="both"/>
      <w:outlineLvl w:val="0"/>
    </w:pPr>
    <w:rPr>
      <w:rFonts w:ascii="黑体" w:hAnsi="黑体" w:eastAsia="黑体" w:cs="Times New Roman"/>
      <w:sz w:val="21"/>
      <w:szCs w:val="21"/>
    </w:rPr>
  </w:style>
  <w:style w:type="paragraph" w:styleId="16">
    <w:name w:val="Body Text First Indent"/>
    <w:basedOn w:val="6"/>
    <w:qFormat/>
    <w:uiPriority w:val="0"/>
    <w:pPr>
      <w:tabs>
        <w:tab w:val="left" w:pos="2400"/>
      </w:tabs>
      <w:adjustRightInd w:val="0"/>
      <w:spacing w:after="0"/>
    </w:pPr>
    <w:rPr>
      <w:kern w:val="0"/>
      <w:szCs w:val="21"/>
    </w:rPr>
  </w:style>
  <w:style w:type="table" w:styleId="18">
    <w:name w:val="Table Grid"/>
    <w:basedOn w:val="17"/>
    <w:qFormat/>
    <w:uiPriority w:val="0"/>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Hyperlink"/>
    <w:basedOn w:val="19"/>
    <w:unhideWhenUsed/>
    <w:qFormat/>
    <w:uiPriority w:val="99"/>
    <w:rPr>
      <w:color w:val="0000FF" w:themeColor="hyperlink"/>
      <w:u w:val="single"/>
    </w:rPr>
  </w:style>
  <w:style w:type="character" w:customStyle="1" w:styleId="22">
    <w:name w:val="页眉 Char"/>
    <w:basedOn w:val="19"/>
    <w:link w:val="12"/>
    <w:qFormat/>
    <w:uiPriority w:val="99"/>
    <w:rPr>
      <w:rFonts w:ascii="Tahoma" w:hAnsi="Tahoma"/>
      <w:sz w:val="18"/>
      <w:szCs w:val="18"/>
    </w:rPr>
  </w:style>
  <w:style w:type="character" w:customStyle="1" w:styleId="23">
    <w:name w:val="页脚 Char"/>
    <w:basedOn w:val="19"/>
    <w:link w:val="11"/>
    <w:autoRedefine/>
    <w:qFormat/>
    <w:uiPriority w:val="99"/>
    <w:rPr>
      <w:rFonts w:ascii="Tahoma" w:hAnsi="Tahoma"/>
      <w:sz w:val="18"/>
      <w:szCs w:val="18"/>
    </w:rPr>
  </w:style>
  <w:style w:type="character" w:customStyle="1" w:styleId="24">
    <w:name w:val="标题 2 Char"/>
    <w:basedOn w:val="19"/>
    <w:link w:val="3"/>
    <w:qFormat/>
    <w:uiPriority w:val="0"/>
    <w:rPr>
      <w:rFonts w:ascii="Arial" w:hAnsi="Arial" w:eastAsia="黑体" w:cs="Times New Roman"/>
      <w:bCs/>
      <w:kern w:val="2"/>
      <w:sz w:val="28"/>
      <w:szCs w:val="32"/>
    </w:rPr>
  </w:style>
  <w:style w:type="paragraph" w:styleId="25">
    <w:name w:val="List Paragraph"/>
    <w:basedOn w:val="1"/>
    <w:qFormat/>
    <w:uiPriority w:val="99"/>
    <w:pPr>
      <w:ind w:firstLine="420" w:firstLineChars="200"/>
    </w:pPr>
  </w:style>
  <w:style w:type="character" w:customStyle="1" w:styleId="26">
    <w:name w:val="日期 Char"/>
    <w:basedOn w:val="19"/>
    <w:link w:val="9"/>
    <w:semiHidden/>
    <w:qFormat/>
    <w:uiPriority w:val="99"/>
    <w:rPr>
      <w:rFonts w:ascii="Tahoma" w:hAnsi="Tahoma"/>
    </w:rPr>
  </w:style>
  <w:style w:type="paragraph" w:styleId="27">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28">
    <w:name w:val="标题 1 Char"/>
    <w:basedOn w:val="19"/>
    <w:link w:val="2"/>
    <w:qFormat/>
    <w:uiPriority w:val="0"/>
    <w:rPr>
      <w:rFonts w:ascii="Tahoma" w:hAnsi="Tahoma"/>
      <w:b/>
      <w:bCs/>
      <w:kern w:val="44"/>
      <w:sz w:val="30"/>
      <w:szCs w:val="44"/>
    </w:rPr>
  </w:style>
  <w:style w:type="paragraph" w:customStyle="1" w:styleId="29">
    <w:name w:val="TOC 标题1"/>
    <w:basedOn w:val="2"/>
    <w:next w:val="1"/>
    <w:autoRedefine/>
    <w:semiHidden/>
    <w:unhideWhenUsed/>
    <w:qFormat/>
    <w:uiPriority w:val="39"/>
    <w:pPr>
      <w:adjustRightInd/>
      <w:snapToGrid/>
      <w:spacing w:before="480" w:line="276" w:lineRule="auto"/>
      <w:outlineLvl w:val="9"/>
    </w:pPr>
    <w:rPr>
      <w:rFonts w:asciiTheme="majorHAnsi" w:hAnsiTheme="majorHAnsi" w:eastAsiaTheme="majorEastAsia" w:cstheme="majorBidi"/>
      <w:color w:val="366091" w:themeColor="accent1" w:themeShade="BF"/>
      <w:kern w:val="0"/>
      <w:szCs w:val="28"/>
    </w:rPr>
  </w:style>
  <w:style w:type="character" w:customStyle="1" w:styleId="30">
    <w:name w:val="批注框文本 Char"/>
    <w:basedOn w:val="19"/>
    <w:link w:val="10"/>
    <w:semiHidden/>
    <w:qFormat/>
    <w:uiPriority w:val="99"/>
    <w:rPr>
      <w:rFonts w:ascii="Tahoma" w:hAnsi="Tahoma"/>
      <w:sz w:val="18"/>
      <w:szCs w:val="18"/>
    </w:rPr>
  </w:style>
  <w:style w:type="character" w:customStyle="1" w:styleId="31">
    <w:name w:val="标题 3 Char"/>
    <w:basedOn w:val="19"/>
    <w:link w:val="4"/>
    <w:qFormat/>
    <w:uiPriority w:val="0"/>
    <w:rPr>
      <w:rFonts w:ascii="Tahoma" w:hAnsi="Tahoma"/>
      <w:bCs/>
      <w:sz w:val="28"/>
      <w:szCs w:val="32"/>
    </w:rPr>
  </w:style>
  <w:style w:type="paragraph" w:customStyle="1" w:styleId="32">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33">
    <w:name w:val="样式 标准正文 + 首行缩进:  2 字符"/>
    <w:basedOn w:val="1"/>
    <w:qFormat/>
    <w:uiPriority w:val="0"/>
    <w:pPr>
      <w:widowControl w:val="0"/>
      <w:snapToGrid/>
      <w:spacing w:after="0" w:line="360" w:lineRule="auto"/>
      <w:ind w:firstLine="200" w:firstLineChars="200"/>
    </w:pPr>
    <w:rPr>
      <w:rFonts w:ascii="Times New Roman" w:hAnsi="Times New Roman" w:eastAsia="宋体" w:cs="宋体"/>
      <w:spacing w:val="-4"/>
      <w:kern w:val="21"/>
      <w:sz w:val="24"/>
      <w:szCs w:val="20"/>
    </w:rPr>
  </w:style>
  <w:style w:type="character" w:customStyle="1" w:styleId="34">
    <w:name w:val="表中文字"/>
    <w:qFormat/>
    <w:uiPriority w:val="0"/>
    <w:rPr>
      <w:rFonts w:hint="eastAsia" w:ascii="宋体" w:hAnsi="宋体" w:eastAsia="宋体"/>
      <w:sz w:val="18"/>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段"/>
    <w:link w:val="3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7">
    <w:name w:val="段 Char"/>
    <w:basedOn w:val="19"/>
    <w:link w:val="36"/>
    <w:qFormat/>
    <w:uiPriority w:val="0"/>
    <w:rPr>
      <w:rFonts w:ascii="宋体" w:hAnsi="Times New Roman" w:eastAsia="宋体" w:cs="Times New Roman"/>
      <w:sz w:val="21"/>
      <w:szCs w:val="20"/>
    </w:rPr>
  </w:style>
  <w:style w:type="character" w:customStyle="1" w:styleId="38">
    <w:name w:val="text-tag"/>
    <w:basedOn w:val="19"/>
    <w:qFormat/>
    <w:uiPriority w:val="0"/>
  </w:style>
  <w:style w:type="character" w:customStyle="1" w:styleId="39">
    <w:name w:val="正文文本 Char"/>
    <w:basedOn w:val="19"/>
    <w:link w:val="6"/>
    <w:qFormat/>
    <w:uiPriority w:val="99"/>
    <w:rPr>
      <w:rFonts w:eastAsia="仿宋_GB2312" w:asciiTheme="minorHAnsi" w:hAnsiTheme="minorHAnsi" w:cstheme="minorBidi"/>
      <w:kern w:val="2"/>
      <w:sz w:val="21"/>
      <w:szCs w:val="22"/>
    </w:rPr>
  </w:style>
  <w:style w:type="paragraph" w:customStyle="1" w:styleId="40">
    <w:name w:val="样式3"/>
    <w:basedOn w:val="4"/>
    <w:qFormat/>
    <w:uiPriority w:val="0"/>
    <w:pPr>
      <w:spacing w:before="0" w:after="0" w:line="440" w:lineRule="exact"/>
      <w:jc w:val="left"/>
    </w:pPr>
    <w:rPr>
      <w:rFonts w:ascii="Times New Roman" w:hAnsi="Times New Roman" w:eastAsia="黑体" w:cs="宋体"/>
      <w:bCs w:val="0"/>
      <w:sz w:val="21"/>
      <w:szCs w:val="21"/>
    </w:rPr>
  </w:style>
  <w:style w:type="paragraph" w:customStyle="1" w:styleId="41">
    <w:name w:val="样式4"/>
    <w:basedOn w:val="1"/>
    <w:link w:val="42"/>
    <w:qFormat/>
    <w:uiPriority w:val="0"/>
    <w:pPr>
      <w:spacing w:line="440" w:lineRule="exact"/>
      <w:ind w:firstLine="420" w:firstLineChars="200"/>
    </w:pPr>
    <w:rPr>
      <w:rFonts w:ascii="宋体" w:hAnsi="宋体"/>
      <w:color w:val="FF0000"/>
      <w:szCs w:val="21"/>
    </w:rPr>
  </w:style>
  <w:style w:type="character" w:customStyle="1" w:styleId="42">
    <w:name w:val="样式4 Char"/>
    <w:basedOn w:val="19"/>
    <w:link w:val="41"/>
    <w:qFormat/>
    <w:uiPriority w:val="0"/>
    <w:rPr>
      <w:rFonts w:ascii="宋体" w:hAnsi="宋体"/>
      <w:color w:val="FF000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39F93F-232B-40DC-9423-FF60C8EAA695}">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15355</Words>
  <Characters>16116</Characters>
  <Lines>57</Lines>
  <Paragraphs>16</Paragraphs>
  <TotalTime>1</TotalTime>
  <ScaleCrop>false</ScaleCrop>
  <LinksUpToDate>false</LinksUpToDate>
  <CharactersWithSpaces>16268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2021-08-23T07:25:00Z</dcterms:created>
  <dc:creator>asus</dc:creator>
  <cp:lastModifiedBy>HUAWEI</cp:lastModifiedBy>
  <cp:lastPrinted>2023-10-15T13:35:00Z</cp:lastPrinted>
  <dcterms:modified xsi:type="dcterms:W3CDTF">2025-10-10T08:40:51Z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3A5A22367FA64A67B5DEDC9FAA889AA1</vt:lpwstr>
  </property>
  <property fmtid="{D5CDD505-2E9C-101B-9397-08002B2CF9AE}" pid="4" name="KSOTemplateDocerSaveRecord">
    <vt:lpwstr>eyJoZGlkIjoiMjliNmM5YzJkZDc1MzliMmM2MWJiZmYxOTI5NTU0YWMifQ==</vt:lpwstr>
  </property>
</Properties>
</file>