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rPr>
      </w:pPr>
      <w:r>
        <w:rPr>
          <w:rFonts w:hint="eastAsia"/>
          <w:b/>
          <w:sz w:val="28"/>
          <w:szCs w:val="28"/>
        </w:rPr>
        <w:t>标准征求意见稿意见汇总处理表</w:t>
      </w:r>
    </w:p>
    <w:p>
      <w:pPr>
        <w:spacing w:line="360" w:lineRule="auto"/>
        <w:rPr>
          <w:szCs w:val="21"/>
        </w:rPr>
      </w:pPr>
      <w:r>
        <w:rPr>
          <w:rFonts w:hint="eastAsia"/>
          <w:szCs w:val="21"/>
        </w:rPr>
        <w:t>标准项目名称：温室气体</w:t>
      </w:r>
      <w:r>
        <w:rPr>
          <w:rFonts w:hint="eastAsia"/>
          <w:szCs w:val="21"/>
        </w:rPr>
        <w:t xml:space="preserve"> </w:t>
      </w:r>
      <w:r>
        <w:rPr>
          <w:rFonts w:hint="eastAsia"/>
          <w:szCs w:val="21"/>
        </w:rPr>
        <w:t>产品碳足迹量化方法与要求</w:t>
      </w:r>
      <w:r>
        <w:rPr>
          <w:rFonts w:hint="eastAsia"/>
          <w:szCs w:val="21"/>
        </w:rPr>
        <w:t xml:space="preserve"> </w:t>
      </w:r>
      <w:r>
        <w:rPr>
          <w:rFonts w:hint="eastAsia"/>
          <w:szCs w:val="21"/>
        </w:rPr>
        <w:t>铜加工产品</w:t>
      </w:r>
      <w:r>
        <w:rPr>
          <w:rFonts w:hint="eastAsia"/>
          <w:szCs w:val="21"/>
        </w:rPr>
        <w:t xml:space="preserve">     </w:t>
      </w:r>
      <w:r>
        <w:rPr>
          <w:rFonts w:hint="eastAsia"/>
          <w:szCs w:val="21"/>
        </w:rPr>
        <w:t>共</w:t>
      </w:r>
      <w:r>
        <w:rPr>
          <w:rFonts w:hint="eastAsia"/>
          <w:szCs w:val="21"/>
        </w:rPr>
        <w:t>2</w:t>
      </w:r>
      <w:r>
        <w:rPr>
          <w:rFonts w:hint="eastAsia"/>
          <w:szCs w:val="21"/>
        </w:rPr>
        <w:t>页</w:t>
      </w:r>
      <w:r>
        <w:rPr>
          <w:rFonts w:hint="eastAsia"/>
          <w:szCs w:val="21"/>
        </w:rPr>
        <w:t xml:space="preserve">    </w:t>
      </w:r>
    </w:p>
    <w:p>
      <w:pPr>
        <w:spacing w:line="360" w:lineRule="auto"/>
        <w:rPr>
          <w:szCs w:val="21"/>
        </w:rPr>
      </w:pPr>
      <w:r>
        <w:rPr>
          <w:rFonts w:hint="eastAsia"/>
          <w:szCs w:val="21"/>
        </w:rPr>
        <w:t>标准项目负责起草单位：宁波金田铜业（集团）股份有限公司</w:t>
      </w:r>
      <w:r>
        <w:rPr>
          <w:rFonts w:hint="eastAsia"/>
          <w:szCs w:val="21"/>
        </w:rPr>
        <w:t xml:space="preserve">   2025</w:t>
      </w:r>
      <w:r>
        <w:rPr>
          <w:rFonts w:hint="eastAsia"/>
          <w:szCs w:val="21"/>
        </w:rPr>
        <w:t>年</w:t>
      </w:r>
      <w:r>
        <w:rPr>
          <w:rFonts w:hint="eastAsia"/>
          <w:szCs w:val="21"/>
        </w:rPr>
        <w:t xml:space="preserve"> 08</w:t>
      </w:r>
      <w:r>
        <w:rPr>
          <w:rFonts w:hint="eastAsia"/>
          <w:szCs w:val="21"/>
        </w:rPr>
        <w:t>月</w:t>
      </w:r>
      <w:r>
        <w:rPr>
          <w:rFonts w:hint="eastAsia"/>
          <w:szCs w:val="21"/>
        </w:rPr>
        <w:t>23</w:t>
      </w:r>
      <w:r>
        <w:rPr>
          <w:rFonts w:hint="eastAsia"/>
          <w:szCs w:val="21"/>
        </w:rPr>
        <w:t>日填写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1161"/>
        <w:gridCol w:w="3946"/>
        <w:gridCol w:w="1244"/>
        <w:gridCol w:w="929"/>
        <w:gridCol w:w="782"/>
      </w:tblGrid>
      <w:tr>
        <w:trPr>
          <w:trHeight w:val="454"/>
          <w:jc w:val="center"/>
        </w:trPr>
        <w:tc>
          <w:tcPr>
            <w:tcW w:w="270"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681" w:type="pct"/>
          </w:tcPr>
          <w:p>
            <w:pPr>
              <w:jc w:val="center"/>
              <w:rPr>
                <w:rFonts w:asciiTheme="minorEastAsia" w:eastAsiaTheme="minorEastAsia" w:hAnsiTheme="minorEastAsia"/>
                <w:szCs w:val="21"/>
              </w:rPr>
            </w:pPr>
            <w:r>
              <w:rPr>
                <w:rFonts w:asciiTheme="minorEastAsia" w:eastAsiaTheme="minorEastAsia" w:hAnsiTheme="minorEastAsia" w:hint="eastAsia"/>
                <w:szCs w:val="21"/>
              </w:rPr>
              <w:t>标准章条编号</w:t>
            </w:r>
          </w:p>
        </w:tc>
        <w:tc>
          <w:tcPr>
            <w:tcW w:w="231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意见内容</w:t>
            </w:r>
          </w:p>
        </w:tc>
        <w:tc>
          <w:tcPr>
            <w:tcW w:w="730"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提出单位</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处理</w:t>
            </w:r>
          </w:p>
          <w:p>
            <w:pPr>
              <w:jc w:val="center"/>
              <w:rPr>
                <w:rFonts w:asciiTheme="minorEastAsia" w:eastAsiaTheme="minorEastAsia" w:hAnsiTheme="minorEastAsia"/>
                <w:szCs w:val="21"/>
              </w:rPr>
            </w:pPr>
            <w:r>
              <w:rPr>
                <w:rFonts w:asciiTheme="minorEastAsia" w:eastAsiaTheme="minorEastAsia" w:hAnsiTheme="minorEastAsia" w:hint="eastAsia"/>
                <w:szCs w:val="21"/>
              </w:rPr>
              <w:t>意见</w:t>
            </w:r>
          </w:p>
        </w:tc>
        <w:tc>
          <w:tcPr>
            <w:tcW w:w="459" w:type="pct"/>
            <w:vAlign w:val="center"/>
          </w:tcPr>
          <w:p>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 注</w:t>
            </w: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章节1“范围”</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“经过熔铸、塑性加工、热处理、精整等工序”更改为“经过熔铸、塑性加工、热处理、表面处理、精整、检验、包装等工序”</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浙江耐乐铜业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章节1</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铜及铜合金产品包括：棒材、线材、管材、板材、带材、箔材、型材、锻件等”增加为“铜及铜合金产品包括：棒材、线材、管材、板材、带材、箔材、型材、锻件等，也包括扁坯、线坯、热轧坯、铸造铜产品等中间产品。”</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宁波长振铜业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章节2</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仅在术语部分引用的标准，作为参考文献</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宁波博威合金</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3.1</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删除“铜加工产品”术语与定义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3.6</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删除“回收铜原料”术语与定义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3.7</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删除“再生铜原料”术语与定义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3.8</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删除“再生铜合金原料”术语与定义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3.9</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删除“再生铜及铜合金”术语与定义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3.11</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删除“产品碳足迹”定义中注1和注2</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3.13</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删除“产品种类规则”术语与定义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3.14</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删除“声明单位”术语与定义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3.28-3.33</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删除“熔铸”、“塑性加工”、“热处理”、“精整”、“表面处理”、“包装”术语与定义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13</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章节4</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删除注2</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中铝洛铜</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5.1.2</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删除“声明单位的主要目的是为相关输入和输出数据的归一化提供参考基准。因此应对功能单位作出明确的定义并使其可量化。”</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浙江耐乐铜业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15</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5.2.2图1</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边界囊括了原料部分</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宁波长振</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16</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5.2.3.1</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“表面处理，如铣面、扒皮、镀层等”更改为“表面处理”</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宁波兴业盛泰</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17</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5.2.3.1 表2</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删除“原辅料获取”中“生产直接排放”和“能源生产排放”</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浙江海亮</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18</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5.2.3.1</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增加“包装”排放源归类</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中铝洛铜</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19</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5.2.3.2</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“原料获取相关过程”更改为“原料获取相关过程的温室气体排放”</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广东龙丰</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20</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5.2.3.3</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“熔铸生产从原料、中间合金、辅料加入熔炼炉开始，经过熔化、精炼、铸造成型，到熔铸车间大门为止”更改为“熔铸生产从原辅料加入熔炼炉开始，经过熔化、精炼、铸造成型，到下一个工序为止”</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江西金品铜业科技有限公司</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21</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6.1.1.2</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“能耗工质”更改为“能耗工质，如水、氩气、氮气等”</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浙江海亮</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22</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6.1.1.5</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删除“基于产品碳足迹量化工作需要不断迭代的特性，应根据由敏感性分析所判定的重要性来决定数据的取舍，从而对系统边界中所述的初始分析加以验证。”</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浙江耐乐铜业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23</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6.1.1.5</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删除“注：本条款改编自 GB/T 24044-2008, 4.3.3.4。”</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浙江耐乐铜业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24</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6.1.2.1</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表3 运输分销中增加“c）单元过程活动水平及排放因子”</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25</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6.1.2.2</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数据来源，增加“</w:t>
            </w:r>
            <w:r>
              <w:rPr>
                <w:rFonts w:asciiTheme="minorEastAsia" w:eastAsiaTheme="minorEastAsia" w:hAnsiTheme="minorEastAsia" w:cs="宋体" w:hint="eastAsia"/>
                <w:kern w:val="0"/>
                <w:szCs w:val="21"/>
              </w:rPr>
              <w:t>现场数据来源于测量、工程计算、采购记录等，环境排放数据优先采用环境监测报告，所有数据由相关的数据来源和数据处理算法；</w:t>
            </w:r>
            <w:r>
              <w:rPr>
                <w:rFonts w:asciiTheme="minorEastAsia" w:eastAsiaTheme="minorEastAsia" w:hAnsiTheme="minorEastAsia" w:hint="eastAsia"/>
                <w:szCs w:val="21"/>
              </w:rPr>
              <w:t>”</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26</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6.1.3.3</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删除“再循环材料比例计算方法”</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27</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6.1.4.4</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方法1：如柴油、汽油的消耗量，更改为“如柴油、汽油和电力的消耗量”</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宁波博威合金</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28</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6.2.2</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分配程序章节中删除“任何情况下，只有当共生产品的长期平均价格比例大于4时，才能采用产品经济价值比例进行分配。”段落</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29</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7.1</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“单位为kgCO2e/（kg 排放量）”更改为“单位为kg CO2e/（吨 排放量）”</w:t>
            </w:r>
          </w:p>
        </w:tc>
        <w:tc>
          <w:tcPr>
            <w:tcW w:w="730" w:type="pct"/>
            <w:vAlign w:val="center"/>
          </w:tcPr>
          <w:p>
            <w:pPr>
              <w:spacing w:line="280" w:lineRule="exact"/>
              <w:jc w:val="center"/>
              <w:rPr>
                <w:rFonts w:asciiTheme="minorEastAsia" w:eastAsiaTheme="minorEastAsia" w:hAnsiTheme="minorEastAsia"/>
                <w:szCs w:val="21"/>
              </w:rPr>
            </w:pPr>
          </w:p>
        </w:tc>
        <w:tc>
          <w:tcPr>
            <w:tcW w:w="545" w:type="pct"/>
            <w:vAlign w:val="center"/>
          </w:tcPr>
          <w:p>
            <w:pPr>
              <w:jc w:val="center"/>
              <w:rPr>
                <w:rFonts w:asciiTheme="minorEastAsia" w:eastAsiaTheme="minorEastAsia" w:hAnsiTheme="minorEastAsia"/>
                <w:szCs w:val="21"/>
              </w:rPr>
            </w:pP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30</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7.2</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“生命周期各阶段的碳足迹计算公式如式（2）”更改为“本文件产品碳足迹计算方法见公式（1）”</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重标委会</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31</w:t>
            </w:r>
          </w:p>
        </w:tc>
        <w:tc>
          <w:tcPr>
            <w:tcW w:w="681"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附录A</w:t>
            </w:r>
          </w:p>
        </w:tc>
        <w:tc>
          <w:tcPr>
            <w:tcW w:w="2315" w:type="pct"/>
            <w:vAlign w:val="center"/>
          </w:tcPr>
          <w:p>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工艺流程图更改形式</w:t>
            </w:r>
          </w:p>
        </w:tc>
        <w:tc>
          <w:tcPr>
            <w:tcW w:w="730" w:type="pct"/>
            <w:vAlign w:val="center"/>
          </w:tcPr>
          <w:p>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宁波博威合金</w:t>
            </w:r>
          </w:p>
        </w:tc>
        <w:tc>
          <w:tcPr>
            <w:tcW w:w="545" w:type="pct"/>
            <w:vAlign w:val="center"/>
          </w:tcPr>
          <w:p>
            <w:pPr>
              <w:jc w:val="center"/>
              <w:rPr>
                <w:rFonts w:asciiTheme="minorEastAsia" w:eastAsiaTheme="minorEastAsia" w:hAnsiTheme="minorEastAsia"/>
                <w:szCs w:val="21"/>
              </w:rPr>
            </w:pPr>
            <w:r>
              <w:rPr>
                <w:rFonts w:asciiTheme="minorEastAsia" w:eastAsiaTheme="minorEastAsia" w:hAnsiTheme="minorEastAsia" w:hint="eastAsia"/>
                <w:szCs w:val="21"/>
              </w:rPr>
              <w:t>采纳</w:t>
            </w: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p>
        </w:tc>
        <w:tc>
          <w:tcPr>
            <w:tcW w:w="681" w:type="pct"/>
            <w:vAlign w:val="center"/>
          </w:tcPr>
          <w:p>
            <w:pPr>
              <w:spacing w:line="280" w:lineRule="exact"/>
              <w:jc w:val="center"/>
              <w:rPr>
                <w:rFonts w:asciiTheme="minorEastAsia" w:eastAsiaTheme="minorEastAsia" w:hAnsiTheme="minorEastAsia"/>
                <w:szCs w:val="21"/>
              </w:rPr>
            </w:pPr>
          </w:p>
        </w:tc>
        <w:tc>
          <w:tcPr>
            <w:tcW w:w="2315" w:type="pct"/>
            <w:vAlign w:val="center"/>
          </w:tcPr>
          <w:p>
            <w:pPr>
              <w:spacing w:line="280" w:lineRule="exact"/>
              <w:rPr>
                <w:rFonts w:asciiTheme="minorEastAsia" w:eastAsiaTheme="minorEastAsia" w:hAnsiTheme="minorEastAsia"/>
                <w:szCs w:val="21"/>
              </w:rPr>
            </w:pPr>
          </w:p>
        </w:tc>
        <w:tc>
          <w:tcPr>
            <w:tcW w:w="730" w:type="pct"/>
            <w:vAlign w:val="center"/>
          </w:tcPr>
          <w:p>
            <w:pPr>
              <w:spacing w:line="280" w:lineRule="exact"/>
              <w:jc w:val="center"/>
              <w:rPr>
                <w:rFonts w:asciiTheme="minorEastAsia" w:eastAsiaTheme="minorEastAsia" w:hAnsiTheme="minorEastAsia"/>
                <w:szCs w:val="21"/>
              </w:rPr>
            </w:pPr>
          </w:p>
        </w:tc>
        <w:tc>
          <w:tcPr>
            <w:tcW w:w="545" w:type="pct"/>
            <w:vAlign w:val="center"/>
          </w:tcPr>
          <w:p>
            <w:pPr>
              <w:jc w:val="center"/>
              <w:rPr>
                <w:rFonts w:asciiTheme="minorEastAsia" w:eastAsiaTheme="minorEastAsia" w:hAnsiTheme="minorEastAsia"/>
                <w:szCs w:val="21"/>
              </w:rPr>
            </w:pP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p>
        </w:tc>
        <w:tc>
          <w:tcPr>
            <w:tcW w:w="681" w:type="pct"/>
            <w:vAlign w:val="center"/>
          </w:tcPr>
          <w:p>
            <w:pPr>
              <w:spacing w:line="280" w:lineRule="exact"/>
              <w:jc w:val="center"/>
              <w:rPr>
                <w:rFonts w:asciiTheme="minorEastAsia" w:eastAsiaTheme="minorEastAsia" w:hAnsiTheme="minorEastAsia"/>
                <w:szCs w:val="21"/>
              </w:rPr>
            </w:pPr>
          </w:p>
        </w:tc>
        <w:tc>
          <w:tcPr>
            <w:tcW w:w="2315" w:type="pct"/>
            <w:vAlign w:val="center"/>
          </w:tcPr>
          <w:p>
            <w:pPr>
              <w:spacing w:line="280" w:lineRule="exact"/>
              <w:rPr>
                <w:rFonts w:asciiTheme="minorEastAsia" w:eastAsiaTheme="minorEastAsia" w:hAnsiTheme="minorEastAsia"/>
                <w:szCs w:val="21"/>
              </w:rPr>
            </w:pPr>
          </w:p>
        </w:tc>
        <w:tc>
          <w:tcPr>
            <w:tcW w:w="730" w:type="pct"/>
            <w:vAlign w:val="center"/>
          </w:tcPr>
          <w:p>
            <w:pPr>
              <w:spacing w:line="280" w:lineRule="exact"/>
              <w:jc w:val="center"/>
              <w:rPr>
                <w:rFonts w:asciiTheme="minorEastAsia" w:eastAsiaTheme="minorEastAsia" w:hAnsiTheme="minorEastAsia"/>
                <w:szCs w:val="21"/>
              </w:rPr>
            </w:pPr>
          </w:p>
        </w:tc>
        <w:tc>
          <w:tcPr>
            <w:tcW w:w="545" w:type="pct"/>
            <w:vAlign w:val="center"/>
          </w:tcPr>
          <w:p>
            <w:pPr>
              <w:jc w:val="center"/>
              <w:rPr>
                <w:rFonts w:asciiTheme="minorEastAsia" w:eastAsiaTheme="minorEastAsia" w:hAnsiTheme="minorEastAsia"/>
                <w:szCs w:val="21"/>
              </w:rPr>
            </w:pPr>
          </w:p>
        </w:tc>
        <w:tc>
          <w:tcPr>
            <w:tcW w:w="459" w:type="pct"/>
            <w:shd w:val="clear" w:color="auto" w:fill="auto"/>
            <w:vAlign w:val="center"/>
          </w:tcPr>
          <w:p>
            <w:pPr>
              <w:jc w:val="center"/>
              <w:rPr>
                <w:rFonts w:asciiTheme="minorEastAsia" w:eastAsiaTheme="minorEastAsia" w:hAnsiTheme="minorEastAsia"/>
                <w:szCs w:val="21"/>
              </w:rPr>
            </w:pPr>
          </w:p>
        </w:tc>
      </w:tr>
      <w:tr>
        <w:trPr>
          <w:trHeight w:val="454"/>
          <w:jc w:val="center"/>
        </w:trPr>
        <w:tc>
          <w:tcPr>
            <w:tcW w:w="270" w:type="pct"/>
            <w:vAlign w:val="center"/>
          </w:tcPr>
          <w:p>
            <w:pPr>
              <w:spacing w:line="280" w:lineRule="exact"/>
              <w:jc w:val="center"/>
              <w:rPr>
                <w:rFonts w:asciiTheme="minorEastAsia" w:eastAsiaTheme="minorEastAsia" w:hAnsiTheme="minorEastAsia"/>
                <w:szCs w:val="21"/>
              </w:rPr>
            </w:pPr>
          </w:p>
        </w:tc>
        <w:tc>
          <w:tcPr>
            <w:tcW w:w="681" w:type="pct"/>
            <w:vAlign w:val="center"/>
          </w:tcPr>
          <w:p>
            <w:pPr>
              <w:spacing w:line="280" w:lineRule="exact"/>
              <w:jc w:val="center"/>
              <w:rPr>
                <w:rFonts w:asciiTheme="minorEastAsia" w:eastAsiaTheme="minorEastAsia" w:hAnsiTheme="minorEastAsia"/>
                <w:szCs w:val="21"/>
              </w:rPr>
            </w:pPr>
          </w:p>
        </w:tc>
        <w:tc>
          <w:tcPr>
            <w:tcW w:w="2315" w:type="pct"/>
            <w:vAlign w:val="center"/>
          </w:tcPr>
          <w:p>
            <w:pPr>
              <w:spacing w:line="280" w:lineRule="exact"/>
              <w:rPr>
                <w:rFonts w:asciiTheme="minorEastAsia" w:eastAsiaTheme="minorEastAsia" w:hAnsiTheme="minorEastAsia"/>
                <w:szCs w:val="21"/>
              </w:rPr>
            </w:pPr>
          </w:p>
        </w:tc>
        <w:tc>
          <w:tcPr>
            <w:tcW w:w="730" w:type="pct"/>
            <w:vAlign w:val="center"/>
          </w:tcPr>
          <w:p>
            <w:pPr>
              <w:spacing w:line="280" w:lineRule="exact"/>
              <w:jc w:val="center"/>
              <w:rPr>
                <w:rFonts w:asciiTheme="minorEastAsia" w:eastAsiaTheme="minorEastAsia" w:hAnsiTheme="minorEastAsia"/>
                <w:szCs w:val="21"/>
              </w:rPr>
            </w:pPr>
          </w:p>
        </w:tc>
        <w:tc>
          <w:tcPr>
            <w:tcW w:w="545" w:type="pct"/>
            <w:vAlign w:val="center"/>
          </w:tcPr>
          <w:p>
            <w:pPr>
              <w:jc w:val="center"/>
              <w:rPr>
                <w:rFonts w:asciiTheme="minorEastAsia" w:eastAsiaTheme="minorEastAsia" w:hAnsiTheme="minorEastAsia"/>
              </w:rPr>
            </w:pPr>
          </w:p>
        </w:tc>
        <w:tc>
          <w:tcPr>
            <w:tcW w:w="459" w:type="pct"/>
            <w:shd w:val="clear" w:color="auto" w:fill="auto"/>
            <w:vAlign w:val="center"/>
          </w:tcPr>
          <w:p>
            <w:pPr>
              <w:jc w:val="center"/>
              <w:rPr>
                <w:rFonts w:asciiTheme="minorEastAsia" w:eastAsiaTheme="minorEastAsia" w:hAnsiTheme="minorEastAsia"/>
                <w:szCs w:val="21"/>
              </w:rPr>
            </w:pPr>
          </w:p>
        </w:tc>
      </w:tr>
    </w:tbl>
    <w:p>
      <w:pPr>
        <w:spacing w:line="360" w:lineRule="auto"/>
        <w:ind w:leftChars="200" w:left="420"/>
        <w:rPr>
          <w:szCs w:val="21"/>
        </w:rPr>
      </w:pPr>
      <w:r>
        <w:rPr>
          <w:rFonts w:hint="eastAsia"/>
          <w:szCs w:val="21"/>
        </w:rPr>
        <w:t>说明：①发送《征求意见稿》的单位数：</w:t>
      </w:r>
      <w:r>
        <w:rPr>
          <w:rFonts w:hint="eastAsia"/>
          <w:szCs w:val="21"/>
        </w:rPr>
        <w:t>22</w:t>
      </w:r>
      <w:r>
        <w:rPr>
          <w:rFonts w:hint="eastAsia"/>
          <w:szCs w:val="21"/>
        </w:rPr>
        <w:t>个；</w:t>
      </w:r>
      <w:bookmarkStart w:id="0" w:name="_GoBack"/>
      <w:bookmarkEnd w:id="0"/>
    </w:p>
    <w:p>
      <w:pPr>
        <w:spacing w:line="360" w:lineRule="auto"/>
        <w:ind w:leftChars="200" w:left="420"/>
        <w:rPr>
          <w:szCs w:val="21"/>
        </w:rPr>
      </w:pPr>
      <w:r>
        <w:rPr>
          <w:rFonts w:hint="eastAsia"/>
          <w:szCs w:val="21"/>
        </w:rPr>
        <w:t xml:space="preserve">     </w:t>
      </w:r>
      <w:r>
        <w:rPr>
          <w:rFonts w:ascii="宋体" w:hAnsi="宋体" w:hint="eastAsia"/>
          <w:szCs w:val="21"/>
        </w:rPr>
        <w:t xml:space="preserve"> ②</w:t>
      </w:r>
      <w:r>
        <w:rPr>
          <w:rFonts w:hint="eastAsia"/>
          <w:szCs w:val="21"/>
        </w:rPr>
        <w:t>收到《征求意见稿》后，回函的单位数：</w:t>
      </w:r>
      <w:r>
        <w:rPr>
          <w:rFonts w:hint="eastAsia"/>
          <w:szCs w:val="21"/>
        </w:rPr>
        <w:t>22</w:t>
      </w:r>
      <w:r>
        <w:rPr>
          <w:rFonts w:hint="eastAsia"/>
          <w:szCs w:val="21"/>
        </w:rPr>
        <w:t>个；</w:t>
      </w:r>
    </w:p>
    <w:p>
      <w:pPr>
        <w:spacing w:line="360" w:lineRule="auto"/>
        <w:ind w:leftChars="200" w:left="420"/>
        <w:rPr>
          <w:szCs w:val="21"/>
        </w:rPr>
      </w:pPr>
      <w:r>
        <w:rPr>
          <w:rFonts w:hint="eastAsia"/>
          <w:szCs w:val="21"/>
        </w:rPr>
        <w:t xml:space="preserve">     </w:t>
      </w:r>
      <w:r>
        <w:rPr>
          <w:rFonts w:ascii="宋体" w:hAnsi="宋体" w:hint="eastAsia"/>
          <w:szCs w:val="21"/>
        </w:rPr>
        <w:t xml:space="preserve"> ③</w:t>
      </w:r>
      <w:r>
        <w:rPr>
          <w:rFonts w:hint="eastAsia"/>
          <w:szCs w:val="21"/>
        </w:rPr>
        <w:t>收到《征求意见稿》后，回函并有建议或意见的单位数：</w:t>
      </w:r>
      <w:r>
        <w:rPr>
          <w:rFonts w:hint="eastAsia"/>
          <w:szCs w:val="21"/>
        </w:rPr>
        <w:t>11</w:t>
      </w:r>
      <w:r>
        <w:rPr>
          <w:rFonts w:hint="eastAsia"/>
          <w:szCs w:val="21"/>
        </w:rPr>
        <w:t>个</w:t>
      </w:r>
    </w:p>
    <w:p>
      <w:pPr>
        <w:spacing w:line="360" w:lineRule="auto"/>
        <w:ind w:leftChars="200" w:left="420"/>
      </w:pPr>
      <w:r>
        <w:rPr>
          <w:rFonts w:hint="eastAsia"/>
          <w:szCs w:val="21"/>
        </w:rPr>
        <w:t xml:space="preserve">     </w:t>
      </w:r>
      <w:r>
        <w:rPr>
          <w:rFonts w:ascii="宋体" w:hAnsi="宋体" w:hint="eastAsia"/>
          <w:szCs w:val="21"/>
        </w:rPr>
        <w:t xml:space="preserve"> ④</w:t>
      </w:r>
      <w:r>
        <w:rPr>
          <w:rFonts w:hint="eastAsia"/>
          <w:szCs w:val="21"/>
        </w:rPr>
        <w:t>没有回函的单位数：</w:t>
      </w:r>
      <w:r>
        <w:rPr>
          <w:rFonts w:hint="eastAsia"/>
          <w:szCs w:val="21"/>
        </w:rPr>
        <w:t>0</w:t>
      </w:r>
      <w:r>
        <w:rPr>
          <w:rFonts w:hint="eastAsia"/>
          <w:szCs w:val="21"/>
        </w:rPr>
        <w:t>个。</w:t>
      </w:r>
    </w:p>
    <w:sectPr>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First Indent"/>
    <w:basedOn w:val="a5"/>
    <w:pPr>
      <w:tabs>
        <w:tab w:val="left" w:pos="2400"/>
      </w:tabs>
      <w:adjustRightInd w:val="0"/>
      <w:spacing w:beforeLines="50" w:after="0" w:line="240" w:lineRule="exact"/>
      <w:textAlignment w:val="baseline"/>
    </w:pPr>
    <w:rPr>
      <w:rFonts w:ascii="黑体" w:eastAsia="黑体" w:hAnsi="宋体"/>
      <w:kern w:val="0"/>
      <w:szCs w:val="21"/>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5">
    <w:name w:val="Body Text"/>
    <w:basedOn w:val="a"/>
    <w:pPr>
      <w:spacing w:after="120"/>
    </w:p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toc 2"/>
    <w:basedOn w:val="a"/>
    <w:next w:val="a"/>
    <w:autoRedefine/>
    <w:semiHidden/>
    <w:pPr>
      <w:adjustRightInd w:val="0"/>
      <w:snapToGrid w:val="0"/>
      <w:spacing w:line="400" w:lineRule="exact"/>
      <w:jc w:val="left"/>
      <w:textAlignment w:val="baseline"/>
    </w:pPr>
    <w:rPr>
      <w:rFonts w:ascii="黑体" w:eastAsia="黑体" w:hAnsi="宋体"/>
      <w:smallCaps/>
      <w:kern w:val="0"/>
      <w:szCs w:val="21"/>
    </w:rPr>
  </w:style>
  <w:style w:type="paragraph" w:styleId="a7">
    <w:name w:val="Body Text Indent"/>
    <w:basedOn w:val="a"/>
    <w:pPr>
      <w:spacing w:after="120"/>
      <w:ind w:leftChars="200" w:left="420"/>
    </w:pPr>
  </w:style>
  <w:style w:type="paragraph" w:styleId="a8">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Pr>
      <w:kern w:val="2"/>
      <w:sz w:val="18"/>
      <w:szCs w:val="18"/>
    </w:rPr>
  </w:style>
  <w:style w:type="paragraph" w:styleId="a9">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First Indent"/>
    <w:basedOn w:val="a5"/>
    <w:pPr>
      <w:tabs>
        <w:tab w:val="left" w:pos="2400"/>
      </w:tabs>
      <w:adjustRightInd w:val="0"/>
      <w:spacing w:beforeLines="50" w:after="0" w:line="240" w:lineRule="exact"/>
      <w:textAlignment w:val="baseline"/>
    </w:pPr>
    <w:rPr>
      <w:rFonts w:ascii="黑体" w:eastAsia="黑体" w:hAnsi="宋体"/>
      <w:kern w:val="0"/>
      <w:szCs w:val="21"/>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5">
    <w:name w:val="Body Text"/>
    <w:basedOn w:val="a"/>
    <w:pPr>
      <w:spacing w:after="120"/>
    </w:p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toc 2"/>
    <w:basedOn w:val="a"/>
    <w:next w:val="a"/>
    <w:autoRedefine/>
    <w:semiHidden/>
    <w:pPr>
      <w:adjustRightInd w:val="0"/>
      <w:snapToGrid w:val="0"/>
      <w:spacing w:line="400" w:lineRule="exact"/>
      <w:jc w:val="left"/>
      <w:textAlignment w:val="baseline"/>
    </w:pPr>
    <w:rPr>
      <w:rFonts w:ascii="黑体" w:eastAsia="黑体" w:hAnsi="宋体"/>
      <w:smallCaps/>
      <w:kern w:val="0"/>
      <w:szCs w:val="21"/>
    </w:rPr>
  </w:style>
  <w:style w:type="paragraph" w:styleId="a7">
    <w:name w:val="Body Text Indent"/>
    <w:basedOn w:val="a"/>
    <w:pPr>
      <w:spacing w:after="120"/>
      <w:ind w:leftChars="200" w:left="420"/>
    </w:pPr>
  </w:style>
  <w:style w:type="paragraph" w:styleId="a8">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Pr>
      <w:kern w:val="2"/>
      <w:sz w:val="18"/>
      <w:szCs w:val="18"/>
    </w:rPr>
  </w:style>
  <w:style w:type="paragraph" w:styleId="a9">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286</Words>
  <Characters>1635</Characters>
  <Application>Microsoft Office Word</Application>
  <DocSecurity>0</DocSecurity>
  <PresentationFormat/>
  <Lines>13</Lines>
  <Paragraphs>3</Paragraphs>
  <Slides>0</Slides>
  <Notes>0</Notes>
  <HiddenSlides>0</HiddenSlides>
  <MMClips>0</MMClips>
  <ScaleCrop>false</ScaleCrop>
  <Company>Microsoft</Company>
  <LinksUpToDate>false</LinksUpToDate>
  <CharactersWithSpaces>1918</CharactersWithSpaces>
  <SharedDoc>false</SharedDoc>
  <HLinks>
    <vt:vector size="6" baseType="variant">
      <vt:variant>
        <vt:i4>4325398</vt:i4>
      </vt:variant>
      <vt:variant>
        <vt:i4>0</vt:i4>
      </vt:variant>
      <vt:variant>
        <vt:i4>0</vt:i4>
      </vt:variant>
      <vt:variant>
        <vt:i4>5</vt:i4>
      </vt:variant>
      <vt:variant>
        <vt:lpwstr>mailto:zhao_wanhua@163.com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dc:title>
  <dc:creator>裘桂群</dc:creator>
  <cp:lastModifiedBy>裘桂群</cp:lastModifiedBy>
  <cp:revision>7</cp:revision>
  <dcterms:created xsi:type="dcterms:W3CDTF">2025-08-21T06:15:00Z</dcterms:created>
  <dcterms:modified xsi:type="dcterms:W3CDTF">2025-10-10T06:26:00Z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