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13240">
      <w:pPr>
        <w:pStyle w:val="69"/>
        <w:spacing w:line="360" w:lineRule="exact"/>
        <w:rPr>
          <w:color w:val="000000" w:themeColor="text1"/>
          <w14:textFill>
            <w14:solidFill>
              <w14:schemeClr w14:val="tx1"/>
            </w14:solidFill>
          </w14:textFill>
        </w:rPr>
      </w:pPr>
      <w:bookmarkStart w:id="0" w:name="SectionMark0"/>
      <w:r>
        <w:rPr>
          <w:color w:val="000000" w:themeColor="text1"/>
          <w14:textFill>
            <w14:solidFill>
              <w14:schemeClr w14:val="tx1"/>
            </w14:solidFill>
          </w14:textFill>
        </w:rPr>
        <w:drawing>
          <wp:anchor distT="0" distB="0" distL="114300" distR="114300" simplePos="0" relativeHeight="251665408" behindDoc="0" locked="1" layoutInCell="1" allowOverlap="1">
            <wp:simplePos x="0" y="0"/>
            <wp:positionH relativeFrom="margin">
              <wp:posOffset>4284345</wp:posOffset>
            </wp:positionH>
            <wp:positionV relativeFrom="margin">
              <wp:posOffset>107315</wp:posOffset>
            </wp:positionV>
            <wp:extent cx="1403350" cy="720090"/>
            <wp:effectExtent l="0" t="0" r="0" b="0"/>
            <wp:wrapNone/>
            <wp:docPr id="7"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BPicture" descr="GB"/>
                    <pic:cNvPicPr>
                      <a:picLocks noChangeAspect="1"/>
                    </pic:cNvPicPr>
                  </pic:nvPicPr>
                  <pic:blipFill>
                    <a:blip r:embed="rId14"/>
                    <a:stretch>
                      <a:fillRect/>
                    </a:stretch>
                  </pic:blipFill>
                  <pic:spPr>
                    <a:xfrm>
                      <a:off x="0" y="0"/>
                      <a:ext cx="1403350" cy="720090"/>
                    </a:xfrm>
                    <a:prstGeom prst="rect">
                      <a:avLst/>
                    </a:prstGeom>
                    <a:noFill/>
                    <a:ln>
                      <a:noFill/>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6" name="直线 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8" o:spid="_x0000_s1026" o:spt="20" style="position:absolute;left:0pt;margin-left:0pt;margin-top:700pt;height:0pt;width:482pt;z-index:251664384;mso-width-relative:page;mso-height-relative:page;" filled="f" stroked="t" coordsize="21600,21600"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asDvUAAAACgEAAA8AAAAA&#10;AAAAAQAgAAAAIgAAAGRycy9kb3ducmV2LnhtbFBLAQIUABQAAAAIAIdO4kAkcY1a3wEAANADAAAO&#10;AAAAAAAAAAEAIAAAACMBAABkcnMvZTJvRG9jLnhtbFBLBQYAAAAABgAGAFkBAAB0BQAAAAA=&#10;">
                <v:fill on="f" focussize="0,0"/>
                <v:stroke weight="1pt" color="#FFFFFF"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8563610</wp:posOffset>
                </wp:positionV>
                <wp:extent cx="2019300" cy="312420"/>
                <wp:effectExtent l="0" t="0" r="0" b="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A554D64">
                            <w:pPr>
                              <w:pStyle w:val="70"/>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CmSkPGyQEAAKYDAAAOAAAAZHJzL2Uyb0RvYy54bWyt&#10;U01v2zAMvQ/YfxB0X+ykW7EZcQp0QYYBwzag3Q+QZdkWoK+RSuz8+1FynG7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2q19oAAAANAQAADwAAAAAAAAABACAAAAAiAAAAZHJz&#10;L2Rvd25yZXYueG1sUEsBAhQAFAAAAAgAh07iQKZKQ8bJAQAApgMAAA4AAAAAAAAAAQAgAAAAKQEA&#10;AGRycy9lMm9Eb2MueG1sUEsFBgAAAAAGAAYAWQEAAGQFAAAAAA==&#10;">
                <v:fill on="t" focussize="0,0"/>
                <v:stroke on="f"/>
                <v:imagedata o:title=""/>
                <o:lock v:ext="edit" aspectratio="f"/>
                <v:textbox inset="0mm,0mm,0mm,0mm">
                  <w:txbxContent>
                    <w:p w14:paraId="5A554D64">
                      <w:pPr>
                        <w:pStyle w:val="70"/>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8563610</wp:posOffset>
                </wp:positionV>
                <wp:extent cx="2019300" cy="312420"/>
                <wp:effectExtent l="0" t="0" r="0" b="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1BD0A9D">
                            <w:pPr>
                              <w:pStyle w:val="48"/>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wps:txbx>
                      <wps:bodyPr wrap="square"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KxW4TMkBAACmAwAADgAAAGRycy9lMm9Eb2MueG1srVNN&#10;b9swDL0P2H8QdF/spN2wGXEKdEGGAcM2oN0PkGXZFqCvkUrs/PtRcpxu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S8T9qMAStK&#10;eQiUFKd7P9HGLH4kZ6I8dWDTl8gwipOy56uyaopMkpPIfbopKSQpdrPe3G6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82yojYAAAACgEAAA8AAAAAAAAAAQAgAAAAIgAAAGRycy9k&#10;b3ducmV2LnhtbFBLAQIUABQAAAAIAIdO4kArFbhMyQEAAKYDAAAOAAAAAAAAAAEAIAAAACcBAABk&#10;cnMvZTJvRG9jLnhtbFBLBQYAAAAABgAGAFkBAABiBQAAAAA=&#10;">
                <v:fill on="t" focussize="0,0"/>
                <v:stroke on="f"/>
                <v:imagedata o:title=""/>
                <o:lock v:ext="edit" aspectratio="f"/>
                <v:textbox inset="0mm,0mm,0mm,0mm">
                  <w:txbxContent>
                    <w:p w14:paraId="11BD0A9D">
                      <w:pPr>
                        <w:pStyle w:val="48"/>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margin">
                  <wp:posOffset>104775</wp:posOffset>
                </wp:positionH>
                <wp:positionV relativeFrom="margin">
                  <wp:posOffset>2952750</wp:posOffset>
                </wp:positionV>
                <wp:extent cx="6057900" cy="5286375"/>
                <wp:effectExtent l="0" t="0" r="0" b="0"/>
                <wp:wrapNone/>
                <wp:docPr id="3" name="fmFrame4"/>
                <wp:cNvGraphicFramePr/>
                <a:graphic xmlns:a="http://schemas.openxmlformats.org/drawingml/2006/main">
                  <a:graphicData uri="http://schemas.microsoft.com/office/word/2010/wordprocessingShape">
                    <wps:wsp>
                      <wps:cNvSpPr txBox="1"/>
                      <wps:spPr>
                        <a:xfrm>
                          <a:off x="0" y="0"/>
                          <a:ext cx="6057900" cy="5286375"/>
                        </a:xfrm>
                        <a:prstGeom prst="rect">
                          <a:avLst/>
                        </a:prstGeom>
                        <a:solidFill>
                          <a:srgbClr val="FFFFFF"/>
                        </a:solidFill>
                        <a:ln>
                          <a:noFill/>
                        </a:ln>
                      </wps:spPr>
                      <wps:txbx>
                        <w:txbxContent>
                          <w:p w14:paraId="502AF47B">
                            <w:pPr>
                              <w:ind w:left="23" w:leftChars="-6" w:hanging="36" w:hangingChars="7"/>
                              <w:jc w:val="center"/>
                              <w:rPr>
                                <w:rFonts w:ascii="黑体" w:eastAsia="黑体"/>
                                <w:sz w:val="52"/>
                                <w:szCs w:val="52"/>
                              </w:rPr>
                            </w:pPr>
                          </w:p>
                          <w:p w14:paraId="43A2F111">
                            <w:pPr>
                              <w:ind w:left="23" w:leftChars="-6" w:hanging="36" w:hangingChars="7"/>
                              <w:jc w:val="center"/>
                              <w:rPr>
                                <w:rFonts w:ascii="黑体" w:eastAsia="黑体"/>
                                <w:sz w:val="52"/>
                                <w:szCs w:val="52"/>
                              </w:rPr>
                            </w:pPr>
                            <w:r>
                              <w:rPr>
                                <w:rFonts w:hint="eastAsia" w:ascii="黑体" w:eastAsia="黑体"/>
                                <w:sz w:val="52"/>
                                <w:szCs w:val="52"/>
                              </w:rPr>
                              <w:t>稀土金属及其氧化物中非稀土杂质</w:t>
                            </w:r>
                          </w:p>
                          <w:p w14:paraId="18A7853D">
                            <w:pPr>
                              <w:ind w:left="23" w:leftChars="-6" w:hanging="36" w:hangingChars="7"/>
                              <w:jc w:val="center"/>
                              <w:rPr>
                                <w:rFonts w:hint="eastAsia" w:ascii="黑体" w:eastAsia="黑体"/>
                                <w:sz w:val="52"/>
                                <w:szCs w:val="52"/>
                              </w:rPr>
                            </w:pPr>
                            <w:r>
                              <w:rPr>
                                <w:rFonts w:hint="eastAsia" w:ascii="黑体" w:eastAsia="黑体"/>
                                <w:sz w:val="52"/>
                                <w:szCs w:val="52"/>
                              </w:rPr>
                              <w:t xml:space="preserve">化学分析方法 </w:t>
                            </w:r>
                          </w:p>
                          <w:p w14:paraId="2EDA0CF0">
                            <w:pPr>
                              <w:ind w:left="23" w:leftChars="-6" w:hanging="36" w:hangingChars="7"/>
                              <w:jc w:val="center"/>
                              <w:rPr>
                                <w:rFonts w:ascii="黑体" w:eastAsia="黑体"/>
                                <w:sz w:val="52"/>
                                <w:szCs w:val="52"/>
                              </w:rPr>
                            </w:pPr>
                            <w:r>
                              <w:rPr>
                                <w:rFonts w:hint="eastAsia" w:ascii="黑体" w:eastAsia="黑体"/>
                                <w:sz w:val="52"/>
                                <w:szCs w:val="52"/>
                              </w:rPr>
                              <w:t>第13部分：钼、钨</w:t>
                            </w:r>
                            <w:r>
                              <w:rPr>
                                <w:rFonts w:hint="eastAsia" w:ascii="黑体" w:eastAsia="黑体"/>
                                <w:sz w:val="52"/>
                                <w:szCs w:val="52"/>
                                <w:lang w:val="en-US" w:eastAsia="zh-CN"/>
                              </w:rPr>
                              <w:t>含</w:t>
                            </w:r>
                            <w:r>
                              <w:rPr>
                                <w:rFonts w:hint="eastAsia" w:ascii="黑体" w:eastAsia="黑体"/>
                                <w:sz w:val="52"/>
                                <w:szCs w:val="52"/>
                              </w:rPr>
                              <w:t>量的测定</w:t>
                            </w:r>
                          </w:p>
                          <w:p w14:paraId="6BC2AA22">
                            <w:pPr>
                              <w:pStyle w:val="46"/>
                              <w:tabs>
                                <w:tab w:val="left" w:pos="7155"/>
                              </w:tabs>
                              <w:adjustRightInd w:val="0"/>
                              <w:snapToGrid w:val="0"/>
                              <w:spacing w:line="360" w:lineRule="auto"/>
                              <w:rPr>
                                <w:color w:val="0000FF"/>
                              </w:rPr>
                            </w:pPr>
                            <w:r>
                              <w:rPr>
                                <w:rFonts w:hint="eastAsia"/>
                              </w:rPr>
                              <w:t>Chemical analysis methods of non-rare earth impurities in rare earth metals and their oxides-Part 13: Determination of molybdenum</w:t>
                            </w:r>
                            <w:r>
                              <w:rPr>
                                <w:rFonts w:hint="eastAsia"/>
                                <w:lang w:val="en-US" w:eastAsia="zh-CN"/>
                              </w:rPr>
                              <w:t xml:space="preserve"> and </w:t>
                            </w:r>
                            <w:r>
                              <w:rPr>
                                <w:rFonts w:hint="eastAsia"/>
                              </w:rPr>
                              <w:t>tungsten content</w:t>
                            </w:r>
                          </w:p>
                          <w:p w14:paraId="48D981A4">
                            <w:pPr>
                              <w:pStyle w:val="46"/>
                              <w:tabs>
                                <w:tab w:val="left" w:pos="7155"/>
                              </w:tabs>
                              <w:spacing w:line="240" w:lineRule="auto"/>
                              <w:rPr>
                                <w:sz w:val="24"/>
                                <w:szCs w:val="24"/>
                              </w:rPr>
                            </w:pPr>
                            <w:r>
                              <w:rPr>
                                <w:rFonts w:hint="eastAsia" w:ascii="宋体" w:hAnsi="宋体"/>
                                <w:szCs w:val="28"/>
                              </w:rPr>
                              <w:t>（征求意见稿）</w:t>
                            </w:r>
                          </w:p>
                        </w:txbxContent>
                      </wps:txbx>
                      <wps:bodyPr wrap="square" lIns="0" tIns="0" rIns="0" bIns="0" upright="1"/>
                    </wps:wsp>
                  </a:graphicData>
                </a:graphic>
              </wp:anchor>
            </w:drawing>
          </mc:Choice>
          <mc:Fallback>
            <w:pict>
              <v:shape id="fmFrame4" o:spid="_x0000_s1026" o:spt="202" type="#_x0000_t202" style="position:absolute;left:0pt;margin-left:8.25pt;margin-top:232.5pt;height:416.25pt;width:477pt;mso-position-horizontal-relative:margin;mso-position-vertical-relative:margin;z-index:251661312;mso-width-relative:page;mso-height-relative:page;" fillcolor="#FFFFFF" filled="t" stroked="f" coordsize="21600,21600" o:gfxdata="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FpgL+2QAAAAsBAAAPAAAAAAAAAAEAIAAAACIAAABkcnMv&#10;ZG93bnJldi54bWxQSwECFAAUAAAACACHTuJAI0fWP8kBAACnAwAADgAAAAAAAAABACAAAAAoAQAA&#10;ZHJzL2Uyb0RvYy54bWxQSwUGAAAAAAYABgBZAQAAYwUAAAAA&#10;">
                <v:fill on="t" focussize="0,0"/>
                <v:stroke on="f"/>
                <v:imagedata o:title=""/>
                <o:lock v:ext="edit" aspectratio="f"/>
                <v:textbox inset="0mm,0mm,0mm,0mm">
                  <w:txbxContent>
                    <w:p w14:paraId="502AF47B">
                      <w:pPr>
                        <w:ind w:left="23" w:leftChars="-6" w:hanging="36" w:hangingChars="7"/>
                        <w:jc w:val="center"/>
                        <w:rPr>
                          <w:rFonts w:ascii="黑体" w:eastAsia="黑体"/>
                          <w:sz w:val="52"/>
                          <w:szCs w:val="52"/>
                        </w:rPr>
                      </w:pPr>
                    </w:p>
                    <w:p w14:paraId="43A2F111">
                      <w:pPr>
                        <w:ind w:left="23" w:leftChars="-6" w:hanging="36" w:hangingChars="7"/>
                        <w:jc w:val="center"/>
                        <w:rPr>
                          <w:rFonts w:ascii="黑体" w:eastAsia="黑体"/>
                          <w:sz w:val="52"/>
                          <w:szCs w:val="52"/>
                        </w:rPr>
                      </w:pPr>
                      <w:r>
                        <w:rPr>
                          <w:rFonts w:hint="eastAsia" w:ascii="黑体" w:eastAsia="黑体"/>
                          <w:sz w:val="52"/>
                          <w:szCs w:val="52"/>
                        </w:rPr>
                        <w:t>稀土金属及其氧化物中非稀土杂质</w:t>
                      </w:r>
                    </w:p>
                    <w:p w14:paraId="18A7853D">
                      <w:pPr>
                        <w:ind w:left="23" w:leftChars="-6" w:hanging="36" w:hangingChars="7"/>
                        <w:jc w:val="center"/>
                        <w:rPr>
                          <w:rFonts w:hint="eastAsia" w:ascii="黑体" w:eastAsia="黑体"/>
                          <w:sz w:val="52"/>
                          <w:szCs w:val="52"/>
                        </w:rPr>
                      </w:pPr>
                      <w:r>
                        <w:rPr>
                          <w:rFonts w:hint="eastAsia" w:ascii="黑体" w:eastAsia="黑体"/>
                          <w:sz w:val="52"/>
                          <w:szCs w:val="52"/>
                        </w:rPr>
                        <w:t xml:space="preserve">化学分析方法 </w:t>
                      </w:r>
                    </w:p>
                    <w:p w14:paraId="2EDA0CF0">
                      <w:pPr>
                        <w:ind w:left="23" w:leftChars="-6" w:hanging="36" w:hangingChars="7"/>
                        <w:jc w:val="center"/>
                        <w:rPr>
                          <w:rFonts w:ascii="黑体" w:eastAsia="黑体"/>
                          <w:sz w:val="52"/>
                          <w:szCs w:val="52"/>
                        </w:rPr>
                      </w:pPr>
                      <w:r>
                        <w:rPr>
                          <w:rFonts w:hint="eastAsia" w:ascii="黑体" w:eastAsia="黑体"/>
                          <w:sz w:val="52"/>
                          <w:szCs w:val="52"/>
                        </w:rPr>
                        <w:t>第13部分：钼、钨</w:t>
                      </w:r>
                      <w:r>
                        <w:rPr>
                          <w:rFonts w:hint="eastAsia" w:ascii="黑体" w:eastAsia="黑体"/>
                          <w:sz w:val="52"/>
                          <w:szCs w:val="52"/>
                          <w:lang w:val="en-US" w:eastAsia="zh-CN"/>
                        </w:rPr>
                        <w:t>含</w:t>
                      </w:r>
                      <w:r>
                        <w:rPr>
                          <w:rFonts w:hint="eastAsia" w:ascii="黑体" w:eastAsia="黑体"/>
                          <w:sz w:val="52"/>
                          <w:szCs w:val="52"/>
                        </w:rPr>
                        <w:t>量的测定</w:t>
                      </w:r>
                    </w:p>
                    <w:p w14:paraId="6BC2AA22">
                      <w:pPr>
                        <w:pStyle w:val="46"/>
                        <w:tabs>
                          <w:tab w:val="left" w:pos="7155"/>
                        </w:tabs>
                        <w:adjustRightInd w:val="0"/>
                        <w:snapToGrid w:val="0"/>
                        <w:spacing w:line="360" w:lineRule="auto"/>
                        <w:rPr>
                          <w:color w:val="0000FF"/>
                        </w:rPr>
                      </w:pPr>
                      <w:r>
                        <w:rPr>
                          <w:rFonts w:hint="eastAsia"/>
                        </w:rPr>
                        <w:t>Chemical analysis methods of non-rare earth impurities in rare earth metals and their oxides-Part 13: Determination of molybdenum</w:t>
                      </w:r>
                      <w:r>
                        <w:rPr>
                          <w:rFonts w:hint="eastAsia"/>
                          <w:lang w:val="en-US" w:eastAsia="zh-CN"/>
                        </w:rPr>
                        <w:t xml:space="preserve"> and </w:t>
                      </w:r>
                      <w:r>
                        <w:rPr>
                          <w:rFonts w:hint="eastAsia"/>
                        </w:rPr>
                        <w:t>tungsten content</w:t>
                      </w:r>
                    </w:p>
                    <w:p w14:paraId="48D981A4">
                      <w:pPr>
                        <w:pStyle w:val="46"/>
                        <w:tabs>
                          <w:tab w:val="left" w:pos="7155"/>
                        </w:tabs>
                        <w:spacing w:line="240" w:lineRule="auto"/>
                        <w:rPr>
                          <w:sz w:val="24"/>
                          <w:szCs w:val="24"/>
                        </w:rPr>
                      </w:pPr>
                      <w:r>
                        <w:rPr>
                          <w:rFonts w:hint="eastAsia" w:ascii="宋体" w:hAnsi="宋体"/>
                          <w:szCs w:val="28"/>
                        </w:rPr>
                        <w:t>（征求意见稿）</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7D8A3C82">
                            <w:pPr>
                              <w:pStyle w:val="60"/>
                            </w:pPr>
                            <w:r>
                              <w:rPr>
                                <w:rFonts w:hint="eastAsia"/>
                              </w:rPr>
                              <w:t>中华人民共和国国家标准</w:t>
                            </w:r>
                          </w:p>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DkcF1wAAAAgBAAAPAAAAAAAAAAEAIAAAACIAAABkcnMvZG93&#10;bnJldi54bWxQSwECFAAUAAAACACHTuJA7DsoP8gBAACmAwAADgAAAAAAAAABACAAAAAmAQAAZHJz&#10;L2Uyb0RvYy54bWxQSwUGAAAAAAYABgBZAQAAYAUAAAAA&#10;">
                <v:fill on="t" focussize="0,0"/>
                <v:stroke on="f"/>
                <v:imagedata o:title=""/>
                <o:lock v:ext="edit" aspectratio="f"/>
                <v:textbox inset="0mm,0mm,0mm,0mm">
                  <w:txbxContent>
                    <w:p w14:paraId="7D8A3C82">
                      <w:pPr>
                        <w:pStyle w:val="60"/>
                      </w:pPr>
                      <w:r>
                        <w:rPr>
                          <w:rFonts w:hint="eastAsia"/>
                        </w:rPr>
                        <w:t>中华人民共和国国家标准</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360045</wp:posOffset>
                </wp:positionV>
                <wp:extent cx="2540000" cy="657860"/>
                <wp:effectExtent l="0" t="0" r="0" b="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359BC9CF">
                            <w:pPr>
                              <w:pStyle w:val="51"/>
                              <w:spacing w:line="0" w:lineRule="atLeast"/>
                              <w:rPr>
                                <w:rFonts w:ascii="黑体"/>
                                <w:color w:val="FF0000"/>
                              </w:rPr>
                            </w:pPr>
                            <w:r>
                              <w:rPr>
                                <w:rFonts w:hint="eastAsia" w:ascii="黑体"/>
                                <w:color w:val="FF0000"/>
                              </w:rPr>
                              <w:t xml:space="preserve">ICS </w:t>
                            </w:r>
                            <w:r>
                              <w:rPr>
                                <w:rFonts w:ascii="黑体"/>
                                <w:color w:val="FF0000"/>
                              </w:rPr>
                              <w:t>77.120.99</w:t>
                            </w:r>
                          </w:p>
                          <w:p w14:paraId="59BE284F">
                            <w:pPr>
                              <w:pStyle w:val="51"/>
                              <w:spacing w:line="0" w:lineRule="atLeast"/>
                              <w:rPr>
                                <w:color w:val="FF0000"/>
                              </w:rPr>
                            </w:pPr>
                            <w:r>
                              <w:rPr>
                                <w:rFonts w:hint="eastAsia" w:ascii="黑体"/>
                                <w:color w:val="FF0000"/>
                              </w:rPr>
                              <w:t>CCS H 14</w:t>
                            </w:r>
                          </w:p>
                        </w:txbxContent>
                      </wps:txbx>
                      <wps:bodyPr wrap="square" lIns="0" tIns="0" rIns="0" bIns="0" upright="1"/>
                    </wps:wsp>
                  </a:graphicData>
                </a:graphic>
              </wp:anchor>
            </w:drawing>
          </mc:Choice>
          <mc:Fallback>
            <w:pict>
              <v:shape id="fmFrame1" o:spid="_x0000_s1026" o:spt="202" type="#_x0000_t202" style="position:absolute;left:0pt;margin-left:70.9pt;margin-top:28.35pt;height:51.8pt;width:200pt;mso-position-horizontal-relative:page;mso-position-vertical-relative:page;z-index:251659264;mso-width-relative:page;mso-height-relative:page;" fillcolor="#FFFFFF" filled="t" stroked="f" coordsize="21600,21600" o:gfxdata="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7C59m1wAAAAoBAAAPAAAAAAAAAAEAIAAAACIAAABkcnMvZG93&#10;bnJldi54bWxQSwECFAAUAAAACACHTuJA2cDgCcgBAACmAwAADgAAAAAAAAABACAAAAAmAQAAZHJz&#10;L2Uyb0RvYy54bWxQSwUGAAAAAAYABgBZAQAAYAUAAAAA&#10;">
                <v:fill on="t" focussize="0,0"/>
                <v:stroke on="f"/>
                <v:imagedata o:title=""/>
                <o:lock v:ext="edit" aspectratio="f"/>
                <v:textbox inset="0mm,0mm,0mm,0mm">
                  <w:txbxContent>
                    <w:p w14:paraId="359BC9CF">
                      <w:pPr>
                        <w:pStyle w:val="51"/>
                        <w:spacing w:line="0" w:lineRule="atLeast"/>
                        <w:rPr>
                          <w:rFonts w:ascii="黑体"/>
                          <w:color w:val="FF0000"/>
                        </w:rPr>
                      </w:pPr>
                      <w:r>
                        <w:rPr>
                          <w:rFonts w:hint="eastAsia" w:ascii="黑体"/>
                          <w:color w:val="FF0000"/>
                        </w:rPr>
                        <w:t xml:space="preserve">ICS </w:t>
                      </w:r>
                      <w:r>
                        <w:rPr>
                          <w:rFonts w:ascii="黑体"/>
                          <w:color w:val="FF0000"/>
                        </w:rPr>
                        <w:t>77.120.99</w:t>
                      </w:r>
                    </w:p>
                    <w:p w14:paraId="59BE284F">
                      <w:pPr>
                        <w:pStyle w:val="51"/>
                        <w:spacing w:line="0" w:lineRule="atLeast"/>
                        <w:rPr>
                          <w:color w:val="FF0000"/>
                        </w:rPr>
                      </w:pPr>
                      <w:r>
                        <w:rPr>
                          <w:rFonts w:hint="eastAsia" w:ascii="黑体"/>
                          <w:color w:val="FF0000"/>
                        </w:rPr>
                        <w:t>CCS H 14</w:t>
                      </w:r>
                    </w:p>
                  </w:txbxContent>
                </v:textbox>
                <w10:anchorlock/>
              </v:shape>
            </w:pict>
          </mc:Fallback>
        </mc:AlternateContent>
      </w:r>
      <w:r>
        <w:rPr>
          <w:color w:val="000000" w:themeColor="text1"/>
          <w14:textFill>
            <w14:solidFill>
              <w14:schemeClr w14:val="tx1"/>
            </w14:solidFill>
          </w14:textFill>
        </w:rPr>
        <w:t xml:space="preserve"> </w:t>
      </w:r>
    </w:p>
    <w:p w14:paraId="2FE5A848">
      <w:pPr>
        <w:spacing w:line="360" w:lineRule="exact"/>
        <w:rPr>
          <w:color w:val="000000" w:themeColor="text1"/>
          <w14:textFill>
            <w14:solidFill>
              <w14:schemeClr w14:val="tx1"/>
            </w14:solidFill>
          </w14:textFill>
        </w:rPr>
      </w:pPr>
    </w:p>
    <w:p w14:paraId="766903CC">
      <w:pPr>
        <w:spacing w:line="360" w:lineRule="exact"/>
        <w:rPr>
          <w:color w:val="000000" w:themeColor="text1"/>
          <w14:textFill>
            <w14:solidFill>
              <w14:schemeClr w14:val="tx1"/>
            </w14:solidFill>
          </w14:textFill>
        </w:rPr>
      </w:pPr>
    </w:p>
    <w:p w14:paraId="0F6730D1">
      <w:pPr>
        <w:spacing w:line="360" w:lineRule="exact"/>
        <w:rPr>
          <w:color w:val="000000" w:themeColor="text1"/>
          <w14:textFill>
            <w14:solidFill>
              <w14:schemeClr w14:val="tx1"/>
            </w14:solidFill>
          </w14:textFill>
        </w:rPr>
      </w:pPr>
    </w:p>
    <w:p w14:paraId="6BF69166">
      <w:pPr>
        <w:spacing w:line="360" w:lineRule="exact"/>
        <w:rPr>
          <w:color w:val="000000" w:themeColor="text1"/>
          <w14:textFill>
            <w14:solidFill>
              <w14:schemeClr w14:val="tx1"/>
            </w14:solidFill>
          </w14:textFill>
        </w:rPr>
      </w:pPr>
    </w:p>
    <w:p w14:paraId="709D378B">
      <w:pPr>
        <w:spacing w:before="510" w:line="360" w:lineRule="exact"/>
        <w:ind w:left="2814" w:leftChars="1340"/>
        <w:jc w:val="right"/>
        <w:rPr>
          <w:b/>
          <w:bCs/>
          <w:color w:val="000000" w:themeColor="text1"/>
          <w:sz w:val="28"/>
          <w14:textFill>
            <w14:solidFill>
              <w14:schemeClr w14:val="tx1"/>
            </w14:solidFill>
          </w14:textFill>
        </w:rPr>
      </w:pPr>
      <w:r>
        <w:rPr>
          <w:rFonts w:hint="eastAsia" w:ascii="黑体" w:hAnsi="黑体" w:eastAsia="黑体" w:cs="黑体"/>
          <w:bCs/>
          <w:color w:val="000000" w:themeColor="text1"/>
          <w:sz w:val="28"/>
          <w14:textFill>
            <w14:solidFill>
              <w14:schemeClr w14:val="tx1"/>
            </w14:solidFill>
          </w14:textFill>
        </w:rPr>
        <w:t>GB/T12690.13—202X</w:t>
      </w:r>
      <w:r>
        <w:rPr>
          <w:b/>
          <w:bCs/>
          <w:color w:val="000000" w:themeColor="text1"/>
          <w:sz w:val="28"/>
          <w14:textFill>
            <w14:solidFill>
              <w14:schemeClr w14:val="tx1"/>
            </w14:solidFill>
          </w14:textFill>
        </w:rPr>
        <w:t xml:space="preserve"> </w:t>
      </w:r>
    </w:p>
    <w:p w14:paraId="4CDC5CD7">
      <w:pPr>
        <w:spacing w:line="360" w:lineRule="exact"/>
        <w:ind w:left="2814" w:leftChars="1340"/>
        <w:jc w:val="righ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代替GB/T 12690.13-2003</w:t>
      </w:r>
    </w:p>
    <w:p w14:paraId="1115BBF9">
      <w:pPr>
        <w:spacing w:line="360" w:lineRule="exact"/>
        <w:ind w:firstLine="540"/>
        <w:jc w:val="center"/>
        <w:rPr>
          <w:color w:val="000000" w:themeColor="text1"/>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39"/>
          <w:pgMar w:top="567" w:right="851" w:bottom="851" w:left="1418" w:header="0" w:footer="0" w:gutter="0"/>
          <w:pgNumType w:start="1"/>
          <w:cols w:space="720" w:num="1"/>
          <w:titlePg/>
          <w:docGrid w:type="lines" w:linePitch="312" w:charSpace="0"/>
        </w:sectPr>
      </w:pPr>
      <w:r>
        <w:rPr>
          <w:color w:val="000000" w:themeColor="text1"/>
          <w:sz w:val="20"/>
          <w14:textFill>
            <w14:solidFill>
              <w14:schemeClr w14:val="tx1"/>
            </w14:solidFill>
          </w14:textFill>
        </w:rPr>
        <mc:AlternateContent>
          <mc:Choice Requires="wpg">
            <w:drawing>
              <wp:anchor distT="0" distB="0" distL="114300" distR="114300" simplePos="0" relativeHeight="251668480" behindDoc="0" locked="0" layoutInCell="1" allowOverlap="1">
                <wp:simplePos x="0" y="0"/>
                <wp:positionH relativeFrom="column">
                  <wp:posOffset>1232535</wp:posOffset>
                </wp:positionH>
                <wp:positionV relativeFrom="paragraph">
                  <wp:posOffset>7127240</wp:posOffset>
                </wp:positionV>
                <wp:extent cx="3656965" cy="599440"/>
                <wp:effectExtent l="0" t="0" r="0" b="0"/>
                <wp:wrapNone/>
                <wp:docPr id="12" name="组合 15"/>
                <wp:cNvGraphicFramePr/>
                <a:graphic xmlns:a="http://schemas.openxmlformats.org/drawingml/2006/main">
                  <a:graphicData uri="http://schemas.microsoft.com/office/word/2010/wordprocessingGroup">
                    <wpg:wgp>
                      <wpg:cNvGrpSpPr/>
                      <wpg:grpSpPr>
                        <a:xfrm>
                          <a:off x="0" y="0"/>
                          <a:ext cx="3656965" cy="599440"/>
                          <a:chOff x="3359" y="15181"/>
                          <a:chExt cx="5759" cy="944"/>
                        </a:xfrm>
                      </wpg:grpSpPr>
                      <wps:wsp>
                        <wps:cNvPr id="10" name="fmFrame7"/>
                        <wps:cNvSpPr txBox="1"/>
                        <wps:spPr>
                          <a:xfrm>
                            <a:off x="3359" y="15181"/>
                            <a:ext cx="5759" cy="944"/>
                          </a:xfrm>
                          <a:prstGeom prst="rect">
                            <a:avLst/>
                          </a:prstGeom>
                          <a:solidFill>
                            <a:srgbClr val="FFFFFF"/>
                          </a:solidFill>
                          <a:ln>
                            <a:noFill/>
                          </a:ln>
                        </wps:spPr>
                        <wps:txbx>
                          <w:txbxContent>
                            <w:p w14:paraId="4A6FFE4B">
                              <w:pPr>
                                <w:pStyle w:val="67"/>
                                <w:spacing w:line="400" w:lineRule="exact"/>
                                <w:rPr>
                                  <w:rStyle w:val="41"/>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6D1FF6CC">
                              <w:pPr>
                                <w:pStyle w:val="67"/>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14:paraId="0D4D98A5">
                              <w:pPr>
                                <w:pStyle w:val="67"/>
                              </w:pPr>
                            </w:p>
                          </w:txbxContent>
                        </wps:txbx>
                        <wps:bodyPr wrap="square" lIns="0" tIns="0" rIns="0" bIns="0" upright="1"/>
                      </wps:wsp>
                      <wps:wsp>
                        <wps:cNvPr id="11" name="文本框 14"/>
                        <wps:cNvSpPr txBox="1"/>
                        <wps:spPr>
                          <a:xfrm>
                            <a:off x="7884" y="15203"/>
                            <a:ext cx="1020" cy="843"/>
                          </a:xfrm>
                          <a:prstGeom prst="rect">
                            <a:avLst/>
                          </a:prstGeom>
                          <a:noFill/>
                          <a:ln>
                            <a:noFill/>
                          </a:ln>
                        </wps:spPr>
                        <wps:txbx>
                          <w:txbxContent>
                            <w:p w14:paraId="49B18429">
                              <w:pPr>
                                <w:rPr>
                                  <w:spacing w:val="10"/>
                                </w:rPr>
                              </w:pPr>
                              <w:r>
                                <w:rPr>
                                  <w:rFonts w:hint="eastAsia" w:ascii="黑体" w:eastAsia="黑体"/>
                                  <w:spacing w:val="10"/>
                                  <w:sz w:val="28"/>
                                </w:rPr>
                                <w:t>发布</w:t>
                              </w:r>
                            </w:p>
                          </w:txbxContent>
                        </wps:txbx>
                        <wps:bodyPr wrap="square" upright="1"/>
                      </wps:wsp>
                    </wpg:wgp>
                  </a:graphicData>
                </a:graphic>
              </wp:anchor>
            </w:drawing>
          </mc:Choice>
          <mc:Fallback>
            <w:pict>
              <v:group id="组合 15" o:spid="_x0000_s1026" o:spt="203" style="position:absolute;left:0pt;margin-left:97.05pt;margin-top:561.2pt;height:47.2pt;width:287.95pt;z-index:251668480;mso-width-relative:page;mso-height-relative:page;" coordorigin="3359,15181" coordsize="5759,944" o:gfxdata="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oBVxtwAAAANAQAADwAA&#10;AAAAAAABACAAAAAiAAAAZHJzL2Rvd25yZXYueG1sUEsBAhQAFAAAAAgAh07iQMSaqdyEAgAAWwYA&#10;AA4AAAAAAAAAAQAgAAAAKwEAAGRycy9lMm9Eb2MueG1sUEsFBgAAAAAGAAYAWQEAACEGAAAAAA==&#10;">
                <o:lock v:ext="edit" aspectratio="f"/>
                <v:shape id="fmFrame7" o:spid="_x0000_s1026" o:spt="202" type="#_x0000_t202" style="position:absolute;left:3359;top:15181;height:944;width:5759;"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4A6FFE4B">
                        <w:pPr>
                          <w:pStyle w:val="67"/>
                          <w:spacing w:line="400" w:lineRule="exact"/>
                          <w:rPr>
                            <w:rStyle w:val="41"/>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6D1FF6CC">
                        <w:pPr>
                          <w:pStyle w:val="67"/>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14:paraId="0D4D98A5">
                        <w:pPr>
                          <w:pStyle w:val="67"/>
                        </w:pPr>
                      </w:p>
                    </w:txbxContent>
                  </v:textbox>
                </v:shape>
                <v:shape id="文本框 14" o:spid="_x0000_s1026" o:spt="202" type="#_x0000_t202" style="position:absolute;left:7884;top:15203;height:843;width:102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9B18429">
                        <w:pPr>
                          <w:rPr>
                            <w:spacing w:val="10"/>
                          </w:rPr>
                        </w:pPr>
                        <w:r>
                          <w:rPr>
                            <w:rFonts w:hint="eastAsia" w:ascii="黑体" w:eastAsia="黑体"/>
                            <w:spacing w:val="10"/>
                            <w:sz w:val="28"/>
                          </w:rPr>
                          <w:t>发布</w:t>
                        </w:r>
                      </w:p>
                    </w:txbxContent>
                  </v:textbox>
                </v:shape>
              </v:group>
            </w:pict>
          </mc:Fallback>
        </mc:AlternateContent>
      </w:r>
      <w:r>
        <w:rPr>
          <w:color w:val="000000" w:themeColor="text1"/>
          <w:sz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ge">
                  <wp:posOffset>9274810</wp:posOffset>
                </wp:positionV>
                <wp:extent cx="6172200" cy="0"/>
                <wp:effectExtent l="0" t="0" r="0" b="0"/>
                <wp:wrapNone/>
                <wp:docPr id="9" name="直线 12"/>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2" o:spid="_x0000_s1026" o:spt="20" style="position:absolute;left:0pt;margin-left:0pt;margin-top:730.3pt;height:0pt;width:486pt;mso-position-vertical-relative:page;z-index:251667456;mso-width-relative:page;mso-height-relative:page;" filled="f" stroked="t" coordsize="21600,21600" o:gfxdata="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2IfH/UAAAACgEAAA8AAAAA&#10;AAAAAQAgAAAAIgAAAGRycy9kb3ducmV2LnhtbFBLAQIUABQAAAAIAIdO4kAMTmKc3wEAANADAAAO&#10;AAAAAAAAAAEAIAAAACMBAABkcnMvZTJvRG9jLnhtbFBLBQYAAAAABgAGAFkBAAB0BQAAAAA=&#10;">
                <v:fill on="f" focussize="0,0"/>
                <v:stroke color="#000000" joinstyle="round"/>
                <v:imagedata o:title=""/>
                <o:lock v:ext="edit" aspectratio="f"/>
              </v:line>
            </w:pict>
          </mc:Fallback>
        </mc:AlternateContent>
      </w:r>
      <w:r>
        <w:rPr>
          <w:color w:val="000000" w:themeColor="text1"/>
          <w:sz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160020</wp:posOffset>
                </wp:positionH>
                <wp:positionV relativeFrom="paragraph">
                  <wp:posOffset>100965</wp:posOffset>
                </wp:positionV>
                <wp:extent cx="6120130" cy="0"/>
                <wp:effectExtent l="0" t="0" r="0" b="0"/>
                <wp:wrapNone/>
                <wp:docPr id="8" name="直线 10"/>
                <wp:cNvGraphicFramePr/>
                <a:graphic xmlns:a="http://schemas.openxmlformats.org/drawingml/2006/main">
                  <a:graphicData uri="http://schemas.microsoft.com/office/word/2010/wordprocessingShape">
                    <wps:wsp>
                      <wps:cNvCnPr/>
                      <wps:spPr>
                        <a:xfrm flipH="1">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flip:x;margin-left:12.6pt;margin-top:7.95pt;height:0pt;width:481.9pt;z-index:251666432;mso-width-relative:page;mso-height-relative:page;" filled="f" stroked="t" coordsize="21600,21600" o:gfxdata="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SmX91QAAAAgB&#10;AAAPAAAAAAAAAAEAIAAAACIAAABkcnMvZG93bnJldi54bWxQSwECFAAUAAAACACHTuJAEruZ8uUB&#10;AADaAwAADgAAAAAAAAABACAAAAAkAQAAZHJzL2Uyb0RvYy54bWxQSwUGAAAAAAYABgBZAQAAewUA&#10;AAAA&#10;">
                <v:fill on="f" focussize="0,0"/>
                <v:stroke color="#000000" joinstyle="round"/>
                <v:imagedata o:title=""/>
                <o:lock v:ext="edit" aspectratio="f"/>
              </v:line>
            </w:pict>
          </mc:Fallback>
        </mc:AlternateContent>
      </w:r>
      <w:r>
        <w:rPr>
          <w:color w:val="000000" w:themeColor="text1"/>
          <w14:textFill>
            <w14:solidFill>
              <w14:schemeClr w14:val="tx1"/>
            </w14:solidFill>
          </w14:textFill>
        </w:rPr>
        <w:t xml:space="preserve">        </w:t>
      </w:r>
    </w:p>
    <w:bookmarkEnd w:id="0"/>
    <w:p w14:paraId="68723D4E">
      <w:pPr>
        <w:pStyle w:val="58"/>
        <w:snapToGrid w:val="0"/>
        <w:spacing w:before="312" w:beforeLines="100" w:after="312" w:afterLines="100" w:line="240" w:lineRule="auto"/>
        <w:ind w:left="1060" w:hanging="641"/>
        <w:rPr>
          <w:color w:val="000000" w:themeColor="text1"/>
          <w14:textFill>
            <w14:solidFill>
              <w14:schemeClr w14:val="tx1"/>
            </w14:solidFill>
          </w14:textFill>
        </w:rPr>
      </w:pPr>
      <w:r>
        <w:rPr>
          <w:rFonts w:hint="eastAsia"/>
          <w:color w:val="000000" w:themeColor="text1"/>
          <w14:textFill>
            <w14:solidFill>
              <w14:schemeClr w14:val="tx1"/>
            </w14:solidFill>
          </w14:textFill>
        </w:rPr>
        <w:t>前  言</w:t>
      </w:r>
    </w:p>
    <w:p w14:paraId="78D04087">
      <w:pPr>
        <w:pStyle w:val="43"/>
        <w:tabs>
          <w:tab w:val="center" w:pos="4201"/>
          <w:tab w:val="right" w:leader="dot" w:pos="9298"/>
        </w:tabs>
        <w:adjustRightInd w:val="0"/>
        <w:snapToGrid w:val="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本</w:t>
      </w:r>
      <w:r>
        <w:rPr>
          <w:rFonts w:hint="eastAsia" w:ascii="Times New Roman"/>
          <w:color w:val="000000" w:themeColor="text1"/>
          <w:szCs w:val="21"/>
          <w14:textFill>
            <w14:solidFill>
              <w14:schemeClr w14:val="tx1"/>
            </w14:solidFill>
          </w14:textFill>
        </w:rPr>
        <w:t>文件</w:t>
      </w:r>
      <w:r>
        <w:rPr>
          <w:rFonts w:ascii="Times New Roman"/>
          <w:color w:val="000000" w:themeColor="text1"/>
          <w:szCs w:val="21"/>
          <w14:textFill>
            <w14:solidFill>
              <w14:schemeClr w14:val="tx1"/>
            </w14:solidFill>
          </w14:textFill>
        </w:rPr>
        <w:t>按照GB/T 1.1-2020《标准化工作导则 第1部分：标准化文件的结构和起草规则》的规</w:t>
      </w:r>
      <w:r>
        <w:rPr>
          <w:rFonts w:hint="eastAsia" w:ascii="Times New Roman"/>
          <w:color w:val="000000" w:themeColor="text1"/>
          <w:szCs w:val="21"/>
          <w14:textFill>
            <w14:solidFill>
              <w14:schemeClr w14:val="tx1"/>
            </w14:solidFill>
          </w14:textFill>
        </w:rPr>
        <w:t>定</w:t>
      </w:r>
      <w:r>
        <w:rPr>
          <w:rFonts w:ascii="Times New Roman"/>
          <w:color w:val="000000" w:themeColor="text1"/>
          <w:szCs w:val="21"/>
          <w14:textFill>
            <w14:solidFill>
              <w14:schemeClr w14:val="tx1"/>
            </w14:solidFill>
          </w14:textFill>
        </w:rPr>
        <w:t>起草。</w:t>
      </w:r>
    </w:p>
    <w:p w14:paraId="03A20A9F">
      <w:pPr>
        <w:adjustRightInd w:val="0"/>
        <w:snapToGrid w:val="0"/>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本文件是</w:t>
      </w:r>
      <w:r>
        <w:rPr>
          <w:rFonts w:hint="eastAsia"/>
          <w:color w:val="000000" w:themeColor="text1"/>
          <w:kern w:val="0"/>
          <w:szCs w:val="21"/>
          <w14:textFill>
            <w14:solidFill>
              <w14:schemeClr w14:val="tx1"/>
            </w14:solidFill>
          </w14:textFill>
        </w:rPr>
        <w:t>GB/T 12690</w:t>
      </w:r>
      <w:r>
        <w:rPr>
          <w:color w:val="000000" w:themeColor="text1"/>
          <w:szCs w:val="21"/>
          <w14:textFill>
            <w14:solidFill>
              <w14:schemeClr w14:val="tx1"/>
            </w14:solidFill>
          </w14:textFill>
        </w:rPr>
        <w:t>《</w:t>
      </w:r>
      <w:r>
        <w:rPr>
          <w:rFonts w:hint="eastAsia" w:cs="宋体"/>
          <w:color w:val="000000" w:themeColor="text1"/>
          <w14:textFill>
            <w14:solidFill>
              <w14:schemeClr w14:val="tx1"/>
            </w14:solidFill>
          </w14:textFill>
        </w:rPr>
        <w:t>稀土金属及其氧化物中非稀土杂质化学分析方法》的第13部分，</w:t>
      </w:r>
      <w:r>
        <w:rPr>
          <w:rFonts w:hint="eastAsia"/>
          <w:color w:val="000000" w:themeColor="text1"/>
          <w:kern w:val="0"/>
          <w:szCs w:val="21"/>
          <w14:textFill>
            <w14:solidFill>
              <w14:schemeClr w14:val="tx1"/>
            </w14:solidFill>
          </w14:textFill>
        </w:rPr>
        <w:t>GB/T 12690</w:t>
      </w:r>
      <w:r>
        <w:rPr>
          <w:rFonts w:hint="eastAsia" w:cs="宋体"/>
          <w:color w:val="000000" w:themeColor="text1"/>
          <w14:textFill>
            <w14:solidFill>
              <w14:schemeClr w14:val="tx1"/>
            </w14:solidFill>
          </w14:textFill>
        </w:rPr>
        <w:t>已经发布了以下部分：</w:t>
      </w:r>
    </w:p>
    <w:p w14:paraId="03F2BE19">
      <w:pPr>
        <w:pStyle w:val="43"/>
        <w:adjustRightInd w:val="0"/>
        <w:snapToGrid w:val="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——第</w:t>
      </w:r>
      <w:r>
        <w:rPr>
          <w:rFonts w:hint="eastAsia" w:ascii="Times New Roman" w:cs="宋体"/>
          <w:color w:val="000000" w:themeColor="text1"/>
          <w:szCs w:val="21"/>
          <w14:textFill>
            <w14:solidFill>
              <w14:schemeClr w14:val="tx1"/>
            </w14:solidFill>
          </w14:textFill>
        </w:rPr>
        <w:t>1</w:t>
      </w:r>
      <w:r>
        <w:rPr>
          <w:rFonts w:ascii="Times New Roman"/>
          <w:color w:val="000000" w:themeColor="text1"/>
          <w:szCs w:val="21"/>
          <w14:textFill>
            <w14:solidFill>
              <w14:schemeClr w14:val="tx1"/>
            </w14:solidFill>
          </w14:textFill>
        </w:rPr>
        <w:t>部分：</w:t>
      </w:r>
      <w:r>
        <w:rPr>
          <w:rFonts w:hint="eastAsia" w:ascii="Times New Roman"/>
          <w:color w:val="000000" w:themeColor="text1"/>
          <w:szCs w:val="21"/>
          <w14:textFill>
            <w14:solidFill>
              <w14:schemeClr w14:val="tx1"/>
            </w14:solidFill>
          </w14:textFill>
        </w:rPr>
        <w:t>碳、硫量的测定 高频-红外吸收法；</w:t>
      </w:r>
    </w:p>
    <w:p w14:paraId="44E7CF88">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稀土氧化物中灼减量的测定 重量法；</w:t>
      </w:r>
      <w:r>
        <w:rPr>
          <w:color w:val="000000" w:themeColor="text1"/>
          <w:kern w:val="0"/>
          <w:szCs w:val="21"/>
          <w14:textFill>
            <w14:solidFill>
              <w14:schemeClr w14:val="tx1"/>
            </w14:solidFill>
          </w14:textFill>
        </w:rPr>
        <w:t xml:space="preserve"> </w:t>
      </w:r>
    </w:p>
    <w:p w14:paraId="6AE136E8">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稀土氧化物中水分量的测定 重量法</w:t>
      </w:r>
      <w:r>
        <w:rPr>
          <w:rFonts w:hint="eastAsia"/>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 xml:space="preserve"> </w:t>
      </w:r>
    </w:p>
    <w:p w14:paraId="5636CBD4">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氧、氮量的测定 脉冲-红外吸收法和脉冲-热导法</w:t>
      </w:r>
      <w:r>
        <w:rPr>
          <w:rFonts w:hint="eastAsia"/>
          <w:color w:val="000000" w:themeColor="text1"/>
          <w:szCs w:val="21"/>
          <w14:textFill>
            <w14:solidFill>
              <w14:schemeClr w14:val="tx1"/>
            </w14:solidFill>
          </w14:textFill>
        </w:rPr>
        <w:t>；</w:t>
      </w:r>
    </w:p>
    <w:p w14:paraId="6CE3AAFA">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cs="宋体"/>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钴、锰、铅、镍、铜、锌、铝、铬、镁、镉、钒、铁量的测定；</w:t>
      </w:r>
    </w:p>
    <w:p w14:paraId="28470765">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6</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铁量的测定 硫氰酸钾、1,10-二氮杂菲分光光度法；</w:t>
      </w:r>
    </w:p>
    <w:p w14:paraId="055D6C99">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硅量的测定；</w:t>
      </w:r>
    </w:p>
    <w:p w14:paraId="7313CE28">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钠量的测定；</w:t>
      </w:r>
    </w:p>
    <w:p w14:paraId="7E47FE2F">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9</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氯量的测定 硝酸银比浊法；</w:t>
      </w:r>
    </w:p>
    <w:p w14:paraId="5BFBD3FB">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10</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磷量的测定 钼蓝分光光度法；</w:t>
      </w:r>
    </w:p>
    <w:p w14:paraId="610AFBF5">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11</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镁量的测定 火焰原子吸收光谱法；</w:t>
      </w:r>
    </w:p>
    <w:p w14:paraId="07194F29">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第12部分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钍、铀量的测定 电感耦合等离子体质谱法；</w:t>
      </w:r>
    </w:p>
    <w:p w14:paraId="7D0F50C0">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第13部分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钼、钨</w:t>
      </w:r>
      <w:r>
        <w:rPr>
          <w:rFonts w:hint="eastAsia"/>
          <w:color w:val="000000" w:themeColor="text1"/>
          <w:kern w:val="0"/>
          <w:szCs w:val="21"/>
          <w:lang w:val="en-US" w:eastAsia="zh-CN"/>
          <w14:textFill>
            <w14:solidFill>
              <w14:schemeClr w14:val="tx1"/>
            </w14:solidFill>
          </w14:textFill>
        </w:rPr>
        <w:t>含</w:t>
      </w:r>
      <w:r>
        <w:rPr>
          <w:rFonts w:hint="eastAsia"/>
          <w:color w:val="000000" w:themeColor="text1"/>
          <w:kern w:val="0"/>
          <w:szCs w:val="21"/>
          <w14:textFill>
            <w14:solidFill>
              <w14:schemeClr w14:val="tx1"/>
            </w14:solidFill>
          </w14:textFill>
        </w:rPr>
        <w:t>量的测定；</w:t>
      </w:r>
    </w:p>
    <w:p w14:paraId="731477C8">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第14部分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钛量的测定；</w:t>
      </w:r>
    </w:p>
    <w:p w14:paraId="370C2BE4">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第15部分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钙量的测定；</w:t>
      </w:r>
    </w:p>
    <w:p w14:paraId="3BE38057">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第16部分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氟量的测定 离子选择性电极法；</w:t>
      </w:r>
    </w:p>
    <w:p w14:paraId="281B708A">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第17部分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稀土金属中铌、钽量的测定；</w:t>
      </w:r>
    </w:p>
    <w:p w14:paraId="38EB28A6">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第18部分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锆量的测定；</w:t>
      </w:r>
    </w:p>
    <w:p w14:paraId="73B1BCE0">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第19部分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砷、汞量的测定；</w:t>
      </w:r>
    </w:p>
    <w:p w14:paraId="1DD690F6">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第20部分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稀土氧化物中微量氟、氯的测定 离子色谱法；</w:t>
      </w:r>
    </w:p>
    <w:p w14:paraId="61823CDB">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第21部分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稀土氧化物中硫酸根含量的测定 硫酸钡比浊法。</w:t>
      </w:r>
    </w:p>
    <w:p w14:paraId="69E3BDB2">
      <w:pPr>
        <w:pStyle w:val="43"/>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ind w:left="0" w:leftChars="0" w:firstLine="420" w:firstLineChars="200"/>
        <w:jc w:val="left"/>
        <w:textAlignment w:val="auto"/>
        <w:rPr>
          <w:rFonts w:ascii="Times New Roman" w:cs="宋体"/>
          <w:color w:val="auto"/>
        </w:rPr>
      </w:pPr>
      <w:r>
        <w:rPr>
          <w:rFonts w:ascii="Times New Roman"/>
          <w:color w:val="000000" w:themeColor="text1"/>
          <w:szCs w:val="21"/>
          <w14:textFill>
            <w14:solidFill>
              <w14:schemeClr w14:val="tx1"/>
            </w14:solidFill>
          </w14:textFill>
        </w:rPr>
        <w:t>本</w:t>
      </w:r>
      <w:r>
        <w:rPr>
          <w:rFonts w:hint="eastAsia" w:ascii="Times New Roman"/>
          <w:color w:val="000000" w:themeColor="text1"/>
          <w:szCs w:val="21"/>
          <w14:textFill>
            <w14:solidFill>
              <w14:schemeClr w14:val="tx1"/>
            </w14:solidFill>
          </w14:textFill>
        </w:rPr>
        <w:t>文件</w:t>
      </w:r>
      <w:r>
        <w:rPr>
          <w:rFonts w:ascii="Times New Roman"/>
          <w:color w:val="000000" w:themeColor="text1"/>
          <w:szCs w:val="21"/>
          <w14:textFill>
            <w14:solidFill>
              <w14:schemeClr w14:val="tx1"/>
            </w14:solidFill>
          </w14:textFill>
        </w:rPr>
        <w:t>代</w:t>
      </w:r>
      <w:r>
        <w:rPr>
          <w:rFonts w:ascii="Times New Roman"/>
          <w:color w:val="auto"/>
          <w:szCs w:val="21"/>
        </w:rPr>
        <w:t xml:space="preserve">替GB/T </w:t>
      </w:r>
      <w:r>
        <w:rPr>
          <w:rFonts w:hint="eastAsia" w:ascii="Times New Roman"/>
          <w:color w:val="auto"/>
          <w:szCs w:val="21"/>
        </w:rPr>
        <w:t>12690.13</w:t>
      </w:r>
      <w:r>
        <w:rPr>
          <w:rFonts w:ascii="Times New Roman"/>
          <w:color w:val="auto"/>
          <w:szCs w:val="21"/>
        </w:rPr>
        <w:t>-200</w:t>
      </w:r>
      <w:r>
        <w:rPr>
          <w:rFonts w:hint="eastAsia" w:ascii="Times New Roman"/>
          <w:color w:val="auto"/>
          <w:szCs w:val="21"/>
        </w:rPr>
        <w:t>3</w:t>
      </w:r>
      <w:r>
        <w:rPr>
          <w:rFonts w:ascii="Times New Roman"/>
          <w:color w:val="auto"/>
          <w:szCs w:val="21"/>
        </w:rPr>
        <w:t>《</w:t>
      </w:r>
      <w:r>
        <w:rPr>
          <w:rFonts w:hint="eastAsia" w:ascii="Times New Roman" w:cs="宋体"/>
          <w:color w:val="auto"/>
        </w:rPr>
        <w:t>稀土金属及其氧化物中非稀土杂质化学分析方法 第13部分：钼、钨量的测定</w:t>
      </w:r>
      <w:r>
        <w:rPr>
          <w:rFonts w:hint="eastAsia" w:ascii="Times New Roman" w:cs="宋体"/>
          <w:color w:val="auto"/>
          <w:lang w:val="en-US" w:eastAsia="zh-CN"/>
        </w:rPr>
        <w:t xml:space="preserve"> </w:t>
      </w:r>
      <w:r>
        <w:rPr>
          <w:rFonts w:hint="eastAsia" w:ascii="Times New Roman" w:cs="宋体"/>
          <w:color w:val="auto"/>
        </w:rPr>
        <w:t>电感耦合等离子体发射光谱法和电感耦合等离子体质谱法</w:t>
      </w:r>
      <w:r>
        <w:rPr>
          <w:rFonts w:ascii="Times New Roman"/>
          <w:color w:val="auto"/>
          <w:szCs w:val="21"/>
        </w:rPr>
        <w:t xml:space="preserve">》，与GB/T </w:t>
      </w:r>
      <w:r>
        <w:rPr>
          <w:rFonts w:hint="eastAsia" w:ascii="Times New Roman"/>
          <w:color w:val="auto"/>
          <w:szCs w:val="21"/>
        </w:rPr>
        <w:t>12690.13</w:t>
      </w:r>
      <w:r>
        <w:rPr>
          <w:rFonts w:ascii="Times New Roman"/>
          <w:color w:val="auto"/>
          <w:szCs w:val="21"/>
        </w:rPr>
        <w:t>-200</w:t>
      </w:r>
      <w:r>
        <w:rPr>
          <w:rFonts w:hint="eastAsia" w:ascii="Times New Roman"/>
          <w:color w:val="auto"/>
          <w:szCs w:val="21"/>
        </w:rPr>
        <w:t>3</w:t>
      </w:r>
      <w:r>
        <w:rPr>
          <w:rFonts w:ascii="Times New Roman"/>
          <w:color w:val="auto"/>
          <w:szCs w:val="21"/>
        </w:rPr>
        <w:t>相比，除</w:t>
      </w:r>
      <w:r>
        <w:rPr>
          <w:rFonts w:hint="eastAsia" w:ascii="Times New Roman"/>
          <w:color w:val="auto"/>
          <w:szCs w:val="21"/>
        </w:rPr>
        <w:t>结构调整和</w:t>
      </w:r>
      <w:r>
        <w:rPr>
          <w:rFonts w:ascii="Times New Roman"/>
          <w:color w:val="auto"/>
          <w:szCs w:val="21"/>
        </w:rPr>
        <w:t>编辑性改</w:t>
      </w:r>
      <w:r>
        <w:rPr>
          <w:rFonts w:hint="eastAsia" w:ascii="Times New Roman"/>
          <w:color w:val="auto"/>
          <w:szCs w:val="21"/>
        </w:rPr>
        <w:t>动</w:t>
      </w:r>
      <w:r>
        <w:rPr>
          <w:rFonts w:ascii="Times New Roman"/>
          <w:color w:val="auto"/>
          <w:szCs w:val="21"/>
        </w:rPr>
        <w:t>外</w:t>
      </w:r>
      <w:r>
        <w:rPr>
          <w:rFonts w:hint="eastAsia" w:ascii="Times New Roman"/>
          <w:color w:val="auto"/>
          <w:szCs w:val="21"/>
        </w:rPr>
        <w:t>，</w:t>
      </w:r>
      <w:r>
        <w:rPr>
          <w:rFonts w:ascii="Times New Roman"/>
          <w:color w:val="auto"/>
          <w:szCs w:val="21"/>
        </w:rPr>
        <w:t>主要技术变化如下：</w:t>
      </w:r>
    </w:p>
    <w:p w14:paraId="282E8F4C">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default"/>
          <w:color w:val="auto"/>
          <w:kern w:val="0"/>
          <w:sz w:val="21"/>
          <w:szCs w:val="21"/>
          <w:lang w:val="en-US" w:eastAsia="zh-CN"/>
        </w:rPr>
      </w:pPr>
      <w:r>
        <w:rPr>
          <w:rFonts w:hint="eastAsia"/>
          <w:color w:val="auto"/>
          <w:kern w:val="0"/>
          <w:sz w:val="21"/>
          <w:szCs w:val="21"/>
          <w:lang w:val="en-US" w:eastAsia="zh-CN"/>
        </w:rPr>
        <w:t>a) 更改方法名称为稀土金属及其氧化物中非稀土杂质化学分析方法第13部分 钼、钨含量的测定；</w:t>
      </w:r>
    </w:p>
    <w:p w14:paraId="4F2C6D4A">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b) 更改了方法的适用范围及测定范围，增加了仲裁方法的规定（见第1章，2003年版的第1章）；</w:t>
      </w:r>
    </w:p>
    <w:p w14:paraId="76AE8DBB">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c) 增加了“规范性引用文件”、“术语和定义”章节（见第2章、第3章）；</w:t>
      </w:r>
    </w:p>
    <w:p w14:paraId="1C34A3FD">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d) 增加了对分析中试剂和用水的说明（见4.2、5.2）；</w:t>
      </w:r>
    </w:p>
    <w:p w14:paraId="23BCE982">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e) 增加了方法1、方法2的试剂氢氧化钠、硝酸（1+1）、氨水（1+3）（见4.2.1、4.2.4、4.2.5）；</w:t>
      </w:r>
    </w:p>
    <w:p w14:paraId="6234FC35">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f) 更改了方法1、方法2仪器设备的具体要求（见4.3、5.3，2003年版的第4章、第13章）；</w:t>
      </w:r>
    </w:p>
    <w:p w14:paraId="50928C8A">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default"/>
          <w:color w:val="auto"/>
          <w:kern w:val="0"/>
          <w:sz w:val="21"/>
          <w:szCs w:val="21"/>
          <w:lang w:val="en-US" w:eastAsia="zh-CN"/>
        </w:rPr>
      </w:pPr>
      <w:r>
        <w:rPr>
          <w:rFonts w:hint="eastAsia"/>
          <w:color w:val="auto"/>
          <w:kern w:val="0"/>
          <w:sz w:val="21"/>
          <w:szCs w:val="21"/>
          <w:lang w:val="en-US" w:eastAsia="zh-CN"/>
        </w:rPr>
        <w:t>g) 更改了方法1的推荐分析谱线（见表1，2003年版的6.3.2）；</w:t>
      </w:r>
    </w:p>
    <w:p w14:paraId="0F66A209">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h) 更改了方法1、方法2分析试液的制备方法（见4.5.4、5.5.4，2003年版的6.1、15.1）；</w:t>
      </w:r>
    </w:p>
    <w:p w14:paraId="323F083C">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i) 删除了方法1、方法2测定条件章节（见2003年版的6.3.1、15.3.1）；</w:t>
      </w:r>
    </w:p>
    <w:p w14:paraId="29655AE1">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j) 更改了方法1、方法2系列标准溶液的配制步骤（见4.5.5、5.5.5，2003年版的6.2）；</w:t>
      </w:r>
    </w:p>
    <w:p w14:paraId="45149CE4">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k) 增加了方法1、方法2工作曲线的绘制和空白试液的测定步骤（见4.5.6.2、4.5.6.3、5.5.6.1、5.5.6.2）；</w:t>
      </w:r>
    </w:p>
    <w:p w14:paraId="229E5A92">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l) 更改了方法1、方法2试验数据处理的计算公式（见4.6、5.6，2003年版的第7章、第16章）；</w:t>
      </w:r>
    </w:p>
    <w:p w14:paraId="7C52A7A7">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eastAsia"/>
          <w:color w:val="auto"/>
          <w:kern w:val="0"/>
          <w:sz w:val="21"/>
          <w:szCs w:val="21"/>
          <w:lang w:val="en-US" w:eastAsia="zh-CN"/>
        </w:rPr>
      </w:pPr>
      <w:r>
        <w:rPr>
          <w:rFonts w:hint="eastAsia"/>
          <w:color w:val="auto"/>
          <w:kern w:val="0"/>
          <w:sz w:val="21"/>
          <w:szCs w:val="21"/>
          <w:lang w:val="en-US" w:eastAsia="zh-CN"/>
        </w:rPr>
        <w:t>m) 更改了方法2的测量同位素及测定内标（见表4，2003年版的15.3.2）；</w:t>
      </w:r>
    </w:p>
    <w:p w14:paraId="06641B8E">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rFonts w:hint="default" w:ascii="Times New Roman" w:hAnsi="Times New Roman" w:eastAsia="宋体"/>
          <w:color w:val="auto"/>
          <w:sz w:val="24"/>
          <w:szCs w:val="32"/>
          <w:lang w:val="en-US" w:eastAsia="zh-CN"/>
        </w:rPr>
      </w:pPr>
      <w:r>
        <w:rPr>
          <w:rFonts w:hint="eastAsia"/>
          <w:color w:val="auto"/>
          <w:kern w:val="0"/>
          <w:sz w:val="21"/>
          <w:szCs w:val="21"/>
          <w:lang w:val="en-US" w:eastAsia="zh-CN"/>
        </w:rPr>
        <w:t>n) 更改了方法1、方法2允许差，将“允许差”更改为“再现性”（见4.7.2、5.7.2，2003年版的8.2、17.2）。</w:t>
      </w:r>
    </w:p>
    <w:p w14:paraId="6CB2A17D">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rFonts w:hint="eastAsia"/>
          <w:color w:val="auto"/>
        </w:rPr>
        <w:t>请注意本文件的某些内容可能涉及专利</w:t>
      </w:r>
      <w:r>
        <w:rPr>
          <w:color w:val="auto"/>
        </w:rPr>
        <w:t>。</w:t>
      </w:r>
      <w:r>
        <w:rPr>
          <w:rFonts w:hint="eastAsia"/>
          <w:color w:val="auto"/>
        </w:rPr>
        <w:t>本文件</w:t>
      </w:r>
      <w:r>
        <w:rPr>
          <w:rFonts w:hint="eastAsia"/>
          <w:color w:val="000000" w:themeColor="text1"/>
          <w14:textFill>
            <w14:solidFill>
              <w14:schemeClr w14:val="tx1"/>
            </w14:solidFill>
          </w14:textFill>
        </w:rPr>
        <w:t>的发布机构不承担识别专利的责任。</w:t>
      </w:r>
    </w:p>
    <w:p w14:paraId="5C35DDDC">
      <w:pPr>
        <w:pStyle w:val="43"/>
        <w:tabs>
          <w:tab w:val="center" w:pos="4201"/>
          <w:tab w:val="right" w:leader="dot" w:pos="9298"/>
        </w:tabs>
        <w:adjustRightInd w:val="0"/>
        <w:snapToGrid w:val="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本</w:t>
      </w:r>
      <w:r>
        <w:rPr>
          <w:rFonts w:hint="eastAsia" w:ascii="Times New Roman"/>
          <w:color w:val="000000" w:themeColor="text1"/>
          <w:szCs w:val="21"/>
          <w14:textFill>
            <w14:solidFill>
              <w14:schemeClr w14:val="tx1"/>
            </w14:solidFill>
          </w14:textFill>
        </w:rPr>
        <w:t>文件</w:t>
      </w:r>
      <w:r>
        <w:rPr>
          <w:rFonts w:ascii="Times New Roman"/>
          <w:color w:val="000000" w:themeColor="text1"/>
          <w:szCs w:val="21"/>
          <w14:textFill>
            <w14:solidFill>
              <w14:schemeClr w14:val="tx1"/>
            </w14:solidFill>
          </w14:textFill>
        </w:rPr>
        <w:t>由全国稀土标准化技术委员会（SAC/TC 229）提出并归口。</w:t>
      </w:r>
    </w:p>
    <w:p w14:paraId="64FE1B1F">
      <w:pPr>
        <w:adjustRightInd w:val="0"/>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w:t>
      </w:r>
      <w:r>
        <w:rPr>
          <w:rFonts w:hint="eastAsia"/>
          <w:color w:val="000000" w:themeColor="text1"/>
          <w:szCs w:val="21"/>
          <w14:textFill>
            <w14:solidFill>
              <w14:schemeClr w14:val="tx1"/>
            </w14:solidFill>
          </w14:textFill>
        </w:rPr>
        <w:t>文件</w:t>
      </w:r>
      <w:r>
        <w:rPr>
          <w:color w:val="000000" w:themeColor="text1"/>
          <w:szCs w:val="21"/>
          <w14:textFill>
            <w14:solidFill>
              <w14:schemeClr w14:val="tx1"/>
            </w14:solidFill>
          </w14:textFill>
        </w:rPr>
        <w:t>起草单位：</w:t>
      </w:r>
      <w:r>
        <w:rPr>
          <w:rFonts w:ascii="Times New Roman" w:hAnsi="Times New Roman" w:eastAsia="宋体" w:cs="Times New Roman"/>
          <w:color w:val="000000" w:themeColor="text1"/>
          <w:szCs w:val="21"/>
          <w14:textFill>
            <w14:solidFill>
              <w14:schemeClr w14:val="tx1"/>
            </w14:solidFill>
          </w14:textFill>
        </w:rPr>
        <w:t>包头稀土研究院</w:t>
      </w:r>
      <w:r>
        <w:rPr>
          <w:rFonts w:hint="eastAsia" w:ascii="Times New Roman" w:hAnsi="Times New Roman" w:eastAsia="宋体" w:cs="Times New Roman"/>
          <w:color w:val="000000" w:themeColor="text1"/>
          <w:szCs w:val="21"/>
          <w:lang w:eastAsia="zh-CN"/>
          <w14:textFill>
            <w14:solidFill>
              <w14:schemeClr w14:val="tx1"/>
            </w14:solidFill>
          </w14:textFill>
        </w:rPr>
        <w:t>、国标（北京）检验认证有限公司、江西省钨与稀土产品质量监督检验中心、定南大华新材料资源有限公司、中稀（凉山）稀土有限公司、厦门稀土材料研究所、中国科学院宁波材料技术与工程研究所</w:t>
      </w:r>
      <w:r>
        <w:rPr>
          <w:rFonts w:hint="eastAsia"/>
          <w:color w:val="000000" w:themeColor="text1"/>
          <w:szCs w:val="21"/>
          <w14:textFill>
            <w14:solidFill>
              <w14:schemeClr w14:val="tx1"/>
            </w14:solidFill>
          </w14:textFill>
        </w:rPr>
        <w:t>。</w:t>
      </w:r>
    </w:p>
    <w:p w14:paraId="107DFAF8">
      <w:pPr>
        <w:pStyle w:val="43"/>
        <w:tabs>
          <w:tab w:val="center" w:pos="4201"/>
          <w:tab w:val="right" w:leader="dot" w:pos="9298"/>
        </w:tabs>
        <w:adjustRightInd w:val="0"/>
        <w:snapToGrid w:val="0"/>
        <w:ind w:right="210" w:rightChars="100"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本部分主要起草人：</w:t>
      </w:r>
      <w:r>
        <w:rPr>
          <w:rFonts w:hint="eastAsia" w:ascii="Times New Roman"/>
          <w:color w:val="000000" w:themeColor="text1"/>
          <w:szCs w:val="21"/>
          <w:lang w:val="en-US" w:eastAsia="zh-CN"/>
          <w14:textFill>
            <w14:solidFill>
              <w14:schemeClr w14:val="tx1"/>
            </w14:solidFill>
          </w14:textFill>
        </w:rPr>
        <w:t>常诚、杜梅、张昊、王丽娟、包香春、范小龙、祝利红、徐娜、赵莎莎、刘艳、于瀛、王斌、曾强、黄南生、袁红霞、张其凯、张公军、陈添连</w:t>
      </w:r>
      <w:bookmarkStart w:id="2" w:name="_GoBack"/>
      <w:bookmarkEnd w:id="2"/>
      <w:r>
        <w:rPr>
          <w:rFonts w:hint="eastAsia" w:ascii="Times New Roman"/>
          <w:color w:val="000000" w:themeColor="text1"/>
          <w:szCs w:val="21"/>
          <w:lang w:val="en-US" w:eastAsia="zh-CN"/>
          <w14:textFill>
            <w14:solidFill>
              <w14:schemeClr w14:val="tx1"/>
            </w14:solidFill>
          </w14:textFill>
        </w:rPr>
        <w:t>、弋恒、袁晓红、李莹</w:t>
      </w:r>
      <w:r>
        <w:rPr>
          <w:rFonts w:hint="eastAsia" w:ascii="Times New Roman"/>
          <w:color w:val="000000" w:themeColor="text1"/>
          <w:szCs w:val="21"/>
          <w14:textFill>
            <w14:solidFill>
              <w14:schemeClr w14:val="tx1"/>
            </w14:solidFill>
          </w14:textFill>
        </w:rPr>
        <w:t>。</w:t>
      </w:r>
    </w:p>
    <w:p w14:paraId="410F6497">
      <w:pPr>
        <w:pStyle w:val="43"/>
        <w:tabs>
          <w:tab w:val="center" w:pos="4201"/>
          <w:tab w:val="right" w:leader="dot" w:pos="9298"/>
        </w:tabs>
        <w:adjustRightInd w:val="0"/>
        <w:snapToGrid w:val="0"/>
        <w:ind w:firstLine="409" w:firstLineChars="195"/>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本</w:t>
      </w:r>
      <w:r>
        <w:rPr>
          <w:rFonts w:hint="eastAsia" w:ascii="Times New Roman"/>
          <w:color w:val="000000" w:themeColor="text1"/>
          <w:szCs w:val="21"/>
          <w14:textFill>
            <w14:solidFill>
              <w14:schemeClr w14:val="tx1"/>
            </w14:solidFill>
          </w14:textFill>
        </w:rPr>
        <w:t>文件</w:t>
      </w:r>
      <w:r>
        <w:rPr>
          <w:rFonts w:ascii="Times New Roman"/>
          <w:color w:val="000000" w:themeColor="text1"/>
          <w:szCs w:val="21"/>
          <w14:textFill>
            <w14:solidFill>
              <w14:schemeClr w14:val="tx1"/>
            </w14:solidFill>
          </w14:textFill>
        </w:rPr>
        <w:t>所代替标准的历次版本发布情况为：</w:t>
      </w:r>
    </w:p>
    <w:p w14:paraId="753BB433">
      <w:pPr>
        <w:pStyle w:val="43"/>
        <w:tabs>
          <w:tab w:val="center" w:pos="4201"/>
          <w:tab w:val="right" w:leader="dot" w:pos="9298"/>
        </w:tabs>
        <w:adjustRightInd w:val="0"/>
        <w:snapToGrid w:val="0"/>
        <w:spacing w:after="680"/>
        <w:ind w:firstLine="428"/>
        <w:rPr>
          <w:rFonts w:ascii="Times New Roman"/>
          <w:color w:val="000000" w:themeColor="text1"/>
          <w14:textFill>
            <w14:solidFill>
              <w14:schemeClr w14:val="tx1"/>
            </w14:solidFill>
          </w14:textFill>
        </w:rPr>
      </w:pPr>
      <w:r>
        <w:rPr>
          <w:rFonts w:hint="eastAsia"/>
          <w:color w:val="000000" w:themeColor="text1"/>
          <w:spacing w:val="2"/>
          <w14:textFill>
            <w14:solidFill>
              <w14:schemeClr w14:val="tx1"/>
            </w14:solidFill>
          </w14:textFill>
        </w:rPr>
        <w:t>本文件于2003年首次发布，本次为第一次修订。</w:t>
      </w:r>
    </w:p>
    <w:p w14:paraId="003260C6">
      <w:pPr>
        <w:pStyle w:val="56"/>
        <w:adjustRightInd w:val="0"/>
        <w:snapToGrid w:val="0"/>
        <w:spacing w:before="312" w:beforeLines="100" w:after="312" w:afterLines="100"/>
        <w:ind w:firstLine="4320" w:firstLineChars="1350"/>
        <w:jc w:val="both"/>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br w:type="page"/>
      </w:r>
      <w:r>
        <w:rPr>
          <w:rFonts w:hint="eastAsia" w:ascii="Times New Roman"/>
          <w:color w:val="000000" w:themeColor="text1"/>
          <w14:textFill>
            <w14:solidFill>
              <w14:schemeClr w14:val="tx1"/>
            </w14:solidFill>
          </w14:textFill>
        </w:rPr>
        <w:t>引  言</w:t>
      </w:r>
    </w:p>
    <w:p w14:paraId="12B751DD">
      <w:pPr>
        <w:pStyle w:val="43"/>
        <w:tabs>
          <w:tab w:val="center" w:pos="4201"/>
          <w:tab w:val="right" w:leader="dot" w:pos="9298"/>
        </w:tabs>
        <w:adjustRightInd w:val="0"/>
        <w:snapToGrid w:val="0"/>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在稀土产品化学成分分析领域，我国已经建立了针对稀土总量、非稀土杂质、稀土杂质等检测方法的较为全面的标准体系。GB/T 12690《稀土金属及其氧化物中非稀土杂质化学分析方法》以GB/T 12690.12～26—1990《稀土金属及其氧化物化学分析方法》为基础，合并了 GB/T 8762.3—1988《荧光级氧化钇中酸溶性二氧化硅量测定 发射光谱法》、GB/T 8762.4—1988《荧光级氧化钇中氧化铁、氧化铅、氧化镍和氧化铜量测定 发射光谱法》、GB/T 8762.6—1988《荧光级氧化铕中氧化铅、氧化镍、氧化铁和氧化铜量测定 发射光谱法》、GB/T 11074.3~7—1989《氧化钐化学分析方法》等，最后形成对所有稀土金属及其氧化物中非稀土杂质的综合分析标准。经整合后的系列方法标准引用了先进的检测方法，并基本覆盖了全部稀土金属及其稀土氧化物基体，为稀土金属及其氧化物中非稀土杂质含量的测定提供了快捷、准确的方法，具有良好的操作性。</w:t>
      </w:r>
    </w:p>
    <w:p w14:paraId="5B57EA5B">
      <w:pPr>
        <w:pStyle w:val="43"/>
        <w:tabs>
          <w:tab w:val="center" w:pos="4201"/>
          <w:tab w:val="right" w:leader="dot" w:pos="9298"/>
        </w:tabs>
        <w:adjustRightInd w:val="0"/>
        <w:snapToGrid w:val="0"/>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根据检测对象、检测方法的不同以及各稀土金属与稀土氧化物基体的差异等，GB/T 12690 拟由21 个部分构成：</w:t>
      </w:r>
    </w:p>
    <w:p w14:paraId="57E564B7">
      <w:pPr>
        <w:pStyle w:val="43"/>
        <w:adjustRightInd w:val="0"/>
        <w:snapToGrid w:val="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——第</w:t>
      </w:r>
      <w:r>
        <w:rPr>
          <w:rFonts w:hint="eastAsia" w:ascii="Times New Roman" w:cs="宋体"/>
          <w:color w:val="000000" w:themeColor="text1"/>
          <w:szCs w:val="21"/>
          <w14:textFill>
            <w14:solidFill>
              <w14:schemeClr w14:val="tx1"/>
            </w14:solidFill>
          </w14:textFill>
        </w:rPr>
        <w:t>1</w:t>
      </w:r>
      <w:r>
        <w:rPr>
          <w:rFonts w:ascii="Times New Roman"/>
          <w:color w:val="000000" w:themeColor="text1"/>
          <w:szCs w:val="21"/>
          <w14:textFill>
            <w14:solidFill>
              <w14:schemeClr w14:val="tx1"/>
            </w14:solidFill>
          </w14:textFill>
        </w:rPr>
        <w:t>部分：</w:t>
      </w:r>
      <w:r>
        <w:rPr>
          <w:rFonts w:hint="eastAsia" w:ascii="Times New Roman"/>
          <w:color w:val="000000" w:themeColor="text1"/>
          <w:szCs w:val="21"/>
          <w14:textFill>
            <w14:solidFill>
              <w14:schemeClr w14:val="tx1"/>
            </w14:solidFill>
          </w14:textFill>
        </w:rPr>
        <w:t>碳、硫量的测定 高频-红外吸收法；</w:t>
      </w:r>
    </w:p>
    <w:p w14:paraId="03AF4F6A">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稀土氧化物中灼减量的测定 重量法；</w:t>
      </w:r>
      <w:r>
        <w:rPr>
          <w:color w:val="000000" w:themeColor="text1"/>
          <w:kern w:val="0"/>
          <w:szCs w:val="21"/>
          <w14:textFill>
            <w14:solidFill>
              <w14:schemeClr w14:val="tx1"/>
            </w14:solidFill>
          </w14:textFill>
        </w:rPr>
        <w:t xml:space="preserve"> </w:t>
      </w:r>
    </w:p>
    <w:p w14:paraId="768EA583">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稀土氧化物中水分量的测定 重量法</w:t>
      </w:r>
      <w:r>
        <w:rPr>
          <w:rFonts w:hint="eastAsia"/>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 xml:space="preserve"> </w:t>
      </w:r>
    </w:p>
    <w:p w14:paraId="5C76BDFD">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4</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氧、氮量的测定 脉冲-红外吸收法和脉冲-热导法</w:t>
      </w:r>
      <w:r>
        <w:rPr>
          <w:rFonts w:hint="eastAsia"/>
          <w:color w:val="000000" w:themeColor="text1"/>
          <w:szCs w:val="21"/>
          <w14:textFill>
            <w14:solidFill>
              <w14:schemeClr w14:val="tx1"/>
            </w14:solidFill>
          </w14:textFill>
        </w:rPr>
        <w:t>；</w:t>
      </w:r>
    </w:p>
    <w:p w14:paraId="3FC12DE4">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cs="宋体"/>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钴、锰、铅、镍、铜、锌、铝、铬、镁、镉、钒、铁量的测定；</w:t>
      </w:r>
    </w:p>
    <w:p w14:paraId="7F5DC19D">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6</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铁量的测定 硫氰酸钾、1,10-二氮杂菲分光光度法；</w:t>
      </w:r>
    </w:p>
    <w:p w14:paraId="2E538E55">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硅量的测定；</w:t>
      </w:r>
    </w:p>
    <w:p w14:paraId="2D477D49">
      <w:pPr>
        <w:widowControl/>
        <w:autoSpaceDE w:val="0"/>
        <w:autoSpaceDN w:val="0"/>
        <w:adjustRightInd w:val="0"/>
        <w:snapToGrid w:val="0"/>
        <w:ind w:firstLine="420" w:firstLineChars="20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8</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钠量的测定；</w:t>
      </w:r>
    </w:p>
    <w:p w14:paraId="1DC8324F">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9</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氯量的测定 硝酸银比浊法；</w:t>
      </w:r>
    </w:p>
    <w:p w14:paraId="73EDEB21">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10</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磷量的测定 钼蓝分光光度法；</w:t>
      </w:r>
    </w:p>
    <w:p w14:paraId="16782B94">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——第</w:t>
      </w:r>
      <w:r>
        <w:rPr>
          <w:rFonts w:hint="eastAsia" w:cs="宋体"/>
          <w:color w:val="000000" w:themeColor="text1"/>
          <w:kern w:val="0"/>
          <w:szCs w:val="21"/>
          <w14:textFill>
            <w14:solidFill>
              <w14:schemeClr w14:val="tx1"/>
            </w14:solidFill>
          </w14:textFill>
        </w:rPr>
        <w:t>11</w:t>
      </w:r>
      <w:r>
        <w:rPr>
          <w:color w:val="000000" w:themeColor="text1"/>
          <w:kern w:val="0"/>
          <w:szCs w:val="21"/>
          <w14:textFill>
            <w14:solidFill>
              <w14:schemeClr w14:val="tx1"/>
            </w14:solidFill>
          </w14:textFill>
        </w:rPr>
        <w:t>部分：</w:t>
      </w:r>
      <w:r>
        <w:rPr>
          <w:rFonts w:hint="eastAsia"/>
          <w:color w:val="000000" w:themeColor="text1"/>
          <w:kern w:val="0"/>
          <w:szCs w:val="21"/>
          <w14:textFill>
            <w14:solidFill>
              <w14:schemeClr w14:val="tx1"/>
            </w14:solidFill>
          </w14:textFill>
        </w:rPr>
        <w:t>镁量的测定 火焰原子吸收光谱法；</w:t>
      </w:r>
    </w:p>
    <w:p w14:paraId="3639B5D5">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第12部分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钍、铀量的测定 电感耦合等离子体质谱法；</w:t>
      </w:r>
    </w:p>
    <w:p w14:paraId="6B9A6E04">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第13部分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钼、钨</w:t>
      </w:r>
      <w:r>
        <w:rPr>
          <w:rFonts w:hint="eastAsia"/>
          <w:color w:val="000000" w:themeColor="text1"/>
          <w:kern w:val="0"/>
          <w:szCs w:val="21"/>
          <w:lang w:val="en-US" w:eastAsia="zh-CN"/>
          <w14:textFill>
            <w14:solidFill>
              <w14:schemeClr w14:val="tx1"/>
            </w14:solidFill>
          </w14:textFill>
        </w:rPr>
        <w:t>含</w:t>
      </w:r>
      <w:r>
        <w:rPr>
          <w:rFonts w:hint="eastAsia"/>
          <w:color w:val="000000" w:themeColor="text1"/>
          <w:kern w:val="0"/>
          <w:szCs w:val="21"/>
          <w14:textFill>
            <w14:solidFill>
              <w14:schemeClr w14:val="tx1"/>
            </w14:solidFill>
          </w14:textFill>
        </w:rPr>
        <w:t>量的测定；</w:t>
      </w:r>
    </w:p>
    <w:p w14:paraId="7627B37E">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第14部分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钛量的测定；</w:t>
      </w:r>
    </w:p>
    <w:p w14:paraId="7B394043">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第15部分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钙量的测定；</w:t>
      </w:r>
    </w:p>
    <w:p w14:paraId="1B7784F7">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第16部分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氟量的测定 离子选择性电极法；</w:t>
      </w:r>
    </w:p>
    <w:p w14:paraId="3042423A">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第17部分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稀土金属中铌、钽量的测定；</w:t>
      </w:r>
    </w:p>
    <w:p w14:paraId="65221C2D">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第18部分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锆量的测定；</w:t>
      </w:r>
    </w:p>
    <w:p w14:paraId="55C18598">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第19部分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砷、汞量的测定；</w:t>
      </w:r>
    </w:p>
    <w:p w14:paraId="101BDCFF">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第20部分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稀土氧化物中微量氟、氯的测定 离子色谱法；</w:t>
      </w:r>
    </w:p>
    <w:p w14:paraId="656FF042">
      <w:pPr>
        <w:widowControl/>
        <w:autoSpaceDE w:val="0"/>
        <w:autoSpaceDN w:val="0"/>
        <w:adjustRightInd w:val="0"/>
        <w:snapToGrid w:val="0"/>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第21部分</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稀土氧化物中硫酸根含量的测定 硫酸钡比浊法。</w:t>
      </w:r>
    </w:p>
    <w:p w14:paraId="01C3E151">
      <w:pPr>
        <w:pStyle w:val="43"/>
        <w:tabs>
          <w:tab w:val="center" w:pos="4201"/>
          <w:tab w:val="right" w:leader="dot" w:pos="9298"/>
        </w:tabs>
        <w:adjustRightInd w:val="0"/>
        <w:snapToGrid w:val="0"/>
        <w:ind w:left="0" w:leftChars="0" w:firstLine="420" w:firstLineChars="200"/>
        <w:jc w:val="left"/>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上述各个部分标准按稀土金属及其氧化物生产与贸易中常规的检测元素依次设立，各部分包括一种或多种检测方法，分别明确适用范围、试剂材料与试验设备的选择，规范试验步骤，并经过多家实验室</w:t>
      </w:r>
    </w:p>
    <w:p w14:paraId="24B71F65">
      <w:pPr>
        <w:pStyle w:val="43"/>
        <w:tabs>
          <w:tab w:val="center" w:pos="4201"/>
          <w:tab w:val="right" w:leader="dot" w:pos="9298"/>
        </w:tabs>
        <w:adjustRightInd w:val="0"/>
        <w:snapToGrid w:val="0"/>
        <w:ind w:firstLine="0" w:firstLineChars="0"/>
        <w:jc w:val="left"/>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多次试验和验证给出精密度数据，为稀土金属及其氧化物品质核查建立严谨、规范的标准化工作基础。</w:t>
      </w:r>
    </w:p>
    <w:p w14:paraId="54D897C2">
      <w:pPr>
        <w:pStyle w:val="43"/>
        <w:tabs>
          <w:tab w:val="center" w:pos="4201"/>
          <w:tab w:val="right" w:leader="dot" w:pos="9298"/>
        </w:tabs>
        <w:adjustRightInd w:val="0"/>
        <w:snapToGrid w:val="0"/>
        <w:ind w:left="0" w:leftChars="0" w:firstLine="420" w:firstLineChars="200"/>
        <w:jc w:val="left"/>
        <w:rPr>
          <w:rFonts w:ascii="Times New Roman"/>
          <w:color w:val="000000" w:themeColor="text1"/>
          <w:szCs w:val="21"/>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目前，稀土金属中的钼、钨主要来源于生产冶炼过程中使用的器皿。在众多稀土金属的生产和交易过程中，均存在对钼、钨含量的限制要求。因此，建立统一、快速、准确的稀土金属中钼、钨含量的测定标准显得尤为重要。在实际检测分析中，电感耦合等离子体光谱法与电感耦合等离子体质谱法可相互补充，全面覆盖现有产品标准中钼、钨含量要求的范围。本文件通过大量条件实验，利用电感耦合等离子体光谱仪与电感耦合等离子体质谱仪，规范了检测过程中的各个环节，最终建立了一套规范、易操作且准确度高的检测标准。</w:t>
      </w:r>
      <w:r>
        <w:rPr>
          <w:rFonts w:ascii="Times New Roman"/>
          <w:color w:val="000000" w:themeColor="text1"/>
          <w:szCs w:val="21"/>
          <w14:textFill>
            <w14:solidFill>
              <w14:schemeClr w14:val="tx1"/>
            </w14:solidFill>
          </w14:textFill>
        </w:rPr>
        <w:br w:type="page"/>
      </w:r>
    </w:p>
    <w:p w14:paraId="41BC6A90">
      <w:pPr>
        <w:pStyle w:val="43"/>
        <w:tabs>
          <w:tab w:val="center" w:pos="4201"/>
          <w:tab w:val="right" w:leader="dot" w:pos="9298"/>
        </w:tabs>
        <w:adjustRightInd w:val="0"/>
        <w:snapToGrid w:val="0"/>
        <w:ind w:left="0" w:leftChars="0" w:firstLine="0" w:firstLineChars="0"/>
        <w:jc w:val="center"/>
        <w:rPr>
          <w:rFonts w:ascii="Times New Roman" w:eastAsia="黑体"/>
          <w:color w:val="000000" w:themeColor="text1"/>
          <w:sz w:val="32"/>
          <w14:textFill>
            <w14:solidFill>
              <w14:schemeClr w14:val="tx1"/>
            </w14:solidFill>
          </w14:textFill>
        </w:rPr>
      </w:pPr>
      <w:r>
        <w:rPr>
          <w:rFonts w:hint="eastAsia" w:ascii="Times New Roman" w:eastAsia="黑体"/>
          <w:color w:val="000000" w:themeColor="text1"/>
          <w:sz w:val="32"/>
          <w14:textFill>
            <w14:solidFill>
              <w14:schemeClr w14:val="tx1"/>
            </w14:solidFill>
          </w14:textFill>
        </w:rPr>
        <w:t>稀土金属及其氧化物中非稀土杂质</w:t>
      </w:r>
      <w:r>
        <w:rPr>
          <w:rFonts w:ascii="Times New Roman" w:eastAsia="黑体"/>
          <w:color w:val="000000" w:themeColor="text1"/>
          <w:sz w:val="32"/>
          <w14:textFill>
            <w14:solidFill>
              <w14:schemeClr w14:val="tx1"/>
            </w14:solidFill>
          </w14:textFill>
        </w:rPr>
        <w:t>化学分析方法</w:t>
      </w:r>
    </w:p>
    <w:p w14:paraId="28A47A55">
      <w:pPr>
        <w:pStyle w:val="58"/>
        <w:tabs>
          <w:tab w:val="left" w:pos="360"/>
        </w:tabs>
        <w:adjustRightInd w:val="0"/>
        <w:snapToGrid w:val="0"/>
        <w:spacing w:before="0" w:after="312" w:afterLines="100" w:line="240" w:lineRule="auto"/>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第</w:t>
      </w:r>
      <w:r>
        <w:rPr>
          <w:rFonts w:hint="eastAsia" w:ascii="Times New Roman"/>
          <w:color w:val="000000" w:themeColor="text1"/>
          <w14:textFill>
            <w14:solidFill>
              <w14:schemeClr w14:val="tx1"/>
            </w14:solidFill>
          </w14:textFill>
        </w:rPr>
        <w:t>13</w:t>
      </w:r>
      <w:r>
        <w:rPr>
          <w:rFonts w:ascii="Times New Roman"/>
          <w:color w:val="000000" w:themeColor="text1"/>
          <w14:textFill>
            <w14:solidFill>
              <w14:schemeClr w14:val="tx1"/>
            </w14:solidFill>
          </w14:textFill>
        </w:rPr>
        <w:t>部分：</w:t>
      </w:r>
      <w:r>
        <w:rPr>
          <w:rFonts w:hint="eastAsia" w:ascii="Times New Roman"/>
          <w:color w:val="000000" w:themeColor="text1"/>
          <w14:textFill>
            <w14:solidFill>
              <w14:schemeClr w14:val="tx1"/>
            </w14:solidFill>
          </w14:textFill>
        </w:rPr>
        <w:t>钼、钨</w:t>
      </w:r>
      <w:r>
        <w:rPr>
          <w:rFonts w:hint="eastAsia" w:ascii="Times New Roman"/>
          <w:color w:val="000000" w:themeColor="text1"/>
          <w:lang w:val="en-US" w:eastAsia="zh-CN"/>
          <w14:textFill>
            <w14:solidFill>
              <w14:schemeClr w14:val="tx1"/>
            </w14:solidFill>
          </w14:textFill>
        </w:rPr>
        <w:t>含</w:t>
      </w:r>
      <w:r>
        <w:rPr>
          <w:rFonts w:ascii="Times New Roman"/>
          <w:color w:val="000000" w:themeColor="text1"/>
          <w14:textFill>
            <w14:solidFill>
              <w14:schemeClr w14:val="tx1"/>
            </w14:solidFill>
          </w14:textFill>
        </w:rPr>
        <w:t>量的测定</w:t>
      </w:r>
    </w:p>
    <w:p w14:paraId="28104955">
      <w:pPr>
        <w:pStyle w:val="54"/>
        <w:numPr>
          <w:ilvl w:val="0"/>
          <w:numId w:val="3"/>
        </w:numPr>
        <w:snapToGrid w:val="0"/>
        <w:spacing w:before="312" w:beforeLines="100" w:after="312" w:afterLines="100"/>
        <w:ind w:firstLineChars="0"/>
        <w:outlineLvl w:val="1"/>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 范围</w:t>
      </w:r>
    </w:p>
    <w:p w14:paraId="33C2B33A">
      <w:pPr>
        <w:autoSpaceDE w:val="0"/>
        <w:autoSpaceDN w:val="0"/>
        <w:adjustRightInd w:val="0"/>
        <w:snapToGrid w:val="0"/>
        <w:ind w:firstLine="420"/>
        <w:rPr>
          <w:color w:val="000000" w:themeColor="text1"/>
          <w:szCs w:val="20"/>
          <w14:textFill>
            <w14:solidFill>
              <w14:schemeClr w14:val="tx1"/>
            </w14:solidFill>
          </w14:textFill>
        </w:rPr>
      </w:pPr>
      <w:r>
        <w:rPr>
          <w:color w:val="000000" w:themeColor="text1"/>
          <w:szCs w:val="20"/>
          <w14:textFill>
            <w14:solidFill>
              <w14:schemeClr w14:val="tx1"/>
            </w14:solidFill>
          </w14:textFill>
        </w:rPr>
        <w:t>本</w:t>
      </w:r>
      <w:r>
        <w:rPr>
          <w:rFonts w:hint="eastAsia"/>
          <w:color w:val="000000" w:themeColor="text1"/>
          <w:szCs w:val="20"/>
          <w14:textFill>
            <w14:solidFill>
              <w14:schemeClr w14:val="tx1"/>
            </w14:solidFill>
          </w14:textFill>
        </w:rPr>
        <w:t>文件描述</w:t>
      </w:r>
      <w:r>
        <w:rPr>
          <w:color w:val="000000" w:themeColor="text1"/>
          <w:szCs w:val="20"/>
          <w14:textFill>
            <w14:solidFill>
              <w14:schemeClr w14:val="tx1"/>
            </w14:solidFill>
          </w14:textFill>
        </w:rPr>
        <w:t>了稀土</w:t>
      </w:r>
      <w:r>
        <w:rPr>
          <w:rFonts w:hint="eastAsia"/>
          <w:color w:val="000000" w:themeColor="text1"/>
          <w:szCs w:val="20"/>
          <w14:textFill>
            <w14:solidFill>
              <w14:schemeClr w14:val="tx1"/>
            </w14:solidFill>
          </w14:textFill>
        </w:rPr>
        <w:t>金属</w:t>
      </w:r>
      <w:r>
        <w:rPr>
          <w:color w:val="000000" w:themeColor="text1"/>
          <w:szCs w:val="20"/>
          <w14:textFill>
            <w14:solidFill>
              <w14:schemeClr w14:val="tx1"/>
            </w14:solidFill>
          </w14:textFill>
        </w:rPr>
        <w:t>中</w:t>
      </w:r>
      <w:r>
        <w:rPr>
          <w:rFonts w:hint="eastAsia"/>
          <w:color w:val="000000" w:themeColor="text1"/>
          <w:szCs w:val="20"/>
          <w14:textFill>
            <w14:solidFill>
              <w14:schemeClr w14:val="tx1"/>
            </w14:solidFill>
          </w14:textFill>
        </w:rPr>
        <w:t>钼、钨</w:t>
      </w:r>
      <w:r>
        <w:rPr>
          <w:rFonts w:hint="eastAsia"/>
          <w:color w:val="000000" w:themeColor="text1"/>
          <w:szCs w:val="20"/>
          <w:lang w:val="en-US" w:eastAsia="zh-CN"/>
          <w14:textFill>
            <w14:solidFill>
              <w14:schemeClr w14:val="tx1"/>
            </w14:solidFill>
          </w14:textFill>
        </w:rPr>
        <w:t>含</w:t>
      </w:r>
      <w:r>
        <w:rPr>
          <w:color w:val="000000" w:themeColor="text1"/>
          <w:szCs w:val="20"/>
          <w14:textFill>
            <w14:solidFill>
              <w14:schemeClr w14:val="tx1"/>
            </w14:solidFill>
          </w14:textFill>
        </w:rPr>
        <w:t>量的测定方法。</w:t>
      </w:r>
    </w:p>
    <w:p w14:paraId="33DB92C5">
      <w:pPr>
        <w:autoSpaceDE w:val="0"/>
        <w:autoSpaceDN w:val="0"/>
        <w:adjustRightInd w:val="0"/>
        <w:snapToGrid w:val="0"/>
        <w:ind w:firstLine="420"/>
        <w:rPr>
          <w:color w:val="000000" w:themeColor="text1"/>
          <w:szCs w:val="20"/>
          <w14:textFill>
            <w14:solidFill>
              <w14:schemeClr w14:val="tx1"/>
            </w14:solidFill>
          </w14:textFill>
        </w:rPr>
      </w:pPr>
      <w:r>
        <w:rPr>
          <w:color w:val="000000" w:themeColor="text1"/>
          <w:szCs w:val="20"/>
          <w14:textFill>
            <w14:solidFill>
              <w14:schemeClr w14:val="tx1"/>
            </w14:solidFill>
          </w14:textFill>
        </w:rPr>
        <w:t>本</w:t>
      </w:r>
      <w:r>
        <w:rPr>
          <w:rFonts w:hint="eastAsia"/>
          <w:color w:val="000000" w:themeColor="text1"/>
          <w:szCs w:val="20"/>
          <w14:textFill>
            <w14:solidFill>
              <w14:schemeClr w14:val="tx1"/>
            </w14:solidFill>
          </w14:textFill>
        </w:rPr>
        <w:t>文件</w:t>
      </w:r>
      <w:r>
        <w:rPr>
          <w:color w:val="000000" w:themeColor="text1"/>
          <w:szCs w:val="20"/>
          <w14:textFill>
            <w14:solidFill>
              <w14:schemeClr w14:val="tx1"/>
            </w14:solidFill>
          </w14:textFill>
        </w:rPr>
        <w:t>适用于</w:t>
      </w:r>
      <w:r>
        <w:rPr>
          <w:rFonts w:hint="eastAsia"/>
          <w:color w:val="000000" w:themeColor="text1"/>
          <w:szCs w:val="20"/>
          <w14:textFill>
            <w14:solidFill>
              <w14:schemeClr w14:val="tx1"/>
            </w14:solidFill>
          </w14:textFill>
        </w:rPr>
        <w:t>稀土金属</w:t>
      </w:r>
      <w:r>
        <w:rPr>
          <w:color w:val="000000" w:themeColor="text1"/>
          <w:szCs w:val="20"/>
          <w14:textFill>
            <w14:solidFill>
              <w14:schemeClr w14:val="tx1"/>
            </w14:solidFill>
          </w14:textFill>
        </w:rPr>
        <w:t>中</w:t>
      </w:r>
      <w:r>
        <w:rPr>
          <w:rFonts w:hint="eastAsia"/>
          <w:color w:val="000000" w:themeColor="text1"/>
          <w:szCs w:val="20"/>
          <w14:textFill>
            <w14:solidFill>
              <w14:schemeClr w14:val="tx1"/>
            </w14:solidFill>
          </w14:textFill>
        </w:rPr>
        <w:t>钼、钨</w:t>
      </w:r>
      <w:r>
        <w:rPr>
          <w:rFonts w:hint="eastAsia"/>
          <w:color w:val="000000" w:themeColor="text1"/>
          <w:szCs w:val="20"/>
          <w:lang w:val="en-US" w:eastAsia="zh-CN"/>
          <w14:textFill>
            <w14:solidFill>
              <w14:schemeClr w14:val="tx1"/>
            </w14:solidFill>
          </w14:textFill>
        </w:rPr>
        <w:t>含</w:t>
      </w:r>
      <w:r>
        <w:rPr>
          <w:color w:val="000000" w:themeColor="text1"/>
          <w:szCs w:val="20"/>
          <w14:textFill>
            <w14:solidFill>
              <w14:schemeClr w14:val="tx1"/>
            </w14:solidFill>
          </w14:textFill>
        </w:rPr>
        <w:t>量的测定</w:t>
      </w:r>
      <w:r>
        <w:rPr>
          <w:rFonts w:hint="eastAsia"/>
          <w:color w:val="000000" w:themeColor="text1"/>
          <w:szCs w:val="20"/>
          <w14:textFill>
            <w14:solidFill>
              <w14:schemeClr w14:val="tx1"/>
            </w14:solidFill>
          </w14:textFill>
        </w:rPr>
        <w:t>。</w:t>
      </w:r>
    </w:p>
    <w:p w14:paraId="2F69353D">
      <w:pPr>
        <w:autoSpaceDE w:val="0"/>
        <w:autoSpaceDN w:val="0"/>
        <w:adjustRightInd w:val="0"/>
        <w:snapToGrid w:val="0"/>
        <w:ind w:firstLine="420"/>
        <w:rPr>
          <w:color w:val="000000" w:themeColor="text1"/>
          <w:szCs w:val="20"/>
          <w14:textFill>
            <w14:solidFill>
              <w14:schemeClr w14:val="tx1"/>
            </w14:solidFill>
          </w14:textFill>
        </w:rPr>
      </w:pPr>
      <w:r>
        <w:rPr>
          <w:rFonts w:hint="eastAsia"/>
          <w:color w:val="000000" w:themeColor="text1"/>
          <w:szCs w:val="20"/>
          <w14:textFill>
            <w14:solidFill>
              <w14:schemeClr w14:val="tx1"/>
            </w14:solidFill>
          </w14:textFill>
        </w:rPr>
        <w:t>本文件共包含2个方法：电感耦合等离子体发射光谱法（方法1）和电感耦合等离子体质谱法（方法</w:t>
      </w:r>
      <w:r>
        <w:rPr>
          <w:rFonts w:hint="eastAsia"/>
          <w:color w:val="000000" w:themeColor="text1"/>
          <w:szCs w:val="20"/>
          <w:lang w:val="en-US" w:eastAsia="zh-CN"/>
          <w14:textFill>
            <w14:solidFill>
              <w14:schemeClr w14:val="tx1"/>
            </w14:solidFill>
          </w14:textFill>
        </w:rPr>
        <w:t>2</w:t>
      </w:r>
      <w:r>
        <w:rPr>
          <w:rFonts w:hint="eastAsia"/>
          <w:color w:val="000000" w:themeColor="text1"/>
          <w:szCs w:val="20"/>
          <w14:textFill>
            <w14:solidFill>
              <w14:schemeClr w14:val="tx1"/>
            </w14:solidFill>
          </w14:textFill>
        </w:rPr>
        <w:t>）。方法1测定范围（质量分数）：</w:t>
      </w:r>
      <w:r>
        <w:rPr>
          <w:color w:val="000000" w:themeColor="text1"/>
          <w:szCs w:val="20"/>
          <w14:textFill>
            <w14:solidFill>
              <w14:schemeClr w14:val="tx1"/>
            </w14:solidFill>
          </w14:textFill>
        </w:rPr>
        <w:t>0.</w:t>
      </w:r>
      <w:r>
        <w:rPr>
          <w:rFonts w:hint="eastAsia"/>
          <w:color w:val="000000" w:themeColor="text1"/>
          <w:szCs w:val="20"/>
          <w14:textFill>
            <w14:solidFill>
              <w14:schemeClr w14:val="tx1"/>
            </w14:solidFill>
          </w14:textFill>
        </w:rPr>
        <w:t>00</w:t>
      </w:r>
      <w:r>
        <w:rPr>
          <w:color w:val="000000" w:themeColor="text1"/>
          <w:szCs w:val="20"/>
          <w14:textFill>
            <w14:solidFill>
              <w14:schemeClr w14:val="tx1"/>
            </w14:solidFill>
          </w14:textFill>
        </w:rPr>
        <w:t>50</w:t>
      </w:r>
      <w:r>
        <w:rPr>
          <w:rFonts w:hint="eastAsia"/>
          <w:color w:val="000000" w:themeColor="text1"/>
          <w:szCs w:val="20"/>
          <w14:textFill>
            <w14:solidFill>
              <w14:schemeClr w14:val="tx1"/>
            </w14:solidFill>
          </w14:textFill>
        </w:rPr>
        <w:t xml:space="preserve"> </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 xml:space="preserve">0.50 </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，方法2测定范围（质量分数）：0.0001</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0.10%。</w:t>
      </w:r>
    </w:p>
    <w:p w14:paraId="45D677C5">
      <w:pPr>
        <w:adjustRightInd w:val="0"/>
        <w:snapToGrid w:val="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当本文件</w:t>
      </w:r>
      <w:r>
        <w:rPr>
          <w:rFonts w:hint="eastAsia"/>
          <w:color w:val="000000" w:themeColor="text1"/>
          <w:szCs w:val="21"/>
          <w14:textFill>
            <w14:solidFill>
              <w14:schemeClr w14:val="tx1"/>
            </w14:solidFill>
          </w14:textFill>
        </w:rPr>
        <w:t>中</w:t>
      </w:r>
      <w:r>
        <w:rPr>
          <w:color w:val="000000" w:themeColor="text1"/>
          <w:szCs w:val="21"/>
          <w14:textFill>
            <w14:solidFill>
              <w14:schemeClr w14:val="tx1"/>
            </w14:solidFill>
          </w14:textFill>
        </w:rPr>
        <w:t>测定范围出现重叠时</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以方法</w:t>
      </w:r>
      <w:r>
        <w:rPr>
          <w:rFonts w:hint="eastAsia"/>
          <w:color w:val="000000" w:themeColor="text1"/>
          <w:szCs w:val="21"/>
          <w:lang w:val="en-US" w:eastAsia="zh-CN"/>
          <w14:textFill>
            <w14:solidFill>
              <w14:schemeClr w14:val="tx1"/>
            </w14:solidFill>
          </w14:textFill>
        </w:rPr>
        <w:t>1</w:t>
      </w:r>
      <w:r>
        <w:rPr>
          <w:color w:val="000000" w:themeColor="text1"/>
          <w:szCs w:val="21"/>
          <w14:textFill>
            <w14:solidFill>
              <w14:schemeClr w14:val="tx1"/>
            </w14:solidFill>
          </w14:textFill>
        </w:rPr>
        <w:t>作为仲裁方法</w:t>
      </w:r>
      <w:r>
        <w:rPr>
          <w:rFonts w:hint="eastAsia"/>
          <w:color w:val="000000" w:themeColor="text1"/>
          <w:szCs w:val="21"/>
          <w14:textFill>
            <w14:solidFill>
              <w14:schemeClr w14:val="tx1"/>
            </w14:solidFill>
          </w14:textFill>
        </w:rPr>
        <w:t>。</w:t>
      </w:r>
    </w:p>
    <w:p w14:paraId="7D87C1EE">
      <w:pPr>
        <w:pStyle w:val="54"/>
        <w:numPr>
          <w:ilvl w:val="0"/>
          <w:numId w:val="3"/>
        </w:numPr>
        <w:tabs>
          <w:tab w:val="left" w:pos="6256"/>
        </w:tabs>
        <w:snapToGrid w:val="0"/>
        <w:spacing w:before="312" w:beforeLines="100" w:after="312" w:afterLines="100"/>
        <w:ind w:firstLineChars="0"/>
        <w:outlineLvl w:val="1"/>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 规范性引用文件</w:t>
      </w:r>
      <w:r>
        <w:rPr>
          <w:rFonts w:hint="eastAsia" w:eastAsia="黑体"/>
          <w:color w:val="000000" w:themeColor="text1"/>
          <w:szCs w:val="21"/>
          <w14:textFill>
            <w14:solidFill>
              <w14:schemeClr w14:val="tx1"/>
            </w14:solidFill>
          </w14:textFill>
        </w:rPr>
        <w:tab/>
      </w:r>
    </w:p>
    <w:p w14:paraId="5C9AF04A">
      <w:pPr>
        <w:snapToGrid w:val="0"/>
        <w:ind w:firstLine="42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5495745">
      <w:pPr>
        <w:snapToGrid w:val="0"/>
        <w:ind w:firstLine="42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GB/T 6379.2 测量方法与结果的准确度(正确度与精密度)　第2部分：确定标准测量方法重复性与再现性的基本方法</w:t>
      </w:r>
    </w:p>
    <w:p w14:paraId="0F849F65">
      <w:pPr>
        <w:snapToGrid w:val="0"/>
        <w:ind w:firstLine="42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GB/T 6682 分析实验室用水规格和试验方法</w:t>
      </w:r>
    </w:p>
    <w:p w14:paraId="72F9BF89">
      <w:pPr>
        <w:snapToGrid w:val="0"/>
        <w:ind w:firstLine="42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GB/T 8170 数值修约规则与极限数值的表示和判定</w:t>
      </w:r>
    </w:p>
    <w:p w14:paraId="130DE953">
      <w:pPr>
        <w:snapToGrid w:val="0"/>
        <w:ind w:firstLine="42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JJG 768 发射光谱仪检定规程</w:t>
      </w:r>
    </w:p>
    <w:p w14:paraId="459B22EB">
      <w:pPr>
        <w:snapToGrid w:val="0"/>
        <w:ind w:firstLine="42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JJF 1159 四极杆电感耦合等离子体质谱仪校准规范</w:t>
      </w:r>
      <w:r>
        <w:rPr>
          <w:rFonts w:hint="eastAsia"/>
          <w:bCs/>
          <w:color w:val="000000" w:themeColor="text1"/>
          <w:szCs w:val="21"/>
          <w14:textFill>
            <w14:solidFill>
              <w14:schemeClr w14:val="tx1"/>
            </w14:solidFill>
          </w14:textFill>
        </w:rPr>
        <w:t xml:space="preserve">   </w:t>
      </w:r>
    </w:p>
    <w:p w14:paraId="6C04F6A1">
      <w:pPr>
        <w:pStyle w:val="54"/>
        <w:numPr>
          <w:ilvl w:val="0"/>
          <w:numId w:val="3"/>
        </w:numPr>
        <w:tabs>
          <w:tab w:val="left" w:pos="6256"/>
        </w:tabs>
        <w:snapToGrid w:val="0"/>
        <w:spacing w:before="312" w:beforeLines="100" w:after="312" w:afterLines="100"/>
        <w:ind w:firstLineChars="0"/>
        <w:outlineLvl w:val="1"/>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 术语和定义</w:t>
      </w:r>
    </w:p>
    <w:p w14:paraId="6606D251">
      <w:pPr>
        <w:pStyle w:val="54"/>
        <w:snapToGrid w:val="0"/>
        <w:outlineLvl w:val="1"/>
        <w:rPr>
          <w:color w:val="000000" w:themeColor="text1"/>
          <w:kern w:val="0"/>
          <w:szCs w:val="20"/>
          <w14:textFill>
            <w14:solidFill>
              <w14:schemeClr w14:val="tx1"/>
            </w14:solidFill>
          </w14:textFill>
        </w:rPr>
      </w:pPr>
      <w:r>
        <w:rPr>
          <w:rFonts w:hint="eastAsia"/>
          <w:bCs/>
          <w:color w:val="000000" w:themeColor="text1"/>
          <w:szCs w:val="21"/>
          <w14:textFill>
            <w14:solidFill>
              <w14:schemeClr w14:val="tx1"/>
            </w14:solidFill>
          </w14:textFill>
        </w:rPr>
        <w:t>本文件没有需要界定的术语和定义。</w:t>
      </w:r>
    </w:p>
    <w:p w14:paraId="72E3A988">
      <w:pPr>
        <w:pStyle w:val="54"/>
        <w:snapToGrid w:val="0"/>
        <w:spacing w:before="312" w:beforeLines="100" w:after="312" w:afterLines="100"/>
        <w:ind w:firstLine="0" w:firstLineChars="0"/>
        <w:outlineLvl w:val="1"/>
        <w:rPr>
          <w:rFonts w:ascii="黑体" w:hAnsi="黑体" w:eastAsia="黑体" w:cs="黑体"/>
          <w:color w:val="000000" w:themeColor="text1"/>
          <w:szCs w:val="21"/>
          <w14:textFill>
            <w14:solidFill>
              <w14:schemeClr w14:val="tx1"/>
            </w14:solidFill>
          </w14:textFill>
        </w:rPr>
      </w:pPr>
      <w:bookmarkStart w:id="1" w:name="_Hlk58576192"/>
      <w:r>
        <w:rPr>
          <w:rFonts w:hint="eastAsia" w:ascii="黑体" w:hAnsi="黑体" w:eastAsia="黑体" w:cs="黑体"/>
          <w:color w:val="000000" w:themeColor="text1"/>
          <w:szCs w:val="21"/>
          <w14:textFill>
            <w14:solidFill>
              <w14:schemeClr w14:val="tx1"/>
            </w14:solidFill>
          </w14:textFill>
        </w:rPr>
        <w:t>4 电感耦合等离子体发射光谱法（方法1）</w:t>
      </w:r>
    </w:p>
    <w:p w14:paraId="589E7018">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4.1 </w:t>
      </w:r>
      <w:r>
        <w:rPr>
          <w:rFonts w:hint="eastAsia" w:ascii="Times New Roman"/>
          <w:color w:val="000000" w:themeColor="text1"/>
          <w14:textFill>
            <w14:solidFill>
              <w14:schemeClr w14:val="tx1"/>
            </w14:solidFill>
          </w14:textFill>
        </w:rPr>
        <w:t>方法提要</w:t>
      </w:r>
    </w:p>
    <w:p w14:paraId="259DF451">
      <w:pPr>
        <w:ind w:firstLine="420" w:firstLineChars="200"/>
        <w:rPr>
          <w:rFonts w:eastAsia="黑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试料使用硝酸、</w:t>
      </w:r>
      <w:r>
        <w:rPr>
          <w:rFonts w:hint="eastAsia"/>
          <w:color w:val="000000" w:themeColor="text1"/>
          <w:szCs w:val="21"/>
          <w:lang w:val="en-US" w:eastAsia="zh-CN"/>
          <w14:textFill>
            <w14:solidFill>
              <w14:schemeClr w14:val="tx1"/>
            </w14:solidFill>
          </w14:textFill>
        </w:rPr>
        <w:t>氢氟酸</w:t>
      </w:r>
      <w:r>
        <w:rPr>
          <w:rFonts w:hint="eastAsia"/>
          <w:color w:val="000000" w:themeColor="text1"/>
          <w:szCs w:val="21"/>
          <w14:textFill>
            <w14:solidFill>
              <w14:schemeClr w14:val="tx1"/>
            </w14:solidFill>
          </w14:textFill>
        </w:rPr>
        <w:t>溶解，</w:t>
      </w:r>
      <w:r>
        <w:rPr>
          <w:rFonts w:hint="eastAsia" w:cs="Times New Roman"/>
          <w:kern w:val="2"/>
          <w:sz w:val="21"/>
          <w:szCs w:val="21"/>
          <w:lang w:val="en-US" w:eastAsia="zh-CN" w:bidi="ar-SA"/>
        </w:rPr>
        <w:t>氟化沉淀分离稀土基体</w:t>
      </w:r>
      <w:r>
        <w:rPr>
          <w:rFonts w:hint="eastAsia"/>
          <w:color w:val="000000" w:themeColor="text1"/>
          <w:szCs w:val="21"/>
          <w14:textFill>
            <w14:solidFill>
              <w14:schemeClr w14:val="tx1"/>
            </w14:solidFill>
          </w14:textFill>
        </w:rPr>
        <w:t>，于电感耦合等离子体发射光谱仪选定波长处测定钼、钨</w:t>
      </w:r>
      <w:r>
        <w:rPr>
          <w:rFonts w:hint="eastAsia"/>
          <w:color w:val="000000" w:themeColor="text1"/>
          <w:szCs w:val="21"/>
          <w:lang w:val="en-US" w:eastAsia="zh-CN"/>
          <w14:textFill>
            <w14:solidFill>
              <w14:schemeClr w14:val="tx1"/>
            </w14:solidFill>
          </w14:textFill>
        </w:rPr>
        <w:t>含</w:t>
      </w:r>
      <w:r>
        <w:rPr>
          <w:rFonts w:hint="eastAsia"/>
          <w:color w:val="000000" w:themeColor="text1"/>
          <w:szCs w:val="21"/>
          <w14:textFill>
            <w14:solidFill>
              <w14:schemeClr w14:val="tx1"/>
            </w14:solidFill>
          </w14:textFill>
        </w:rPr>
        <w:t>量。</w:t>
      </w:r>
    </w:p>
    <w:p w14:paraId="0A3FD6C7">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4.2</w:t>
      </w:r>
      <w:r>
        <w:rPr>
          <w:rFonts w:hint="eastAsia" w:ascii="Times New Roman"/>
          <w:color w:val="000000" w:themeColor="text1"/>
          <w14:textFill>
            <w14:solidFill>
              <w14:schemeClr w14:val="tx1"/>
            </w14:solidFill>
          </w14:textFill>
        </w:rPr>
        <w:t xml:space="preserve"> 试剂</w:t>
      </w:r>
      <w:r>
        <w:rPr>
          <w:rFonts w:hint="eastAsia" w:ascii="Times New Roman"/>
          <w:color w:val="000000" w:themeColor="text1"/>
          <w:lang w:val="en-US" w:eastAsia="zh-CN"/>
          <w14:textFill>
            <w14:solidFill>
              <w14:schemeClr w14:val="tx1"/>
            </w14:solidFill>
          </w14:textFill>
        </w:rPr>
        <w:t>和</w:t>
      </w:r>
      <w:r>
        <w:rPr>
          <w:rFonts w:hint="eastAsia" w:ascii="Times New Roman"/>
          <w:color w:val="000000" w:themeColor="text1"/>
          <w14:textFill>
            <w14:solidFill>
              <w14:schemeClr w14:val="tx1"/>
            </w14:solidFill>
          </w14:textFill>
        </w:rPr>
        <w:t>材料</w:t>
      </w:r>
    </w:p>
    <w:p w14:paraId="342447F0">
      <w:pPr>
        <w:pStyle w:val="43"/>
        <w:snapToGrid w:val="0"/>
        <w:ind w:firstLine="420"/>
        <w:jc w:val="left"/>
        <w:rPr>
          <w:rFonts w:ascii="Times New Roman"/>
          <w:bCs/>
          <w:color w:val="000000" w:themeColor="text1"/>
          <w:kern w:val="2"/>
          <w:szCs w:val="24"/>
          <w14:textFill>
            <w14:solidFill>
              <w14:schemeClr w14:val="tx1"/>
            </w14:solidFill>
          </w14:textFill>
        </w:rPr>
      </w:pPr>
      <w:r>
        <w:rPr>
          <w:rFonts w:hint="eastAsia" w:ascii="Times New Roman"/>
          <w:bCs/>
          <w:color w:val="000000" w:themeColor="text1"/>
          <w:kern w:val="2"/>
          <w:szCs w:val="24"/>
          <w14:textFill>
            <w14:solidFill>
              <w14:schemeClr w14:val="tx1"/>
            </w14:solidFill>
          </w14:textFill>
        </w:rPr>
        <w:t>除非另有说明，在分析中仅使用确认为分析纯及以上试剂和符合GB/T 6682规定的二级水。液体试剂均保存于塑料瓶中，优先使用有证标准溶液。</w:t>
      </w:r>
    </w:p>
    <w:p w14:paraId="6FDDAD06">
      <w:pPr>
        <w:snapToGrid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4.2.1</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氢氧化钠。</w:t>
      </w:r>
    </w:p>
    <w:p w14:paraId="6600B69A">
      <w:pPr>
        <w:snapToGrid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4.2.2 </w:t>
      </w:r>
      <w:r>
        <w:rPr>
          <w:rFonts w:hint="eastAsia"/>
          <w:color w:val="000000" w:themeColor="text1"/>
          <w:szCs w:val="21"/>
          <w14:textFill>
            <w14:solidFill>
              <w14:schemeClr w14:val="tx1"/>
            </w14:solidFill>
          </w14:textFill>
        </w:rPr>
        <w:t>硝酸（</w:t>
      </w:r>
      <w:r>
        <w:rPr>
          <w:rFonts w:hint="default" w:ascii="Times New Roman" w:hAnsi="Times New Roman" w:cs="Times New Roman"/>
          <w:i/>
          <w:iCs/>
          <w:color w:val="000000" w:themeColor="text1"/>
          <w:szCs w:val="21"/>
          <w14:textFill>
            <w14:solidFill>
              <w14:schemeClr w14:val="tx1"/>
            </w14:solidFill>
          </w14:textFill>
        </w:rPr>
        <w:t>ρ</w:t>
      </w:r>
      <w:r>
        <w:rPr>
          <w:rFonts w:hint="eastAsia"/>
          <w:color w:val="000000" w:themeColor="text1"/>
          <w:szCs w:val="21"/>
          <w14:textFill>
            <w14:solidFill>
              <w14:schemeClr w14:val="tx1"/>
            </w14:solidFill>
          </w14:textFill>
        </w:rPr>
        <w:t>=1.42 g/mL）。</w:t>
      </w:r>
    </w:p>
    <w:p w14:paraId="74EA5B49">
      <w:pPr>
        <w:snapToGrid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4.2.3 </w:t>
      </w:r>
      <w:r>
        <w:rPr>
          <w:rFonts w:hint="eastAsia"/>
          <w:color w:val="000000" w:themeColor="text1"/>
          <w:szCs w:val="21"/>
          <w14:textFill>
            <w14:solidFill>
              <w14:schemeClr w14:val="tx1"/>
            </w14:solidFill>
          </w14:textFill>
        </w:rPr>
        <w:t>氢氟酸（</w:t>
      </w:r>
      <w:r>
        <w:rPr>
          <w:rFonts w:hint="default" w:ascii="Times New Roman" w:hAnsi="Times New Roman" w:cs="Times New Roman"/>
          <w:i/>
          <w:iCs/>
          <w:color w:val="000000" w:themeColor="text1"/>
          <w:szCs w:val="21"/>
          <w14:textFill>
            <w14:solidFill>
              <w14:schemeClr w14:val="tx1"/>
            </w14:solidFill>
          </w14:textFill>
        </w:rPr>
        <w:t>ρ</w:t>
      </w:r>
      <w:r>
        <w:rPr>
          <w:rFonts w:hint="eastAsia"/>
          <w:color w:val="000000" w:themeColor="text1"/>
          <w:szCs w:val="21"/>
          <w14:textFill>
            <w14:solidFill>
              <w14:schemeClr w14:val="tx1"/>
            </w14:solidFill>
          </w14:textFill>
        </w:rPr>
        <w:t>=1.14 g/mL）。</w:t>
      </w:r>
    </w:p>
    <w:p w14:paraId="05DD5DCD">
      <w:pPr>
        <w:snapToGrid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4.2.4 </w:t>
      </w:r>
      <w:r>
        <w:rPr>
          <w:rFonts w:hint="eastAsia"/>
          <w:color w:val="000000" w:themeColor="text1"/>
          <w:szCs w:val="21"/>
          <w14:textFill>
            <w14:solidFill>
              <w14:schemeClr w14:val="tx1"/>
            </w14:solidFill>
          </w14:textFill>
        </w:rPr>
        <w:t>硝酸（1+1）。</w:t>
      </w:r>
    </w:p>
    <w:p w14:paraId="79466A5D">
      <w:pPr>
        <w:snapToGrid w:val="0"/>
        <w:rPr>
          <w:rFonts w:hint="eastAsia" w:eastAsia="宋体"/>
          <w:color w:val="000000" w:themeColor="text1"/>
          <w:szCs w:val="21"/>
          <w:lang w:eastAsia="zh-CN"/>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4.2.5 </w:t>
      </w:r>
      <w:r>
        <w:rPr>
          <w:rFonts w:hint="eastAsia"/>
          <w:color w:val="000000" w:themeColor="text1"/>
          <w:szCs w:val="21"/>
          <w14:textFill>
            <w14:solidFill>
              <w14:schemeClr w14:val="tx1"/>
            </w14:solidFill>
          </w14:textFill>
        </w:rPr>
        <w:t>氨水（1+3）。</w:t>
      </w:r>
    </w:p>
    <w:p w14:paraId="2DF5CB21">
      <w:pPr>
        <w:snapToGrid w:val="0"/>
        <w:rPr>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4.2.6</w:t>
      </w:r>
      <w:r>
        <w:rPr>
          <w:rFonts w:hint="eastAsia" w:ascii="黑体" w:hAnsi="黑体" w:eastAsia="黑体" w:cs="黑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硼酸溶液（50 g/L）。</w:t>
      </w:r>
    </w:p>
    <w:p w14:paraId="0D9D804A">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4.2.7</w:t>
      </w:r>
      <w:r>
        <w:rPr>
          <w:rFonts w:hint="eastAsia" w:ascii="黑体" w:hAnsi="黑体" w:eastAsia="黑体" w:cs="黑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钼标准贮存溶液：称取0.1500 g经110℃烘干1 h并在干燥器中冷却至室温后的氧化钼</w:t>
      </w:r>
      <w:r>
        <w:rPr>
          <w:rFonts w:hint="eastAsia"/>
          <w:color w:val="000000" w:themeColor="text1"/>
          <w:szCs w:val="21"/>
          <w:lang w:val="en-US" w:eastAsia="zh-CN"/>
          <w14:textFill>
            <w14:solidFill>
              <w14:schemeClr w14:val="tx1"/>
            </w14:solidFill>
          </w14:textFill>
        </w:rPr>
        <w:t>[</w:t>
      </w:r>
      <w:r>
        <w:rPr>
          <w:rFonts w:hint="eastAsia" w:eastAsia="微软雅黑"/>
          <w:i/>
          <w:iCs/>
          <w:color w:val="000000" w:themeColor="text1"/>
          <w:szCs w:val="21"/>
          <w:lang w:eastAsia="zh-CN"/>
          <w14:textFill>
            <w14:solidFill>
              <w14:schemeClr w14:val="tx1"/>
            </w14:solidFill>
          </w14:textFill>
        </w:rPr>
        <w:t>w</w:t>
      </w:r>
      <w:r>
        <w:rPr>
          <w:rFonts w:hint="default" w:ascii="Times New Roman" w:hAnsi="Times New Roman" w:cs="Times New Roman" w:eastAsiaTheme="majorEastAsia"/>
          <w:i w:val="0"/>
          <w:iCs w:val="0"/>
          <w:color w:val="000000" w:themeColor="text1"/>
          <w:szCs w:val="21"/>
          <w:vertAlign w:val="baseline"/>
          <w:lang w:eastAsia="zh-CN"/>
          <w14:textFill>
            <w14:solidFill>
              <w14:schemeClr w14:val="tx1"/>
            </w14:solidFill>
          </w14:textFill>
        </w:rPr>
        <w:t>（</w:t>
      </w:r>
      <w:r>
        <w:rPr>
          <w:rFonts w:hint="eastAsia" w:ascii="Times New Roman" w:hAnsi="Times New Roman" w:cs="Times New Roman" w:eastAsiaTheme="majorEastAsia"/>
          <w:i w:val="0"/>
          <w:iCs w:val="0"/>
          <w:color w:val="000000" w:themeColor="text1"/>
          <w:szCs w:val="21"/>
          <w:vertAlign w:val="baseline"/>
          <w:lang w:val="en-US" w:eastAsia="zh-CN"/>
          <w14:textFill>
            <w14:solidFill>
              <w14:schemeClr w14:val="tx1"/>
            </w14:solidFill>
          </w14:textFill>
        </w:rPr>
        <w:t>Mo</w:t>
      </w:r>
      <w:r>
        <w:rPr>
          <w:rFonts w:hint="default" w:ascii="Times New Roman" w:hAnsi="Times New Roman" w:cs="Times New Roman" w:eastAsiaTheme="majorEastAsia"/>
          <w:i w:val="0"/>
          <w:iCs w:val="0"/>
          <w:color w:val="000000" w:themeColor="text1"/>
          <w:szCs w:val="21"/>
          <w:vertAlign w:val="baseline"/>
          <w:lang w:val="en-US" w:eastAsia="zh-CN"/>
          <w14:textFill>
            <w14:solidFill>
              <w14:schemeClr w14:val="tx1"/>
            </w14:solidFill>
          </w14:textFill>
        </w:rPr>
        <w:t>O</w:t>
      </w:r>
      <w:r>
        <w:rPr>
          <w:rFonts w:hint="default" w:ascii="Times New Roman" w:hAnsi="Times New Roman" w:cs="Times New Roman" w:eastAsiaTheme="majorEastAsia"/>
          <w:i w:val="0"/>
          <w:iCs w:val="0"/>
          <w:color w:val="000000" w:themeColor="text1"/>
          <w:szCs w:val="21"/>
          <w:vertAlign w:val="subscript"/>
          <w:lang w:val="en-US" w:eastAsia="zh-CN"/>
          <w14:textFill>
            <w14:solidFill>
              <w14:schemeClr w14:val="tx1"/>
            </w14:solidFill>
          </w14:textFill>
        </w:rPr>
        <w:t>3</w:t>
      </w:r>
      <w:r>
        <w:rPr>
          <w:rFonts w:hint="default" w:ascii="Times New Roman" w:hAnsi="Times New Roman" w:cs="Times New Roman" w:eastAsiaTheme="majorEastAsia"/>
          <w:i w:val="0"/>
          <w:iCs w:val="0"/>
          <w:color w:val="000000" w:themeColor="text1"/>
          <w:szCs w:val="21"/>
          <w:vertAlign w:val="baseline"/>
          <w:lang w:eastAsia="zh-CN"/>
          <w14:textFill>
            <w14:solidFill>
              <w14:schemeClr w14:val="tx1"/>
            </w14:solidFill>
          </w14:textFill>
        </w:rPr>
        <w:t>）</w:t>
      </w:r>
      <w:r>
        <w:rPr>
          <w:rFonts w:eastAsia="微软雅黑"/>
          <w:color w:val="000000" w:themeColor="text1"/>
          <w:szCs w:val="21"/>
          <w14:textFill>
            <w14:solidFill>
              <w14:schemeClr w14:val="tx1"/>
            </w14:solidFill>
          </w14:textFill>
        </w:rPr>
        <w:t>≥</w:t>
      </w:r>
      <w:r>
        <w:rPr>
          <w:rFonts w:hint="eastAsia" w:eastAsia="微软雅黑"/>
          <w:color w:val="000000" w:themeColor="text1"/>
          <w:szCs w:val="21"/>
          <w14:textFill>
            <w14:solidFill>
              <w14:schemeClr w14:val="tx1"/>
            </w14:solidFill>
          </w14:textFill>
        </w:rPr>
        <w:t>99.99%</w:t>
      </w:r>
      <w:r>
        <w:rPr>
          <w:rFonts w:hint="eastAsia" w:eastAsia="微软雅黑"/>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，置于50 mL塑料</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烧杯中，加入20 mL氨水（4.2.5）溶解完全，若氧化钼未完全溶解，可补加5</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mL氨水（4.2.5）并置于 50℃水浴加热5</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min，冷却后再定容；移入100 mL塑料容量瓶中，用水稀释至刻度，混匀。此溶液1 mL含1 mg钼。</w:t>
      </w:r>
    </w:p>
    <w:p w14:paraId="10C793FE">
      <w:pPr>
        <w:snapToGrid w:val="0"/>
        <w:rPr>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4.2.8</w:t>
      </w:r>
      <w:r>
        <w:rPr>
          <w:rFonts w:hint="eastAsia" w:ascii="黑体" w:hAnsi="黑体" w:eastAsia="黑体" w:cs="黑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钨标准贮存溶液：称取0.1261 g经110℃烘干1 h并在干燥器中冷却至室温后的</w:t>
      </w:r>
      <w:r>
        <w:rPr>
          <w:rFonts w:hint="eastAsia"/>
          <w:color w:val="000000" w:themeColor="text1"/>
          <w:szCs w:val="21"/>
          <w:lang w:val="en-US" w:eastAsia="zh-CN"/>
          <w14:textFill>
            <w14:solidFill>
              <w14:schemeClr w14:val="tx1"/>
            </w14:solidFill>
          </w14:textFill>
        </w:rPr>
        <w:t>三</w:t>
      </w:r>
      <w:r>
        <w:rPr>
          <w:rFonts w:hint="eastAsia"/>
          <w:color w:val="000000" w:themeColor="text1"/>
          <w:szCs w:val="21"/>
          <w14:textFill>
            <w14:solidFill>
              <w14:schemeClr w14:val="tx1"/>
            </w14:solidFill>
          </w14:textFill>
        </w:rPr>
        <w:t>氧化钨</w:t>
      </w:r>
      <w:r>
        <w:rPr>
          <w:rFonts w:hint="eastAsia"/>
          <w:color w:val="000000" w:themeColor="text1"/>
          <w:szCs w:val="21"/>
          <w:lang w:val="en-US" w:eastAsia="zh-CN"/>
          <w14:textFill>
            <w14:solidFill>
              <w14:schemeClr w14:val="tx1"/>
            </w14:solidFill>
          </w14:textFill>
        </w:rPr>
        <w:t>[</w:t>
      </w:r>
      <w:r>
        <w:rPr>
          <w:rFonts w:hint="eastAsia" w:eastAsia="微软雅黑"/>
          <w:i/>
          <w:iCs/>
          <w:color w:val="000000" w:themeColor="text1"/>
          <w:szCs w:val="21"/>
          <w:lang w:eastAsia="zh-CN"/>
          <w14:textFill>
            <w14:solidFill>
              <w14:schemeClr w14:val="tx1"/>
            </w14:solidFill>
          </w14:textFill>
        </w:rPr>
        <w:t>w</w:t>
      </w:r>
      <w:r>
        <w:rPr>
          <w:rFonts w:hint="default" w:ascii="Times New Roman" w:hAnsi="Times New Roman" w:cs="Times New Roman" w:eastAsiaTheme="majorEastAsia"/>
          <w:i w:val="0"/>
          <w:iCs w:val="0"/>
          <w:color w:val="000000" w:themeColor="text1"/>
          <w:szCs w:val="21"/>
          <w:vertAlign w:val="baseline"/>
          <w:lang w:eastAsia="zh-CN"/>
          <w14:textFill>
            <w14:solidFill>
              <w14:schemeClr w14:val="tx1"/>
            </w14:solidFill>
          </w14:textFill>
        </w:rPr>
        <w:t>（</w:t>
      </w:r>
      <w:r>
        <w:rPr>
          <w:rFonts w:hint="default" w:ascii="Times New Roman" w:hAnsi="Times New Roman" w:cs="Times New Roman" w:eastAsiaTheme="majorEastAsia"/>
          <w:i w:val="0"/>
          <w:iCs w:val="0"/>
          <w:color w:val="000000" w:themeColor="text1"/>
          <w:szCs w:val="21"/>
          <w:vertAlign w:val="baseline"/>
          <w:lang w:val="en-US" w:eastAsia="zh-CN"/>
          <w14:textFill>
            <w14:solidFill>
              <w14:schemeClr w14:val="tx1"/>
            </w14:solidFill>
          </w14:textFill>
        </w:rPr>
        <w:t>WO</w:t>
      </w:r>
      <w:r>
        <w:rPr>
          <w:rFonts w:hint="default" w:ascii="Times New Roman" w:hAnsi="Times New Roman" w:cs="Times New Roman" w:eastAsiaTheme="majorEastAsia"/>
          <w:i w:val="0"/>
          <w:iCs w:val="0"/>
          <w:color w:val="000000" w:themeColor="text1"/>
          <w:szCs w:val="21"/>
          <w:vertAlign w:val="subscript"/>
          <w:lang w:val="en-US" w:eastAsia="zh-CN"/>
          <w14:textFill>
            <w14:solidFill>
              <w14:schemeClr w14:val="tx1"/>
            </w14:solidFill>
          </w14:textFill>
        </w:rPr>
        <w:t>3</w:t>
      </w:r>
      <w:r>
        <w:rPr>
          <w:rFonts w:hint="default" w:ascii="Times New Roman" w:hAnsi="Times New Roman" w:cs="Times New Roman" w:eastAsiaTheme="majorEastAsia"/>
          <w:i w:val="0"/>
          <w:iCs w:val="0"/>
          <w:color w:val="000000" w:themeColor="text1"/>
          <w:szCs w:val="21"/>
          <w:vertAlign w:val="baseline"/>
          <w:lang w:eastAsia="zh-CN"/>
          <w14:textFill>
            <w14:solidFill>
              <w14:schemeClr w14:val="tx1"/>
            </w14:solidFill>
          </w14:textFill>
        </w:rPr>
        <w:t>）</w:t>
      </w:r>
      <w:r>
        <w:rPr>
          <w:rFonts w:eastAsia="微软雅黑"/>
          <w:color w:val="000000" w:themeColor="text1"/>
          <w:szCs w:val="21"/>
          <w14:textFill>
            <w14:solidFill>
              <w14:schemeClr w14:val="tx1"/>
            </w14:solidFill>
          </w14:textFill>
        </w:rPr>
        <w:t>≥</w:t>
      </w:r>
      <w:r>
        <w:rPr>
          <w:rFonts w:hint="eastAsia" w:eastAsia="微软雅黑"/>
          <w:color w:val="000000" w:themeColor="text1"/>
          <w:szCs w:val="21"/>
          <w14:textFill>
            <w14:solidFill>
              <w14:schemeClr w14:val="tx1"/>
            </w14:solidFill>
          </w14:textFill>
        </w:rPr>
        <w:t>99.99%</w:t>
      </w:r>
      <w:r>
        <w:rPr>
          <w:rFonts w:hint="eastAsia" w:eastAsia="微软雅黑"/>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，置于50 mL塑料烧杯中，加入20 mL水及2.0 g氢氧化钠（4.2.1）溶解完全，</w:t>
      </w:r>
      <w:r>
        <w:rPr>
          <w:rFonts w:hint="eastAsia" w:ascii="Times New Roman" w:hAnsi="Times New Roman" w:eastAsia="宋体" w:cs="Times New Roman"/>
          <w:kern w:val="2"/>
          <w:sz w:val="21"/>
          <w:szCs w:val="21"/>
          <w:lang w:val="en-US" w:eastAsia="zh-CN" w:bidi="ar-SA"/>
        </w:rPr>
        <w:t>若三氧化钨未完全溶解，可补加1.0</w:t>
      </w:r>
      <w:r>
        <w:rPr>
          <w:rFonts w:hint="eastAsia"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g氢氧化钠（</w:t>
      </w:r>
      <w:r>
        <w:rPr>
          <w:rFonts w:hint="eastAsia"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.2.1）并搅拌至溶解，避免过量（过量会导致后续酸化时产生沉淀）</w:t>
      </w:r>
      <w:r>
        <w:rPr>
          <w:rFonts w:hint="eastAsia" w:cs="Times New Roman"/>
          <w:kern w:val="2"/>
          <w:sz w:val="21"/>
          <w:szCs w:val="21"/>
          <w:lang w:val="en-US" w:eastAsia="zh-CN" w:bidi="ar-SA"/>
        </w:rPr>
        <w:t>；</w:t>
      </w:r>
      <w:r>
        <w:rPr>
          <w:rFonts w:hint="eastAsia"/>
          <w:color w:val="000000" w:themeColor="text1"/>
          <w:szCs w:val="21"/>
          <w14:textFill>
            <w14:solidFill>
              <w14:schemeClr w14:val="tx1"/>
            </w14:solidFill>
          </w14:textFill>
        </w:rPr>
        <w:t>移入100 mL塑料容量瓶中，用水稀释至刻度，混匀。此溶液1 mL含1 mg钨。</w:t>
      </w:r>
    </w:p>
    <w:p w14:paraId="5FB45006">
      <w:pPr>
        <w:snapToGrid w:val="0"/>
        <w:rPr>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4.2.9</w:t>
      </w:r>
      <w:r>
        <w:rPr>
          <w:rFonts w:hint="eastAsia" w:ascii="黑体" w:hAnsi="黑体" w:eastAsia="黑体" w:cs="黑体"/>
          <w:color w:val="000000" w:themeColor="text1"/>
          <w:szCs w:val="21"/>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钼、钨</w:t>
      </w:r>
      <w:r>
        <w:rPr>
          <w:rFonts w:hint="eastAsia"/>
          <w:color w:val="000000" w:themeColor="text1"/>
          <w:szCs w:val="21"/>
          <w14:textFill>
            <w14:solidFill>
              <w14:schemeClr w14:val="tx1"/>
            </w14:solidFill>
          </w14:textFill>
        </w:rPr>
        <w:t>混合标准溶液：分别移取5</w:t>
      </w:r>
      <w:r>
        <w:rPr>
          <w:rFonts w:hint="eastAsia"/>
          <w:color w:val="000000" w:themeColor="text1"/>
          <w:szCs w:val="21"/>
          <w:lang w:val="en-US" w:eastAsia="zh-CN"/>
          <w14:textFill>
            <w14:solidFill>
              <w14:schemeClr w14:val="tx1"/>
            </w14:solidFill>
          </w14:textFill>
        </w:rPr>
        <w:t xml:space="preserve">.00 </w:t>
      </w:r>
      <w:r>
        <w:rPr>
          <w:rFonts w:hint="eastAsia"/>
          <w:color w:val="000000" w:themeColor="text1"/>
          <w:szCs w:val="21"/>
          <w14:textFill>
            <w14:solidFill>
              <w14:schemeClr w14:val="tx1"/>
            </w14:solidFill>
          </w14:textFill>
        </w:rPr>
        <w:t>mL</w:t>
      </w:r>
      <w:r>
        <w:rPr>
          <w:rFonts w:hint="eastAsia"/>
          <w:color w:val="000000" w:themeColor="text1"/>
          <w:szCs w:val="21"/>
          <w:lang w:val="en-US" w:eastAsia="zh-CN"/>
          <w14:textFill>
            <w14:solidFill>
              <w14:schemeClr w14:val="tx1"/>
            </w14:solidFill>
          </w14:textFill>
        </w:rPr>
        <w:t>钼</w:t>
      </w:r>
      <w:r>
        <w:rPr>
          <w:rFonts w:hint="eastAsia"/>
          <w:color w:val="000000" w:themeColor="text1"/>
          <w:szCs w:val="21"/>
          <w14:textFill>
            <w14:solidFill>
              <w14:schemeClr w14:val="tx1"/>
            </w14:solidFill>
          </w14:textFill>
        </w:rPr>
        <w:t>标准贮存溶液（</w:t>
      </w:r>
      <w:r>
        <w:rPr>
          <w:rFonts w:hint="eastAsia"/>
          <w:color w:val="000000" w:themeColor="text1"/>
          <w:szCs w:val="21"/>
          <w:lang w:eastAsia="zh-CN"/>
          <w14:textFill>
            <w14:solidFill>
              <w14:schemeClr w14:val="tx1"/>
            </w14:solidFill>
          </w14:textFill>
        </w:rPr>
        <w:t>4.2.7</w:t>
      </w:r>
      <w:r>
        <w:rPr>
          <w:rFonts w:hint="eastAsia"/>
          <w:color w:val="000000" w:themeColor="text1"/>
          <w:szCs w:val="21"/>
          <w14:textFill>
            <w14:solidFill>
              <w14:schemeClr w14:val="tx1"/>
            </w14:solidFill>
          </w14:textFill>
        </w:rPr>
        <w:t>）和</w:t>
      </w:r>
      <w:r>
        <w:rPr>
          <w:rFonts w:hint="eastAsia"/>
          <w:color w:val="000000" w:themeColor="text1"/>
          <w:szCs w:val="21"/>
          <w:lang w:val="en-US" w:eastAsia="zh-CN"/>
          <w14:textFill>
            <w14:solidFill>
              <w14:schemeClr w14:val="tx1"/>
            </w14:solidFill>
          </w14:textFill>
        </w:rPr>
        <w:t>钨</w:t>
      </w:r>
      <w:r>
        <w:rPr>
          <w:rFonts w:hint="eastAsia"/>
          <w:color w:val="000000" w:themeColor="text1"/>
          <w:szCs w:val="21"/>
          <w14:textFill>
            <w14:solidFill>
              <w14:schemeClr w14:val="tx1"/>
            </w14:solidFill>
          </w14:textFill>
        </w:rPr>
        <w:t>标准贮存溶液（</w:t>
      </w:r>
      <w:r>
        <w:rPr>
          <w:rFonts w:hint="eastAsia"/>
          <w:color w:val="000000" w:themeColor="text1"/>
          <w:szCs w:val="21"/>
          <w:lang w:eastAsia="zh-CN"/>
          <w14:textFill>
            <w14:solidFill>
              <w14:schemeClr w14:val="tx1"/>
            </w14:solidFill>
          </w14:textFill>
        </w:rPr>
        <w:t>4.2.8</w:t>
      </w:r>
      <w:r>
        <w:rPr>
          <w:rFonts w:hint="eastAsia"/>
          <w:color w:val="000000" w:themeColor="text1"/>
          <w:szCs w:val="21"/>
          <w14:textFill>
            <w14:solidFill>
              <w14:schemeClr w14:val="tx1"/>
            </w14:solidFill>
          </w14:textFill>
        </w:rPr>
        <w:t xml:space="preserve">）于100 mL塑料容量瓶中，加入5 mL氢氟酸（4.2.3），用水稀释至刻度，混匀。此溶液1 mL含50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 xml:space="preserve">g钼和50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g钨。</w:t>
      </w:r>
    </w:p>
    <w:p w14:paraId="4416A800">
      <w:pPr>
        <w:snapToGrid w:val="0"/>
        <w:rPr>
          <w:color w:val="000000" w:themeColor="text1"/>
          <w:szCs w:val="21"/>
          <w14:textFill>
            <w14:solidFill>
              <w14:schemeClr w14:val="tx1"/>
            </w14:solidFill>
          </w14:textFill>
        </w:rPr>
      </w:pPr>
      <w:r>
        <w:rPr>
          <w:rFonts w:hint="eastAsia" w:ascii="黑体" w:hAnsi="黑体" w:eastAsia="黑体" w:cs="黑体"/>
          <w:color w:val="000000" w:themeColor="text1"/>
          <w:szCs w:val="21"/>
          <w:lang w:eastAsia="zh-CN"/>
          <w14:textFill>
            <w14:solidFill>
              <w14:schemeClr w14:val="tx1"/>
            </w14:solidFill>
          </w14:textFill>
        </w:rPr>
        <w:t>4.2.10</w:t>
      </w:r>
      <w:r>
        <w:rPr>
          <w:rFonts w:hint="eastAsia" w:ascii="黑体" w:hAnsi="黑体" w:eastAsia="黑体" w:cs="黑体"/>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氩气</w:t>
      </w:r>
      <w:r>
        <w:rPr>
          <w:rFonts w:hint="eastAsia"/>
          <w:color w:val="000000" w:themeColor="text1"/>
          <w:szCs w:val="21"/>
          <w14:textFill>
            <w14:solidFill>
              <w14:schemeClr w14:val="tx1"/>
            </w14:solidFill>
          </w14:textFill>
        </w:rPr>
        <w:t>：体积分数</w:t>
      </w:r>
      <w:r>
        <w:rPr>
          <w:rFonts w:hint="eastAsia"/>
          <w:color w:val="000000" w:themeColor="text1"/>
          <w:szCs w:val="21"/>
          <w:lang w:val="en-US" w:eastAsia="zh-CN"/>
          <w14:textFill>
            <w14:solidFill>
              <w14:schemeClr w14:val="tx1"/>
            </w14:solidFill>
          </w14:textFill>
        </w:rPr>
        <w:t>不小于</w:t>
      </w:r>
      <w:r>
        <w:rPr>
          <w:color w:val="000000" w:themeColor="text1"/>
          <w:szCs w:val="21"/>
          <w14:textFill>
            <w14:solidFill>
              <w14:schemeClr w14:val="tx1"/>
            </w14:solidFill>
          </w14:textFill>
        </w:rPr>
        <w:t>99.99%。</w:t>
      </w:r>
    </w:p>
    <w:p w14:paraId="7C87823D">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4.3 </w:t>
      </w:r>
      <w:r>
        <w:rPr>
          <w:rFonts w:hint="eastAsia" w:ascii="Times New Roman"/>
          <w:color w:val="000000" w:themeColor="text1"/>
          <w14:textFill>
            <w14:solidFill>
              <w14:schemeClr w14:val="tx1"/>
            </w14:solidFill>
          </w14:textFill>
        </w:rPr>
        <w:t>仪器设备</w:t>
      </w:r>
    </w:p>
    <w:p w14:paraId="41839CF4">
      <w:pPr>
        <w:pStyle w:val="57"/>
        <w:spacing w:line="240" w:lineRule="auto"/>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 xml:space="preserve">4.3.1 </w:t>
      </w:r>
      <w:r>
        <w:rPr>
          <w:rFonts w:hint="eastAsia"/>
          <w:color w:val="000000" w:themeColor="text1"/>
          <w:szCs w:val="21"/>
          <w14:textFill>
            <w14:solidFill>
              <w14:schemeClr w14:val="tx1"/>
            </w14:solidFill>
          </w14:textFill>
        </w:rPr>
        <w:t>电感耦合</w:t>
      </w:r>
      <w:r>
        <w:rPr>
          <w:color w:val="000000" w:themeColor="text1"/>
          <w:szCs w:val="21"/>
          <w14:textFill>
            <w14:solidFill>
              <w14:schemeClr w14:val="tx1"/>
            </w14:solidFill>
          </w14:textFill>
        </w:rPr>
        <w:t>等离子体发射光谱仪</w:t>
      </w:r>
    </w:p>
    <w:p w14:paraId="067D8DB8">
      <w:pPr>
        <w:pStyle w:val="57"/>
        <w:spacing w:line="240" w:lineRule="auto"/>
        <w:ind w:left="-105" w:leftChars="-50" w:firstLine="525" w:firstLineChars="250"/>
        <w:jc w:val="both"/>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在仪器最佳工作条件下，凡能达到下列指标者均可使用</w:t>
      </w:r>
      <w:r>
        <w:rPr>
          <w:rFonts w:hint="eastAsia"/>
          <w:color w:val="000000" w:themeColor="text1"/>
          <w:szCs w:val="21"/>
          <w:lang w:eastAsia="zh-CN"/>
          <w14:textFill>
            <w14:solidFill>
              <w14:schemeClr w14:val="tx1"/>
            </w14:solidFill>
          </w14:textFill>
        </w:rPr>
        <w:t>：</w:t>
      </w:r>
    </w:p>
    <w:p w14:paraId="01FD8508">
      <w:pPr>
        <w:pStyle w:val="57"/>
        <w:spacing w:line="240" w:lineRule="auto"/>
        <w:ind w:left="-105" w:leftChars="-50" w:firstLine="525" w:firstLineChars="250"/>
        <w:jc w:val="both"/>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——符合JJG 768中检定规程和技术指标。</w:t>
      </w:r>
    </w:p>
    <w:p w14:paraId="2513EB4D">
      <w:pPr>
        <w:pStyle w:val="57"/>
        <w:snapToGrid w:val="0"/>
        <w:spacing w:line="240" w:lineRule="auto"/>
        <w:ind w:firstLine="420" w:firstLineChars="200"/>
        <w:jc w:val="both"/>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测定元素的</w:t>
      </w:r>
      <w:r>
        <w:rPr>
          <w:rFonts w:hint="eastAsia"/>
          <w:color w:val="000000" w:themeColor="text1"/>
          <w:szCs w:val="21"/>
          <w14:textFill>
            <w14:solidFill>
              <w14:schemeClr w14:val="tx1"/>
            </w14:solidFill>
          </w14:textFill>
        </w:rPr>
        <w:t>推荐分析谱线波长见表1。</w:t>
      </w:r>
    </w:p>
    <w:p w14:paraId="6CC3DAD0">
      <w:pPr>
        <w:spacing w:before="156" w:beforeLines="50" w:after="156" w:afterLines="50" w:line="300" w:lineRule="exact"/>
        <w:jc w:val="center"/>
        <w:rPr>
          <w:rFonts w:hint="eastAsia"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表1 推荐分析谱线波长</w:t>
      </w:r>
    </w:p>
    <w:p w14:paraId="29E94040">
      <w:pPr>
        <w:spacing w:before="0" w:beforeLines="-2147483648" w:after="0" w:afterLines="-2147483648" w:line="240" w:lineRule="auto"/>
        <w:jc w:val="right"/>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单位：纳米</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7"/>
        <w:gridCol w:w="5083"/>
      </w:tblGrid>
      <w:tr w14:paraId="1708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4" w:type="pct"/>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14:paraId="7C162C2E">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测定元素</w:t>
            </w:r>
          </w:p>
        </w:tc>
        <w:tc>
          <w:tcPr>
            <w:tcW w:w="2655" w:type="pct"/>
            <w:tcBorders>
              <w:top w:val="single" w:color="000000" w:sz="12" w:space="0"/>
              <w:left w:val="single" w:color="000000" w:sz="4" w:space="0"/>
              <w:bottom w:val="single" w:color="auto" w:sz="12" w:space="0"/>
              <w:right w:val="single" w:color="000000" w:sz="12" w:space="0"/>
            </w:tcBorders>
            <w:shd w:val="clear" w:color="auto" w:fill="FFFFFF"/>
            <w:noWrap/>
          </w:tcPr>
          <w:p w14:paraId="27B1CD0E">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波长</w:t>
            </w:r>
          </w:p>
        </w:tc>
      </w:tr>
      <w:tr w14:paraId="299C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44" w:type="pct"/>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31CE886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钼</w:t>
            </w:r>
          </w:p>
        </w:tc>
        <w:tc>
          <w:tcPr>
            <w:tcW w:w="2655" w:type="pct"/>
            <w:tcBorders>
              <w:top w:val="single" w:color="000000" w:sz="4" w:space="0"/>
              <w:left w:val="single" w:color="000000" w:sz="4" w:space="0"/>
              <w:bottom w:val="single" w:color="000000" w:sz="4" w:space="0"/>
              <w:right w:val="single" w:color="000000" w:sz="12" w:space="0"/>
            </w:tcBorders>
            <w:shd w:val="clear" w:color="auto" w:fill="FFFFFF"/>
            <w:noWrap/>
            <w:vAlign w:val="center"/>
          </w:tcPr>
          <w:p w14:paraId="77CBF484">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202.032、268.414、281.615</w:t>
            </w:r>
          </w:p>
        </w:tc>
      </w:tr>
      <w:tr w14:paraId="4300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44" w:type="pct"/>
            <w:tcBorders>
              <w:top w:val="single" w:color="000000" w:sz="4" w:space="0"/>
              <w:left w:val="single" w:color="000000" w:sz="12" w:space="0"/>
              <w:bottom w:val="single" w:color="000000" w:sz="12" w:space="0"/>
              <w:right w:val="single" w:color="000000" w:sz="4" w:space="0"/>
            </w:tcBorders>
            <w:shd w:val="clear" w:color="auto" w:fill="FFFFFF"/>
            <w:noWrap/>
            <w:vAlign w:val="center"/>
          </w:tcPr>
          <w:p w14:paraId="7FD25422">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钨</w:t>
            </w:r>
          </w:p>
        </w:tc>
        <w:tc>
          <w:tcPr>
            <w:tcW w:w="2655" w:type="pct"/>
            <w:tcBorders>
              <w:top w:val="single" w:color="000000" w:sz="4" w:space="0"/>
              <w:left w:val="single" w:color="000000" w:sz="4" w:space="0"/>
              <w:bottom w:val="single" w:color="000000" w:sz="12" w:space="0"/>
              <w:right w:val="single" w:color="000000" w:sz="12" w:space="0"/>
            </w:tcBorders>
            <w:shd w:val="clear" w:color="auto" w:fill="FFFFFF"/>
            <w:noWrap/>
            <w:vAlign w:val="center"/>
          </w:tcPr>
          <w:p w14:paraId="2C9F2AE3">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207.911、216.632、248.923</w:t>
            </w:r>
          </w:p>
        </w:tc>
      </w:tr>
    </w:tbl>
    <w:p w14:paraId="4E900DE9">
      <w:pPr>
        <w:pStyle w:val="57"/>
        <w:spacing w:line="240" w:lineRule="auto"/>
        <w:ind w:left="-105" w:leftChars="-50" w:firstLine="525" w:firstLineChars="250"/>
        <w:jc w:val="both"/>
        <w:rPr>
          <w:rFonts w:hint="eastAsia"/>
          <w:color w:val="000000" w:themeColor="text1"/>
          <w:szCs w:val="21"/>
          <w14:textFill>
            <w14:solidFill>
              <w14:schemeClr w14:val="tx1"/>
            </w14:solidFill>
          </w14:textFill>
        </w:rPr>
      </w:pPr>
    </w:p>
    <w:p w14:paraId="4A5221AA">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4.4</w:t>
      </w:r>
      <w:r>
        <w:rPr>
          <w:rFonts w:hint="eastAsia" w:ascii="Times New Roman"/>
          <w:color w:val="000000" w:themeColor="text1"/>
          <w14:textFill>
            <w14:solidFill>
              <w14:schemeClr w14:val="tx1"/>
            </w14:solidFill>
          </w14:textFill>
        </w:rPr>
        <w:t xml:space="preserve"> 样品</w:t>
      </w:r>
    </w:p>
    <w:p w14:paraId="6117DF74">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金属样品应去掉表面氧化层，取样后立即称量。</w:t>
      </w:r>
    </w:p>
    <w:p w14:paraId="55FACAFE">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4.5 </w:t>
      </w:r>
      <w:r>
        <w:rPr>
          <w:rFonts w:hint="eastAsia" w:ascii="Times New Roman"/>
          <w:color w:val="000000" w:themeColor="text1"/>
          <w14:textFill>
            <w14:solidFill>
              <w14:schemeClr w14:val="tx1"/>
            </w14:solidFill>
          </w14:textFill>
        </w:rPr>
        <w:t>试验步骤</w:t>
      </w:r>
    </w:p>
    <w:p w14:paraId="033E2CFE">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4.5.1</w:t>
      </w:r>
      <w:r>
        <w:rPr>
          <w:rFonts w:hint="eastAsia" w:ascii="Times New Roman"/>
          <w:color w:val="000000" w:themeColor="text1"/>
          <w14:textFill>
            <w14:solidFill>
              <w14:schemeClr w14:val="tx1"/>
            </w14:solidFill>
          </w14:textFill>
        </w:rPr>
        <w:t xml:space="preserve"> 试料</w:t>
      </w:r>
    </w:p>
    <w:p w14:paraId="5577FDE6">
      <w:pPr>
        <w:snapToGrid w:val="0"/>
        <w:ind w:firstLine="420" w:firstLineChars="200"/>
        <w:rPr>
          <w:color w:val="000000" w:themeColor="text1"/>
          <w:kern w:val="0"/>
          <w:szCs w:val="20"/>
          <w14:textFill>
            <w14:solidFill>
              <w14:schemeClr w14:val="tx1"/>
            </w14:solidFill>
          </w14:textFill>
        </w:rPr>
      </w:pPr>
      <w:r>
        <w:rPr>
          <w:color w:val="000000" w:themeColor="text1"/>
          <w14:textFill>
            <w14:solidFill>
              <w14:schemeClr w14:val="tx1"/>
            </w14:solidFill>
          </w14:textFill>
        </w:rPr>
        <w:t>称取</w:t>
      </w:r>
      <w:r>
        <w:rPr>
          <w:rFonts w:hint="eastAsia"/>
          <w:color w:val="000000" w:themeColor="text1"/>
          <w14:textFill>
            <w14:solidFill>
              <w14:schemeClr w14:val="tx1"/>
            </w14:solidFill>
          </w14:textFill>
        </w:rPr>
        <w:t>1.0</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样品</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），精确至0.0001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g。</w:t>
      </w:r>
    </w:p>
    <w:p w14:paraId="7CD00500">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4.5.2 </w:t>
      </w:r>
      <w:r>
        <w:rPr>
          <w:rFonts w:hint="eastAsia" w:ascii="Times New Roman"/>
          <w:color w:val="000000" w:themeColor="text1"/>
          <w14:textFill>
            <w14:solidFill>
              <w14:schemeClr w14:val="tx1"/>
            </w14:solidFill>
          </w14:textFill>
        </w:rPr>
        <w:t>平行试验</w:t>
      </w:r>
    </w:p>
    <w:p w14:paraId="29ED76B6">
      <w:pPr>
        <w:snapToGrid w:val="0"/>
        <w:ind w:firstLine="420" w:firstLineChars="200"/>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平行做两份试验。</w:t>
      </w:r>
    </w:p>
    <w:p w14:paraId="2E1CB6FC">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4.5.3</w:t>
      </w:r>
      <w:r>
        <w:rPr>
          <w:rFonts w:hint="eastAsia" w:ascii="Times New Roman"/>
          <w:color w:val="000000" w:themeColor="text1"/>
          <w14:textFill>
            <w14:solidFill>
              <w14:schemeClr w14:val="tx1"/>
            </w14:solidFill>
          </w14:textFill>
        </w:rPr>
        <w:t xml:space="preserve"> 空白试验</w:t>
      </w:r>
    </w:p>
    <w:p w14:paraId="613FE670">
      <w:pPr>
        <w:pStyle w:val="43"/>
        <w:snapToGrid w:val="0"/>
        <w:ind w:firstLine="405" w:firstLineChars="193"/>
        <w:rPr>
          <w:color w:val="000000" w:themeColor="text1"/>
          <w:szCs w:val="21"/>
          <w14:textFill>
            <w14:solidFill>
              <w14:schemeClr w14:val="tx1"/>
            </w14:solidFill>
          </w14:textFill>
        </w:rPr>
      </w:pPr>
      <w:r>
        <w:rPr>
          <w:color w:val="000000" w:themeColor="text1"/>
          <w:szCs w:val="21"/>
          <w14:textFill>
            <w14:solidFill>
              <w14:schemeClr w14:val="tx1"/>
            </w14:solidFill>
          </w14:textFill>
        </w:rPr>
        <w:t>随同试料</w:t>
      </w:r>
      <w:r>
        <w:rPr>
          <w:rFonts w:hint="eastAsia"/>
          <w:color w:val="000000" w:themeColor="text1"/>
          <w:szCs w:val="21"/>
          <w14:textFill>
            <w14:solidFill>
              <w14:schemeClr w14:val="tx1"/>
            </w14:solidFill>
          </w14:textFill>
        </w:rPr>
        <w:t>做</w:t>
      </w:r>
      <w:r>
        <w:rPr>
          <w:color w:val="000000" w:themeColor="text1"/>
          <w:szCs w:val="21"/>
          <w14:textFill>
            <w14:solidFill>
              <w14:schemeClr w14:val="tx1"/>
            </w14:solidFill>
          </w14:textFill>
        </w:rPr>
        <w:t>空白</w:t>
      </w:r>
      <w:r>
        <w:rPr>
          <w:rFonts w:hint="eastAsia"/>
          <w:color w:val="000000" w:themeColor="text1"/>
          <w:szCs w:val="21"/>
          <w14:textFill>
            <w14:solidFill>
              <w14:schemeClr w14:val="tx1"/>
            </w14:solidFill>
          </w14:textFill>
        </w:rPr>
        <w:t>试验。</w:t>
      </w:r>
    </w:p>
    <w:p w14:paraId="61DFDC0F">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4.5.4</w:t>
      </w:r>
      <w:r>
        <w:rPr>
          <w:rFonts w:hint="eastAsia" w:hAnsi="黑体" w:cs="黑体"/>
          <w:color w:val="000000" w:themeColor="text1"/>
          <w:kern w:val="2"/>
          <w:szCs w:val="21"/>
          <w:lang w:val="en-US" w:eastAsia="zh-CN"/>
          <w14:textFill>
            <w14:solidFill>
              <w14:schemeClr w14:val="tx1"/>
            </w14:solidFill>
          </w14:textFill>
        </w:rPr>
        <w:t xml:space="preserve"> </w:t>
      </w:r>
      <w:r>
        <w:rPr>
          <w:rFonts w:hint="eastAsia" w:ascii="Times New Roman"/>
          <w:color w:val="000000" w:themeColor="text1"/>
          <w14:textFill>
            <w14:solidFill>
              <w14:schemeClr w14:val="tx1"/>
            </w14:solidFill>
          </w14:textFill>
        </w:rPr>
        <w:t>分析试液的制备</w:t>
      </w:r>
    </w:p>
    <w:p w14:paraId="57CA19EB">
      <w:pPr>
        <w:pStyle w:val="57"/>
        <w:snapToGrid w:val="0"/>
        <w:spacing w:line="240" w:lineRule="auto"/>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4.5.4.1</w:t>
      </w:r>
      <w:r>
        <w:rPr>
          <w:rFonts w:hint="eastAsia"/>
          <w:color w:val="000000" w:themeColor="text1"/>
          <w:szCs w:val="21"/>
          <w14:textFill>
            <w14:solidFill>
              <w14:schemeClr w14:val="tx1"/>
            </w14:solidFill>
          </w14:textFill>
        </w:rPr>
        <w:t xml:space="preserve"> 将试料（4.5.1）置于200 mL聚四氟乙烯烧杯中，用</w:t>
      </w:r>
      <w:r>
        <w:rPr>
          <w:rFonts w:hint="eastAsia"/>
          <w:color w:val="000000" w:themeColor="text1"/>
          <w:szCs w:val="21"/>
          <w:lang w:val="en-US" w:eastAsia="zh-CN"/>
          <w14:textFill>
            <w14:solidFill>
              <w14:schemeClr w14:val="tx1"/>
            </w14:solidFill>
          </w14:textFill>
        </w:rPr>
        <w:t>少量水</w:t>
      </w:r>
      <w:r>
        <w:rPr>
          <w:rFonts w:hint="eastAsia"/>
          <w:color w:val="000000" w:themeColor="text1"/>
          <w:szCs w:val="21"/>
          <w14:textFill>
            <w14:solidFill>
              <w14:schemeClr w14:val="tx1"/>
            </w14:solidFill>
          </w14:textFill>
        </w:rPr>
        <w:t>润湿。加入10 mL硝酸（4.2.4），低温加热溶解至清亮</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加入50 mL水</w:t>
      </w:r>
      <w:r>
        <w:rPr>
          <w:rFonts w:hint="eastAsia"/>
          <w:color w:val="000000" w:themeColor="text1"/>
          <w:szCs w:val="21"/>
          <w:lang w:val="en-US" w:eastAsia="zh-CN"/>
          <w14:textFill>
            <w14:solidFill>
              <w14:schemeClr w14:val="tx1"/>
            </w14:solidFill>
          </w14:textFill>
        </w:rPr>
        <w:t>和</w:t>
      </w:r>
      <w:r>
        <w:rPr>
          <w:rFonts w:hint="eastAsia"/>
          <w:color w:val="000000" w:themeColor="text1"/>
          <w:szCs w:val="21"/>
          <w14:textFill>
            <w14:solidFill>
              <w14:schemeClr w14:val="tx1"/>
            </w14:solidFill>
          </w14:textFill>
        </w:rPr>
        <w:t>5 mL氢氟酸（4.2.3）</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加热至近沸腾</w:t>
      </w:r>
      <w:r>
        <w:rPr>
          <w:rFonts w:hint="eastAsia"/>
          <w:color w:val="000000" w:themeColor="text1"/>
          <w:szCs w:val="21"/>
          <w:lang w:val="en-US" w:eastAsia="zh-CN"/>
          <w14:textFill>
            <w14:solidFill>
              <w14:schemeClr w14:val="tx1"/>
            </w14:solidFill>
          </w14:textFill>
        </w:rPr>
        <w:t>并于80℃电热板</w:t>
      </w:r>
      <w:r>
        <w:rPr>
          <w:rFonts w:hint="eastAsia"/>
          <w:color w:val="000000" w:themeColor="text1"/>
          <w:szCs w:val="21"/>
          <w14:textFill>
            <w14:solidFill>
              <w14:schemeClr w14:val="tx1"/>
            </w14:solidFill>
          </w14:textFill>
        </w:rPr>
        <w:t>保温10 min。放置冷却至室温，移入100 mL 塑料容量瓶中，用水稀释至刻度，混匀。待沉淀下沉后，用</w:t>
      </w:r>
      <w:r>
        <w:rPr>
          <w:rFonts w:hint="eastAsia"/>
          <w:color w:val="000000" w:themeColor="text1"/>
          <w:szCs w:val="21"/>
          <w:lang w:val="en-US" w:eastAsia="zh-CN"/>
          <w14:textFill>
            <w14:solidFill>
              <w14:schemeClr w14:val="tx1"/>
            </w14:solidFill>
          </w14:textFill>
        </w:rPr>
        <w:t>双层</w:t>
      </w:r>
      <w:r>
        <w:rPr>
          <w:rFonts w:hint="eastAsia"/>
          <w:color w:val="000000" w:themeColor="text1"/>
          <w:szCs w:val="21"/>
          <w14:textFill>
            <w14:solidFill>
              <w14:schemeClr w14:val="tx1"/>
            </w14:solidFill>
          </w14:textFill>
        </w:rPr>
        <w:t>慢速滤纸干过滤。</w:t>
      </w:r>
    </w:p>
    <w:p w14:paraId="53423C04">
      <w:pPr>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4.5.4.2 </w:t>
      </w:r>
      <w:r>
        <w:rPr>
          <w:rFonts w:hint="eastAsia"/>
          <w:color w:val="000000" w:themeColor="text1"/>
          <w:szCs w:val="21"/>
          <w14:textFill>
            <w14:solidFill>
              <w14:schemeClr w14:val="tx1"/>
            </w14:solidFill>
          </w14:textFill>
        </w:rPr>
        <w:t xml:space="preserve">移取10.00 mL </w:t>
      </w:r>
      <w:r>
        <w:rPr>
          <w:rFonts w:hint="eastAsia"/>
          <w:color w:val="000000" w:themeColor="text1"/>
          <w:szCs w:val="21"/>
          <w:lang w:val="en-US" w:eastAsia="zh-CN"/>
          <w14:textFill>
            <w14:solidFill>
              <w14:schemeClr w14:val="tx1"/>
            </w14:solidFill>
          </w14:textFill>
        </w:rPr>
        <w:t>滤</w:t>
      </w:r>
      <w:r>
        <w:rPr>
          <w:rFonts w:hint="eastAsia"/>
          <w:color w:val="000000" w:themeColor="text1"/>
          <w:szCs w:val="21"/>
          <w14:textFill>
            <w14:solidFill>
              <w14:schemeClr w14:val="tx1"/>
            </w14:solidFill>
          </w14:textFill>
        </w:rPr>
        <w:t>液</w:t>
      </w:r>
      <w:r>
        <w:rPr>
          <w:color w:val="000000" w:themeColor="text1"/>
          <w:szCs w:val="21"/>
          <w14:textFill>
            <w14:solidFill>
              <w14:schemeClr w14:val="tx1"/>
            </w14:solidFill>
          </w14:textFill>
        </w:rPr>
        <w:t>（4.5.4.1）</w:t>
      </w:r>
      <w:r>
        <w:rPr>
          <w:rFonts w:hint="eastAsia"/>
          <w:color w:val="000000" w:themeColor="text1"/>
          <w:szCs w:val="21"/>
          <w14:textFill>
            <w14:solidFill>
              <w14:schemeClr w14:val="tx1"/>
            </w14:solidFill>
          </w14:textFill>
        </w:rPr>
        <w:t>于50 mL 塑料容量瓶中，加入5 mL 硼酸溶液（</w:t>
      </w:r>
      <w:r>
        <w:rPr>
          <w:rFonts w:hint="eastAsia"/>
          <w:color w:val="000000" w:themeColor="text1"/>
          <w:szCs w:val="21"/>
          <w:lang w:eastAsia="zh-CN"/>
          <w14:textFill>
            <w14:solidFill>
              <w14:schemeClr w14:val="tx1"/>
            </w14:solidFill>
          </w14:textFill>
        </w:rPr>
        <w:t>4.2.6</w:t>
      </w:r>
      <w:r>
        <w:rPr>
          <w:rFonts w:hint="eastAsia"/>
          <w:color w:val="000000" w:themeColor="text1"/>
          <w:szCs w:val="21"/>
          <w14:textFill>
            <w14:solidFill>
              <w14:schemeClr w14:val="tx1"/>
            </w14:solidFill>
          </w14:textFill>
        </w:rPr>
        <w:t>）、1 mL硝酸（4.2.2），用水稀释至刻度，混匀，待</w:t>
      </w:r>
      <w:r>
        <w:rPr>
          <w:rFonts w:hint="eastAsia"/>
          <w:color w:val="000000" w:themeColor="text1"/>
          <w:szCs w:val="21"/>
          <w:lang w:val="en-US" w:eastAsia="zh-CN"/>
          <w14:textFill>
            <w14:solidFill>
              <w14:schemeClr w14:val="tx1"/>
            </w14:solidFill>
          </w14:textFill>
        </w:rPr>
        <w:t>测</w:t>
      </w:r>
      <w:r>
        <w:rPr>
          <w:rFonts w:hint="eastAsia"/>
          <w:color w:val="000000" w:themeColor="text1"/>
          <w:szCs w:val="21"/>
          <w14:textFill>
            <w14:solidFill>
              <w14:schemeClr w14:val="tx1"/>
            </w14:solidFill>
          </w14:textFill>
        </w:rPr>
        <w:t>。</w:t>
      </w:r>
    </w:p>
    <w:p w14:paraId="43D89EAD">
      <w:pPr>
        <w:ind w:firstLine="360" w:firstLineChars="200"/>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宋体" w:hAnsi="宋体" w:cs="宋体"/>
          <w:color w:val="000000" w:themeColor="text1"/>
          <w:sz w:val="18"/>
          <w:szCs w:val="18"/>
          <w14:textFill>
            <w14:solidFill>
              <w14:schemeClr w14:val="tx1"/>
            </w14:solidFill>
          </w14:textFill>
        </w:rPr>
        <w:t>若仪器配备耐氢氟酸进样系统，可不加硼酸溶液（</w:t>
      </w:r>
      <w:r>
        <w:rPr>
          <w:rFonts w:hint="default" w:ascii="Times New Roman" w:hAnsi="Times New Roman" w:cs="Times New Roman"/>
          <w:color w:val="000000" w:themeColor="text1"/>
          <w:sz w:val="18"/>
          <w:szCs w:val="18"/>
          <w:lang w:eastAsia="zh-CN"/>
          <w14:textFill>
            <w14:solidFill>
              <w14:schemeClr w14:val="tx1"/>
            </w14:solidFill>
          </w14:textFill>
        </w:rPr>
        <w:t>4.2.6</w:t>
      </w:r>
      <w:r>
        <w:rPr>
          <w:rFonts w:hint="eastAsia" w:ascii="宋体" w:hAnsi="宋体" w:cs="宋体"/>
          <w:color w:val="000000" w:themeColor="text1"/>
          <w:sz w:val="18"/>
          <w:szCs w:val="18"/>
          <w14:textFill>
            <w14:solidFill>
              <w14:schemeClr w14:val="tx1"/>
            </w14:solidFill>
          </w14:textFill>
        </w:rPr>
        <w:t>）。</w:t>
      </w:r>
    </w:p>
    <w:p w14:paraId="13F0F4EC">
      <w:pPr>
        <w:pStyle w:val="53"/>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4.5.5</w:t>
      </w:r>
      <w:r>
        <w:rPr>
          <w:rFonts w:hint="eastAsia" w:ascii="Times New Roman"/>
          <w:color w:val="000000" w:themeColor="text1"/>
          <w14:textFill>
            <w14:solidFill>
              <w14:schemeClr w14:val="tx1"/>
            </w14:solidFill>
          </w14:textFill>
        </w:rPr>
        <w:t xml:space="preserve"> 系列标准溶液配制</w:t>
      </w:r>
    </w:p>
    <w:p w14:paraId="3E2D9B77">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分别移取0 mL、0.10 mL、0.50 mL、1.00 mL、2.50 mL、5.00 mL、10.00 mL</w:t>
      </w:r>
      <w:r>
        <w:rPr>
          <w:rFonts w:hint="eastAsia"/>
          <w:color w:val="000000" w:themeColor="text1"/>
          <w:szCs w:val="21"/>
          <w:lang w:val="en-US" w:eastAsia="zh-CN"/>
          <w14:textFill>
            <w14:solidFill>
              <w14:schemeClr w14:val="tx1"/>
            </w14:solidFill>
          </w14:textFill>
        </w:rPr>
        <w:t>钼、钨</w:t>
      </w:r>
      <w:r>
        <w:rPr>
          <w:rFonts w:hint="eastAsia"/>
          <w:color w:val="000000" w:themeColor="text1"/>
          <w:szCs w:val="21"/>
          <w14:textFill>
            <w14:solidFill>
              <w14:schemeClr w14:val="tx1"/>
            </w14:solidFill>
          </w14:textFill>
        </w:rPr>
        <w:t>混合标准溶液</w:t>
      </w:r>
      <w:r>
        <w:rPr>
          <w:rFonts w:hint="eastAsia"/>
          <w:color w:val="000000" w:themeColor="text1"/>
          <w:szCs w:val="21"/>
          <w:lang w:eastAsia="zh-CN"/>
          <w14:textFill>
            <w14:solidFill>
              <w14:schemeClr w14:val="tx1"/>
            </w14:solidFill>
          </w14:textFill>
        </w:rPr>
        <w:t>（4.2.9）</w:t>
      </w:r>
      <w:r>
        <w:rPr>
          <w:rFonts w:hint="eastAsia"/>
          <w:color w:val="000000" w:themeColor="text1"/>
          <w:szCs w:val="21"/>
          <w14:textFill>
            <w14:solidFill>
              <w14:schemeClr w14:val="tx1"/>
            </w14:solidFill>
          </w14:textFill>
        </w:rPr>
        <w:t>于7个50 mL 塑料容量瓶中，补加4滴（约0.2 mL）氢氟酸（4.2.3）、5 mL 硼酸溶液</w:t>
      </w:r>
      <w:r>
        <w:rPr>
          <w:rFonts w:hint="eastAsia"/>
          <w:color w:val="000000" w:themeColor="text1"/>
          <w:szCs w:val="21"/>
          <w:lang w:eastAsia="zh-CN"/>
          <w14:textFill>
            <w14:solidFill>
              <w14:schemeClr w14:val="tx1"/>
            </w14:solidFill>
          </w14:textFill>
        </w:rPr>
        <w:t>（4.2.6）</w:t>
      </w:r>
      <w:r>
        <w:rPr>
          <w:rFonts w:hint="eastAsia"/>
          <w:color w:val="000000" w:themeColor="text1"/>
          <w:szCs w:val="21"/>
          <w14:textFill>
            <w14:solidFill>
              <w14:schemeClr w14:val="tx1"/>
            </w14:solidFill>
          </w14:textFill>
        </w:rPr>
        <w:t xml:space="preserve">、1 mL硝酸（4.2.2），用水稀释至刻度，混匀。此系列标准溶液的钼、钨浓度分别为0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 xml:space="preserve">g/mL、0.10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 xml:space="preserve">g/mL、0.50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 xml:space="preserve">g/mL、1.00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 xml:space="preserve">g/mL、2.50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 xml:space="preserve">g/mL、5.00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 xml:space="preserve">g/mL、10.00 </w:t>
      </w:r>
      <w:r>
        <w:rPr>
          <w:rFonts w:hint="eastAsia"/>
          <w:b w:val="0"/>
          <w:i w:val="0"/>
          <w:iCs w:val="0"/>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g/mL。</w:t>
      </w:r>
    </w:p>
    <w:p w14:paraId="43FAD5B0">
      <w:pPr>
        <w:ind w:firstLine="360" w:firstLineChars="200"/>
        <w:rPr>
          <w:color w:val="000000" w:themeColor="text1"/>
          <w:szCs w:val="21"/>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宋体" w:hAnsi="宋体" w:cs="宋体"/>
          <w:color w:val="000000" w:themeColor="text1"/>
          <w:sz w:val="18"/>
          <w:szCs w:val="18"/>
          <w14:textFill>
            <w14:solidFill>
              <w14:schemeClr w14:val="tx1"/>
            </w14:solidFill>
          </w14:textFill>
        </w:rPr>
        <w:t>若仪器配备耐氢氟酸进样系统，可不加硼酸溶液（</w:t>
      </w:r>
      <w:r>
        <w:rPr>
          <w:rFonts w:hint="default" w:ascii="Times New Roman" w:hAnsi="Times New Roman" w:cs="Times New Roman"/>
          <w:color w:val="000000" w:themeColor="text1"/>
          <w:sz w:val="18"/>
          <w:szCs w:val="18"/>
          <w:lang w:eastAsia="zh-CN"/>
          <w14:textFill>
            <w14:solidFill>
              <w14:schemeClr w14:val="tx1"/>
            </w14:solidFill>
          </w14:textFill>
        </w:rPr>
        <w:t>4.2.6</w:t>
      </w:r>
      <w:r>
        <w:rPr>
          <w:rFonts w:hint="eastAsia" w:ascii="宋体" w:hAnsi="宋体" w:cs="宋体"/>
          <w:color w:val="000000" w:themeColor="text1"/>
          <w:sz w:val="18"/>
          <w:szCs w:val="18"/>
          <w14:textFill>
            <w14:solidFill>
              <w14:schemeClr w14:val="tx1"/>
            </w14:solidFill>
          </w14:textFill>
        </w:rPr>
        <w:t>）。</w:t>
      </w:r>
    </w:p>
    <w:p w14:paraId="5AE420B2">
      <w:pPr>
        <w:pStyle w:val="57"/>
        <w:snapToGrid w:val="0"/>
        <w:spacing w:before="156" w:beforeLines="50" w:after="156" w:afterLines="50" w:line="240" w:lineRule="auto"/>
        <w:jc w:val="both"/>
        <w:rPr>
          <w:rFonts w:eastAsia="黑体"/>
          <w:color w:val="000000" w:themeColor="text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 xml:space="preserve">4.5.6 </w:t>
      </w:r>
      <w:r>
        <w:rPr>
          <w:rFonts w:hint="eastAsia" w:eastAsia="黑体"/>
          <w:color w:val="000000" w:themeColor="text1"/>
          <w14:textFill>
            <w14:solidFill>
              <w14:schemeClr w14:val="tx1"/>
            </w14:solidFill>
          </w14:textFill>
        </w:rPr>
        <w:t>测定</w:t>
      </w:r>
    </w:p>
    <w:p w14:paraId="62921ACB">
      <w:pPr>
        <w:pStyle w:val="57"/>
        <w:snapToGrid w:val="0"/>
        <w:spacing w:before="156" w:beforeLines="50" w:after="156" w:afterLines="50" w:line="240" w:lineRule="auto"/>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4.5.6.</w:t>
      </w:r>
      <w:r>
        <w:rPr>
          <w:rFonts w:hint="eastAsia" w:ascii="黑体" w:hAnsi="黑体" w:eastAsia="黑体" w:cs="黑体"/>
          <w:color w:val="000000" w:themeColor="text1"/>
          <w:kern w:val="2"/>
          <w:szCs w:val="21"/>
          <w:lang w:val="en-US" w:eastAsia="zh-CN"/>
          <w14:textFill>
            <w14:solidFill>
              <w14:schemeClr w14:val="tx1"/>
            </w14:solidFill>
          </w14:textFill>
        </w:rPr>
        <w:t>1</w:t>
      </w:r>
      <w:r>
        <w:rPr>
          <w:rFonts w:hint="eastAsia" w:ascii="黑体" w:hAnsi="黑体" w:eastAsia="黑体" w:cs="黑体"/>
          <w:color w:val="000000" w:themeColor="text1"/>
          <w:kern w:val="2"/>
          <w:szCs w:val="21"/>
          <w14:textFill>
            <w14:solidFill>
              <w14:schemeClr w14:val="tx1"/>
            </w14:solidFill>
          </w14:textFill>
        </w:rPr>
        <w:t xml:space="preserve"> 工作曲线的绘制</w:t>
      </w:r>
    </w:p>
    <w:p w14:paraId="720D8F41">
      <w:pPr>
        <w:pStyle w:val="57"/>
        <w:snapToGrid w:val="0"/>
        <w:spacing w:line="240" w:lineRule="auto"/>
        <w:ind w:firstLine="420" w:firstLineChars="200"/>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在选定的仪器工作条件下，将系列标准溶液（4.5.5）用选定的分析谱线进行氩等离子体光谱测定。以待测元素光信号强度为纵坐标，系列标准溶液质量浓度为横坐标，绘制工作曲线，线性相关系数应不小于0.9995</w:t>
      </w:r>
      <w:r>
        <w:rPr>
          <w:color w:val="000000" w:themeColor="text1"/>
          <w:szCs w:val="21"/>
          <w14:textFill>
            <w14:solidFill>
              <w14:schemeClr w14:val="tx1"/>
            </w14:solidFill>
          </w14:textFill>
        </w:rPr>
        <w:t>。</w:t>
      </w:r>
    </w:p>
    <w:p w14:paraId="7C75CA0C">
      <w:pPr>
        <w:pStyle w:val="57"/>
        <w:snapToGrid w:val="0"/>
        <w:spacing w:before="156" w:beforeLines="50" w:after="156" w:afterLines="50" w:line="240" w:lineRule="auto"/>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4.5.6.</w:t>
      </w:r>
      <w:r>
        <w:rPr>
          <w:rFonts w:hint="eastAsia" w:ascii="黑体" w:hAnsi="黑体" w:eastAsia="黑体" w:cs="黑体"/>
          <w:color w:val="000000" w:themeColor="text1"/>
          <w:kern w:val="2"/>
          <w:szCs w:val="21"/>
          <w:lang w:val="en-US" w:eastAsia="zh-CN"/>
          <w14:textFill>
            <w14:solidFill>
              <w14:schemeClr w14:val="tx1"/>
            </w14:solidFill>
          </w14:textFill>
        </w:rPr>
        <w:t>2</w:t>
      </w:r>
      <w:r>
        <w:rPr>
          <w:rFonts w:hint="eastAsia" w:ascii="黑体" w:hAnsi="黑体" w:eastAsia="黑体" w:cs="黑体"/>
          <w:color w:val="000000" w:themeColor="text1"/>
          <w:kern w:val="2"/>
          <w:szCs w:val="21"/>
          <w14:textFill>
            <w14:solidFill>
              <w14:schemeClr w14:val="tx1"/>
            </w14:solidFill>
          </w14:textFill>
        </w:rPr>
        <w:t xml:space="preserve"> 空白试液的测定</w:t>
      </w:r>
    </w:p>
    <w:p w14:paraId="17BAC866">
      <w:pPr>
        <w:pStyle w:val="57"/>
        <w:snapToGrid w:val="0"/>
        <w:spacing w:line="240" w:lineRule="auto"/>
        <w:ind w:firstLine="420" w:firstLineChars="200"/>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在</w:t>
      </w:r>
      <w:r>
        <w:rPr>
          <w:rFonts w:hint="eastAsia"/>
          <w:color w:val="000000" w:themeColor="text1"/>
          <w:szCs w:val="21"/>
          <w14:textFill>
            <w14:solidFill>
              <w14:schemeClr w14:val="tx1"/>
            </w14:solidFill>
          </w14:textFill>
        </w:rPr>
        <w:t>工作曲线（4.5.6.</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符合测定的要求后，</w:t>
      </w:r>
      <w:r>
        <w:rPr>
          <w:rFonts w:hint="eastAsia"/>
          <w:color w:val="000000" w:themeColor="text1"/>
          <w:szCs w:val="21"/>
          <w14:textFill>
            <w14:solidFill>
              <w14:schemeClr w14:val="tx1"/>
            </w14:solidFill>
          </w14:textFill>
        </w:rPr>
        <w:t>将空白</w:t>
      </w:r>
      <w:r>
        <w:rPr>
          <w:rFonts w:hint="eastAsia"/>
          <w:color w:val="000000" w:themeColor="text1"/>
          <w:szCs w:val="21"/>
          <w:lang w:val="en-US" w:eastAsia="zh-CN"/>
          <w14:textFill>
            <w14:solidFill>
              <w14:schemeClr w14:val="tx1"/>
            </w14:solidFill>
          </w14:textFill>
        </w:rPr>
        <w:t>试验</w:t>
      </w:r>
      <w:r>
        <w:rPr>
          <w:rFonts w:hint="eastAsia"/>
          <w:color w:val="000000" w:themeColor="text1"/>
          <w:szCs w:val="21"/>
          <w14:textFill>
            <w14:solidFill>
              <w14:schemeClr w14:val="tx1"/>
            </w14:solidFill>
          </w14:textFill>
        </w:rPr>
        <w:t>（4.5.3）用选定的分析谱线进行氩等离子体光谱测定。仪器根据工作曲线</w:t>
      </w:r>
      <w:r>
        <w:rPr>
          <w:color w:val="000000" w:themeColor="text1"/>
          <w:szCs w:val="21"/>
          <w14:textFill>
            <w14:solidFill>
              <w14:schemeClr w14:val="tx1"/>
            </w14:solidFill>
          </w14:textFill>
        </w:rPr>
        <w:t>，自动进行数据处理，计算并输出</w:t>
      </w:r>
      <w:r>
        <w:rPr>
          <w:rFonts w:hint="eastAsia"/>
          <w:color w:val="000000" w:themeColor="text1"/>
          <w:szCs w:val="21"/>
          <w14:textFill>
            <w14:solidFill>
              <w14:schemeClr w14:val="tx1"/>
            </w14:solidFill>
          </w14:textFill>
        </w:rPr>
        <w:t>空白试液中待测</w:t>
      </w:r>
      <w:r>
        <w:rPr>
          <w:color w:val="000000" w:themeColor="text1"/>
          <w:szCs w:val="21"/>
          <w14:textFill>
            <w14:solidFill>
              <w14:schemeClr w14:val="tx1"/>
            </w14:solidFill>
          </w14:textFill>
        </w:rPr>
        <w:t>元素</w:t>
      </w:r>
      <w:r>
        <w:rPr>
          <w:rFonts w:hint="eastAsia"/>
          <w:color w:val="000000" w:themeColor="text1"/>
          <w:szCs w:val="21"/>
          <w14:textFill>
            <w14:solidFill>
              <w14:schemeClr w14:val="tx1"/>
            </w14:solidFill>
          </w14:textFill>
        </w:rPr>
        <w:t>的质量浓度</w:t>
      </w:r>
      <w:r>
        <w:rPr>
          <w:color w:val="000000" w:themeColor="text1"/>
          <w:szCs w:val="21"/>
          <w14:textFill>
            <w14:solidFill>
              <w14:schemeClr w14:val="tx1"/>
            </w14:solidFill>
          </w14:textFill>
        </w:rPr>
        <w:t>。</w:t>
      </w:r>
    </w:p>
    <w:p w14:paraId="716A53D3">
      <w:pPr>
        <w:pStyle w:val="57"/>
        <w:snapToGrid w:val="0"/>
        <w:spacing w:before="156" w:beforeLines="50" w:after="156" w:afterLines="50" w:line="240" w:lineRule="auto"/>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4.5.6.</w:t>
      </w:r>
      <w:r>
        <w:rPr>
          <w:rFonts w:hint="eastAsia" w:ascii="黑体" w:hAnsi="黑体" w:eastAsia="黑体" w:cs="黑体"/>
          <w:color w:val="000000" w:themeColor="text1"/>
          <w:kern w:val="2"/>
          <w:szCs w:val="21"/>
          <w:lang w:val="en-US" w:eastAsia="zh-CN"/>
          <w14:textFill>
            <w14:solidFill>
              <w14:schemeClr w14:val="tx1"/>
            </w14:solidFill>
          </w14:textFill>
        </w:rPr>
        <w:t>3</w:t>
      </w:r>
      <w:r>
        <w:rPr>
          <w:rFonts w:hint="eastAsia" w:ascii="黑体" w:hAnsi="黑体" w:eastAsia="黑体" w:cs="黑体"/>
          <w:color w:val="000000" w:themeColor="text1"/>
          <w:kern w:val="2"/>
          <w:szCs w:val="21"/>
          <w14:textFill>
            <w14:solidFill>
              <w14:schemeClr w14:val="tx1"/>
            </w14:solidFill>
          </w14:textFill>
        </w:rPr>
        <w:t xml:space="preserve"> 分析试液的测定</w:t>
      </w:r>
    </w:p>
    <w:p w14:paraId="12E14685">
      <w:pPr>
        <w:pStyle w:val="57"/>
        <w:snapToGrid w:val="0"/>
        <w:spacing w:line="240" w:lineRule="auto"/>
        <w:ind w:firstLine="420" w:firstLineChars="200"/>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在</w:t>
      </w:r>
      <w:r>
        <w:rPr>
          <w:rFonts w:hint="eastAsia"/>
          <w:color w:val="000000" w:themeColor="text1"/>
          <w:szCs w:val="21"/>
          <w14:textFill>
            <w14:solidFill>
              <w14:schemeClr w14:val="tx1"/>
            </w14:solidFill>
          </w14:textFill>
        </w:rPr>
        <w:t>工作曲线（4.5.6.</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符合测定的要求后，</w:t>
      </w:r>
      <w:r>
        <w:rPr>
          <w:rFonts w:hint="eastAsia"/>
          <w:color w:val="000000" w:themeColor="text1"/>
          <w:szCs w:val="21"/>
          <w14:textFill>
            <w14:solidFill>
              <w14:schemeClr w14:val="tx1"/>
            </w14:solidFill>
          </w14:textFill>
        </w:rPr>
        <w:t>将分析试液（4.5.4.2）用选定的分析谱线进行氩等离子体光谱测定。仪器根据工作曲线</w:t>
      </w:r>
      <w:r>
        <w:rPr>
          <w:color w:val="000000" w:themeColor="text1"/>
          <w:szCs w:val="21"/>
          <w14:textFill>
            <w14:solidFill>
              <w14:schemeClr w14:val="tx1"/>
            </w14:solidFill>
          </w14:textFill>
        </w:rPr>
        <w:t>，自动进行数据处理，计算并输出</w:t>
      </w:r>
      <w:r>
        <w:rPr>
          <w:rFonts w:hint="eastAsia"/>
          <w:color w:val="000000" w:themeColor="text1"/>
          <w:szCs w:val="21"/>
          <w14:textFill>
            <w14:solidFill>
              <w14:schemeClr w14:val="tx1"/>
            </w14:solidFill>
          </w14:textFill>
        </w:rPr>
        <w:t>分析试液中待测</w:t>
      </w:r>
      <w:r>
        <w:rPr>
          <w:color w:val="000000" w:themeColor="text1"/>
          <w:szCs w:val="21"/>
          <w14:textFill>
            <w14:solidFill>
              <w14:schemeClr w14:val="tx1"/>
            </w14:solidFill>
          </w14:textFill>
        </w:rPr>
        <w:t>元素</w:t>
      </w:r>
      <w:r>
        <w:rPr>
          <w:rFonts w:hint="eastAsia"/>
          <w:color w:val="000000" w:themeColor="text1"/>
          <w:szCs w:val="21"/>
          <w14:textFill>
            <w14:solidFill>
              <w14:schemeClr w14:val="tx1"/>
            </w14:solidFill>
          </w14:textFill>
        </w:rPr>
        <w:t>的质量浓度</w:t>
      </w:r>
      <w:r>
        <w:rPr>
          <w:color w:val="000000" w:themeColor="text1"/>
          <w:szCs w:val="21"/>
          <w14:textFill>
            <w14:solidFill>
              <w14:schemeClr w14:val="tx1"/>
            </w14:solidFill>
          </w14:textFill>
        </w:rPr>
        <w:t>。</w:t>
      </w:r>
    </w:p>
    <w:p w14:paraId="50A3A0B9">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4.6</w:t>
      </w:r>
      <w:r>
        <w:rPr>
          <w:rFonts w:hint="eastAsia" w:ascii="Times New Roman"/>
          <w:color w:val="000000" w:themeColor="text1"/>
          <w14:textFill>
            <w14:solidFill>
              <w14:schemeClr w14:val="tx1"/>
            </w14:solidFill>
          </w14:textFill>
        </w:rPr>
        <w:t xml:space="preserve"> 试验数据处理</w:t>
      </w:r>
    </w:p>
    <w:p w14:paraId="2658AE6C">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钼或钨的</w:t>
      </w:r>
      <w:r>
        <w:rPr>
          <w:rFonts w:hint="eastAsia"/>
          <w:color w:val="000000" w:themeColor="text1"/>
          <w:szCs w:val="21"/>
          <w14:textFill>
            <w14:solidFill>
              <w14:schemeClr w14:val="tx1"/>
            </w14:solidFill>
          </w14:textFill>
        </w:rPr>
        <w:t>含量</w:t>
      </w:r>
      <w:r>
        <w:rPr>
          <w:rFonts w:hint="eastAsia"/>
          <w:color w:val="000000" w:themeColor="text1"/>
          <w:szCs w:val="21"/>
          <w:lang w:val="en-US" w:eastAsia="zh-CN"/>
          <w14:textFill>
            <w14:solidFill>
              <w14:schemeClr w14:val="tx1"/>
            </w14:solidFill>
          </w14:textFill>
        </w:rPr>
        <w:t>以</w:t>
      </w:r>
      <w:r>
        <w:rPr>
          <w:rFonts w:hint="eastAsia"/>
          <w:color w:val="000000" w:themeColor="text1"/>
          <w:szCs w:val="21"/>
          <w14:textFill>
            <w14:solidFill>
              <w14:schemeClr w14:val="tx1"/>
            </w14:solidFill>
          </w14:textFill>
        </w:rPr>
        <w:t>质量分数</w:t>
      </w:r>
      <w:r>
        <w:rPr>
          <w:rFonts w:hint="eastAsia" w:eastAsia="微软雅黑"/>
          <w:i/>
          <w:iCs/>
          <w:color w:val="000000" w:themeColor="text1"/>
          <w:szCs w:val="21"/>
          <w:lang w:eastAsia="zh-CN"/>
          <w14:textFill>
            <w14:solidFill>
              <w14:schemeClr w14:val="tx1"/>
            </w14:solidFill>
          </w14:textFill>
        </w:rPr>
        <w:t>w</w:t>
      </w:r>
      <w:r>
        <w:rPr>
          <w:rFonts w:hint="eastAsia"/>
          <w:color w:val="000000" w:themeColor="text1"/>
          <w:szCs w:val="21"/>
          <w14:textFill>
            <w14:solidFill>
              <w14:schemeClr w14:val="tx1"/>
            </w14:solidFill>
          </w14:textFill>
        </w:rPr>
        <w:t>（</w:t>
      </w:r>
      <w:r>
        <w:rPr>
          <w:rFonts w:hint="eastAsia" w:eastAsia="微软雅黑"/>
          <w:b w:val="0"/>
          <w:bCs w:val="0"/>
          <w:i/>
          <w:iCs/>
          <w:color w:val="000000" w:themeColor="text1"/>
          <w:szCs w:val="21"/>
          <w:lang w:val="en-US" w:eastAsia="zh-CN"/>
          <w14:textFill>
            <w14:solidFill>
              <w14:schemeClr w14:val="tx1"/>
            </w14:solidFill>
          </w14:textFill>
        </w:rPr>
        <w:t>i</w:t>
      </w:r>
      <w:r>
        <w:rPr>
          <w:rFonts w:hint="eastAsia"/>
          <w:color w:val="000000" w:themeColor="text1"/>
          <w:szCs w:val="21"/>
          <w14:textFill>
            <w14:solidFill>
              <w14:schemeClr w14:val="tx1"/>
            </w14:solidFill>
          </w14:textFill>
        </w:rPr>
        <w:t>）计，按公式（1）计算：</w:t>
      </w:r>
    </w:p>
    <w:p w14:paraId="522EF084">
      <w:pPr>
        <w:jc w:val="right"/>
        <w:rPr>
          <w:color w:val="000000" w:themeColor="text1"/>
          <w:szCs w:val="21"/>
          <w14:textFill>
            <w14:solidFill>
              <w14:schemeClr w14:val="tx1"/>
            </w14:solidFill>
          </w14:textFill>
        </w:rPr>
      </w:pPr>
      <w:r>
        <w:rPr>
          <w:rFonts w:hint="eastAsia"/>
          <w:color w:val="000000" w:themeColor="text1"/>
          <w:position w:val="-30"/>
          <w:sz w:val="18"/>
          <w14:textFill>
            <w14:solidFill>
              <w14:schemeClr w14:val="tx1"/>
            </w14:solidFill>
          </w14:textFill>
        </w:rPr>
        <w:object>
          <v:shape id="_x0000_i1025" o:spt="75" type="#_x0000_t75" style="height:29.15pt;width:155.75pt;" o:ole="t" filled="f" o:preferrelative="t" stroked="f" coordsize="21600,21600">
            <v:path/>
            <v:fill on="f" focussize="0,0"/>
            <v:stroke on="f"/>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color w:val="000000" w:themeColor="text1"/>
          <w:szCs w:val="21"/>
          <w14:textFill>
            <w14:solidFill>
              <w14:schemeClr w14:val="tx1"/>
            </w14:solidFill>
          </w14:textFill>
        </w:rPr>
        <w:t>………………………………（1）</w:t>
      </w:r>
    </w:p>
    <w:p w14:paraId="4F4E125D">
      <w:pPr>
        <w:spacing w:line="400" w:lineRule="exact"/>
        <w:ind w:firstLine="420" w:firstLineChars="200"/>
        <w:rPr>
          <w:i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式中：</w:t>
      </w:r>
    </w:p>
    <w:p w14:paraId="4A6F567D">
      <w:pPr>
        <w:ind w:firstLine="420" w:firstLineChars="200"/>
        <w:jc w:val="left"/>
        <w:rPr>
          <w:color w:val="000000" w:themeColor="text1"/>
          <w:szCs w:val="21"/>
          <w14:textFill>
            <w14:solidFill>
              <w14:schemeClr w14:val="tx1"/>
            </w14:solidFill>
          </w14:textFill>
        </w:rPr>
      </w:pPr>
      <w:r>
        <w:rPr>
          <w:i/>
          <w:color w:val="000000" w:themeColor="text1"/>
          <w:szCs w:val="21"/>
          <w14:textFill>
            <w14:solidFill>
              <w14:schemeClr w14:val="tx1"/>
            </w14:solidFill>
          </w14:textFill>
        </w:rPr>
        <w:t>ρ</w:t>
      </w:r>
      <w:r>
        <w:rPr>
          <w:rFonts w:hint="eastAsia"/>
          <w:i/>
          <w:color w:val="000000" w:themeColor="text1"/>
          <w:szCs w:val="21"/>
          <w:vertAlign w:val="subscript"/>
          <w:lang w:val="en-US" w:eastAsia="zh-CN"/>
          <w14:textFill>
            <w14:solidFill>
              <w14:schemeClr w14:val="tx1"/>
            </w14:solidFill>
          </w14:textFill>
        </w:rPr>
        <w:t>i</w:t>
      </w:r>
      <w:r>
        <w:rPr>
          <w:rFonts w:hint="eastAsia"/>
          <w:i w:val="0"/>
          <w:iCs/>
          <w:color w:val="000000" w:themeColor="text1"/>
          <w:szCs w:val="21"/>
          <w:vertAlign w:val="subscript"/>
          <w:lang w:val="en-US" w:eastAsia="zh-CN"/>
          <w14:textFill>
            <w14:solidFill>
              <w14:schemeClr w14:val="tx1"/>
            </w14:solidFill>
          </w14:textFill>
        </w:rPr>
        <w:t>1</w:t>
      </w:r>
      <w:r>
        <w:rPr>
          <w:rFonts w:hint="eastAsia"/>
          <w:i/>
          <w:color w:val="000000" w:themeColor="text1"/>
          <w:szCs w:val="21"/>
          <w:vertAlign w:val="subscript"/>
          <w14:textFill>
            <w14:solidFill>
              <w14:schemeClr w14:val="tx1"/>
            </w14:solidFill>
          </w14:textFill>
        </w:rPr>
        <w:t xml:space="preserve"> </w:t>
      </w:r>
      <w:r>
        <w:rPr>
          <w:rFonts w:hint="eastAsia"/>
          <w:i/>
          <w:color w:val="000000" w:themeColor="text1"/>
          <w:szCs w:val="21"/>
          <w14:textFill>
            <w14:solidFill>
              <w14:schemeClr w14:val="tx1"/>
            </w14:solidFill>
          </w14:textFill>
        </w:rPr>
        <w:t xml:space="preserve">—— </w:t>
      </w:r>
      <w:r>
        <w:rPr>
          <w:rFonts w:hint="eastAsia"/>
          <w:iCs/>
          <w:color w:val="000000" w:themeColor="text1"/>
          <w:szCs w:val="21"/>
          <w14:textFill>
            <w14:solidFill>
              <w14:schemeClr w14:val="tx1"/>
            </w14:solidFill>
          </w14:textFill>
        </w:rPr>
        <w:t>自工作曲线上查得的或计算机输出的分析试液（</w:t>
      </w:r>
      <w:r>
        <w:rPr>
          <w:rFonts w:hint="eastAsia"/>
          <w:color w:val="000000" w:themeColor="text1"/>
          <w:szCs w:val="21"/>
          <w14:textFill>
            <w14:solidFill>
              <w14:schemeClr w14:val="tx1"/>
            </w14:solidFill>
          </w14:textFill>
        </w:rPr>
        <w:t>4.5.4.2）中待测元素的质量浓度，单位为微克每毫升</w:t>
      </w:r>
      <w:r>
        <w:rPr>
          <w:color w:val="000000" w:themeColor="text1"/>
          <w:szCs w:val="21"/>
          <w14:textFill>
            <w14:solidFill>
              <w14:schemeClr w14:val="tx1"/>
            </w14:solidFill>
          </w14:textFill>
        </w:rPr>
        <w:t>（</w:t>
      </w:r>
      <w:r>
        <w:rPr>
          <w:rFonts w:hint="eastAsia"/>
          <w:b w:val="0"/>
          <w:i w:val="0"/>
          <w:iCs w:val="0"/>
          <w:color w:val="000000" w:themeColor="text1"/>
          <w:szCs w:val="21"/>
          <w:lang w:eastAsia="zh-CN"/>
          <w14:textFill>
            <w14:solidFill>
              <w14:schemeClr w14:val="tx1"/>
            </w14:solidFill>
          </w14:textFill>
        </w:rPr>
        <w:t>µ</w:t>
      </w:r>
      <w:r>
        <w:rPr>
          <w:color w:val="000000" w:themeColor="text1"/>
          <w:szCs w:val="21"/>
          <w14:textFill>
            <w14:solidFill>
              <w14:schemeClr w14:val="tx1"/>
            </w14:solidFill>
          </w14:textFill>
        </w:rPr>
        <w:t>g/mL）</w:t>
      </w:r>
      <w:r>
        <w:rPr>
          <w:rFonts w:hint="eastAsia"/>
          <w:color w:val="000000" w:themeColor="text1"/>
          <w:szCs w:val="21"/>
          <w14:textFill>
            <w14:solidFill>
              <w14:schemeClr w14:val="tx1"/>
            </w14:solidFill>
          </w14:textFill>
        </w:rPr>
        <w:t>；</w:t>
      </w:r>
    </w:p>
    <w:p w14:paraId="1412C9CF">
      <w:pPr>
        <w:ind w:firstLine="420" w:firstLineChars="200"/>
        <w:jc w:val="left"/>
        <w:rPr>
          <w:color w:val="000000" w:themeColor="text1"/>
          <w:szCs w:val="21"/>
          <w14:textFill>
            <w14:solidFill>
              <w14:schemeClr w14:val="tx1"/>
            </w14:solidFill>
          </w14:textFill>
        </w:rPr>
      </w:pPr>
      <w:r>
        <w:rPr>
          <w:i/>
          <w:color w:val="000000" w:themeColor="text1"/>
          <w:szCs w:val="21"/>
          <w14:textFill>
            <w14:solidFill>
              <w14:schemeClr w14:val="tx1"/>
            </w14:solidFill>
          </w14:textFill>
        </w:rPr>
        <w:t>ρ</w:t>
      </w:r>
      <w:r>
        <w:rPr>
          <w:rFonts w:hint="eastAsia"/>
          <w:i/>
          <w:color w:val="000000" w:themeColor="text1"/>
          <w:szCs w:val="21"/>
          <w:vertAlign w:val="subscript"/>
          <w:lang w:val="en-US" w:eastAsia="zh-CN"/>
          <w14:textFill>
            <w14:solidFill>
              <w14:schemeClr w14:val="tx1"/>
            </w14:solidFill>
          </w14:textFill>
        </w:rPr>
        <w:t>i</w:t>
      </w:r>
      <w:r>
        <w:rPr>
          <w:i w:val="0"/>
          <w:iCs/>
          <w:color w:val="000000" w:themeColor="text1"/>
          <w:szCs w:val="21"/>
          <w:vertAlign w:val="subscript"/>
          <w14:textFill>
            <w14:solidFill>
              <w14:schemeClr w14:val="tx1"/>
            </w14:solidFill>
          </w14:textFill>
        </w:rPr>
        <w:t>0</w:t>
      </w:r>
      <w:r>
        <w:rPr>
          <w:rFonts w:hint="eastAsia"/>
          <w:i/>
          <w:color w:val="000000" w:themeColor="text1"/>
          <w:szCs w:val="21"/>
          <w:vertAlign w:val="subscript"/>
          <w14:textFill>
            <w14:solidFill>
              <w14:schemeClr w14:val="tx1"/>
            </w14:solidFill>
          </w14:textFill>
        </w:rPr>
        <w:t xml:space="preserve"> </w:t>
      </w:r>
      <w:r>
        <w:rPr>
          <w:rFonts w:hint="eastAsia"/>
          <w:i/>
          <w:color w:val="000000" w:themeColor="text1"/>
          <w:szCs w:val="21"/>
          <w14:textFill>
            <w14:solidFill>
              <w14:schemeClr w14:val="tx1"/>
            </w14:solidFill>
          </w14:textFill>
        </w:rPr>
        <w:t xml:space="preserve">—— </w:t>
      </w:r>
      <w:r>
        <w:rPr>
          <w:rFonts w:hint="eastAsia"/>
          <w:iCs/>
          <w:color w:val="000000" w:themeColor="text1"/>
          <w:szCs w:val="21"/>
          <w14:textFill>
            <w14:solidFill>
              <w14:schemeClr w14:val="tx1"/>
            </w14:solidFill>
          </w14:textFill>
        </w:rPr>
        <w:t>自工作曲线上查得的或计算机输出的</w:t>
      </w:r>
      <w:r>
        <w:rPr>
          <w:rFonts w:hint="eastAsia"/>
          <w:color w:val="000000" w:themeColor="text1"/>
          <w:szCs w:val="21"/>
          <w14:textFill>
            <w14:solidFill>
              <w14:schemeClr w14:val="tx1"/>
            </w14:solidFill>
          </w14:textFill>
        </w:rPr>
        <w:t>空白试</w:t>
      </w:r>
      <w:r>
        <w:rPr>
          <w:rFonts w:hint="eastAsia"/>
          <w:color w:val="000000" w:themeColor="text1"/>
          <w:szCs w:val="21"/>
          <w:lang w:val="en-US" w:eastAsia="zh-CN"/>
          <w14:textFill>
            <w14:solidFill>
              <w14:schemeClr w14:val="tx1"/>
            </w14:solidFill>
          </w14:textFill>
        </w:rPr>
        <w:t>验</w:t>
      </w:r>
      <w:r>
        <w:rPr>
          <w:rFonts w:hint="eastAsia"/>
          <w:color w:val="000000" w:themeColor="text1"/>
          <w:szCs w:val="21"/>
          <w14:textFill>
            <w14:solidFill>
              <w14:schemeClr w14:val="tx1"/>
            </w14:solidFill>
          </w14:textFill>
        </w:rPr>
        <w:t>（4.5.3）溶液中待测元素的质量浓度，单位</w:t>
      </w:r>
      <w:r>
        <w:rPr>
          <w:rFonts w:hint="eastAsia"/>
          <w:color w:val="000000" w:themeColor="text1"/>
          <w:szCs w:val="21"/>
          <w:lang w:eastAsia="zh-CN"/>
          <w14:textFill>
            <w14:solidFill>
              <w14:schemeClr w14:val="tx1"/>
            </w14:solidFill>
          </w14:textFill>
        </w:rPr>
        <w:t>为</w:t>
      </w:r>
      <w:r>
        <w:rPr>
          <w:rFonts w:hint="eastAsia"/>
          <w:color w:val="000000" w:themeColor="text1"/>
          <w:szCs w:val="21"/>
          <w14:textFill>
            <w14:solidFill>
              <w14:schemeClr w14:val="tx1"/>
            </w14:solidFill>
          </w14:textFill>
        </w:rPr>
        <w:t>微克每毫升</w:t>
      </w:r>
      <w:r>
        <w:rPr>
          <w:color w:val="000000" w:themeColor="text1"/>
          <w:szCs w:val="21"/>
          <w14:textFill>
            <w14:solidFill>
              <w14:schemeClr w14:val="tx1"/>
            </w14:solidFill>
          </w14:textFill>
        </w:rPr>
        <w:t>（</w:t>
      </w:r>
      <w:r>
        <w:rPr>
          <w:rFonts w:hint="eastAsia"/>
          <w:b w:val="0"/>
          <w:i w:val="0"/>
          <w:iCs w:val="0"/>
          <w:color w:val="000000" w:themeColor="text1"/>
          <w:szCs w:val="21"/>
          <w:lang w:eastAsia="zh-CN"/>
          <w14:textFill>
            <w14:solidFill>
              <w14:schemeClr w14:val="tx1"/>
            </w14:solidFill>
          </w14:textFill>
        </w:rPr>
        <w:t>µ</w:t>
      </w:r>
      <w:r>
        <w:rPr>
          <w:color w:val="000000" w:themeColor="text1"/>
          <w:szCs w:val="21"/>
          <w14:textFill>
            <w14:solidFill>
              <w14:schemeClr w14:val="tx1"/>
            </w14:solidFill>
          </w14:textFill>
        </w:rPr>
        <w:t>g/mL）</w:t>
      </w:r>
      <w:r>
        <w:rPr>
          <w:rFonts w:hint="eastAsia"/>
          <w:color w:val="000000" w:themeColor="text1"/>
          <w:szCs w:val="21"/>
          <w14:textFill>
            <w14:solidFill>
              <w14:schemeClr w14:val="tx1"/>
            </w14:solidFill>
          </w14:textFill>
        </w:rPr>
        <w:t>；</w:t>
      </w:r>
    </w:p>
    <w:p w14:paraId="27C9A273">
      <w:pPr>
        <w:ind w:firstLine="420" w:firstLineChars="200"/>
        <w:jc w:val="left"/>
        <w:rPr>
          <w:color w:val="000000" w:themeColor="text1"/>
          <w:szCs w:val="21"/>
          <w14:textFill>
            <w14:solidFill>
              <w14:schemeClr w14:val="tx1"/>
            </w14:solidFill>
          </w14:textFill>
        </w:rPr>
      </w:pPr>
      <w:r>
        <w:rPr>
          <w:rFonts w:hint="eastAsia"/>
          <w:i/>
          <w:color w:val="000000" w:themeColor="text1"/>
          <w:szCs w:val="21"/>
          <w14:textFill>
            <w14:solidFill>
              <w14:schemeClr w14:val="tx1"/>
            </w14:solidFill>
          </w14:textFill>
        </w:rPr>
        <w:t>V</w:t>
      </w:r>
      <w:r>
        <w:rPr>
          <w:rFonts w:hint="eastAsia"/>
          <w:color w:val="000000" w:themeColor="text1"/>
          <w:szCs w:val="21"/>
          <w:vertAlign w:val="subscript"/>
          <w14:textFill>
            <w14:solidFill>
              <w14:schemeClr w14:val="tx1"/>
            </w14:solidFill>
          </w14:textFill>
        </w:rPr>
        <w:t xml:space="preserve">0 </w:t>
      </w:r>
      <w:r>
        <w:rPr>
          <w:rFonts w:hint="eastAsia"/>
          <w:i/>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试液（4.5.4.1）的总体积，单位为毫升（mL）；</w:t>
      </w:r>
    </w:p>
    <w:p w14:paraId="7DD6D354">
      <w:pPr>
        <w:ind w:firstLine="420" w:firstLineChars="200"/>
        <w:jc w:val="left"/>
        <w:rPr>
          <w:color w:val="000000" w:themeColor="text1"/>
          <w:szCs w:val="21"/>
          <w14:textFill>
            <w14:solidFill>
              <w14:schemeClr w14:val="tx1"/>
            </w14:solidFill>
          </w14:textFill>
        </w:rPr>
      </w:pPr>
      <w:r>
        <w:rPr>
          <w:rFonts w:hint="eastAsia"/>
          <w:i/>
          <w:color w:val="000000" w:themeColor="text1"/>
          <w:szCs w:val="21"/>
          <w14:textFill>
            <w14:solidFill>
              <w14:schemeClr w14:val="tx1"/>
            </w14:solidFill>
          </w14:textFill>
        </w:rPr>
        <w:t>V</w:t>
      </w:r>
      <w:r>
        <w:rPr>
          <w:rFonts w:hint="eastAsia"/>
          <w:iCs/>
          <w:color w:val="000000" w:themeColor="text1"/>
          <w:szCs w:val="21"/>
          <w:vertAlign w:val="subscript"/>
          <w14:textFill>
            <w14:solidFill>
              <w14:schemeClr w14:val="tx1"/>
            </w14:solidFill>
          </w14:textFill>
        </w:rPr>
        <w:t>1</w:t>
      </w:r>
      <w:r>
        <w:rPr>
          <w:rFonts w:hint="eastAsia"/>
          <w:i/>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分析试液（4.5.4.2）的体积，单位为毫升（mL）；</w:t>
      </w:r>
    </w:p>
    <w:p w14:paraId="5AFE9EA3">
      <w:pPr>
        <w:ind w:firstLine="420" w:firstLineChars="200"/>
        <w:jc w:val="left"/>
        <w:rPr>
          <w:rFonts w:hint="eastAsia" w:eastAsia="宋体"/>
          <w:i/>
          <w:color w:val="000000" w:themeColor="text1"/>
          <w:szCs w:val="21"/>
          <w:lang w:eastAsia="zh-CN"/>
          <w14:textFill>
            <w14:solidFill>
              <w14:schemeClr w14:val="tx1"/>
            </w14:solidFill>
          </w14:textFill>
        </w:rPr>
      </w:pPr>
      <w:r>
        <w:rPr>
          <w:i/>
          <w:iCs w:val="0"/>
          <w:color w:val="000000" w:themeColor="text1"/>
          <w:szCs w:val="21"/>
          <w14:textFill>
            <w14:solidFill>
              <w14:schemeClr w14:val="tx1"/>
            </w14:solidFill>
          </w14:textFill>
        </w:rPr>
        <w:t>m</w:t>
      </w:r>
      <w:r>
        <w:rPr>
          <w:i w:val="0"/>
          <w:iCs/>
          <w:color w:val="000000" w:themeColor="text1"/>
          <w:szCs w:val="21"/>
          <w:vertAlign w:val="subscript"/>
          <w14:textFill>
            <w14:solidFill>
              <w14:schemeClr w14:val="tx1"/>
            </w14:solidFill>
          </w14:textFill>
        </w:rPr>
        <w:t>1</w:t>
      </w:r>
      <w:r>
        <w:rPr>
          <w:rFonts w:hint="eastAsia"/>
          <w:color w:val="000000" w:themeColor="text1"/>
          <w:szCs w:val="21"/>
          <w:vertAlign w:val="subscript"/>
          <w14:textFill>
            <w14:solidFill>
              <w14:schemeClr w14:val="tx1"/>
            </w14:solidFill>
          </w14:textFill>
        </w:rPr>
        <w:t xml:space="preserve"> </w:t>
      </w:r>
      <w:r>
        <w:rPr>
          <w:rFonts w:hint="eastAsia"/>
          <w:i/>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试料（4.5.1）的质量，单位为克（g）</w:t>
      </w:r>
      <w:r>
        <w:rPr>
          <w:rFonts w:hint="eastAsia"/>
          <w:color w:val="000000" w:themeColor="text1"/>
          <w:szCs w:val="21"/>
          <w:lang w:eastAsia="zh-CN"/>
          <w14:textFill>
            <w14:solidFill>
              <w14:schemeClr w14:val="tx1"/>
            </w14:solidFill>
          </w14:textFill>
        </w:rPr>
        <w:t>；</w:t>
      </w:r>
    </w:p>
    <w:p w14:paraId="0CAADDF1">
      <w:pPr>
        <w:ind w:firstLine="420" w:firstLineChars="200"/>
        <w:jc w:val="left"/>
        <w:rPr>
          <w:color w:val="000000" w:themeColor="text1"/>
          <w14:textFill>
            <w14:solidFill>
              <w14:schemeClr w14:val="tx1"/>
            </w14:solidFill>
          </w14:textFill>
        </w:rPr>
      </w:pPr>
      <w:r>
        <w:rPr>
          <w:rFonts w:hint="eastAsia"/>
          <w:i/>
          <w:color w:val="000000" w:themeColor="text1"/>
          <w:szCs w:val="21"/>
          <w14:textFill>
            <w14:solidFill>
              <w14:schemeClr w14:val="tx1"/>
            </w14:solidFill>
          </w14:textFill>
        </w:rPr>
        <w:t>V</w:t>
      </w:r>
      <w:r>
        <w:rPr>
          <w:rFonts w:hint="eastAsia"/>
          <w:i w:val="0"/>
          <w:iCs/>
          <w:color w:val="000000" w:themeColor="text1"/>
          <w:szCs w:val="21"/>
          <w:vertAlign w:val="subscript"/>
          <w14:textFill>
            <w14:solidFill>
              <w14:schemeClr w14:val="tx1"/>
            </w14:solidFill>
          </w14:textFill>
        </w:rPr>
        <w:t>2</w:t>
      </w:r>
      <w:r>
        <w:rPr>
          <w:rFonts w:hint="eastAsia"/>
          <w:i/>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分取试液（4.5.4.1）的体积，单位为毫升（mL）。</w:t>
      </w:r>
    </w:p>
    <w:p w14:paraId="34ED2C74">
      <w:pPr>
        <w:snapToGrid w:val="0"/>
        <w:ind w:firstLine="420" w:firstLineChars="200"/>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两次平行测定结果的绝对差值不大于表2中相应重复性限时，取其平均值作为测定结果，所得结果保留两位有效数字，数值修约按照GB/T 8170规定执行。</w:t>
      </w:r>
    </w:p>
    <w:bookmarkEnd w:id="1"/>
    <w:p w14:paraId="60E71040">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4.7 </w:t>
      </w:r>
      <w:r>
        <w:rPr>
          <w:rFonts w:hint="eastAsia" w:ascii="Times New Roman"/>
          <w:color w:val="000000" w:themeColor="text1"/>
          <w14:textFill>
            <w14:solidFill>
              <w14:schemeClr w14:val="tx1"/>
            </w14:solidFill>
          </w14:textFill>
        </w:rPr>
        <w:t>精密度</w:t>
      </w:r>
    </w:p>
    <w:p w14:paraId="529236D0">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4.7.</w:t>
      </w:r>
      <w:r>
        <w:rPr>
          <w:rFonts w:hint="eastAsia" w:hAnsi="黑体" w:cs="黑体"/>
          <w:color w:val="000000" w:themeColor="text1"/>
          <w:kern w:val="2"/>
          <w:szCs w:val="21"/>
          <w:lang w:val="en-US" w:eastAsia="zh-CN"/>
          <w14:textFill>
            <w14:solidFill>
              <w14:schemeClr w14:val="tx1"/>
            </w14:solidFill>
          </w14:textFill>
        </w:rPr>
        <w:t>1</w:t>
      </w:r>
      <w:r>
        <w:rPr>
          <w:rFonts w:hint="eastAsia" w:hAnsi="黑体" w:cs="黑体"/>
          <w:color w:val="000000" w:themeColor="text1"/>
          <w:kern w:val="2"/>
          <w:szCs w:val="21"/>
          <w14:textFill>
            <w14:solidFill>
              <w14:schemeClr w14:val="tx1"/>
            </w14:solidFill>
          </w14:textFill>
        </w:rPr>
        <w:t xml:space="preserve"> </w:t>
      </w:r>
      <w:r>
        <w:rPr>
          <w:rFonts w:hint="eastAsia" w:ascii="Times New Roman"/>
          <w:color w:val="000000" w:themeColor="text1"/>
          <w14:textFill>
            <w14:solidFill>
              <w14:schemeClr w14:val="tx1"/>
            </w14:solidFill>
          </w14:textFill>
        </w:rPr>
        <w:t>重复性</w:t>
      </w:r>
    </w:p>
    <w:p w14:paraId="2EE2FF3E">
      <w:pPr>
        <w:pStyle w:val="43"/>
        <w:adjustRightInd w:val="0"/>
        <w:snapToGrid w:val="0"/>
        <w:ind w:firstLine="420"/>
        <w:rPr>
          <w:rFonts w:hint="default" w:ascii="Times New Roman" w:hAnsi="Times New Roman" w:cs="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精密度数据是在</w:t>
      </w:r>
      <w:r>
        <w:rPr>
          <w:rFonts w:hint="eastAsia" w:ascii="Times New Roman"/>
          <w:color w:val="000000" w:themeColor="text1"/>
          <w14:textFill>
            <w14:solidFill>
              <w14:schemeClr w14:val="tx1"/>
            </w14:solidFill>
          </w14:textFill>
        </w:rPr>
        <w:t>2025</w:t>
      </w:r>
      <w:r>
        <w:rPr>
          <w:rFonts w:ascii="Times New Roman"/>
          <w:color w:val="000000" w:themeColor="text1"/>
          <w14:textFill>
            <w14:solidFill>
              <w14:schemeClr w14:val="tx1"/>
            </w14:solidFill>
          </w14:textFill>
        </w:rPr>
        <w:t>年由</w:t>
      </w:r>
      <w:r>
        <w:rPr>
          <w:rFonts w:hint="eastAsia" w:ascii="Times New Roman"/>
          <w:color w:val="000000" w:themeColor="text1"/>
          <w14:textFill>
            <w14:solidFill>
              <w14:schemeClr w14:val="tx1"/>
            </w14:solidFill>
          </w14:textFill>
        </w:rPr>
        <w:t>7</w:t>
      </w:r>
      <w:r>
        <w:rPr>
          <w:rFonts w:ascii="Times New Roman"/>
          <w:color w:val="000000" w:themeColor="text1"/>
          <w14:textFill>
            <w14:solidFill>
              <w14:schemeClr w14:val="tx1"/>
            </w14:solidFill>
          </w14:textFill>
        </w:rPr>
        <w:t>家</w:t>
      </w:r>
      <w:r>
        <w:rPr>
          <w:rFonts w:hint="eastAsia" w:ascii="Times New Roman"/>
          <w:color w:val="000000" w:themeColor="text1"/>
          <w14:textFill>
            <w14:solidFill>
              <w14:schemeClr w14:val="tx1"/>
            </w14:solidFill>
          </w14:textFill>
        </w:rPr>
        <w:t>实验</w:t>
      </w:r>
      <w:r>
        <w:rPr>
          <w:rFonts w:ascii="Times New Roman"/>
          <w:color w:val="000000" w:themeColor="text1"/>
          <w14:textFill>
            <w14:solidFill>
              <w14:schemeClr w14:val="tx1"/>
            </w14:solidFill>
          </w14:textFill>
        </w:rPr>
        <w:t>室对</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个不同</w:t>
      </w:r>
      <w:r>
        <w:rPr>
          <w:rFonts w:hint="eastAsia" w:ascii="Times New Roman"/>
          <w:color w:val="000000" w:themeColor="text1"/>
          <w14:textFill>
            <w14:solidFill>
              <w14:schemeClr w14:val="tx1"/>
            </w14:solidFill>
          </w14:textFill>
        </w:rPr>
        <w:t>钼、钨含量</w:t>
      </w:r>
      <w:r>
        <w:rPr>
          <w:rFonts w:ascii="Times New Roman"/>
          <w:color w:val="000000" w:themeColor="text1"/>
          <w14:textFill>
            <w14:solidFill>
              <w14:schemeClr w14:val="tx1"/>
            </w14:solidFill>
          </w14:textFill>
        </w:rPr>
        <w:t>的水平样品进行共同试验确定的。每个实验室对每个水平的</w:t>
      </w:r>
      <w:r>
        <w:rPr>
          <w:rFonts w:hint="eastAsia" w:ascii="Times New Roman"/>
          <w:color w:val="000000" w:themeColor="text1"/>
          <w14:textFill>
            <w14:solidFill>
              <w14:schemeClr w14:val="tx1"/>
            </w14:solidFill>
          </w14:textFill>
        </w:rPr>
        <w:t>钼、钨</w:t>
      </w:r>
      <w:r>
        <w:rPr>
          <w:rFonts w:ascii="Times New Roman"/>
          <w:color w:val="000000" w:themeColor="text1"/>
          <w14:textFill>
            <w14:solidFill>
              <w14:schemeClr w14:val="tx1"/>
            </w14:solidFill>
          </w14:textFill>
        </w:rPr>
        <w:t>含量在重复性条件下独立测定</w:t>
      </w:r>
      <w:r>
        <w:rPr>
          <w:rFonts w:hint="eastAsia" w:ascii="Times New Roman"/>
          <w:color w:val="000000" w:themeColor="text1"/>
          <w14:textFill>
            <w14:solidFill>
              <w14:schemeClr w14:val="tx1"/>
            </w14:solidFill>
          </w14:textFill>
        </w:rPr>
        <w:t>11</w:t>
      </w:r>
      <w:r>
        <w:rPr>
          <w:rFonts w:ascii="Times New Roman"/>
          <w:color w:val="000000" w:themeColor="text1"/>
          <w14:textFill>
            <w14:solidFill>
              <w14:schemeClr w14:val="tx1"/>
            </w14:solidFill>
          </w14:textFill>
        </w:rPr>
        <w:t>次。</w:t>
      </w:r>
      <w:r>
        <w:rPr>
          <w:rFonts w:hint="default" w:ascii="Times New Roman" w:hAnsi="Times New Roman" w:cs="Times New Roman"/>
          <w:color w:val="000000" w:themeColor="text1"/>
          <w14:textFill>
            <w14:solidFill>
              <w14:schemeClr w14:val="tx1"/>
            </w14:solidFill>
          </w14:textFill>
        </w:rPr>
        <w:t>共同试验数据按GB/T 6379.2进行统计分析。在重复性条件下获得的两次独立测试结果的绝对差值不超过重复性限（</w:t>
      </w:r>
      <w:r>
        <w:rPr>
          <w:rFonts w:hint="default" w:ascii="Times New Roman" w:hAnsi="Times New Roman" w:cs="Times New Roman"/>
          <w:i/>
          <w:color w:val="000000" w:themeColor="text1"/>
          <w14:textFill>
            <w14:solidFill>
              <w14:schemeClr w14:val="tx1"/>
            </w14:solidFill>
          </w14:textFill>
        </w:rPr>
        <w:t>r</w:t>
      </w:r>
      <w:r>
        <w:rPr>
          <w:rFonts w:hint="default" w:ascii="Times New Roman" w:hAnsi="Times New Roman" w:cs="Times New Roman"/>
          <w:color w:val="000000" w:themeColor="text1"/>
          <w14:textFill>
            <w14:solidFill>
              <w14:schemeClr w14:val="tx1"/>
            </w14:solidFill>
          </w14:textFill>
        </w:rPr>
        <w:t>），超过重复性限（</w:t>
      </w:r>
      <w:r>
        <w:rPr>
          <w:rFonts w:hint="default" w:ascii="Times New Roman" w:hAnsi="Times New Roman" w:cs="Times New Roman"/>
          <w:i/>
          <w:color w:val="000000" w:themeColor="text1"/>
          <w14:textFill>
            <w14:solidFill>
              <w14:schemeClr w14:val="tx1"/>
            </w14:solidFill>
          </w14:textFill>
        </w:rPr>
        <w:t>r</w:t>
      </w:r>
      <w:r>
        <w:rPr>
          <w:rFonts w:hint="default" w:ascii="Times New Roman" w:hAnsi="Times New Roman" w:cs="Times New Roman"/>
          <w:color w:val="000000" w:themeColor="text1"/>
          <w14:textFill>
            <w14:solidFill>
              <w14:schemeClr w14:val="tx1"/>
            </w14:solidFill>
          </w14:textFill>
        </w:rPr>
        <w:t>）的情况不超过5 %，重复性限（</w:t>
      </w:r>
      <w:r>
        <w:rPr>
          <w:rFonts w:hint="default" w:ascii="Times New Roman" w:hAnsi="Times New Roman" w:cs="Times New Roman"/>
          <w:i/>
          <w:color w:val="000000" w:themeColor="text1"/>
          <w14:textFill>
            <w14:solidFill>
              <w14:schemeClr w14:val="tx1"/>
            </w14:solidFill>
          </w14:textFill>
        </w:rPr>
        <w:t>r</w:t>
      </w:r>
      <w:r>
        <w:rPr>
          <w:rFonts w:hint="default" w:ascii="Times New Roman" w:hAnsi="Times New Roman" w:cs="Times New Roman"/>
          <w:color w:val="000000" w:themeColor="text1"/>
          <w14:textFill>
            <w14:solidFill>
              <w14:schemeClr w14:val="tx1"/>
            </w14:solidFill>
          </w14:textFill>
        </w:rPr>
        <w:t>）按表2数据采用线性内插法或外延法求得。</w:t>
      </w:r>
    </w:p>
    <w:p w14:paraId="049562EE">
      <w:pPr>
        <w:spacing w:before="156" w:beforeLines="50" w:after="156" w:afterLines="50" w:line="360" w:lineRule="exact"/>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2</w:t>
      </w:r>
      <w:r>
        <w:rPr>
          <w:rFonts w:eastAsia="黑体"/>
          <w:color w:val="000000" w:themeColor="text1"/>
          <w14:textFill>
            <w14:solidFill>
              <w14:schemeClr w14:val="tx1"/>
            </w14:solidFill>
          </w14:textFill>
        </w:rPr>
        <w:t xml:space="preserve"> 重复性限</w:t>
      </w:r>
      <w:r>
        <w:rPr>
          <w:rFonts w:hint="eastAsia" w:eastAsia="黑体"/>
          <w:color w:val="000000" w:themeColor="text1"/>
          <w14:textFill>
            <w14:solidFill>
              <w14:schemeClr w14:val="tx1"/>
            </w14:solidFill>
          </w14:textFill>
        </w:rPr>
        <w:t>（</w:t>
      </w:r>
      <w:r>
        <w:rPr>
          <w:rFonts w:hint="eastAsia" w:eastAsia="黑体"/>
          <w:i/>
          <w:iCs/>
          <w:color w:val="000000" w:themeColor="text1"/>
          <w14:textFill>
            <w14:solidFill>
              <w14:schemeClr w14:val="tx1"/>
            </w14:solidFill>
          </w14:textFill>
        </w:rPr>
        <w:t>r</w:t>
      </w:r>
      <w:r>
        <w:rPr>
          <w:rFonts w:hint="eastAsia" w:eastAsia="黑体"/>
          <w:color w:val="000000" w:themeColor="text1"/>
          <w14:textFill>
            <w14:solidFill>
              <w14:schemeClr w14:val="tx1"/>
            </w14:solidFill>
          </w14:textFill>
        </w:rPr>
        <w:t>）</w:t>
      </w:r>
    </w:p>
    <w:tbl>
      <w:tblPr>
        <w:tblStyle w:val="25"/>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7"/>
        <w:gridCol w:w="1589"/>
        <w:gridCol w:w="1589"/>
        <w:gridCol w:w="1589"/>
        <w:gridCol w:w="1589"/>
        <w:gridCol w:w="1646"/>
      </w:tblGrid>
      <w:tr w14:paraId="0BF32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5" w:type="pct"/>
            <w:tcBorders>
              <w:left w:val="single" w:color="auto" w:sz="12" w:space="0"/>
              <w:bottom w:val="single" w:color="auto" w:sz="12" w:space="0"/>
            </w:tcBorders>
            <w:vAlign w:val="center"/>
          </w:tcPr>
          <w:p w14:paraId="14750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831" w:type="pct"/>
            <w:tcBorders>
              <w:bottom w:val="single" w:color="auto" w:sz="12" w:space="0"/>
            </w:tcBorders>
            <w:vAlign w:val="center"/>
          </w:tcPr>
          <w:p w14:paraId="6C785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质量分数</w:t>
            </w:r>
          </w:p>
          <w:p w14:paraId="2BE28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31" w:type="pct"/>
            <w:tcBorders>
              <w:bottom w:val="single" w:color="auto" w:sz="12" w:space="0"/>
              <w:right w:val="double" w:color="auto" w:sz="4" w:space="0"/>
            </w:tcBorders>
            <w:vAlign w:val="center"/>
          </w:tcPr>
          <w:p w14:paraId="1B1EA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重复性限（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w:t>
            </w:r>
          </w:p>
          <w:p w14:paraId="47928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31" w:type="pct"/>
            <w:tcBorders>
              <w:left w:val="double" w:color="auto" w:sz="4" w:space="0"/>
              <w:bottom w:val="single" w:color="auto" w:sz="12" w:space="0"/>
            </w:tcBorders>
            <w:vAlign w:val="center"/>
          </w:tcPr>
          <w:p w14:paraId="207D2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831" w:type="pct"/>
            <w:tcBorders>
              <w:bottom w:val="single" w:color="auto" w:sz="12" w:space="0"/>
            </w:tcBorders>
            <w:vAlign w:val="center"/>
          </w:tcPr>
          <w:p w14:paraId="35E23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质量分数</w:t>
            </w:r>
          </w:p>
          <w:p w14:paraId="54576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59" w:type="pct"/>
            <w:tcBorders>
              <w:bottom w:val="single" w:color="auto" w:sz="12" w:space="0"/>
            </w:tcBorders>
            <w:vAlign w:val="center"/>
          </w:tcPr>
          <w:p w14:paraId="52623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重复性限（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w:t>
            </w:r>
          </w:p>
          <w:p w14:paraId="5A6DF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14:paraId="1C30F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5" w:type="pct"/>
            <w:vMerge w:val="restart"/>
            <w:tcBorders>
              <w:top w:val="single" w:color="auto" w:sz="12" w:space="0"/>
              <w:left w:val="single" w:color="auto" w:sz="12" w:space="0"/>
              <w:right w:val="single" w:color="auto" w:sz="4" w:space="0"/>
            </w:tcBorders>
            <w:vAlign w:val="center"/>
          </w:tcPr>
          <w:p w14:paraId="5AB8792E">
            <w:pPr>
              <w:spacing w:line="40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钼</w:t>
            </w:r>
          </w:p>
        </w:tc>
        <w:tc>
          <w:tcPr>
            <w:tcW w:w="831" w:type="pct"/>
            <w:tcBorders>
              <w:top w:val="single" w:color="auto" w:sz="12" w:space="0"/>
              <w:left w:val="single" w:color="auto" w:sz="4" w:space="0"/>
            </w:tcBorders>
            <w:vAlign w:val="center"/>
          </w:tcPr>
          <w:p w14:paraId="7A4DB6E9">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0.0058</w:t>
            </w:r>
          </w:p>
        </w:tc>
        <w:tc>
          <w:tcPr>
            <w:tcW w:w="831" w:type="pct"/>
            <w:tcBorders>
              <w:top w:val="single" w:color="auto" w:sz="12" w:space="0"/>
              <w:right w:val="double" w:color="auto" w:sz="4" w:space="0"/>
            </w:tcBorders>
            <w:vAlign w:val="center"/>
          </w:tcPr>
          <w:p w14:paraId="781AA5E7">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0.0006</w:t>
            </w:r>
          </w:p>
        </w:tc>
        <w:tc>
          <w:tcPr>
            <w:tcW w:w="831" w:type="pct"/>
            <w:vMerge w:val="restart"/>
            <w:tcBorders>
              <w:top w:val="single" w:color="auto" w:sz="12" w:space="0"/>
              <w:left w:val="double" w:color="auto" w:sz="4" w:space="0"/>
            </w:tcBorders>
            <w:vAlign w:val="center"/>
          </w:tcPr>
          <w:p w14:paraId="7CBF5EAD">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钨</w:t>
            </w:r>
          </w:p>
        </w:tc>
        <w:tc>
          <w:tcPr>
            <w:tcW w:w="831" w:type="pct"/>
            <w:tcBorders>
              <w:top w:val="single" w:color="auto" w:sz="12" w:space="0"/>
            </w:tcBorders>
            <w:vAlign w:val="center"/>
          </w:tcPr>
          <w:p w14:paraId="0A54AD83">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0.0052</w:t>
            </w:r>
          </w:p>
        </w:tc>
        <w:tc>
          <w:tcPr>
            <w:tcW w:w="859" w:type="pct"/>
            <w:tcBorders>
              <w:top w:val="single" w:color="auto" w:sz="12" w:space="0"/>
            </w:tcBorders>
            <w:vAlign w:val="center"/>
          </w:tcPr>
          <w:p w14:paraId="1A5E414F">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0.0006</w:t>
            </w:r>
          </w:p>
        </w:tc>
      </w:tr>
      <w:tr w14:paraId="4A42E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5" w:type="pct"/>
            <w:vMerge w:val="continue"/>
            <w:tcBorders>
              <w:left w:val="single" w:color="auto" w:sz="12" w:space="0"/>
              <w:right w:val="single" w:color="auto" w:sz="4" w:space="0"/>
            </w:tcBorders>
            <w:vAlign w:val="center"/>
          </w:tcPr>
          <w:p w14:paraId="3429DBD0">
            <w:pPr>
              <w:spacing w:line="400" w:lineRule="exact"/>
              <w:jc w:val="center"/>
              <w:rPr>
                <w:color w:val="000000" w:themeColor="text1"/>
                <w:sz w:val="18"/>
                <w:szCs w:val="18"/>
                <w14:textFill>
                  <w14:solidFill>
                    <w14:schemeClr w14:val="tx1"/>
                  </w14:solidFill>
                </w14:textFill>
              </w:rPr>
            </w:pPr>
          </w:p>
        </w:tc>
        <w:tc>
          <w:tcPr>
            <w:tcW w:w="831" w:type="pct"/>
            <w:tcBorders>
              <w:left w:val="single" w:color="auto" w:sz="4" w:space="0"/>
            </w:tcBorders>
            <w:vAlign w:val="center"/>
          </w:tcPr>
          <w:p w14:paraId="0005DC92">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0.047</w:t>
            </w:r>
          </w:p>
        </w:tc>
        <w:tc>
          <w:tcPr>
            <w:tcW w:w="831" w:type="pct"/>
            <w:tcBorders>
              <w:right w:val="double" w:color="auto" w:sz="4" w:space="0"/>
            </w:tcBorders>
            <w:vAlign w:val="center"/>
          </w:tcPr>
          <w:p w14:paraId="2D08DDB9">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0.003</w:t>
            </w:r>
          </w:p>
        </w:tc>
        <w:tc>
          <w:tcPr>
            <w:tcW w:w="831" w:type="pct"/>
            <w:vMerge w:val="continue"/>
            <w:tcBorders>
              <w:left w:val="double" w:color="auto" w:sz="4" w:space="0"/>
            </w:tcBorders>
            <w:vAlign w:val="center"/>
          </w:tcPr>
          <w:p w14:paraId="1DF0F09A">
            <w:pPr>
              <w:spacing w:line="400" w:lineRule="exact"/>
              <w:jc w:val="center"/>
              <w:rPr>
                <w:color w:val="000000" w:themeColor="text1"/>
                <w:sz w:val="18"/>
                <w:szCs w:val="18"/>
                <w14:textFill>
                  <w14:solidFill>
                    <w14:schemeClr w14:val="tx1"/>
                  </w14:solidFill>
                </w14:textFill>
              </w:rPr>
            </w:pPr>
          </w:p>
        </w:tc>
        <w:tc>
          <w:tcPr>
            <w:tcW w:w="831" w:type="pct"/>
            <w:vAlign w:val="center"/>
          </w:tcPr>
          <w:p w14:paraId="3846CB0A">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0.013</w:t>
            </w:r>
          </w:p>
        </w:tc>
        <w:tc>
          <w:tcPr>
            <w:tcW w:w="859" w:type="pct"/>
            <w:vAlign w:val="center"/>
          </w:tcPr>
          <w:p w14:paraId="47355B1D">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0.002</w:t>
            </w:r>
          </w:p>
        </w:tc>
      </w:tr>
      <w:tr w14:paraId="23F9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5" w:type="pct"/>
            <w:vMerge w:val="continue"/>
            <w:tcBorders>
              <w:left w:val="single" w:color="auto" w:sz="12" w:space="0"/>
              <w:right w:val="single" w:color="auto" w:sz="4" w:space="0"/>
            </w:tcBorders>
            <w:vAlign w:val="center"/>
          </w:tcPr>
          <w:p w14:paraId="60FB1D97">
            <w:pPr>
              <w:spacing w:line="400" w:lineRule="exact"/>
              <w:jc w:val="center"/>
              <w:rPr>
                <w:color w:val="000000" w:themeColor="text1"/>
                <w:sz w:val="18"/>
                <w:szCs w:val="18"/>
                <w14:textFill>
                  <w14:solidFill>
                    <w14:schemeClr w14:val="tx1"/>
                  </w14:solidFill>
                </w14:textFill>
              </w:rPr>
            </w:pPr>
          </w:p>
        </w:tc>
        <w:tc>
          <w:tcPr>
            <w:tcW w:w="831" w:type="pct"/>
            <w:tcBorders>
              <w:left w:val="single" w:color="auto" w:sz="4" w:space="0"/>
            </w:tcBorders>
            <w:vAlign w:val="center"/>
          </w:tcPr>
          <w:p w14:paraId="56605771">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0.10</w:t>
            </w:r>
          </w:p>
        </w:tc>
        <w:tc>
          <w:tcPr>
            <w:tcW w:w="831" w:type="pct"/>
            <w:tcBorders>
              <w:right w:val="double" w:color="auto" w:sz="4" w:space="0"/>
            </w:tcBorders>
            <w:vAlign w:val="center"/>
          </w:tcPr>
          <w:p w14:paraId="03221E7E">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w:t>
            </w:r>
          </w:p>
        </w:tc>
        <w:tc>
          <w:tcPr>
            <w:tcW w:w="831" w:type="pct"/>
            <w:vMerge w:val="continue"/>
            <w:tcBorders>
              <w:left w:val="double" w:color="auto" w:sz="4" w:space="0"/>
            </w:tcBorders>
            <w:vAlign w:val="center"/>
          </w:tcPr>
          <w:p w14:paraId="32E044B5">
            <w:pPr>
              <w:spacing w:line="400" w:lineRule="exact"/>
              <w:jc w:val="center"/>
              <w:rPr>
                <w:color w:val="000000" w:themeColor="text1"/>
                <w:sz w:val="18"/>
                <w:szCs w:val="18"/>
                <w14:textFill>
                  <w14:solidFill>
                    <w14:schemeClr w14:val="tx1"/>
                  </w14:solidFill>
                </w14:textFill>
              </w:rPr>
            </w:pPr>
          </w:p>
        </w:tc>
        <w:tc>
          <w:tcPr>
            <w:tcW w:w="831" w:type="pct"/>
            <w:vAlign w:val="center"/>
          </w:tcPr>
          <w:p w14:paraId="0D06578E">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0.049</w:t>
            </w:r>
          </w:p>
        </w:tc>
        <w:tc>
          <w:tcPr>
            <w:tcW w:w="859" w:type="pct"/>
            <w:vAlign w:val="center"/>
          </w:tcPr>
          <w:p w14:paraId="153540A0">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0.004</w:t>
            </w:r>
          </w:p>
        </w:tc>
      </w:tr>
      <w:tr w14:paraId="2FBE9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5" w:type="pct"/>
            <w:vMerge w:val="continue"/>
            <w:tcBorders>
              <w:left w:val="single" w:color="auto" w:sz="12" w:space="0"/>
              <w:right w:val="single" w:color="auto" w:sz="4" w:space="0"/>
            </w:tcBorders>
            <w:vAlign w:val="center"/>
          </w:tcPr>
          <w:p w14:paraId="30821B83">
            <w:pPr>
              <w:spacing w:line="400" w:lineRule="exact"/>
              <w:jc w:val="center"/>
              <w:rPr>
                <w:color w:val="000000" w:themeColor="text1"/>
                <w:sz w:val="18"/>
                <w:szCs w:val="18"/>
                <w14:textFill>
                  <w14:solidFill>
                    <w14:schemeClr w14:val="tx1"/>
                  </w14:solidFill>
                </w14:textFill>
              </w:rPr>
            </w:pPr>
          </w:p>
        </w:tc>
        <w:tc>
          <w:tcPr>
            <w:tcW w:w="1589" w:type="dxa"/>
            <w:tcBorders>
              <w:left w:val="single" w:color="auto" w:sz="4" w:space="0"/>
            </w:tcBorders>
            <w:vAlign w:val="center"/>
          </w:tcPr>
          <w:p w14:paraId="57CA2D73">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0.38</w:t>
            </w:r>
          </w:p>
        </w:tc>
        <w:tc>
          <w:tcPr>
            <w:tcW w:w="1589" w:type="dxa"/>
            <w:tcBorders>
              <w:right w:val="double" w:color="auto" w:sz="4" w:space="0"/>
            </w:tcBorders>
            <w:vAlign w:val="center"/>
          </w:tcPr>
          <w:p w14:paraId="18A08E12">
            <w:pPr>
              <w:spacing w:line="40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0.03</w:t>
            </w:r>
          </w:p>
        </w:tc>
        <w:tc>
          <w:tcPr>
            <w:tcW w:w="831" w:type="pct"/>
            <w:vMerge w:val="continue"/>
            <w:tcBorders>
              <w:left w:val="double" w:color="auto" w:sz="4" w:space="0"/>
            </w:tcBorders>
            <w:vAlign w:val="center"/>
          </w:tcPr>
          <w:p w14:paraId="2B3DFEE2">
            <w:pPr>
              <w:spacing w:line="400" w:lineRule="exact"/>
              <w:jc w:val="center"/>
              <w:rPr>
                <w:color w:val="000000" w:themeColor="text1"/>
                <w:sz w:val="18"/>
                <w:szCs w:val="18"/>
                <w14:textFill>
                  <w14:solidFill>
                    <w14:schemeClr w14:val="tx1"/>
                  </w14:solidFill>
                </w14:textFill>
              </w:rPr>
            </w:pPr>
          </w:p>
        </w:tc>
        <w:tc>
          <w:tcPr>
            <w:tcW w:w="831" w:type="pct"/>
            <w:vAlign w:val="center"/>
          </w:tcPr>
          <w:p w14:paraId="0F841854">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0.10</w:t>
            </w:r>
          </w:p>
        </w:tc>
        <w:tc>
          <w:tcPr>
            <w:tcW w:w="859" w:type="pct"/>
            <w:vAlign w:val="center"/>
          </w:tcPr>
          <w:p w14:paraId="395388B0">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0.007</w:t>
            </w:r>
          </w:p>
        </w:tc>
      </w:tr>
      <w:tr w14:paraId="5EC21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5" w:type="pct"/>
            <w:vMerge w:val="continue"/>
            <w:tcBorders>
              <w:left w:val="single" w:color="auto" w:sz="12" w:space="0"/>
              <w:right w:val="single" w:color="auto" w:sz="4" w:space="0"/>
            </w:tcBorders>
            <w:vAlign w:val="center"/>
          </w:tcPr>
          <w:p w14:paraId="655BBE4B">
            <w:pPr>
              <w:spacing w:line="400" w:lineRule="exact"/>
              <w:jc w:val="center"/>
              <w:rPr>
                <w:color w:val="000000" w:themeColor="text1"/>
                <w:sz w:val="18"/>
                <w:szCs w:val="18"/>
                <w14:textFill>
                  <w14:solidFill>
                    <w14:schemeClr w14:val="tx1"/>
                  </w14:solidFill>
                </w14:textFill>
              </w:rPr>
            </w:pPr>
          </w:p>
        </w:tc>
        <w:tc>
          <w:tcPr>
            <w:tcW w:w="831" w:type="pct"/>
            <w:tcBorders>
              <w:left w:val="single" w:color="auto" w:sz="4" w:space="0"/>
            </w:tcBorders>
            <w:vAlign w:val="center"/>
          </w:tcPr>
          <w:p w14:paraId="5BE4B431">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0.50</w:t>
            </w:r>
          </w:p>
        </w:tc>
        <w:tc>
          <w:tcPr>
            <w:tcW w:w="831" w:type="pct"/>
            <w:tcBorders>
              <w:right w:val="double" w:color="auto" w:sz="4" w:space="0"/>
            </w:tcBorders>
            <w:vAlign w:val="center"/>
          </w:tcPr>
          <w:p w14:paraId="726FE7B5">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0.03</w:t>
            </w:r>
          </w:p>
        </w:tc>
        <w:tc>
          <w:tcPr>
            <w:tcW w:w="831" w:type="pct"/>
            <w:vMerge w:val="continue"/>
            <w:tcBorders>
              <w:left w:val="double" w:color="auto" w:sz="4" w:space="0"/>
            </w:tcBorders>
            <w:vAlign w:val="center"/>
          </w:tcPr>
          <w:p w14:paraId="5E2D23ED">
            <w:pPr>
              <w:spacing w:line="400" w:lineRule="exact"/>
              <w:jc w:val="center"/>
              <w:rPr>
                <w:color w:val="000000" w:themeColor="text1"/>
                <w:sz w:val="18"/>
                <w:szCs w:val="18"/>
                <w14:textFill>
                  <w14:solidFill>
                    <w14:schemeClr w14:val="tx1"/>
                  </w14:solidFill>
                </w14:textFill>
              </w:rPr>
            </w:pPr>
          </w:p>
        </w:tc>
        <w:tc>
          <w:tcPr>
            <w:tcW w:w="1589" w:type="dxa"/>
            <w:vAlign w:val="center"/>
          </w:tcPr>
          <w:p w14:paraId="3B83B183">
            <w:pPr>
              <w:spacing w:line="400" w:lineRule="exact"/>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0.40</w:t>
            </w:r>
          </w:p>
        </w:tc>
        <w:tc>
          <w:tcPr>
            <w:tcW w:w="1646" w:type="dxa"/>
            <w:vAlign w:val="center"/>
          </w:tcPr>
          <w:p w14:paraId="53D58550">
            <w:pPr>
              <w:spacing w:line="400" w:lineRule="exact"/>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0.03</w:t>
            </w:r>
          </w:p>
        </w:tc>
      </w:tr>
      <w:tr w14:paraId="0343E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5" w:type="pct"/>
            <w:vMerge w:val="continue"/>
            <w:tcBorders>
              <w:left w:val="single" w:color="auto" w:sz="12" w:space="0"/>
              <w:bottom w:val="single" w:color="auto" w:sz="4" w:space="0"/>
              <w:right w:val="single" w:color="auto" w:sz="4" w:space="0"/>
            </w:tcBorders>
            <w:vAlign w:val="center"/>
          </w:tcPr>
          <w:p w14:paraId="4B1A229C">
            <w:pPr>
              <w:spacing w:line="400" w:lineRule="exact"/>
              <w:jc w:val="center"/>
              <w:rPr>
                <w:rFonts w:hint="eastAsia" w:eastAsia="宋体"/>
                <w:color w:val="000000" w:themeColor="text1"/>
                <w:sz w:val="18"/>
                <w:szCs w:val="18"/>
                <w:lang w:val="en-US" w:eastAsia="zh-CN"/>
                <w14:textFill>
                  <w14:solidFill>
                    <w14:schemeClr w14:val="tx1"/>
                  </w14:solidFill>
                </w14:textFill>
              </w:rPr>
            </w:pPr>
          </w:p>
        </w:tc>
        <w:tc>
          <w:tcPr>
            <w:tcW w:w="831" w:type="pct"/>
            <w:tcBorders>
              <w:left w:val="single" w:color="auto" w:sz="4" w:space="0"/>
            </w:tcBorders>
            <w:vAlign w:val="center"/>
          </w:tcPr>
          <w:p w14:paraId="7ADD8975">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c>
          <w:tcPr>
            <w:tcW w:w="831" w:type="pct"/>
            <w:tcBorders>
              <w:right w:val="double" w:color="auto" w:sz="4" w:space="0"/>
            </w:tcBorders>
            <w:vAlign w:val="center"/>
          </w:tcPr>
          <w:p w14:paraId="0E39F281">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c>
          <w:tcPr>
            <w:tcW w:w="831" w:type="pct"/>
            <w:vMerge w:val="continue"/>
            <w:tcBorders>
              <w:left w:val="double" w:color="auto" w:sz="4" w:space="0"/>
            </w:tcBorders>
            <w:vAlign w:val="center"/>
          </w:tcPr>
          <w:p w14:paraId="0CC4F89C">
            <w:pPr>
              <w:spacing w:line="400" w:lineRule="exact"/>
              <w:jc w:val="center"/>
              <w:rPr>
                <w:rFonts w:hint="default"/>
                <w:color w:val="000000" w:themeColor="text1"/>
                <w:sz w:val="18"/>
                <w:szCs w:val="18"/>
                <w:lang w:val="en-US"/>
                <w14:textFill>
                  <w14:solidFill>
                    <w14:schemeClr w14:val="tx1"/>
                  </w14:solidFill>
                </w14:textFill>
              </w:rPr>
            </w:pPr>
          </w:p>
        </w:tc>
        <w:tc>
          <w:tcPr>
            <w:tcW w:w="831" w:type="pct"/>
            <w:vAlign w:val="center"/>
          </w:tcPr>
          <w:p w14:paraId="7E476A0B">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0.50</w:t>
            </w:r>
          </w:p>
        </w:tc>
        <w:tc>
          <w:tcPr>
            <w:tcW w:w="859" w:type="pct"/>
            <w:vAlign w:val="center"/>
          </w:tcPr>
          <w:p w14:paraId="2EDA4A38">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0.02</w:t>
            </w:r>
          </w:p>
        </w:tc>
      </w:tr>
      <w:tr w14:paraId="6ABC1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pct"/>
            <w:gridSpan w:val="6"/>
            <w:tcBorders>
              <w:left w:val="single" w:color="auto" w:sz="12" w:space="0"/>
            </w:tcBorders>
            <w:vAlign w:val="center"/>
          </w:tcPr>
          <w:p w14:paraId="3999B832">
            <w:pPr>
              <w:spacing w:line="400" w:lineRule="exact"/>
              <w:jc w:val="left"/>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color w:val="000000" w:themeColor="text1"/>
                <w:sz w:val="18"/>
                <w:szCs w:val="18"/>
                <w14:textFill>
                  <w14:solidFill>
                    <w14:schemeClr w14:val="tx1"/>
                  </w14:solidFill>
                </w14:textFill>
              </w:rPr>
              <w:t>重复性限（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）为2.8×</w:t>
            </w:r>
            <w:r>
              <w:rPr>
                <w:rFonts w:hint="eastAsia"/>
                <w:i/>
                <w:iCs/>
                <w:color w:val="000000" w:themeColor="text1"/>
                <w:sz w:val="18"/>
                <w:szCs w:val="18"/>
                <w14:textFill>
                  <w14:solidFill>
                    <w14:schemeClr w14:val="tx1"/>
                  </w14:solidFill>
                </w14:textFill>
              </w:rPr>
              <w:t>S</w:t>
            </w:r>
            <w:r>
              <w:rPr>
                <w:rFonts w:hint="eastAsia"/>
                <w:i/>
                <w:iCs/>
                <w:color w:val="000000" w:themeColor="text1"/>
                <w:sz w:val="18"/>
                <w:szCs w:val="18"/>
                <w:vertAlign w:val="subscript"/>
                <w14:textFill>
                  <w14:solidFill>
                    <w14:schemeClr w14:val="tx1"/>
                  </w14:solidFill>
                </w14:textFill>
              </w:rPr>
              <w:t>r</w:t>
            </w:r>
            <w:r>
              <w:rPr>
                <w:rFonts w:hint="eastAsia"/>
                <w:color w:val="000000" w:themeColor="text1"/>
                <w:sz w:val="18"/>
                <w:szCs w:val="18"/>
                <w14:textFill>
                  <w14:solidFill>
                    <w14:schemeClr w14:val="tx1"/>
                  </w14:solidFill>
                </w14:textFill>
              </w:rPr>
              <w:t>，</w:t>
            </w:r>
            <w:r>
              <w:rPr>
                <w:rFonts w:hint="eastAsia"/>
                <w:i/>
                <w:iCs/>
                <w:color w:val="000000" w:themeColor="text1"/>
                <w:sz w:val="18"/>
                <w:szCs w:val="18"/>
                <w14:textFill>
                  <w14:solidFill>
                    <w14:schemeClr w14:val="tx1"/>
                  </w14:solidFill>
                </w14:textFill>
              </w:rPr>
              <w:t>S</w:t>
            </w:r>
            <w:r>
              <w:rPr>
                <w:rFonts w:hint="eastAsia"/>
                <w:i/>
                <w:iCs/>
                <w:color w:val="000000" w:themeColor="text1"/>
                <w:sz w:val="18"/>
                <w:szCs w:val="18"/>
                <w:vertAlign w:val="subscript"/>
                <w14:textFill>
                  <w14:solidFill>
                    <w14:schemeClr w14:val="tx1"/>
                  </w14:solidFill>
                </w14:textFill>
              </w:rPr>
              <w:t>r</w:t>
            </w:r>
            <w:r>
              <w:rPr>
                <w:rFonts w:hint="eastAsia"/>
                <w:color w:val="000000" w:themeColor="text1"/>
                <w:sz w:val="18"/>
                <w:szCs w:val="18"/>
                <w14:textFill>
                  <w14:solidFill>
                    <w14:schemeClr w14:val="tx1"/>
                  </w14:solidFill>
                </w14:textFill>
              </w:rPr>
              <w:t>为重复性标准差。</w:t>
            </w:r>
          </w:p>
        </w:tc>
      </w:tr>
    </w:tbl>
    <w:p w14:paraId="051A228A">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4.7.</w:t>
      </w:r>
      <w:r>
        <w:rPr>
          <w:rFonts w:hint="eastAsia" w:hAnsi="黑体" w:cs="黑体"/>
          <w:color w:val="000000" w:themeColor="text1"/>
          <w:kern w:val="2"/>
          <w:szCs w:val="21"/>
          <w:lang w:val="en-US" w:eastAsia="zh-CN"/>
          <w14:textFill>
            <w14:solidFill>
              <w14:schemeClr w14:val="tx1"/>
            </w14:solidFill>
          </w14:textFill>
        </w:rPr>
        <w:t>2</w:t>
      </w:r>
      <w:r>
        <w:rPr>
          <w:rFonts w:hint="eastAsia" w:hAnsi="黑体" w:cs="黑体"/>
          <w:color w:val="000000" w:themeColor="text1"/>
          <w:kern w:val="2"/>
          <w:szCs w:val="21"/>
          <w14:textFill>
            <w14:solidFill>
              <w14:schemeClr w14:val="tx1"/>
            </w14:solidFill>
          </w14:textFill>
        </w:rPr>
        <w:t xml:space="preserve"> </w:t>
      </w:r>
      <w:r>
        <w:rPr>
          <w:rFonts w:hint="eastAsia" w:ascii="Times New Roman"/>
          <w:color w:val="000000" w:themeColor="text1"/>
          <w14:textFill>
            <w14:solidFill>
              <w14:schemeClr w14:val="tx1"/>
            </w14:solidFill>
          </w14:textFill>
        </w:rPr>
        <w:t>再现性</w:t>
      </w:r>
    </w:p>
    <w:p w14:paraId="0D774BE9">
      <w:pPr>
        <w:snapToGrid w:val="0"/>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在再现性条件下获得的两次独立测试结果的绝对差值不大于再现性限（</w:t>
      </w:r>
      <w:r>
        <w:rPr>
          <w:i/>
          <w:color w:val="000000" w:themeColor="text1"/>
          <w14:textFill>
            <w14:solidFill>
              <w14:schemeClr w14:val="tx1"/>
            </w14:solidFill>
          </w14:textFill>
        </w:rPr>
        <w:t>R</w:t>
      </w:r>
      <w:r>
        <w:rPr>
          <w:color w:val="000000" w:themeColor="text1"/>
          <w14:textFill>
            <w14:solidFill>
              <w14:schemeClr w14:val="tx1"/>
            </w14:solidFill>
          </w14:textFill>
        </w:rPr>
        <w:t>），超过再现性限（</w:t>
      </w:r>
      <w:r>
        <w:rPr>
          <w:i/>
          <w:color w:val="000000" w:themeColor="text1"/>
          <w14:textFill>
            <w14:solidFill>
              <w14:schemeClr w14:val="tx1"/>
            </w14:solidFill>
          </w14:textFill>
        </w:rPr>
        <w:t>R</w:t>
      </w:r>
      <w:r>
        <w:rPr>
          <w:color w:val="000000" w:themeColor="text1"/>
          <w14:textFill>
            <w14:solidFill>
              <w14:schemeClr w14:val="tx1"/>
            </w14:solidFill>
          </w14:textFill>
        </w:rPr>
        <w:t>）的情况不超过5 %，再现性限（</w:t>
      </w:r>
      <w:r>
        <w:rPr>
          <w:i/>
          <w:color w:val="000000" w:themeColor="text1"/>
          <w14:textFill>
            <w14:solidFill>
              <w14:schemeClr w14:val="tx1"/>
            </w14:solidFill>
          </w14:textFill>
        </w:rPr>
        <w:t>R</w:t>
      </w:r>
      <w:r>
        <w:rPr>
          <w:color w:val="000000" w:themeColor="text1"/>
          <w14:textFill>
            <w14:solidFill>
              <w14:schemeClr w14:val="tx1"/>
            </w14:solidFill>
          </w14:textFill>
        </w:rPr>
        <w:t>）按表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数据采用线性内插法或外延法求得。</w:t>
      </w:r>
    </w:p>
    <w:p w14:paraId="6A6809F8">
      <w:pPr>
        <w:spacing w:before="156" w:beforeLines="50" w:after="156" w:afterLines="50" w:line="300" w:lineRule="exact"/>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3</w:t>
      </w:r>
      <w:r>
        <w:rPr>
          <w:rFonts w:eastAsia="黑体"/>
          <w:color w:val="000000" w:themeColor="text1"/>
          <w14:textFill>
            <w14:solidFill>
              <w14:schemeClr w14:val="tx1"/>
            </w14:solidFill>
          </w14:textFill>
        </w:rPr>
        <w:t xml:space="preserve"> 再现性限</w:t>
      </w:r>
      <w:r>
        <w:rPr>
          <w:rFonts w:hint="eastAsia" w:eastAsia="黑体"/>
          <w:color w:val="000000" w:themeColor="text1"/>
          <w14:textFill>
            <w14:solidFill>
              <w14:schemeClr w14:val="tx1"/>
            </w14:solidFill>
          </w14:textFill>
        </w:rPr>
        <w:t>（</w:t>
      </w:r>
      <w:r>
        <w:rPr>
          <w:rFonts w:hint="eastAsia" w:eastAsia="黑体"/>
          <w:i/>
          <w:iCs/>
          <w:color w:val="000000" w:themeColor="text1"/>
          <w14:textFill>
            <w14:solidFill>
              <w14:schemeClr w14:val="tx1"/>
            </w14:solidFill>
          </w14:textFill>
        </w:rPr>
        <w:t>R</w:t>
      </w:r>
      <w:r>
        <w:rPr>
          <w:rFonts w:hint="eastAsia" w:eastAsia="黑体"/>
          <w:color w:val="000000" w:themeColor="text1"/>
          <w14:textFill>
            <w14:solidFill>
              <w14:schemeClr w14:val="tx1"/>
            </w14:solidFill>
          </w14:textFill>
        </w:rPr>
        <w:t>）</w:t>
      </w:r>
    </w:p>
    <w:tbl>
      <w:tblPr>
        <w:tblStyle w:val="25"/>
        <w:tblW w:w="49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1"/>
        <w:gridCol w:w="1587"/>
        <w:gridCol w:w="1588"/>
        <w:gridCol w:w="1587"/>
        <w:gridCol w:w="1587"/>
        <w:gridCol w:w="1645"/>
      </w:tblGrid>
      <w:tr w14:paraId="5D7E7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1" w:type="dxa"/>
            <w:tcBorders>
              <w:left w:val="single" w:color="auto" w:sz="12" w:space="0"/>
              <w:bottom w:val="single" w:color="auto" w:sz="12" w:space="0"/>
            </w:tcBorders>
            <w:vAlign w:val="center"/>
          </w:tcPr>
          <w:p w14:paraId="12C1D1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1587" w:type="dxa"/>
            <w:tcBorders>
              <w:bottom w:val="single" w:color="auto" w:sz="12" w:space="0"/>
            </w:tcBorders>
            <w:vAlign w:val="center"/>
          </w:tcPr>
          <w:p w14:paraId="25588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质量分数</w:t>
            </w:r>
          </w:p>
          <w:p w14:paraId="62621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588" w:type="dxa"/>
            <w:tcBorders>
              <w:bottom w:val="single" w:color="auto" w:sz="12" w:space="0"/>
              <w:right w:val="double" w:color="auto" w:sz="4" w:space="0"/>
            </w:tcBorders>
            <w:vAlign w:val="center"/>
          </w:tcPr>
          <w:p w14:paraId="1DF90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再现性限（R）</w:t>
            </w:r>
          </w:p>
          <w:p w14:paraId="1C2A2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587" w:type="dxa"/>
            <w:tcBorders>
              <w:left w:val="double" w:color="auto" w:sz="4" w:space="0"/>
              <w:bottom w:val="single" w:color="auto" w:sz="12" w:space="0"/>
            </w:tcBorders>
            <w:vAlign w:val="center"/>
          </w:tcPr>
          <w:p w14:paraId="29E613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1587" w:type="dxa"/>
            <w:tcBorders>
              <w:bottom w:val="single" w:color="auto" w:sz="12" w:space="0"/>
            </w:tcBorders>
            <w:vAlign w:val="center"/>
          </w:tcPr>
          <w:p w14:paraId="1EE05D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质量分数</w:t>
            </w:r>
          </w:p>
          <w:p w14:paraId="56514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645" w:type="dxa"/>
            <w:tcBorders>
              <w:bottom w:val="single" w:color="auto" w:sz="12" w:space="0"/>
            </w:tcBorders>
            <w:vAlign w:val="center"/>
          </w:tcPr>
          <w:p w14:paraId="426C5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再现性限（R）</w:t>
            </w:r>
          </w:p>
          <w:p w14:paraId="1CCEEB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14:paraId="6278C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1" w:type="dxa"/>
            <w:vMerge w:val="restart"/>
            <w:tcBorders>
              <w:top w:val="single" w:color="auto" w:sz="12" w:space="0"/>
              <w:left w:val="single" w:color="auto" w:sz="12" w:space="0"/>
              <w:right w:val="single" w:color="auto" w:sz="4" w:space="0"/>
            </w:tcBorders>
            <w:vAlign w:val="center"/>
          </w:tcPr>
          <w:p w14:paraId="1D71B9AC">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钼</w:t>
            </w:r>
          </w:p>
        </w:tc>
        <w:tc>
          <w:tcPr>
            <w:tcW w:w="1587" w:type="dxa"/>
            <w:tcBorders>
              <w:top w:val="single" w:color="auto" w:sz="12" w:space="0"/>
              <w:left w:val="single" w:color="auto" w:sz="4" w:space="0"/>
            </w:tcBorders>
            <w:vAlign w:val="center"/>
          </w:tcPr>
          <w:p w14:paraId="2259BC28">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0.0058</w:t>
            </w:r>
          </w:p>
        </w:tc>
        <w:tc>
          <w:tcPr>
            <w:tcW w:w="1588" w:type="dxa"/>
            <w:tcBorders>
              <w:top w:val="single" w:color="auto" w:sz="12" w:space="0"/>
              <w:right w:val="double" w:color="auto" w:sz="4" w:space="0"/>
            </w:tcBorders>
            <w:vAlign w:val="center"/>
          </w:tcPr>
          <w:p w14:paraId="056F6DF0">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0.0006</w:t>
            </w:r>
          </w:p>
        </w:tc>
        <w:tc>
          <w:tcPr>
            <w:tcW w:w="1587" w:type="dxa"/>
            <w:vMerge w:val="restart"/>
            <w:tcBorders>
              <w:top w:val="single" w:color="auto" w:sz="12" w:space="0"/>
              <w:left w:val="double" w:color="auto" w:sz="4" w:space="0"/>
            </w:tcBorders>
            <w:vAlign w:val="center"/>
          </w:tcPr>
          <w:p w14:paraId="48F6150B">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钨</w:t>
            </w:r>
          </w:p>
        </w:tc>
        <w:tc>
          <w:tcPr>
            <w:tcW w:w="1587" w:type="dxa"/>
            <w:tcBorders>
              <w:top w:val="single" w:color="auto" w:sz="12" w:space="0"/>
            </w:tcBorders>
            <w:vAlign w:val="center"/>
          </w:tcPr>
          <w:p w14:paraId="06FA9456">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0.0052</w:t>
            </w:r>
          </w:p>
        </w:tc>
        <w:tc>
          <w:tcPr>
            <w:tcW w:w="1645" w:type="dxa"/>
            <w:tcBorders>
              <w:top w:val="single" w:color="auto" w:sz="12" w:space="0"/>
            </w:tcBorders>
            <w:vAlign w:val="center"/>
          </w:tcPr>
          <w:p w14:paraId="4D3FB8A7">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0.0007</w:t>
            </w:r>
          </w:p>
        </w:tc>
      </w:tr>
      <w:tr w14:paraId="18FCE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1" w:type="dxa"/>
            <w:vMerge w:val="continue"/>
            <w:tcBorders>
              <w:left w:val="single" w:color="auto" w:sz="12" w:space="0"/>
              <w:right w:val="single" w:color="auto" w:sz="4" w:space="0"/>
            </w:tcBorders>
            <w:vAlign w:val="center"/>
          </w:tcPr>
          <w:p w14:paraId="414842FD">
            <w:pPr>
              <w:spacing w:line="400" w:lineRule="exact"/>
              <w:jc w:val="center"/>
              <w:rPr>
                <w:color w:val="000000" w:themeColor="text1"/>
                <w:sz w:val="18"/>
                <w:szCs w:val="18"/>
                <w14:textFill>
                  <w14:solidFill>
                    <w14:schemeClr w14:val="tx1"/>
                  </w14:solidFill>
                </w14:textFill>
              </w:rPr>
            </w:pPr>
          </w:p>
        </w:tc>
        <w:tc>
          <w:tcPr>
            <w:tcW w:w="1587" w:type="dxa"/>
            <w:tcBorders>
              <w:left w:val="single" w:color="auto" w:sz="4" w:space="0"/>
            </w:tcBorders>
            <w:vAlign w:val="center"/>
          </w:tcPr>
          <w:p w14:paraId="6B9C2096">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0.047</w:t>
            </w:r>
          </w:p>
        </w:tc>
        <w:tc>
          <w:tcPr>
            <w:tcW w:w="1588" w:type="dxa"/>
            <w:tcBorders>
              <w:right w:val="double" w:color="auto" w:sz="4" w:space="0"/>
            </w:tcBorders>
            <w:vAlign w:val="center"/>
          </w:tcPr>
          <w:p w14:paraId="772D6F10">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0.004</w:t>
            </w:r>
          </w:p>
        </w:tc>
        <w:tc>
          <w:tcPr>
            <w:tcW w:w="1587" w:type="dxa"/>
            <w:vMerge w:val="continue"/>
            <w:tcBorders>
              <w:left w:val="double" w:color="auto" w:sz="4" w:space="0"/>
            </w:tcBorders>
            <w:vAlign w:val="center"/>
          </w:tcPr>
          <w:p w14:paraId="382FE070">
            <w:pPr>
              <w:spacing w:line="400" w:lineRule="exact"/>
              <w:jc w:val="center"/>
              <w:rPr>
                <w:color w:val="000000" w:themeColor="text1"/>
                <w:sz w:val="18"/>
                <w:szCs w:val="18"/>
                <w14:textFill>
                  <w14:solidFill>
                    <w14:schemeClr w14:val="tx1"/>
                  </w14:solidFill>
                </w14:textFill>
              </w:rPr>
            </w:pPr>
          </w:p>
        </w:tc>
        <w:tc>
          <w:tcPr>
            <w:tcW w:w="1587" w:type="dxa"/>
            <w:vAlign w:val="center"/>
          </w:tcPr>
          <w:p w14:paraId="507898BB">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0.013</w:t>
            </w:r>
          </w:p>
        </w:tc>
        <w:tc>
          <w:tcPr>
            <w:tcW w:w="1645" w:type="dxa"/>
            <w:vAlign w:val="center"/>
          </w:tcPr>
          <w:p w14:paraId="529EB4F4">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0.002</w:t>
            </w:r>
          </w:p>
        </w:tc>
      </w:tr>
      <w:tr w14:paraId="7142A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1" w:type="dxa"/>
            <w:vMerge w:val="continue"/>
            <w:tcBorders>
              <w:left w:val="single" w:color="auto" w:sz="12" w:space="0"/>
              <w:right w:val="single" w:color="auto" w:sz="4" w:space="0"/>
            </w:tcBorders>
            <w:vAlign w:val="center"/>
          </w:tcPr>
          <w:p w14:paraId="3F998D46">
            <w:pPr>
              <w:spacing w:line="400" w:lineRule="exact"/>
              <w:jc w:val="center"/>
              <w:rPr>
                <w:color w:val="000000" w:themeColor="text1"/>
                <w:sz w:val="18"/>
                <w:szCs w:val="18"/>
                <w14:textFill>
                  <w14:solidFill>
                    <w14:schemeClr w14:val="tx1"/>
                  </w14:solidFill>
                </w14:textFill>
              </w:rPr>
            </w:pPr>
          </w:p>
        </w:tc>
        <w:tc>
          <w:tcPr>
            <w:tcW w:w="1587" w:type="dxa"/>
            <w:tcBorders>
              <w:left w:val="single" w:color="auto" w:sz="4" w:space="0"/>
            </w:tcBorders>
            <w:vAlign w:val="center"/>
          </w:tcPr>
          <w:p w14:paraId="05B79B14">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0.10</w:t>
            </w:r>
          </w:p>
        </w:tc>
        <w:tc>
          <w:tcPr>
            <w:tcW w:w="1588" w:type="dxa"/>
            <w:tcBorders>
              <w:right w:val="double" w:color="auto" w:sz="4" w:space="0"/>
            </w:tcBorders>
            <w:vAlign w:val="center"/>
          </w:tcPr>
          <w:p w14:paraId="3251046C">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0.02</w:t>
            </w:r>
          </w:p>
        </w:tc>
        <w:tc>
          <w:tcPr>
            <w:tcW w:w="1587" w:type="dxa"/>
            <w:vMerge w:val="continue"/>
            <w:tcBorders>
              <w:left w:val="double" w:color="auto" w:sz="4" w:space="0"/>
            </w:tcBorders>
            <w:vAlign w:val="center"/>
          </w:tcPr>
          <w:p w14:paraId="465230F6">
            <w:pPr>
              <w:spacing w:line="400" w:lineRule="exact"/>
              <w:jc w:val="center"/>
              <w:rPr>
                <w:color w:val="000000" w:themeColor="text1"/>
                <w:sz w:val="18"/>
                <w:szCs w:val="18"/>
                <w14:textFill>
                  <w14:solidFill>
                    <w14:schemeClr w14:val="tx1"/>
                  </w14:solidFill>
                </w14:textFill>
              </w:rPr>
            </w:pPr>
          </w:p>
        </w:tc>
        <w:tc>
          <w:tcPr>
            <w:tcW w:w="1587" w:type="dxa"/>
            <w:vAlign w:val="center"/>
          </w:tcPr>
          <w:p w14:paraId="11D3DD07">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0.049</w:t>
            </w:r>
          </w:p>
        </w:tc>
        <w:tc>
          <w:tcPr>
            <w:tcW w:w="1645" w:type="dxa"/>
            <w:vAlign w:val="center"/>
          </w:tcPr>
          <w:p w14:paraId="703080C0">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w:t>
            </w:r>
          </w:p>
        </w:tc>
      </w:tr>
      <w:tr w14:paraId="088A8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1" w:type="dxa"/>
            <w:vMerge w:val="continue"/>
            <w:tcBorders>
              <w:left w:val="single" w:color="auto" w:sz="12" w:space="0"/>
              <w:right w:val="single" w:color="auto" w:sz="4" w:space="0"/>
            </w:tcBorders>
            <w:vAlign w:val="center"/>
          </w:tcPr>
          <w:p w14:paraId="26CE2D3C">
            <w:pPr>
              <w:spacing w:line="400" w:lineRule="exact"/>
              <w:jc w:val="center"/>
              <w:rPr>
                <w:color w:val="000000" w:themeColor="text1"/>
                <w:sz w:val="18"/>
                <w:szCs w:val="18"/>
                <w14:textFill>
                  <w14:solidFill>
                    <w14:schemeClr w14:val="tx1"/>
                  </w14:solidFill>
                </w14:textFill>
              </w:rPr>
            </w:pPr>
          </w:p>
        </w:tc>
        <w:tc>
          <w:tcPr>
            <w:tcW w:w="1587" w:type="dxa"/>
            <w:tcBorders>
              <w:left w:val="single" w:color="auto" w:sz="4" w:space="0"/>
            </w:tcBorders>
            <w:vAlign w:val="center"/>
          </w:tcPr>
          <w:p w14:paraId="7EF52D58">
            <w:pPr>
              <w:spacing w:line="40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0.38</w:t>
            </w:r>
          </w:p>
        </w:tc>
        <w:tc>
          <w:tcPr>
            <w:tcW w:w="1588" w:type="dxa"/>
            <w:tcBorders>
              <w:right w:val="double" w:color="auto" w:sz="4" w:space="0"/>
            </w:tcBorders>
            <w:vAlign w:val="center"/>
          </w:tcPr>
          <w:p w14:paraId="43B418CD">
            <w:pPr>
              <w:spacing w:line="40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0.03</w:t>
            </w:r>
          </w:p>
        </w:tc>
        <w:tc>
          <w:tcPr>
            <w:tcW w:w="1587" w:type="dxa"/>
            <w:vMerge w:val="continue"/>
            <w:tcBorders>
              <w:left w:val="double" w:color="auto" w:sz="4" w:space="0"/>
            </w:tcBorders>
            <w:vAlign w:val="center"/>
          </w:tcPr>
          <w:p w14:paraId="69F80194">
            <w:pPr>
              <w:spacing w:line="400" w:lineRule="exact"/>
              <w:jc w:val="center"/>
              <w:rPr>
                <w:color w:val="000000" w:themeColor="text1"/>
                <w:sz w:val="18"/>
                <w:szCs w:val="18"/>
                <w14:textFill>
                  <w14:solidFill>
                    <w14:schemeClr w14:val="tx1"/>
                  </w14:solidFill>
                </w14:textFill>
              </w:rPr>
            </w:pPr>
          </w:p>
        </w:tc>
        <w:tc>
          <w:tcPr>
            <w:tcW w:w="1587" w:type="dxa"/>
            <w:vAlign w:val="center"/>
          </w:tcPr>
          <w:p w14:paraId="31CB0DE9">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0.10</w:t>
            </w:r>
          </w:p>
        </w:tc>
        <w:tc>
          <w:tcPr>
            <w:tcW w:w="1645" w:type="dxa"/>
            <w:vAlign w:val="center"/>
          </w:tcPr>
          <w:p w14:paraId="21508C3A">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0.02</w:t>
            </w:r>
          </w:p>
        </w:tc>
      </w:tr>
      <w:tr w14:paraId="602E3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1" w:type="dxa"/>
            <w:vMerge w:val="continue"/>
            <w:tcBorders>
              <w:left w:val="single" w:color="auto" w:sz="12" w:space="0"/>
              <w:right w:val="single" w:color="auto" w:sz="4" w:space="0"/>
            </w:tcBorders>
            <w:vAlign w:val="center"/>
          </w:tcPr>
          <w:p w14:paraId="64678724">
            <w:pPr>
              <w:spacing w:line="400" w:lineRule="exact"/>
              <w:jc w:val="center"/>
              <w:rPr>
                <w:color w:val="000000" w:themeColor="text1"/>
                <w:sz w:val="18"/>
                <w:szCs w:val="18"/>
                <w14:textFill>
                  <w14:solidFill>
                    <w14:schemeClr w14:val="tx1"/>
                  </w14:solidFill>
                </w14:textFill>
              </w:rPr>
            </w:pPr>
          </w:p>
        </w:tc>
        <w:tc>
          <w:tcPr>
            <w:tcW w:w="1587" w:type="dxa"/>
            <w:tcBorders>
              <w:left w:val="single" w:color="auto" w:sz="4" w:space="0"/>
            </w:tcBorders>
            <w:vAlign w:val="center"/>
          </w:tcPr>
          <w:p w14:paraId="3A97D0F7">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0.50</w:t>
            </w:r>
          </w:p>
        </w:tc>
        <w:tc>
          <w:tcPr>
            <w:tcW w:w="1588" w:type="dxa"/>
            <w:tcBorders>
              <w:right w:val="double" w:color="auto" w:sz="4" w:space="0"/>
            </w:tcBorders>
            <w:vAlign w:val="center"/>
          </w:tcPr>
          <w:p w14:paraId="06A25770">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0.03</w:t>
            </w:r>
          </w:p>
        </w:tc>
        <w:tc>
          <w:tcPr>
            <w:tcW w:w="1587" w:type="dxa"/>
            <w:vMerge w:val="continue"/>
            <w:tcBorders>
              <w:left w:val="double" w:color="auto" w:sz="4" w:space="0"/>
            </w:tcBorders>
            <w:vAlign w:val="center"/>
          </w:tcPr>
          <w:p w14:paraId="008B69DC">
            <w:pPr>
              <w:spacing w:line="400" w:lineRule="exact"/>
              <w:jc w:val="center"/>
              <w:rPr>
                <w:color w:val="000000" w:themeColor="text1"/>
                <w:sz w:val="18"/>
                <w:szCs w:val="18"/>
                <w14:textFill>
                  <w14:solidFill>
                    <w14:schemeClr w14:val="tx1"/>
                  </w14:solidFill>
                </w14:textFill>
              </w:rPr>
            </w:pPr>
          </w:p>
        </w:tc>
        <w:tc>
          <w:tcPr>
            <w:tcW w:w="1587" w:type="dxa"/>
            <w:vAlign w:val="center"/>
          </w:tcPr>
          <w:p w14:paraId="56662207">
            <w:pPr>
              <w:spacing w:line="400" w:lineRule="exact"/>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0.40</w:t>
            </w:r>
          </w:p>
        </w:tc>
        <w:tc>
          <w:tcPr>
            <w:tcW w:w="1645" w:type="dxa"/>
            <w:vAlign w:val="center"/>
          </w:tcPr>
          <w:p w14:paraId="044D3C49">
            <w:pPr>
              <w:spacing w:line="400" w:lineRule="exact"/>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0.04</w:t>
            </w:r>
          </w:p>
        </w:tc>
      </w:tr>
      <w:tr w14:paraId="67EBD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1" w:type="dxa"/>
            <w:vMerge w:val="continue"/>
            <w:tcBorders>
              <w:left w:val="single" w:color="auto" w:sz="12" w:space="0"/>
              <w:bottom w:val="single" w:color="auto" w:sz="4" w:space="0"/>
              <w:right w:val="single" w:color="auto" w:sz="4" w:space="0"/>
            </w:tcBorders>
            <w:vAlign w:val="center"/>
          </w:tcPr>
          <w:p w14:paraId="0C5C64F6">
            <w:pPr>
              <w:spacing w:line="400" w:lineRule="exact"/>
              <w:jc w:val="center"/>
              <w:rPr>
                <w:color w:val="000000" w:themeColor="text1"/>
                <w:sz w:val="18"/>
                <w:szCs w:val="18"/>
                <w14:textFill>
                  <w14:solidFill>
                    <w14:schemeClr w14:val="tx1"/>
                  </w14:solidFill>
                </w14:textFill>
              </w:rPr>
            </w:pPr>
          </w:p>
        </w:tc>
        <w:tc>
          <w:tcPr>
            <w:tcW w:w="1587" w:type="dxa"/>
            <w:tcBorders>
              <w:left w:val="single" w:color="auto" w:sz="4" w:space="0"/>
            </w:tcBorders>
            <w:vAlign w:val="center"/>
          </w:tcPr>
          <w:p w14:paraId="36E86100">
            <w:pPr>
              <w:spacing w:line="400" w:lineRule="exact"/>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c>
          <w:tcPr>
            <w:tcW w:w="1588" w:type="dxa"/>
            <w:tcBorders>
              <w:right w:val="double" w:color="auto" w:sz="4" w:space="0"/>
            </w:tcBorders>
            <w:vAlign w:val="center"/>
          </w:tcPr>
          <w:p w14:paraId="7A5CA8AF">
            <w:pPr>
              <w:spacing w:line="400" w:lineRule="exact"/>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c>
          <w:tcPr>
            <w:tcW w:w="1587" w:type="dxa"/>
            <w:vMerge w:val="continue"/>
            <w:tcBorders>
              <w:left w:val="double" w:color="auto" w:sz="4" w:space="0"/>
            </w:tcBorders>
            <w:vAlign w:val="center"/>
          </w:tcPr>
          <w:p w14:paraId="5666AD83">
            <w:pPr>
              <w:spacing w:line="400" w:lineRule="exact"/>
              <w:jc w:val="center"/>
              <w:rPr>
                <w:color w:val="000000" w:themeColor="text1"/>
                <w:sz w:val="18"/>
                <w:szCs w:val="18"/>
                <w14:textFill>
                  <w14:solidFill>
                    <w14:schemeClr w14:val="tx1"/>
                  </w14:solidFill>
                </w14:textFill>
              </w:rPr>
            </w:pPr>
          </w:p>
        </w:tc>
        <w:tc>
          <w:tcPr>
            <w:tcW w:w="1587" w:type="dxa"/>
            <w:vAlign w:val="center"/>
          </w:tcPr>
          <w:p w14:paraId="094A916A">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0.50</w:t>
            </w:r>
          </w:p>
        </w:tc>
        <w:tc>
          <w:tcPr>
            <w:tcW w:w="1645" w:type="dxa"/>
            <w:vAlign w:val="center"/>
          </w:tcPr>
          <w:p w14:paraId="7FBC9E80">
            <w:pPr>
              <w:spacing w:line="400" w:lineRule="exact"/>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0.04</w:t>
            </w:r>
          </w:p>
        </w:tc>
      </w:tr>
      <w:tr w14:paraId="30B22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55" w:type="dxa"/>
            <w:gridSpan w:val="6"/>
            <w:vAlign w:val="center"/>
          </w:tcPr>
          <w:p w14:paraId="4E217AB5">
            <w:pPr>
              <w:spacing w:line="400" w:lineRule="exact"/>
              <w:jc w:val="left"/>
              <w:rPr>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color w:val="000000" w:themeColor="text1"/>
                <w:sz w:val="18"/>
                <w:szCs w:val="18"/>
                <w14:textFill>
                  <w14:solidFill>
                    <w14:schemeClr w14:val="tx1"/>
                  </w14:solidFill>
                </w14:textFill>
              </w:rPr>
              <w:t>再现性限（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）为2.8×</w:t>
            </w:r>
            <w:r>
              <w:rPr>
                <w:rFonts w:hint="eastAsia"/>
                <w:i/>
                <w:iCs/>
                <w:color w:val="000000" w:themeColor="text1"/>
                <w:sz w:val="18"/>
                <w:szCs w:val="18"/>
                <w14:textFill>
                  <w14:solidFill>
                    <w14:schemeClr w14:val="tx1"/>
                  </w14:solidFill>
                </w14:textFill>
              </w:rPr>
              <w:t>S</w:t>
            </w:r>
            <w:r>
              <w:rPr>
                <w:rFonts w:hint="eastAsia"/>
                <w:i/>
                <w:iCs/>
                <w:color w:val="000000" w:themeColor="text1"/>
                <w:sz w:val="18"/>
                <w:szCs w:val="18"/>
                <w:vertAlign w:val="subscript"/>
                <w14:textFill>
                  <w14:solidFill>
                    <w14:schemeClr w14:val="tx1"/>
                  </w14:solidFill>
                </w14:textFill>
              </w:rPr>
              <w:t>R</w:t>
            </w:r>
            <w:r>
              <w:rPr>
                <w:rFonts w:hint="eastAsia"/>
                <w:color w:val="000000" w:themeColor="text1"/>
                <w:sz w:val="18"/>
                <w:szCs w:val="18"/>
                <w14:textFill>
                  <w14:solidFill>
                    <w14:schemeClr w14:val="tx1"/>
                  </w14:solidFill>
                </w14:textFill>
              </w:rPr>
              <w:t>，</w:t>
            </w:r>
            <w:r>
              <w:rPr>
                <w:rFonts w:hint="eastAsia"/>
                <w:i/>
                <w:iCs/>
                <w:color w:val="000000" w:themeColor="text1"/>
                <w:sz w:val="18"/>
                <w:szCs w:val="18"/>
                <w14:textFill>
                  <w14:solidFill>
                    <w14:schemeClr w14:val="tx1"/>
                  </w14:solidFill>
                </w14:textFill>
              </w:rPr>
              <w:t>S</w:t>
            </w:r>
            <w:r>
              <w:rPr>
                <w:rFonts w:hint="eastAsia"/>
                <w:i/>
                <w:iCs/>
                <w:color w:val="000000" w:themeColor="text1"/>
                <w:sz w:val="18"/>
                <w:szCs w:val="18"/>
                <w:vertAlign w:val="subscript"/>
                <w14:textFill>
                  <w14:solidFill>
                    <w14:schemeClr w14:val="tx1"/>
                  </w14:solidFill>
                </w14:textFill>
              </w:rPr>
              <w:t>R</w:t>
            </w:r>
            <w:r>
              <w:rPr>
                <w:rFonts w:hint="eastAsia"/>
                <w:color w:val="000000" w:themeColor="text1"/>
                <w:sz w:val="18"/>
                <w:szCs w:val="18"/>
                <w14:textFill>
                  <w14:solidFill>
                    <w14:schemeClr w14:val="tx1"/>
                  </w14:solidFill>
                </w14:textFill>
              </w:rPr>
              <w:t>为再现性标准差。</w:t>
            </w:r>
          </w:p>
        </w:tc>
      </w:tr>
    </w:tbl>
    <w:p w14:paraId="1315D882">
      <w:pPr>
        <w:pStyle w:val="54"/>
        <w:snapToGrid w:val="0"/>
        <w:spacing w:before="312" w:beforeLines="100" w:after="312" w:afterLines="100"/>
        <w:ind w:firstLine="0" w:firstLineChars="0"/>
        <w:outlineLvl w:val="1"/>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 电感耦合等离子体质谱法（方法2）</w:t>
      </w:r>
    </w:p>
    <w:p w14:paraId="689AD063">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5.1 </w:t>
      </w:r>
      <w:r>
        <w:rPr>
          <w:rFonts w:hint="eastAsia" w:ascii="Times New Roman"/>
          <w:color w:val="000000" w:themeColor="text1"/>
          <w14:textFill>
            <w14:solidFill>
              <w14:schemeClr w14:val="tx1"/>
            </w14:solidFill>
          </w14:textFill>
        </w:rPr>
        <w:t>方法提要</w:t>
      </w:r>
    </w:p>
    <w:p w14:paraId="28A54FBF">
      <w:pPr>
        <w:ind w:firstLine="420" w:firstLineChars="200"/>
        <w:rPr>
          <w:rFonts w:eastAsia="黑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试料使用硝酸、氢氟酸溶解，</w:t>
      </w:r>
      <w:r>
        <w:rPr>
          <w:rFonts w:hint="eastAsia" w:cs="Times New Roman"/>
          <w:kern w:val="2"/>
          <w:sz w:val="21"/>
          <w:szCs w:val="21"/>
          <w:lang w:val="en-US" w:eastAsia="zh-CN" w:bidi="ar-SA"/>
        </w:rPr>
        <w:t>氟化沉淀分离稀土基体</w:t>
      </w:r>
      <w:r>
        <w:rPr>
          <w:rFonts w:hint="eastAsia"/>
          <w:color w:val="000000" w:themeColor="text1"/>
          <w:szCs w:val="21"/>
          <w14:textFill>
            <w14:solidFill>
              <w14:schemeClr w14:val="tx1"/>
            </w14:solidFill>
          </w14:textFill>
        </w:rPr>
        <w:t>，于电感耦合等离子体质谱仪选定质量数处测定钼、钨含量。</w:t>
      </w:r>
    </w:p>
    <w:p w14:paraId="0D383021">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5.2</w:t>
      </w:r>
      <w:r>
        <w:rPr>
          <w:rFonts w:hint="eastAsia" w:ascii="Times New Roman"/>
          <w:color w:val="000000" w:themeColor="text1"/>
          <w14:textFill>
            <w14:solidFill>
              <w14:schemeClr w14:val="tx1"/>
            </w14:solidFill>
          </w14:textFill>
        </w:rPr>
        <w:t xml:space="preserve"> 试剂</w:t>
      </w:r>
      <w:r>
        <w:rPr>
          <w:rFonts w:hint="eastAsia" w:ascii="Times New Roman"/>
          <w:color w:val="000000" w:themeColor="text1"/>
          <w:lang w:val="en-US" w:eastAsia="zh-CN"/>
          <w14:textFill>
            <w14:solidFill>
              <w14:schemeClr w14:val="tx1"/>
            </w14:solidFill>
          </w14:textFill>
        </w:rPr>
        <w:t>和</w:t>
      </w:r>
      <w:r>
        <w:rPr>
          <w:rFonts w:hint="eastAsia" w:ascii="Times New Roman"/>
          <w:color w:val="000000" w:themeColor="text1"/>
          <w14:textFill>
            <w14:solidFill>
              <w14:schemeClr w14:val="tx1"/>
            </w14:solidFill>
          </w14:textFill>
        </w:rPr>
        <w:t>材料</w:t>
      </w:r>
    </w:p>
    <w:p w14:paraId="0658A684">
      <w:pPr>
        <w:pStyle w:val="43"/>
        <w:snapToGrid w:val="0"/>
        <w:ind w:firstLine="420"/>
        <w:jc w:val="left"/>
        <w:rPr>
          <w:rFonts w:hint="eastAsia" w:ascii="Times New Roman"/>
          <w:bCs/>
          <w:color w:val="000000" w:themeColor="text1"/>
          <w:kern w:val="2"/>
          <w:szCs w:val="24"/>
          <w14:textFill>
            <w14:solidFill>
              <w14:schemeClr w14:val="tx1"/>
            </w14:solidFill>
          </w14:textFill>
        </w:rPr>
      </w:pPr>
      <w:r>
        <w:rPr>
          <w:rFonts w:hint="eastAsia" w:ascii="Times New Roman"/>
          <w:bCs/>
          <w:color w:val="000000" w:themeColor="text1"/>
          <w:kern w:val="2"/>
          <w:szCs w:val="24"/>
          <w14:textFill>
            <w14:solidFill>
              <w14:schemeClr w14:val="tx1"/>
            </w14:solidFill>
          </w14:textFill>
        </w:rPr>
        <w:t>除非另有说明，在分析中仅使用确认为分析纯及以上试剂和符合GB/T 6682规定的二级水。液体试剂均保存于塑料瓶中，优先使用有证标准溶液。</w:t>
      </w:r>
    </w:p>
    <w:p w14:paraId="4A0AAF39">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5.2.1</w:t>
      </w:r>
      <w:r>
        <w:rPr>
          <w:rFonts w:hint="eastAsia"/>
          <w:color w:val="000000" w:themeColor="text1"/>
          <w:szCs w:val="21"/>
          <w14:textFill>
            <w14:solidFill>
              <w14:schemeClr w14:val="tx1"/>
            </w14:solidFill>
          </w14:textFill>
        </w:rPr>
        <w:t xml:space="preserve"> 氢氧化钠。</w:t>
      </w:r>
    </w:p>
    <w:p w14:paraId="44E4DD46">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5.2.2</w:t>
      </w:r>
      <w:r>
        <w:rPr>
          <w:rFonts w:hint="eastAsia"/>
          <w:color w:val="000000" w:themeColor="text1"/>
          <w:szCs w:val="21"/>
          <w14:textFill>
            <w14:solidFill>
              <w14:schemeClr w14:val="tx1"/>
            </w14:solidFill>
          </w14:textFill>
        </w:rPr>
        <w:t xml:space="preserve"> 硝酸（</w:t>
      </w:r>
      <w:r>
        <w:rPr>
          <w:rFonts w:hint="default" w:ascii="Times New Roman" w:hAnsi="Times New Roman" w:cs="Times New Roman"/>
          <w:i/>
          <w:iCs/>
          <w:color w:val="000000" w:themeColor="text1"/>
          <w:szCs w:val="21"/>
          <w14:textFill>
            <w14:solidFill>
              <w14:schemeClr w14:val="tx1"/>
            </w14:solidFill>
          </w14:textFill>
        </w:rPr>
        <w:t>ρ</w:t>
      </w:r>
      <w:r>
        <w:rPr>
          <w:rFonts w:hint="eastAsia"/>
          <w:color w:val="000000" w:themeColor="text1"/>
          <w:szCs w:val="21"/>
          <w14:textFill>
            <w14:solidFill>
              <w14:schemeClr w14:val="tx1"/>
            </w14:solidFill>
          </w14:textFill>
        </w:rPr>
        <w:t>=1.42 g/mL）。</w:t>
      </w:r>
    </w:p>
    <w:p w14:paraId="1DC556B6">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5.2.3</w:t>
      </w:r>
      <w:r>
        <w:rPr>
          <w:rFonts w:hint="eastAsia"/>
          <w:color w:val="000000" w:themeColor="text1"/>
          <w:szCs w:val="21"/>
          <w14:textFill>
            <w14:solidFill>
              <w14:schemeClr w14:val="tx1"/>
            </w14:solidFill>
          </w14:textFill>
        </w:rPr>
        <w:t xml:space="preserve"> 氢氟酸（</w:t>
      </w:r>
      <w:r>
        <w:rPr>
          <w:rFonts w:hint="default" w:ascii="Times New Roman" w:hAnsi="Times New Roman" w:cs="Times New Roman"/>
          <w:i/>
          <w:iCs/>
          <w:color w:val="000000" w:themeColor="text1"/>
          <w:szCs w:val="21"/>
          <w14:textFill>
            <w14:solidFill>
              <w14:schemeClr w14:val="tx1"/>
            </w14:solidFill>
          </w14:textFill>
        </w:rPr>
        <w:t>ρ</w:t>
      </w:r>
      <w:r>
        <w:rPr>
          <w:rFonts w:hint="eastAsia"/>
          <w:color w:val="000000" w:themeColor="text1"/>
          <w:szCs w:val="21"/>
          <w14:textFill>
            <w14:solidFill>
              <w14:schemeClr w14:val="tx1"/>
            </w14:solidFill>
          </w14:textFill>
        </w:rPr>
        <w:t>=1.14 g/mL）。</w:t>
      </w:r>
    </w:p>
    <w:p w14:paraId="3BBDAF0C">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5.2.4</w:t>
      </w:r>
      <w:r>
        <w:rPr>
          <w:rFonts w:hint="eastAsia"/>
          <w:color w:val="000000" w:themeColor="text1"/>
          <w:szCs w:val="21"/>
          <w14:textFill>
            <w14:solidFill>
              <w14:schemeClr w14:val="tx1"/>
            </w14:solidFill>
          </w14:textFill>
        </w:rPr>
        <w:t xml:space="preserve"> 硝酸（1+1）。</w:t>
      </w:r>
    </w:p>
    <w:p w14:paraId="12B5060E">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5.2.5</w:t>
      </w:r>
      <w:r>
        <w:rPr>
          <w:rFonts w:hint="eastAsia"/>
          <w:color w:val="000000" w:themeColor="text1"/>
          <w:szCs w:val="21"/>
          <w14:textFill>
            <w14:solidFill>
              <w14:schemeClr w14:val="tx1"/>
            </w14:solidFill>
          </w14:textFill>
        </w:rPr>
        <w:t xml:space="preserve"> 氨水（1+3）。</w:t>
      </w:r>
    </w:p>
    <w:p w14:paraId="0398771D">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5.2.6</w:t>
      </w:r>
      <w:r>
        <w:rPr>
          <w:rFonts w:hint="eastAsia"/>
          <w:color w:val="000000" w:themeColor="text1"/>
          <w:szCs w:val="21"/>
          <w14:textFill>
            <w14:solidFill>
              <w14:schemeClr w14:val="tx1"/>
            </w14:solidFill>
          </w14:textFill>
        </w:rPr>
        <w:t xml:space="preserve"> 硼酸溶液（50 g/L）。</w:t>
      </w:r>
    </w:p>
    <w:p w14:paraId="31807A01">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5.2.7</w:t>
      </w:r>
      <w:r>
        <w:rPr>
          <w:rFonts w:hint="eastAsia"/>
          <w:color w:val="000000" w:themeColor="text1"/>
          <w:szCs w:val="21"/>
          <w14:textFill>
            <w14:solidFill>
              <w14:schemeClr w14:val="tx1"/>
            </w14:solidFill>
          </w14:textFill>
        </w:rPr>
        <w:t xml:space="preserve"> 钼标准贮存溶液：称取0.1500 g经110℃烘干1 h并在干燥器中冷却至室温后的氧化钼</w:t>
      </w:r>
      <w:r>
        <w:rPr>
          <w:rFonts w:hint="eastAsia"/>
          <w:color w:val="000000" w:themeColor="text1"/>
          <w:szCs w:val="21"/>
          <w:lang w:val="en-US" w:eastAsia="zh-CN"/>
          <w14:textFill>
            <w14:solidFill>
              <w14:schemeClr w14:val="tx1"/>
            </w14:solidFill>
          </w14:textFill>
        </w:rPr>
        <w:t>[</w:t>
      </w:r>
      <w:r>
        <w:rPr>
          <w:rFonts w:hint="eastAsia" w:eastAsia="微软雅黑"/>
          <w:i/>
          <w:iCs/>
          <w:color w:val="000000" w:themeColor="text1"/>
          <w:szCs w:val="21"/>
          <w:lang w:eastAsia="zh-CN"/>
          <w14:textFill>
            <w14:solidFill>
              <w14:schemeClr w14:val="tx1"/>
            </w14:solidFill>
          </w14:textFill>
        </w:rPr>
        <w:t>w</w:t>
      </w:r>
      <w:r>
        <w:rPr>
          <w:rFonts w:hint="default" w:ascii="Times New Roman" w:hAnsi="Times New Roman" w:cs="Times New Roman" w:eastAsiaTheme="majorEastAsia"/>
          <w:i w:val="0"/>
          <w:iCs w:val="0"/>
          <w:color w:val="000000" w:themeColor="text1"/>
          <w:szCs w:val="21"/>
          <w:vertAlign w:val="baseline"/>
          <w:lang w:eastAsia="zh-CN"/>
          <w14:textFill>
            <w14:solidFill>
              <w14:schemeClr w14:val="tx1"/>
            </w14:solidFill>
          </w14:textFill>
        </w:rPr>
        <w:t>（</w:t>
      </w:r>
      <w:r>
        <w:rPr>
          <w:rFonts w:hint="eastAsia" w:ascii="Times New Roman" w:hAnsi="Times New Roman" w:cs="Times New Roman" w:eastAsiaTheme="majorEastAsia"/>
          <w:i w:val="0"/>
          <w:iCs w:val="0"/>
          <w:color w:val="000000" w:themeColor="text1"/>
          <w:szCs w:val="21"/>
          <w:vertAlign w:val="baseline"/>
          <w:lang w:val="en-US" w:eastAsia="zh-CN"/>
          <w14:textFill>
            <w14:solidFill>
              <w14:schemeClr w14:val="tx1"/>
            </w14:solidFill>
          </w14:textFill>
        </w:rPr>
        <w:t>Mo</w:t>
      </w:r>
      <w:r>
        <w:rPr>
          <w:rFonts w:hint="default" w:ascii="Times New Roman" w:hAnsi="Times New Roman" w:cs="Times New Roman" w:eastAsiaTheme="majorEastAsia"/>
          <w:i w:val="0"/>
          <w:iCs w:val="0"/>
          <w:color w:val="000000" w:themeColor="text1"/>
          <w:szCs w:val="21"/>
          <w:vertAlign w:val="baseline"/>
          <w:lang w:val="en-US" w:eastAsia="zh-CN"/>
          <w14:textFill>
            <w14:solidFill>
              <w14:schemeClr w14:val="tx1"/>
            </w14:solidFill>
          </w14:textFill>
        </w:rPr>
        <w:t>O</w:t>
      </w:r>
      <w:r>
        <w:rPr>
          <w:rFonts w:hint="default" w:ascii="Times New Roman" w:hAnsi="Times New Roman" w:cs="Times New Roman" w:eastAsiaTheme="majorEastAsia"/>
          <w:i w:val="0"/>
          <w:iCs w:val="0"/>
          <w:color w:val="000000" w:themeColor="text1"/>
          <w:szCs w:val="21"/>
          <w:vertAlign w:val="subscript"/>
          <w:lang w:val="en-US" w:eastAsia="zh-CN"/>
          <w14:textFill>
            <w14:solidFill>
              <w14:schemeClr w14:val="tx1"/>
            </w14:solidFill>
          </w14:textFill>
        </w:rPr>
        <w:t>3</w:t>
      </w:r>
      <w:r>
        <w:rPr>
          <w:rFonts w:hint="default" w:ascii="Times New Roman" w:hAnsi="Times New Roman" w:cs="Times New Roman" w:eastAsiaTheme="majorEastAsia"/>
          <w:i w:val="0"/>
          <w:iCs w:val="0"/>
          <w:color w:val="000000" w:themeColor="text1"/>
          <w:szCs w:val="21"/>
          <w:vertAlign w:val="baseline"/>
          <w:lang w:eastAsia="zh-CN"/>
          <w14:textFill>
            <w14:solidFill>
              <w14:schemeClr w14:val="tx1"/>
            </w14:solidFill>
          </w14:textFill>
        </w:rPr>
        <w:t>）</w:t>
      </w:r>
      <w:r>
        <w:rPr>
          <w:rFonts w:eastAsia="微软雅黑"/>
          <w:color w:val="000000" w:themeColor="text1"/>
          <w:szCs w:val="21"/>
          <w14:textFill>
            <w14:solidFill>
              <w14:schemeClr w14:val="tx1"/>
            </w14:solidFill>
          </w14:textFill>
        </w:rPr>
        <w:t>≥</w:t>
      </w:r>
      <w:r>
        <w:rPr>
          <w:rFonts w:hint="eastAsia" w:eastAsia="微软雅黑"/>
          <w:color w:val="000000" w:themeColor="text1"/>
          <w:szCs w:val="21"/>
          <w14:textFill>
            <w14:solidFill>
              <w14:schemeClr w14:val="tx1"/>
            </w14:solidFill>
          </w14:textFill>
        </w:rPr>
        <w:t>99.99%</w:t>
      </w:r>
      <w:r>
        <w:rPr>
          <w:rFonts w:hint="eastAsia" w:eastAsia="微软雅黑"/>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，置于50 mL塑料烧杯中，加入20 mL氨水（5.2.5）溶解完全，</w:t>
      </w:r>
      <w:r>
        <w:rPr>
          <w:rFonts w:hint="eastAsia" w:ascii="Times New Roman" w:hAnsi="Times New Roman" w:eastAsia="宋体" w:cs="Times New Roman"/>
          <w:kern w:val="2"/>
          <w:sz w:val="21"/>
          <w:szCs w:val="21"/>
          <w:lang w:val="en-US" w:eastAsia="zh-CN" w:bidi="ar-SA"/>
        </w:rPr>
        <w:t>若氧化钼未完全溶解，可补加5</w:t>
      </w:r>
      <w:r>
        <w:rPr>
          <w:rFonts w:hint="eastAsia"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mL氨水（</w:t>
      </w:r>
      <w:r>
        <w:rPr>
          <w:rFonts w:hint="eastAsia" w:cs="Times New Roman"/>
          <w:kern w:val="2"/>
          <w:sz w:val="21"/>
          <w:szCs w:val="21"/>
          <w:lang w:val="en-US" w:eastAsia="zh-CN" w:bidi="ar-SA"/>
        </w:rPr>
        <w:t>5</w:t>
      </w:r>
      <w:r>
        <w:rPr>
          <w:rFonts w:hint="eastAsia" w:ascii="Times New Roman" w:hAnsi="Times New Roman" w:eastAsia="宋体" w:cs="Times New Roman"/>
          <w:kern w:val="2"/>
          <w:sz w:val="21"/>
          <w:szCs w:val="21"/>
          <w:lang w:val="en-US" w:eastAsia="zh-CN" w:bidi="ar-SA"/>
        </w:rPr>
        <w:t>.2.5）并置于50℃水浴加热5</w:t>
      </w:r>
      <w:r>
        <w:rPr>
          <w:rFonts w:hint="eastAsia"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min，冷却后再定容</w:t>
      </w:r>
      <w:r>
        <w:rPr>
          <w:rFonts w:hint="eastAsia" w:cs="Times New Roman"/>
          <w:kern w:val="2"/>
          <w:sz w:val="21"/>
          <w:szCs w:val="21"/>
          <w:lang w:val="en-US" w:eastAsia="zh-CN" w:bidi="ar-SA"/>
        </w:rPr>
        <w:t>；</w:t>
      </w:r>
      <w:r>
        <w:rPr>
          <w:rFonts w:hint="eastAsia"/>
          <w:color w:val="000000" w:themeColor="text1"/>
          <w:szCs w:val="21"/>
          <w14:textFill>
            <w14:solidFill>
              <w14:schemeClr w14:val="tx1"/>
            </w14:solidFill>
          </w14:textFill>
        </w:rPr>
        <w:t xml:space="preserve">移入1000 mL塑料容量瓶中，用水稀释至刻度，混匀。此溶液1 mL含100 </w:t>
      </w:r>
      <w:r>
        <w:rPr>
          <w:rFonts w:hint="eastAsia"/>
          <w:b w:val="0"/>
          <w:i w:val="0"/>
          <w:iCs/>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g钼。</w:t>
      </w:r>
    </w:p>
    <w:p w14:paraId="5FC89EE1">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5.2.8</w:t>
      </w:r>
      <w:r>
        <w:rPr>
          <w:rFonts w:hint="eastAsia"/>
          <w:color w:val="000000" w:themeColor="text1"/>
          <w:szCs w:val="21"/>
          <w14:textFill>
            <w14:solidFill>
              <w14:schemeClr w14:val="tx1"/>
            </w14:solidFill>
          </w14:textFill>
        </w:rPr>
        <w:t xml:space="preserve"> 钨标准贮存溶液：称取0.1261 g经110℃烘干1 h并在干燥器中冷却至室温后的</w:t>
      </w:r>
      <w:r>
        <w:rPr>
          <w:rFonts w:hint="eastAsia"/>
          <w:color w:val="000000" w:themeColor="text1"/>
          <w:szCs w:val="21"/>
          <w:lang w:val="en-US" w:eastAsia="zh-CN"/>
          <w14:textFill>
            <w14:solidFill>
              <w14:schemeClr w14:val="tx1"/>
            </w14:solidFill>
          </w14:textFill>
        </w:rPr>
        <w:t>三</w:t>
      </w:r>
      <w:r>
        <w:rPr>
          <w:rFonts w:hint="eastAsia"/>
          <w:color w:val="000000" w:themeColor="text1"/>
          <w:szCs w:val="21"/>
          <w14:textFill>
            <w14:solidFill>
              <w14:schemeClr w14:val="tx1"/>
            </w14:solidFill>
          </w14:textFill>
        </w:rPr>
        <w:t>氧化钨</w:t>
      </w:r>
      <w:r>
        <w:rPr>
          <w:rFonts w:hint="eastAsia"/>
          <w:color w:val="000000" w:themeColor="text1"/>
          <w:szCs w:val="21"/>
          <w:lang w:val="en-US" w:eastAsia="zh-CN"/>
          <w14:textFill>
            <w14:solidFill>
              <w14:schemeClr w14:val="tx1"/>
            </w14:solidFill>
          </w14:textFill>
        </w:rPr>
        <w:t>[</w:t>
      </w:r>
      <w:r>
        <w:rPr>
          <w:rFonts w:hint="eastAsia" w:eastAsia="微软雅黑"/>
          <w:i/>
          <w:iCs/>
          <w:color w:val="000000" w:themeColor="text1"/>
          <w:szCs w:val="21"/>
          <w:lang w:eastAsia="zh-CN"/>
          <w14:textFill>
            <w14:solidFill>
              <w14:schemeClr w14:val="tx1"/>
            </w14:solidFill>
          </w14:textFill>
        </w:rPr>
        <w:t>w</w:t>
      </w:r>
      <w:r>
        <w:rPr>
          <w:rFonts w:hint="default" w:ascii="Times New Roman" w:hAnsi="Times New Roman" w:cs="Times New Roman" w:eastAsiaTheme="majorEastAsia"/>
          <w:i w:val="0"/>
          <w:iCs w:val="0"/>
          <w:color w:val="000000" w:themeColor="text1"/>
          <w:szCs w:val="21"/>
          <w:vertAlign w:val="baseline"/>
          <w:lang w:eastAsia="zh-CN"/>
          <w14:textFill>
            <w14:solidFill>
              <w14:schemeClr w14:val="tx1"/>
            </w14:solidFill>
          </w14:textFill>
        </w:rPr>
        <w:t>（</w:t>
      </w:r>
      <w:r>
        <w:rPr>
          <w:rFonts w:hint="default" w:ascii="Times New Roman" w:hAnsi="Times New Roman" w:cs="Times New Roman" w:eastAsiaTheme="majorEastAsia"/>
          <w:i w:val="0"/>
          <w:iCs w:val="0"/>
          <w:color w:val="000000" w:themeColor="text1"/>
          <w:szCs w:val="21"/>
          <w:vertAlign w:val="baseline"/>
          <w:lang w:val="en-US" w:eastAsia="zh-CN"/>
          <w14:textFill>
            <w14:solidFill>
              <w14:schemeClr w14:val="tx1"/>
            </w14:solidFill>
          </w14:textFill>
        </w:rPr>
        <w:t>WO</w:t>
      </w:r>
      <w:r>
        <w:rPr>
          <w:rFonts w:hint="default" w:ascii="Times New Roman" w:hAnsi="Times New Roman" w:cs="Times New Roman" w:eastAsiaTheme="majorEastAsia"/>
          <w:i w:val="0"/>
          <w:iCs w:val="0"/>
          <w:color w:val="000000" w:themeColor="text1"/>
          <w:szCs w:val="21"/>
          <w:vertAlign w:val="subscript"/>
          <w:lang w:val="en-US" w:eastAsia="zh-CN"/>
          <w14:textFill>
            <w14:solidFill>
              <w14:schemeClr w14:val="tx1"/>
            </w14:solidFill>
          </w14:textFill>
        </w:rPr>
        <w:t>3</w:t>
      </w:r>
      <w:r>
        <w:rPr>
          <w:rFonts w:hint="default" w:ascii="Times New Roman" w:hAnsi="Times New Roman" w:cs="Times New Roman" w:eastAsiaTheme="majorEastAsia"/>
          <w:i w:val="0"/>
          <w:iCs w:val="0"/>
          <w:color w:val="000000" w:themeColor="text1"/>
          <w:szCs w:val="21"/>
          <w:vertAlign w:val="baseline"/>
          <w:lang w:eastAsia="zh-CN"/>
          <w14:textFill>
            <w14:solidFill>
              <w14:schemeClr w14:val="tx1"/>
            </w14:solidFill>
          </w14:textFill>
        </w:rPr>
        <w:t>）</w:t>
      </w:r>
      <w:r>
        <w:rPr>
          <w:rFonts w:eastAsia="微软雅黑"/>
          <w:color w:val="000000" w:themeColor="text1"/>
          <w:szCs w:val="21"/>
          <w14:textFill>
            <w14:solidFill>
              <w14:schemeClr w14:val="tx1"/>
            </w14:solidFill>
          </w14:textFill>
        </w:rPr>
        <w:t>≥</w:t>
      </w:r>
      <w:r>
        <w:rPr>
          <w:rFonts w:hint="eastAsia" w:eastAsia="微软雅黑"/>
          <w:color w:val="000000" w:themeColor="text1"/>
          <w:szCs w:val="21"/>
          <w14:textFill>
            <w14:solidFill>
              <w14:schemeClr w14:val="tx1"/>
            </w14:solidFill>
          </w14:textFill>
        </w:rPr>
        <w:t>99.99%</w:t>
      </w:r>
      <w:r>
        <w:rPr>
          <w:rFonts w:hint="eastAsia" w:eastAsia="微软雅黑"/>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，置于50 mL塑料烧杯中，加入20 mL水及2.0 g氢氧化钠（5.2.1）溶解完全，</w:t>
      </w:r>
      <w:r>
        <w:rPr>
          <w:rFonts w:hint="eastAsia" w:ascii="Times New Roman" w:hAnsi="Times New Roman" w:eastAsia="宋体" w:cs="Times New Roman"/>
          <w:kern w:val="2"/>
          <w:sz w:val="21"/>
          <w:szCs w:val="21"/>
          <w:lang w:val="en-US" w:eastAsia="zh-CN" w:bidi="ar-SA"/>
        </w:rPr>
        <w:t>若三氧化钨未完全溶解，可补加1.0</w:t>
      </w:r>
      <w:r>
        <w:rPr>
          <w:rFonts w:hint="eastAsia"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g氢氧化钠（5.2.1）并搅拌至溶解，避免过量（过量会导致后续酸化时产生沉淀）</w:t>
      </w:r>
      <w:r>
        <w:rPr>
          <w:rFonts w:hint="eastAsia" w:cs="Times New Roman"/>
          <w:kern w:val="2"/>
          <w:sz w:val="21"/>
          <w:szCs w:val="21"/>
          <w:lang w:val="en-US" w:eastAsia="zh-CN" w:bidi="ar-SA"/>
        </w:rPr>
        <w:t>；</w:t>
      </w:r>
      <w:r>
        <w:rPr>
          <w:rFonts w:hint="eastAsia"/>
          <w:color w:val="000000" w:themeColor="text1"/>
          <w:szCs w:val="21"/>
          <w14:textFill>
            <w14:solidFill>
              <w14:schemeClr w14:val="tx1"/>
            </w14:solidFill>
          </w14:textFill>
        </w:rPr>
        <w:t xml:space="preserve">移入1000 mL塑料容量瓶中，用水稀释至刻度，混匀。此溶液1 mL含100 </w:t>
      </w:r>
      <w:r>
        <w:rPr>
          <w:rFonts w:hint="eastAsia"/>
          <w:b w:val="0"/>
          <w:i w:val="0"/>
          <w:iCs/>
          <w:color w:val="000000" w:themeColor="text1"/>
          <w:szCs w:val="21"/>
          <w:lang w:eastAsia="zh-CN"/>
          <w14:textFill>
            <w14:solidFill>
              <w14:schemeClr w14:val="tx1"/>
            </w14:solidFill>
          </w14:textFill>
        </w:rPr>
        <w:t>µ</w:t>
      </w:r>
      <w:r>
        <w:rPr>
          <w:rFonts w:hint="eastAsia"/>
          <w:color w:val="000000" w:themeColor="text1"/>
          <w:szCs w:val="21"/>
          <w14:textFill>
            <w14:solidFill>
              <w14:schemeClr w14:val="tx1"/>
            </w14:solidFill>
          </w14:textFill>
        </w:rPr>
        <w:t>g钨。</w:t>
      </w:r>
    </w:p>
    <w:p w14:paraId="7CF1E8E5">
      <w:pPr>
        <w:snapToGrid w:val="0"/>
        <w:rPr>
          <w:rFonts w:hint="eastAsia"/>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5.2.9</w:t>
      </w:r>
      <w:r>
        <w:rPr>
          <w:rFonts w:hint="eastAsia"/>
          <w:color w:val="000000" w:themeColor="text1"/>
          <w:szCs w:val="21"/>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钼、钨</w:t>
      </w:r>
      <w:r>
        <w:rPr>
          <w:rFonts w:hint="eastAsia"/>
          <w:color w:val="000000" w:themeColor="text1"/>
          <w:szCs w:val="21"/>
          <w14:textFill>
            <w14:solidFill>
              <w14:schemeClr w14:val="tx1"/>
            </w14:solidFill>
          </w14:textFill>
        </w:rPr>
        <w:t>混合标准溶液：分别移取2</w:t>
      </w:r>
      <w:r>
        <w:rPr>
          <w:rFonts w:hint="eastAsia"/>
          <w:color w:val="000000" w:themeColor="text1"/>
          <w:szCs w:val="21"/>
          <w:lang w:val="en-US" w:eastAsia="zh-CN"/>
          <w14:textFill>
            <w14:solidFill>
              <w14:schemeClr w14:val="tx1"/>
            </w14:solidFill>
          </w14:textFill>
        </w:rPr>
        <w:t>.00</w:t>
      </w:r>
      <w:r>
        <w:rPr>
          <w:rFonts w:hint="eastAsia"/>
          <w:color w:val="000000" w:themeColor="text1"/>
          <w:szCs w:val="21"/>
          <w14:textFill>
            <w14:solidFill>
              <w14:schemeClr w14:val="tx1"/>
            </w14:solidFill>
          </w14:textFill>
        </w:rPr>
        <w:t xml:space="preserve"> mL</w:t>
      </w:r>
      <w:r>
        <w:rPr>
          <w:rFonts w:hint="eastAsia"/>
          <w:color w:val="000000" w:themeColor="text1"/>
          <w:szCs w:val="21"/>
          <w:lang w:val="en-US" w:eastAsia="zh-CN"/>
          <w14:textFill>
            <w14:solidFill>
              <w14:schemeClr w14:val="tx1"/>
            </w14:solidFill>
          </w14:textFill>
        </w:rPr>
        <w:t>钼</w:t>
      </w:r>
      <w:r>
        <w:rPr>
          <w:rFonts w:hint="eastAsia"/>
          <w:color w:val="000000" w:themeColor="text1"/>
          <w:szCs w:val="21"/>
          <w14:textFill>
            <w14:solidFill>
              <w14:schemeClr w14:val="tx1"/>
            </w14:solidFill>
          </w14:textFill>
        </w:rPr>
        <w:t>标准贮存溶液（5.2.</w:t>
      </w: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）和</w:t>
      </w:r>
      <w:r>
        <w:rPr>
          <w:rFonts w:hint="eastAsia"/>
          <w:color w:val="000000" w:themeColor="text1"/>
          <w:szCs w:val="21"/>
          <w:lang w:val="en-US" w:eastAsia="zh-CN"/>
          <w14:textFill>
            <w14:solidFill>
              <w14:schemeClr w14:val="tx1"/>
            </w14:solidFill>
          </w14:textFill>
        </w:rPr>
        <w:t>钨</w:t>
      </w:r>
      <w:r>
        <w:rPr>
          <w:rFonts w:hint="eastAsia"/>
          <w:color w:val="000000" w:themeColor="text1"/>
          <w:szCs w:val="21"/>
          <w14:textFill>
            <w14:solidFill>
              <w14:schemeClr w14:val="tx1"/>
            </w14:solidFill>
          </w14:textFill>
        </w:rPr>
        <w:t>标准贮存溶液（5.2.8）于200 mL塑料容量瓶中，加入5 mL氢氟酸（5.2.3），用水稀释至刻度，混匀。此溶液1 mL含1000 ng钼和1000 ng钨。</w:t>
      </w:r>
    </w:p>
    <w:p w14:paraId="19C60384">
      <w:pPr>
        <w:snapToGrid w:val="0"/>
        <w:rPr>
          <w:rFonts w:hint="eastAsia"/>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5.2.10</w:t>
      </w:r>
      <w:r>
        <w:rPr>
          <w:rFonts w:hint="eastAsia"/>
          <w:color w:val="000000" w:themeColor="text1"/>
          <w:szCs w:val="21"/>
          <w:highlight w:val="none"/>
          <w14:textFill>
            <w14:solidFill>
              <w14:schemeClr w14:val="tx1"/>
            </w14:solidFill>
          </w14:textFill>
        </w:rPr>
        <w:t xml:space="preserve"> 铯内标贮存溶液：称取0.1270g 氯化铯，加入10mL 水及2 mL 硝酸(</w:t>
      </w:r>
      <w:r>
        <w:rPr>
          <w:rFonts w:hint="eastAsia"/>
          <w:color w:val="000000" w:themeColor="text1"/>
          <w:szCs w:val="21"/>
          <w:highlight w:val="none"/>
          <w:lang w:val="en-US" w:eastAsia="zh-CN"/>
          <w14:textFill>
            <w14:solidFill>
              <w14:schemeClr w14:val="tx1"/>
            </w14:solidFill>
          </w14:textFill>
        </w:rPr>
        <w:t>5.2.2</w:t>
      </w:r>
      <w:r>
        <w:rPr>
          <w:rFonts w:hint="eastAsia"/>
          <w:color w:val="000000" w:themeColor="text1"/>
          <w:szCs w:val="21"/>
          <w:highlight w:val="none"/>
          <w14:textFill>
            <w14:solidFill>
              <w14:schemeClr w14:val="tx1"/>
            </w14:solidFill>
          </w14:textFill>
        </w:rPr>
        <w:t>)，溶解至清，冷却。移入100 mL容量瓶中，用水稀释至刻度，混匀。此溶液1mL 含 1 mg 铯。</w:t>
      </w:r>
    </w:p>
    <w:p w14:paraId="7AA9097B">
      <w:pPr>
        <w:snapToGrid w:val="0"/>
        <w:rPr>
          <w:rFonts w:hint="eastAsia"/>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5.2.11</w:t>
      </w:r>
      <w:r>
        <w:rPr>
          <w:rFonts w:hint="eastAsia" w:ascii="黑体" w:hAnsi="黑体" w:eastAsia="黑体" w:cs="黑体"/>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铊内标贮存溶液：称取0.1173</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g氯化铊，加10</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mL水，溶解完全，加10</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mL硝酸（5.2.2），移入100</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mL容量瓶中，用水稀释至刻度，混匀。此溶液1</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mL含1</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mg铊。</w:t>
      </w:r>
    </w:p>
    <w:p w14:paraId="6BA4BACA">
      <w:pPr>
        <w:snapToGrid w:val="0"/>
        <w:rPr>
          <w:rFonts w:hint="eastAsia"/>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 xml:space="preserve">5.2.12 </w:t>
      </w:r>
      <w:r>
        <w:rPr>
          <w:rFonts w:hint="eastAsia"/>
          <w:color w:val="000000" w:themeColor="text1"/>
          <w:szCs w:val="21"/>
          <w:highlight w:val="none"/>
          <w14:textFill>
            <w14:solidFill>
              <w14:schemeClr w14:val="tx1"/>
            </w14:solidFill>
          </w14:textFill>
        </w:rPr>
        <w:t>铑内标贮存溶液：称取0.256</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g氯化铑水合物，加10</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mL水，溶解完全，加10</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mL硝酸（5.2.2），移入100</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mL容量瓶中，用水稀释至刻度，混匀。此溶液1</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mL含1</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mg铑。</w:t>
      </w:r>
    </w:p>
    <w:p w14:paraId="4BF1A8F2">
      <w:pPr>
        <w:snapToGrid w:val="0"/>
        <w:rPr>
          <w:rFonts w:hint="eastAsia"/>
          <w:color w:val="000000" w:themeColor="text1"/>
          <w:szCs w:val="21"/>
          <w:highlight w:val="none"/>
          <w14:textFill>
            <w14:solidFill>
              <w14:schemeClr w14:val="tx1"/>
            </w14:solidFill>
          </w14:textFill>
        </w:rPr>
      </w:pPr>
      <w:r>
        <w:rPr>
          <w:rFonts w:hint="eastAsia" w:ascii="黑体" w:hAnsi="黑体" w:eastAsia="黑体" w:cs="黑体"/>
          <w:color w:val="000000" w:themeColor="text1"/>
          <w:szCs w:val="21"/>
          <w:highlight w:val="none"/>
          <w:lang w:val="en-US" w:eastAsia="zh-CN"/>
          <w14:textFill>
            <w14:solidFill>
              <w14:schemeClr w14:val="tx1"/>
            </w14:solidFill>
          </w14:textFill>
        </w:rPr>
        <w:t>5.2.13</w:t>
      </w:r>
      <w:r>
        <w:rPr>
          <w:rFonts w:hint="eastAsia"/>
          <w:color w:val="000000" w:themeColor="text1"/>
          <w:szCs w:val="21"/>
          <w:highlight w:val="none"/>
          <w:lang w:val="en-US" w:eastAsia="zh-CN"/>
          <w14:textFill>
            <w14:solidFill>
              <w14:schemeClr w14:val="tx1"/>
            </w14:solidFill>
          </w14:textFill>
        </w:rPr>
        <w:t xml:space="preserve"> 铯、</w:t>
      </w:r>
      <w:r>
        <w:rPr>
          <w:rFonts w:hint="eastAsia"/>
          <w:color w:val="000000" w:themeColor="text1"/>
          <w:szCs w:val="21"/>
          <w:highlight w:val="none"/>
          <w14:textFill>
            <w14:solidFill>
              <w14:schemeClr w14:val="tx1"/>
            </w14:solidFill>
          </w14:textFill>
        </w:rPr>
        <w:t>铑、铊内标混合溶液：移取1</w:t>
      </w:r>
      <w:r>
        <w:rPr>
          <w:rFonts w:hint="eastAsia"/>
          <w:color w:val="000000" w:themeColor="text1"/>
          <w:szCs w:val="21"/>
          <w:highlight w:val="none"/>
          <w:lang w:val="en-US" w:eastAsia="zh-CN"/>
          <w14:textFill>
            <w14:solidFill>
              <w14:schemeClr w14:val="tx1"/>
            </w14:solidFill>
          </w14:textFill>
        </w:rPr>
        <w:t>.00</w:t>
      </w:r>
      <w:r>
        <w:rPr>
          <w:rFonts w:hint="eastAsia"/>
          <w:color w:val="000000" w:themeColor="text1"/>
          <w:szCs w:val="21"/>
          <w:highlight w:val="none"/>
          <w14:textFill>
            <w14:solidFill>
              <w14:schemeClr w14:val="tx1"/>
            </w14:solidFill>
          </w14:textFill>
        </w:rPr>
        <w:t xml:space="preserve"> mL铯内标贮存溶液（5.2.10）</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.00</w:t>
      </w:r>
      <w:r>
        <w:rPr>
          <w:rFonts w:hint="eastAsia"/>
          <w:color w:val="000000" w:themeColor="text1"/>
          <w:szCs w:val="21"/>
          <w:highlight w:val="none"/>
          <w14:textFill>
            <w14:solidFill>
              <w14:schemeClr w14:val="tx1"/>
            </w14:solidFill>
          </w14:textFill>
        </w:rPr>
        <w:t xml:space="preserve"> mL铊内标贮存溶液（5.2.11）</w:t>
      </w:r>
      <w:r>
        <w:rPr>
          <w:rFonts w:hint="eastAsia"/>
          <w:color w:val="000000" w:themeColor="text1"/>
          <w:szCs w:val="21"/>
          <w:highlight w:val="none"/>
          <w:lang w:val="en-US" w:eastAsia="zh-CN"/>
          <w14:textFill>
            <w14:solidFill>
              <w14:schemeClr w14:val="tx1"/>
            </w14:solidFill>
          </w14:textFill>
        </w:rPr>
        <w:t>及</w:t>
      </w: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.00</w:t>
      </w:r>
      <w:r>
        <w:rPr>
          <w:rFonts w:hint="eastAsia"/>
          <w:color w:val="000000" w:themeColor="text1"/>
          <w:szCs w:val="21"/>
          <w:highlight w:val="none"/>
          <w14:textFill>
            <w14:solidFill>
              <w14:schemeClr w14:val="tx1"/>
            </w14:solidFill>
          </w14:textFill>
        </w:rPr>
        <w:t xml:space="preserve"> mL铑内标贮存溶液（5.2.1</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）于1000 mL容量瓶中，加入2 mL硝酸（5.2.2），以水稀释至刻度，混匀。此溶液1 mL含1000 ng</w:t>
      </w:r>
      <w:r>
        <w:rPr>
          <w:rFonts w:hint="eastAsia"/>
          <w:color w:val="000000" w:themeColor="text1"/>
          <w:szCs w:val="21"/>
          <w:highlight w:val="none"/>
          <w:lang w:val="en-US" w:eastAsia="zh-CN"/>
          <w14:textFill>
            <w14:solidFill>
              <w14:schemeClr w14:val="tx1"/>
            </w14:solidFill>
          </w14:textFill>
        </w:rPr>
        <w:t>铯、</w:t>
      </w:r>
      <w:r>
        <w:rPr>
          <w:rFonts w:hint="eastAsia"/>
          <w:color w:val="000000" w:themeColor="text1"/>
          <w:szCs w:val="21"/>
          <w:highlight w:val="none"/>
          <w14:textFill>
            <w14:solidFill>
              <w14:schemeClr w14:val="tx1"/>
            </w14:solidFill>
          </w14:textFill>
        </w:rPr>
        <w:t>铑、铊。</w:t>
      </w:r>
    </w:p>
    <w:p w14:paraId="49F9958E">
      <w:pPr>
        <w:snapToGrid w:val="0"/>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5.2.1</w:t>
      </w:r>
      <w:r>
        <w:rPr>
          <w:rFonts w:hint="eastAsia" w:ascii="黑体" w:hAnsi="黑体" w:eastAsia="黑体" w:cs="黑体"/>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 xml:space="preserve"> 氩气：体积分数</w:t>
      </w:r>
      <w:r>
        <w:rPr>
          <w:rFonts w:hint="eastAsia"/>
          <w:color w:val="000000" w:themeColor="text1"/>
          <w:szCs w:val="21"/>
          <w:lang w:val="en-US" w:eastAsia="zh-CN"/>
          <w14:textFill>
            <w14:solidFill>
              <w14:schemeClr w14:val="tx1"/>
            </w14:solidFill>
          </w14:textFill>
        </w:rPr>
        <w:t>不小于</w:t>
      </w:r>
      <w:r>
        <w:rPr>
          <w:rFonts w:hint="eastAsia"/>
          <w:color w:val="000000" w:themeColor="text1"/>
          <w:szCs w:val="21"/>
          <w14:textFill>
            <w14:solidFill>
              <w14:schemeClr w14:val="tx1"/>
            </w14:solidFill>
          </w14:textFill>
        </w:rPr>
        <w:t>99.99%。</w:t>
      </w:r>
    </w:p>
    <w:p w14:paraId="5358F58B">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5.3 </w:t>
      </w:r>
      <w:r>
        <w:rPr>
          <w:rFonts w:hint="eastAsia" w:ascii="Times New Roman"/>
          <w:color w:val="000000" w:themeColor="text1"/>
          <w14:textFill>
            <w14:solidFill>
              <w14:schemeClr w14:val="tx1"/>
            </w14:solidFill>
          </w14:textFill>
        </w:rPr>
        <w:t>仪器设备</w:t>
      </w:r>
    </w:p>
    <w:p w14:paraId="57EFE4A7">
      <w:pPr>
        <w:pStyle w:val="57"/>
        <w:spacing w:line="240" w:lineRule="auto"/>
        <w:ind w:left="-105" w:leftChars="-50" w:firstLine="105" w:firstLineChars="50"/>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 xml:space="preserve">5.3.1 </w:t>
      </w:r>
      <w:r>
        <w:rPr>
          <w:rFonts w:hint="eastAsia"/>
          <w:color w:val="000000" w:themeColor="text1"/>
          <w:szCs w:val="21"/>
          <w14:textFill>
            <w14:solidFill>
              <w14:schemeClr w14:val="tx1"/>
            </w14:solidFill>
          </w14:textFill>
        </w:rPr>
        <w:t>电感耦合</w:t>
      </w:r>
      <w:r>
        <w:rPr>
          <w:color w:val="000000" w:themeColor="text1"/>
          <w:szCs w:val="21"/>
          <w14:textFill>
            <w14:solidFill>
              <w14:schemeClr w14:val="tx1"/>
            </w14:solidFill>
          </w14:textFill>
        </w:rPr>
        <w:t>等离子体</w:t>
      </w:r>
      <w:r>
        <w:rPr>
          <w:rFonts w:hint="eastAsia"/>
          <w:color w:val="000000" w:themeColor="text1"/>
          <w:szCs w:val="21"/>
          <w14:textFill>
            <w14:solidFill>
              <w14:schemeClr w14:val="tx1"/>
            </w14:solidFill>
          </w14:textFill>
        </w:rPr>
        <w:t>质谱</w:t>
      </w:r>
      <w:r>
        <w:rPr>
          <w:color w:val="000000" w:themeColor="text1"/>
          <w:szCs w:val="21"/>
          <w14:textFill>
            <w14:solidFill>
              <w14:schemeClr w14:val="tx1"/>
            </w14:solidFill>
          </w14:textFill>
        </w:rPr>
        <w:t>仪</w:t>
      </w:r>
    </w:p>
    <w:p w14:paraId="5FC1CEC1">
      <w:pPr>
        <w:pStyle w:val="57"/>
        <w:spacing w:line="240" w:lineRule="auto"/>
        <w:ind w:left="-105" w:leftChars="-50" w:firstLine="525" w:firstLineChars="250"/>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在仪器最佳工作条件下，凡能达到下列指标者均可使用。</w:t>
      </w:r>
    </w:p>
    <w:p w14:paraId="129DAE3A">
      <w:pPr>
        <w:pStyle w:val="57"/>
        <w:spacing w:line="240" w:lineRule="auto"/>
        <w:ind w:left="-105" w:leftChars="-50" w:firstLine="525" w:firstLineChars="250"/>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——符合JJF 1159中要求的四极杆等离子体质谱仪校准项目和技术指标；</w:t>
      </w:r>
    </w:p>
    <w:p w14:paraId="11202C55">
      <w:pPr>
        <w:pStyle w:val="57"/>
        <w:spacing w:line="240" w:lineRule="auto"/>
        <w:ind w:left="-105" w:leftChars="-50" w:firstLine="525" w:firstLineChars="250"/>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——测</w:t>
      </w:r>
      <w:r>
        <w:rPr>
          <w:rFonts w:hint="eastAsia"/>
          <w:color w:val="000000" w:themeColor="text1"/>
          <w:szCs w:val="21"/>
          <w:lang w:val="en-US" w:eastAsia="zh-CN"/>
          <w14:textFill>
            <w14:solidFill>
              <w14:schemeClr w14:val="tx1"/>
            </w14:solidFill>
          </w14:textFill>
        </w:rPr>
        <w:t>定</w:t>
      </w:r>
      <w:r>
        <w:rPr>
          <w:rFonts w:hint="eastAsia"/>
          <w:color w:val="000000" w:themeColor="text1"/>
          <w:szCs w:val="21"/>
          <w14:textFill>
            <w14:solidFill>
              <w14:schemeClr w14:val="tx1"/>
            </w14:solidFill>
          </w14:textFill>
        </w:rPr>
        <w:t>元素的同位素质量数见表4。</w:t>
      </w:r>
    </w:p>
    <w:p w14:paraId="2CFCCCD5">
      <w:pPr>
        <w:adjustRightInd w:val="0"/>
        <w:spacing w:line="360" w:lineRule="auto"/>
        <w:ind w:left="178" w:leftChars="85" w:right="-153" w:rightChars="-73"/>
        <w:jc w:val="center"/>
        <w:textAlignment w:val="baseline"/>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表4 测量元素同位素质量数</w:t>
      </w:r>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2459"/>
        <w:gridCol w:w="2464"/>
        <w:gridCol w:w="2474"/>
      </w:tblGrid>
      <w:tr w14:paraId="49A2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1" w:type="pct"/>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14:paraId="3122E4B7">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1286" w:type="pct"/>
            <w:tcBorders>
              <w:top w:val="single" w:color="000000" w:sz="12" w:space="0"/>
              <w:left w:val="single" w:color="000000" w:sz="4" w:space="0"/>
              <w:bottom w:val="single" w:color="auto" w:sz="12" w:space="0"/>
              <w:right w:val="double" w:color="auto" w:sz="4" w:space="0"/>
            </w:tcBorders>
            <w:shd w:val="clear" w:color="auto" w:fill="FFFFFF"/>
            <w:noWrap/>
          </w:tcPr>
          <w:p w14:paraId="348993B8">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质量数</w:t>
            </w:r>
          </w:p>
        </w:tc>
        <w:tc>
          <w:tcPr>
            <w:tcW w:w="1289" w:type="pct"/>
            <w:tcBorders>
              <w:top w:val="single" w:color="000000" w:sz="12" w:space="0"/>
              <w:left w:val="double" w:color="auto" w:sz="4" w:space="0"/>
              <w:bottom w:val="single" w:color="auto" w:sz="12" w:space="0"/>
              <w:right w:val="single" w:color="auto" w:sz="4" w:space="0"/>
            </w:tcBorders>
            <w:shd w:val="clear" w:color="auto" w:fill="FFFFFF"/>
            <w:noWrap/>
          </w:tcPr>
          <w:p w14:paraId="2C2EE7E5">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测定内标</w:t>
            </w:r>
          </w:p>
        </w:tc>
        <w:tc>
          <w:tcPr>
            <w:tcW w:w="1291" w:type="pct"/>
            <w:tcBorders>
              <w:top w:val="single" w:color="000000" w:sz="12" w:space="0"/>
              <w:left w:val="single" w:color="auto" w:sz="4" w:space="0"/>
              <w:bottom w:val="single" w:color="auto" w:sz="12" w:space="0"/>
              <w:right w:val="single" w:color="000000" w:sz="12" w:space="0"/>
            </w:tcBorders>
            <w:shd w:val="clear" w:color="auto" w:fill="FFFFFF"/>
            <w:noWrap/>
          </w:tcPr>
          <w:p w14:paraId="6A6B9B45">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质量数</w:t>
            </w:r>
          </w:p>
        </w:tc>
      </w:tr>
      <w:tr w14:paraId="4CAB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131" w:type="pct"/>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4EFEF932">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钼</w:t>
            </w:r>
          </w:p>
        </w:tc>
        <w:tc>
          <w:tcPr>
            <w:tcW w:w="1286" w:type="pct"/>
            <w:tcBorders>
              <w:top w:val="single" w:color="000000" w:sz="4" w:space="0"/>
              <w:left w:val="single" w:color="000000" w:sz="4" w:space="0"/>
              <w:bottom w:val="single" w:color="000000" w:sz="4" w:space="0"/>
              <w:right w:val="double" w:color="auto" w:sz="4" w:space="0"/>
            </w:tcBorders>
            <w:shd w:val="clear" w:color="auto" w:fill="FFFFFF"/>
            <w:noWrap/>
            <w:vAlign w:val="center"/>
          </w:tcPr>
          <w:p w14:paraId="5670FA9F">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95、98</w:t>
            </w:r>
          </w:p>
        </w:tc>
        <w:tc>
          <w:tcPr>
            <w:tcW w:w="1289" w:type="pct"/>
            <w:tcBorders>
              <w:top w:val="single" w:color="000000" w:sz="4" w:space="0"/>
              <w:left w:val="double" w:color="auto" w:sz="4" w:space="0"/>
              <w:bottom w:val="single" w:color="000000" w:sz="4" w:space="0"/>
              <w:right w:val="single" w:color="auto" w:sz="4" w:space="0"/>
            </w:tcBorders>
            <w:shd w:val="clear" w:color="auto" w:fill="FFFFFF"/>
            <w:noWrap/>
            <w:vAlign w:val="center"/>
          </w:tcPr>
          <w:p w14:paraId="1477251F">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铑</w:t>
            </w:r>
          </w:p>
        </w:tc>
        <w:tc>
          <w:tcPr>
            <w:tcW w:w="1291" w:type="pct"/>
            <w:tcBorders>
              <w:top w:val="single" w:color="000000" w:sz="4" w:space="0"/>
              <w:left w:val="single" w:color="auto" w:sz="4" w:space="0"/>
              <w:bottom w:val="single" w:color="000000" w:sz="4" w:space="0"/>
              <w:right w:val="single" w:color="000000" w:sz="12" w:space="0"/>
            </w:tcBorders>
            <w:shd w:val="clear" w:color="auto" w:fill="FFFFFF"/>
            <w:noWrap/>
            <w:vAlign w:val="center"/>
          </w:tcPr>
          <w:p w14:paraId="55938D99">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103</w:t>
            </w:r>
          </w:p>
        </w:tc>
      </w:tr>
      <w:tr w14:paraId="0F63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131" w:type="pct"/>
            <w:tcBorders>
              <w:top w:val="single" w:color="000000" w:sz="4" w:space="0"/>
              <w:left w:val="single" w:color="000000" w:sz="12" w:space="0"/>
              <w:bottom w:val="single" w:color="000000" w:sz="4" w:space="0"/>
              <w:right w:val="single" w:color="000000" w:sz="4" w:space="0"/>
            </w:tcBorders>
            <w:shd w:val="clear" w:color="auto" w:fill="FFFFFF"/>
            <w:noWrap/>
            <w:vAlign w:val="center"/>
          </w:tcPr>
          <w:p w14:paraId="7F53BF3B">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钨</w:t>
            </w:r>
          </w:p>
        </w:tc>
        <w:tc>
          <w:tcPr>
            <w:tcW w:w="1286" w:type="pct"/>
            <w:tcBorders>
              <w:top w:val="single" w:color="000000" w:sz="4" w:space="0"/>
              <w:left w:val="single" w:color="000000" w:sz="4" w:space="0"/>
              <w:bottom w:val="single" w:color="000000" w:sz="4" w:space="0"/>
              <w:right w:val="double" w:color="auto" w:sz="4" w:space="0"/>
            </w:tcBorders>
            <w:shd w:val="clear" w:color="auto" w:fill="FFFFFF"/>
            <w:noWrap/>
            <w:vAlign w:val="center"/>
          </w:tcPr>
          <w:p w14:paraId="2DC8B1A1">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184、186</w:t>
            </w:r>
          </w:p>
        </w:tc>
        <w:tc>
          <w:tcPr>
            <w:tcW w:w="1289" w:type="pct"/>
            <w:tcBorders>
              <w:top w:val="single" w:color="000000" w:sz="4" w:space="0"/>
              <w:left w:val="double" w:color="auto" w:sz="4" w:space="0"/>
              <w:bottom w:val="single" w:color="000000" w:sz="4" w:space="0"/>
              <w:right w:val="single" w:color="auto" w:sz="4" w:space="0"/>
            </w:tcBorders>
            <w:shd w:val="clear" w:color="auto" w:fill="FFFFFF"/>
            <w:noWrap/>
            <w:vAlign w:val="center"/>
          </w:tcPr>
          <w:p w14:paraId="1AA1BE33">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铊</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铯</w:t>
            </w:r>
          </w:p>
        </w:tc>
        <w:tc>
          <w:tcPr>
            <w:tcW w:w="1291" w:type="pct"/>
            <w:tcBorders>
              <w:top w:val="single" w:color="000000" w:sz="4" w:space="0"/>
              <w:left w:val="single" w:color="auto" w:sz="4" w:space="0"/>
              <w:bottom w:val="single" w:color="000000" w:sz="4" w:space="0"/>
              <w:right w:val="single" w:color="000000" w:sz="12" w:space="0"/>
            </w:tcBorders>
            <w:shd w:val="clear" w:color="auto" w:fill="FFFFFF"/>
            <w:noWrap/>
            <w:vAlign w:val="center"/>
          </w:tcPr>
          <w:p w14:paraId="61B3B589">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205</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133</w:t>
            </w:r>
          </w:p>
        </w:tc>
      </w:tr>
      <w:tr w14:paraId="541B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00" w:type="pct"/>
            <w:gridSpan w:val="4"/>
            <w:tcBorders>
              <w:top w:val="single" w:color="000000" w:sz="4" w:space="0"/>
              <w:left w:val="single" w:color="000000" w:sz="12" w:space="0"/>
              <w:bottom w:val="single" w:color="000000" w:sz="12" w:space="0"/>
              <w:right w:val="single" w:color="000000" w:sz="12" w:space="0"/>
            </w:tcBorders>
            <w:shd w:val="clear" w:color="auto" w:fill="FFFFFF"/>
            <w:noWrap/>
            <w:vAlign w:val="center"/>
          </w:tcPr>
          <w:p w14:paraId="0C0EACA4">
            <w:pPr>
              <w:jc w:val="left"/>
              <w:rPr>
                <w:rFonts w:hint="default" w:eastAsia="宋体"/>
                <w:color w:val="000000" w:themeColor="text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lang w:val="en-US" w:eastAsia="zh-CN"/>
                <w14:textFill>
                  <w14:solidFill>
                    <w14:schemeClr w14:val="tx1"/>
                  </w14:solidFill>
                </w14:textFill>
              </w:rPr>
              <w:t>注：</w:t>
            </w:r>
            <w:r>
              <w:rPr>
                <w:rFonts w:hint="eastAsia"/>
                <w:color w:val="000000" w:themeColor="text1"/>
                <w:sz w:val="18"/>
                <w:szCs w:val="18"/>
                <w:lang w:val="en-US" w:eastAsia="zh-CN"/>
                <w14:textFill>
                  <w14:solidFill>
                    <w14:schemeClr w14:val="tx1"/>
                  </w14:solidFill>
                </w14:textFill>
              </w:rPr>
              <w:t>金属铒及含铒金属测定钨质量数选择186。</w:t>
            </w:r>
          </w:p>
        </w:tc>
      </w:tr>
    </w:tbl>
    <w:p w14:paraId="784E6591">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5.4</w:t>
      </w:r>
      <w:r>
        <w:rPr>
          <w:rFonts w:hint="eastAsia" w:ascii="Times New Roman"/>
          <w:color w:val="000000" w:themeColor="text1"/>
          <w14:textFill>
            <w14:solidFill>
              <w14:schemeClr w14:val="tx1"/>
            </w14:solidFill>
          </w14:textFill>
        </w:rPr>
        <w:t xml:space="preserve"> 样品</w:t>
      </w:r>
    </w:p>
    <w:p w14:paraId="5B2F7750">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金属样品应去掉表面氧化层，取样后立即称量。</w:t>
      </w:r>
    </w:p>
    <w:p w14:paraId="5CC8C3A8">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5.5 </w:t>
      </w:r>
      <w:r>
        <w:rPr>
          <w:rFonts w:hint="eastAsia" w:ascii="Times New Roman"/>
          <w:color w:val="000000" w:themeColor="text1"/>
          <w14:textFill>
            <w14:solidFill>
              <w14:schemeClr w14:val="tx1"/>
            </w14:solidFill>
          </w14:textFill>
        </w:rPr>
        <w:t>试验步骤</w:t>
      </w:r>
    </w:p>
    <w:p w14:paraId="3C502336">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5.5.1</w:t>
      </w:r>
      <w:r>
        <w:rPr>
          <w:rFonts w:hint="eastAsia" w:ascii="Times New Roman"/>
          <w:color w:val="000000" w:themeColor="text1"/>
          <w14:textFill>
            <w14:solidFill>
              <w14:schemeClr w14:val="tx1"/>
            </w14:solidFill>
          </w14:textFill>
        </w:rPr>
        <w:t xml:space="preserve"> 试料</w:t>
      </w:r>
    </w:p>
    <w:p w14:paraId="1956DB67">
      <w:pPr>
        <w:snapToGrid w:val="0"/>
        <w:ind w:firstLine="420" w:firstLineChars="200"/>
        <w:rPr>
          <w:color w:val="000000" w:themeColor="text1"/>
          <w:kern w:val="0"/>
          <w:szCs w:val="20"/>
          <w14:textFill>
            <w14:solidFill>
              <w14:schemeClr w14:val="tx1"/>
            </w14:solidFill>
          </w14:textFill>
        </w:rPr>
      </w:pPr>
      <w:r>
        <w:rPr>
          <w:color w:val="000000" w:themeColor="text1"/>
          <w14:textFill>
            <w14:solidFill>
              <w14:schemeClr w14:val="tx1"/>
            </w14:solidFill>
          </w14:textFill>
        </w:rPr>
        <w:t>称取</w:t>
      </w:r>
      <w:r>
        <w:rPr>
          <w:rFonts w:hint="eastAsia"/>
          <w:color w:val="000000" w:themeColor="text1"/>
          <w14:textFill>
            <w14:solidFill>
              <w14:schemeClr w14:val="tx1"/>
            </w14:solidFill>
          </w14:textFill>
        </w:rPr>
        <w:t>1.0</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样品</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），精确至0.0001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g。</w:t>
      </w:r>
    </w:p>
    <w:p w14:paraId="3DFDB948">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5.5.2 </w:t>
      </w:r>
      <w:r>
        <w:rPr>
          <w:rFonts w:hint="eastAsia" w:ascii="Times New Roman"/>
          <w:color w:val="000000" w:themeColor="text1"/>
          <w14:textFill>
            <w14:solidFill>
              <w14:schemeClr w14:val="tx1"/>
            </w14:solidFill>
          </w14:textFill>
        </w:rPr>
        <w:t>平行试验</w:t>
      </w:r>
    </w:p>
    <w:p w14:paraId="0382B8A1">
      <w:pPr>
        <w:snapToGrid w:val="0"/>
        <w:ind w:firstLine="420" w:firstLineChars="200"/>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平行做两份试验。</w:t>
      </w:r>
    </w:p>
    <w:p w14:paraId="486E99F0">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5.5.3</w:t>
      </w:r>
      <w:r>
        <w:rPr>
          <w:rFonts w:hint="eastAsia" w:ascii="Times New Roman"/>
          <w:color w:val="000000" w:themeColor="text1"/>
          <w14:textFill>
            <w14:solidFill>
              <w14:schemeClr w14:val="tx1"/>
            </w14:solidFill>
          </w14:textFill>
        </w:rPr>
        <w:t xml:space="preserve"> 空白试验</w:t>
      </w:r>
    </w:p>
    <w:p w14:paraId="0D0545FD">
      <w:pPr>
        <w:pStyle w:val="43"/>
        <w:snapToGrid w:val="0"/>
        <w:ind w:firstLine="405" w:firstLineChars="193"/>
        <w:rPr>
          <w:color w:val="000000" w:themeColor="text1"/>
          <w:szCs w:val="21"/>
          <w14:textFill>
            <w14:solidFill>
              <w14:schemeClr w14:val="tx1"/>
            </w14:solidFill>
          </w14:textFill>
        </w:rPr>
      </w:pPr>
      <w:r>
        <w:rPr>
          <w:color w:val="000000" w:themeColor="text1"/>
          <w:szCs w:val="21"/>
          <w14:textFill>
            <w14:solidFill>
              <w14:schemeClr w14:val="tx1"/>
            </w14:solidFill>
          </w14:textFill>
        </w:rPr>
        <w:t>随同试料</w:t>
      </w:r>
      <w:r>
        <w:rPr>
          <w:rFonts w:hint="eastAsia"/>
          <w:color w:val="000000" w:themeColor="text1"/>
          <w:szCs w:val="21"/>
          <w14:textFill>
            <w14:solidFill>
              <w14:schemeClr w14:val="tx1"/>
            </w14:solidFill>
          </w14:textFill>
        </w:rPr>
        <w:t>做</w:t>
      </w:r>
      <w:r>
        <w:rPr>
          <w:color w:val="000000" w:themeColor="text1"/>
          <w:szCs w:val="21"/>
          <w14:textFill>
            <w14:solidFill>
              <w14:schemeClr w14:val="tx1"/>
            </w14:solidFill>
          </w14:textFill>
        </w:rPr>
        <w:t>空白</w:t>
      </w:r>
      <w:r>
        <w:rPr>
          <w:rFonts w:hint="eastAsia"/>
          <w:color w:val="000000" w:themeColor="text1"/>
          <w:szCs w:val="21"/>
          <w14:textFill>
            <w14:solidFill>
              <w14:schemeClr w14:val="tx1"/>
            </w14:solidFill>
          </w14:textFill>
        </w:rPr>
        <w:t>试验。</w:t>
      </w:r>
    </w:p>
    <w:p w14:paraId="58C9783F">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5.5.4</w:t>
      </w:r>
      <w:r>
        <w:rPr>
          <w:rFonts w:hint="eastAsia" w:hAnsi="黑体" w:cs="黑体"/>
          <w:color w:val="000000" w:themeColor="text1"/>
          <w:kern w:val="2"/>
          <w:szCs w:val="21"/>
          <w:lang w:val="en-US" w:eastAsia="zh-CN"/>
          <w14:textFill>
            <w14:solidFill>
              <w14:schemeClr w14:val="tx1"/>
            </w14:solidFill>
          </w14:textFill>
        </w:rPr>
        <w:t xml:space="preserve"> </w:t>
      </w:r>
      <w:r>
        <w:rPr>
          <w:rFonts w:hint="eastAsia" w:ascii="Times New Roman"/>
          <w:color w:val="000000" w:themeColor="text1"/>
          <w14:textFill>
            <w14:solidFill>
              <w14:schemeClr w14:val="tx1"/>
            </w14:solidFill>
          </w14:textFill>
        </w:rPr>
        <w:t>分析试液的制备</w:t>
      </w:r>
    </w:p>
    <w:p w14:paraId="76281CD5">
      <w:pPr>
        <w:pStyle w:val="57"/>
        <w:snapToGrid w:val="0"/>
        <w:spacing w:line="240" w:lineRule="auto"/>
        <w:jc w:val="both"/>
        <w:rPr>
          <w:color w:val="000000" w:themeColor="text1"/>
          <w:szCs w:val="21"/>
          <w:highlight w:val="none"/>
          <w14:textFill>
            <w14:solidFill>
              <w14:schemeClr w14:val="tx1"/>
            </w14:solidFill>
          </w14:textFill>
        </w:rPr>
      </w:pPr>
      <w:r>
        <w:rPr>
          <w:rFonts w:hint="eastAsia" w:ascii="黑体" w:hAnsi="黑体" w:eastAsia="黑体" w:cs="黑体"/>
          <w:color w:val="000000" w:themeColor="text1"/>
          <w:kern w:val="2"/>
          <w:szCs w:val="21"/>
          <w:highlight w:val="none"/>
          <w14:textFill>
            <w14:solidFill>
              <w14:schemeClr w14:val="tx1"/>
            </w14:solidFill>
          </w14:textFill>
        </w:rPr>
        <w:t>5.5.4.1</w:t>
      </w:r>
      <w:r>
        <w:rPr>
          <w:rFonts w:hint="eastAsia"/>
          <w:color w:val="000000" w:themeColor="text1"/>
          <w:szCs w:val="21"/>
          <w:highlight w:val="none"/>
          <w14:textFill>
            <w14:solidFill>
              <w14:schemeClr w14:val="tx1"/>
            </w14:solidFill>
          </w14:textFill>
        </w:rPr>
        <w:t xml:space="preserve"> 将试料（5.5.1）置于200 mL聚四氟乙烯烧杯中，用</w:t>
      </w:r>
      <w:r>
        <w:rPr>
          <w:rFonts w:hint="eastAsia"/>
          <w:color w:val="000000" w:themeColor="text1"/>
          <w:szCs w:val="21"/>
          <w:highlight w:val="none"/>
          <w:lang w:val="en-US" w:eastAsia="zh-CN"/>
          <w14:textFill>
            <w14:solidFill>
              <w14:schemeClr w14:val="tx1"/>
            </w14:solidFill>
          </w14:textFill>
        </w:rPr>
        <w:t>少量水</w:t>
      </w:r>
      <w:r>
        <w:rPr>
          <w:rFonts w:hint="eastAsia"/>
          <w:color w:val="000000" w:themeColor="text1"/>
          <w:szCs w:val="21"/>
          <w:highlight w:val="none"/>
          <w14:textFill>
            <w14:solidFill>
              <w14:schemeClr w14:val="tx1"/>
            </w14:solidFill>
          </w14:textFill>
        </w:rPr>
        <w:t>润湿。加入10 mL硝酸（5.2.4），低温加热溶解至清亮</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加入50 mL 水</w:t>
      </w:r>
      <w:r>
        <w:rPr>
          <w:rFonts w:hint="eastAsia"/>
          <w:color w:val="000000" w:themeColor="text1"/>
          <w:szCs w:val="21"/>
          <w:highlight w:val="none"/>
          <w:lang w:eastAsia="zh-CN"/>
          <w14:textFill>
            <w14:solidFill>
              <w14:schemeClr w14:val="tx1"/>
            </w14:solidFill>
          </w14:textFill>
        </w:rPr>
        <w:t>和</w:t>
      </w:r>
      <w:r>
        <w:rPr>
          <w:rFonts w:hint="eastAsia"/>
          <w:color w:val="000000" w:themeColor="text1"/>
          <w:szCs w:val="21"/>
          <w:highlight w:val="none"/>
          <w14:textFill>
            <w14:solidFill>
              <w14:schemeClr w14:val="tx1"/>
            </w14:solidFill>
          </w14:textFill>
        </w:rPr>
        <w:t>5 mL氢氟酸（5.2.3）</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加热至近沸腾</w:t>
      </w:r>
      <w:r>
        <w:rPr>
          <w:rFonts w:hint="eastAsia"/>
          <w:color w:val="000000" w:themeColor="text1"/>
          <w:szCs w:val="21"/>
          <w:highlight w:val="none"/>
          <w:lang w:eastAsia="zh-CN"/>
          <w14:textFill>
            <w14:solidFill>
              <w14:schemeClr w14:val="tx1"/>
            </w14:solidFill>
          </w14:textFill>
        </w:rPr>
        <w:t>并</w:t>
      </w:r>
      <w:r>
        <w:rPr>
          <w:rFonts w:hint="eastAsia"/>
          <w:color w:val="000000" w:themeColor="text1"/>
          <w:szCs w:val="21"/>
          <w:highlight w:val="none"/>
          <w:lang w:val="en-US" w:eastAsia="zh-CN"/>
          <w14:textFill>
            <w14:solidFill>
              <w14:schemeClr w14:val="tx1"/>
            </w14:solidFill>
          </w14:textFill>
        </w:rPr>
        <w:t>于80℃电热板</w:t>
      </w:r>
      <w:r>
        <w:rPr>
          <w:rFonts w:hint="eastAsia"/>
          <w:color w:val="000000" w:themeColor="text1"/>
          <w:szCs w:val="21"/>
          <w:highlight w:val="none"/>
          <w14:textFill>
            <w14:solidFill>
              <w14:schemeClr w14:val="tx1"/>
            </w14:solidFill>
          </w14:textFill>
        </w:rPr>
        <w:t>保温10 min。放置冷却至室温，移入100 mL 塑料容量瓶中，用水稀释至刻度，混匀。待沉淀下沉后，用</w:t>
      </w:r>
      <w:r>
        <w:rPr>
          <w:rFonts w:hint="eastAsia"/>
          <w:color w:val="000000" w:themeColor="text1"/>
          <w:szCs w:val="21"/>
          <w:highlight w:val="none"/>
          <w:lang w:val="en-US" w:eastAsia="zh-CN"/>
          <w14:textFill>
            <w14:solidFill>
              <w14:schemeClr w14:val="tx1"/>
            </w14:solidFill>
          </w14:textFill>
        </w:rPr>
        <w:t>双层</w:t>
      </w:r>
      <w:r>
        <w:rPr>
          <w:rFonts w:hint="eastAsia"/>
          <w:color w:val="000000" w:themeColor="text1"/>
          <w:szCs w:val="21"/>
          <w:highlight w:val="none"/>
          <w14:textFill>
            <w14:solidFill>
              <w14:schemeClr w14:val="tx1"/>
            </w14:solidFill>
          </w14:textFill>
        </w:rPr>
        <w:t>慢速滤纸干过滤。</w:t>
      </w:r>
    </w:p>
    <w:p w14:paraId="6DA65552">
      <w:pPr>
        <w:rPr>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5.5.4.2 </w:t>
      </w:r>
      <w:r>
        <w:rPr>
          <w:rFonts w:hint="eastAsia"/>
          <w:color w:val="000000" w:themeColor="text1"/>
          <w:szCs w:val="21"/>
          <w14:textFill>
            <w14:solidFill>
              <w14:schemeClr w14:val="tx1"/>
            </w14:solidFill>
          </w14:textFill>
        </w:rPr>
        <w:t>按表5移取相应体积</w:t>
      </w:r>
      <w:r>
        <w:rPr>
          <w:rFonts w:hint="eastAsia"/>
          <w:color w:val="000000" w:themeColor="text1"/>
          <w:szCs w:val="21"/>
          <w:lang w:val="en-US" w:eastAsia="zh-CN"/>
          <w14:textFill>
            <w14:solidFill>
              <w14:schemeClr w14:val="tx1"/>
            </w14:solidFill>
          </w14:textFill>
        </w:rPr>
        <w:t>滤</w:t>
      </w:r>
      <w:r>
        <w:rPr>
          <w:rFonts w:hint="eastAsia"/>
          <w:color w:val="000000" w:themeColor="text1"/>
          <w:szCs w:val="21"/>
          <w14:textFill>
            <w14:solidFill>
              <w14:schemeClr w14:val="tx1"/>
            </w14:solidFill>
          </w14:textFill>
        </w:rPr>
        <w:t>液</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.5.4.1）</w:t>
      </w:r>
      <w:r>
        <w:rPr>
          <w:rFonts w:hint="eastAsia"/>
          <w:color w:val="000000" w:themeColor="text1"/>
          <w:szCs w:val="21"/>
          <w14:textFill>
            <w14:solidFill>
              <w14:schemeClr w14:val="tx1"/>
            </w14:solidFill>
          </w14:textFill>
        </w:rPr>
        <w:t>于100 mL 塑料容量瓶中，加入5 mL 硼酸溶液（5.2.</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）、2 mL硝酸（5.</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.2）、1 mL</w:t>
      </w:r>
      <w:r>
        <w:rPr>
          <w:rFonts w:hint="eastAsia"/>
          <w:color w:val="000000" w:themeColor="text1"/>
          <w:szCs w:val="21"/>
          <w:lang w:val="en-US" w:eastAsia="zh-CN"/>
          <w14:textFill>
            <w14:solidFill>
              <w14:schemeClr w14:val="tx1"/>
            </w14:solidFill>
          </w14:textFill>
        </w:rPr>
        <w:t>铯、</w:t>
      </w:r>
      <w:r>
        <w:rPr>
          <w:rFonts w:hint="eastAsia"/>
          <w:color w:val="000000" w:themeColor="text1"/>
          <w:szCs w:val="21"/>
          <w14:textFill>
            <w14:solidFill>
              <w14:schemeClr w14:val="tx1"/>
            </w14:solidFill>
          </w14:textFill>
        </w:rPr>
        <w:t>铑、铊内标混合溶液（5.2.1</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），用水稀释至刻度，混匀，待</w:t>
      </w:r>
      <w:r>
        <w:rPr>
          <w:rFonts w:hint="eastAsia"/>
          <w:color w:val="000000" w:themeColor="text1"/>
          <w:szCs w:val="21"/>
          <w:lang w:val="en-US" w:eastAsia="zh-CN"/>
          <w14:textFill>
            <w14:solidFill>
              <w14:schemeClr w14:val="tx1"/>
            </w14:solidFill>
          </w14:textFill>
        </w:rPr>
        <w:t>测</w:t>
      </w:r>
      <w:r>
        <w:rPr>
          <w:rFonts w:hint="eastAsia"/>
          <w:color w:val="000000" w:themeColor="text1"/>
          <w:szCs w:val="21"/>
          <w14:textFill>
            <w14:solidFill>
              <w14:schemeClr w14:val="tx1"/>
            </w14:solidFill>
          </w14:textFill>
        </w:rPr>
        <w:t>。</w:t>
      </w:r>
    </w:p>
    <w:p w14:paraId="0A63CC5D">
      <w:pPr>
        <w:ind w:firstLine="360" w:firstLineChars="200"/>
        <w:rPr>
          <w:rFonts w:ascii="宋体" w:hAnsi="宋体" w:cs="宋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宋体" w:hAnsi="宋体" w:cs="宋体"/>
          <w:color w:val="000000" w:themeColor="text1"/>
          <w:sz w:val="18"/>
          <w:szCs w:val="18"/>
          <w14:textFill>
            <w14:solidFill>
              <w14:schemeClr w14:val="tx1"/>
            </w14:solidFill>
          </w14:textFill>
        </w:rPr>
        <w:t>若仪器配备耐氢氟酸进样系统，可不加硼酸溶液（</w:t>
      </w:r>
      <w:r>
        <w:rPr>
          <w:rFonts w:hint="default" w:ascii="Times New Roman" w:hAnsi="Times New Roman" w:cs="Times New Roman"/>
          <w:color w:val="000000" w:themeColor="text1"/>
          <w:sz w:val="18"/>
          <w:szCs w:val="18"/>
          <w14:textFill>
            <w14:solidFill>
              <w14:schemeClr w14:val="tx1"/>
            </w14:solidFill>
          </w14:textFill>
        </w:rPr>
        <w:t>5.2.</w:t>
      </w:r>
      <w:r>
        <w:rPr>
          <w:rFonts w:hint="eastAsia" w:cs="Times New Roman"/>
          <w:color w:val="000000" w:themeColor="text1"/>
          <w:sz w:val="18"/>
          <w:szCs w:val="18"/>
          <w:lang w:val="en-US" w:eastAsia="zh-CN"/>
          <w14:textFill>
            <w14:solidFill>
              <w14:schemeClr w14:val="tx1"/>
            </w14:solidFill>
          </w14:textFill>
        </w:rPr>
        <w:t>6</w:t>
      </w:r>
      <w:r>
        <w:rPr>
          <w:rFonts w:hint="eastAsia" w:ascii="宋体" w:hAnsi="宋体" w:cs="宋体"/>
          <w:color w:val="000000" w:themeColor="text1"/>
          <w:sz w:val="18"/>
          <w:szCs w:val="18"/>
          <w14:textFill>
            <w14:solidFill>
              <w14:schemeClr w14:val="tx1"/>
            </w14:solidFill>
          </w14:textFill>
        </w:rPr>
        <w:t>）；使用具有在线加入内标溶液装置的仪器时，应根据装置的加入比例，控制在线测定溶液</w:t>
      </w:r>
      <w:r>
        <w:rPr>
          <w:rFonts w:hint="eastAsia" w:ascii="宋体" w:hAnsi="宋体" w:cs="宋体"/>
          <w:color w:val="000000" w:themeColor="text1"/>
          <w:sz w:val="18"/>
          <w:szCs w:val="18"/>
          <w:lang w:val="en-US" w:eastAsia="zh-CN"/>
          <w14:textFill>
            <w14:solidFill>
              <w14:schemeClr w14:val="tx1"/>
            </w14:solidFill>
          </w14:textFill>
        </w:rPr>
        <w:t>中铯、</w:t>
      </w:r>
      <w:r>
        <w:rPr>
          <w:rFonts w:hint="eastAsia" w:ascii="宋体" w:hAnsi="宋体" w:cs="宋体"/>
          <w:color w:val="000000" w:themeColor="text1"/>
          <w:sz w:val="18"/>
          <w:szCs w:val="18"/>
          <w14:textFill>
            <w14:solidFill>
              <w14:schemeClr w14:val="tx1"/>
            </w14:solidFill>
          </w14:textFill>
        </w:rPr>
        <w:t>铑、铊内标混合溶液的质量浓度为</w:t>
      </w:r>
      <w:r>
        <w:rPr>
          <w:rFonts w:hint="default" w:ascii="Times New Roman" w:hAnsi="Times New Roman" w:cs="Times New Roman"/>
          <w:color w:val="000000" w:themeColor="text1"/>
          <w:sz w:val="18"/>
          <w:szCs w:val="18"/>
          <w14:textFill>
            <w14:solidFill>
              <w14:schemeClr w14:val="tx1"/>
            </w14:solidFill>
          </w14:textFill>
        </w:rPr>
        <w:t>10 ng/mL</w:t>
      </w:r>
      <w:r>
        <w:rPr>
          <w:rFonts w:hint="eastAsia" w:ascii="宋体" w:hAnsi="宋体" w:cs="宋体"/>
          <w:color w:val="000000" w:themeColor="text1"/>
          <w:sz w:val="18"/>
          <w:szCs w:val="18"/>
          <w14:textFill>
            <w14:solidFill>
              <w14:schemeClr w14:val="tx1"/>
            </w14:solidFill>
          </w14:textFill>
        </w:rPr>
        <w:t>。</w:t>
      </w:r>
    </w:p>
    <w:p w14:paraId="507A9712">
      <w:pPr>
        <w:adjustRightInd w:val="0"/>
        <w:spacing w:line="360" w:lineRule="auto"/>
        <w:ind w:left="178" w:leftChars="85" w:right="-153" w:rightChars="-73"/>
        <w:jc w:val="center"/>
        <w:textAlignment w:val="baseline"/>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表5 不同含量样品溶液分取体积</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6"/>
        <w:gridCol w:w="5084"/>
      </w:tblGrid>
      <w:tr w14:paraId="6C66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4" w:type="pct"/>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14:paraId="6D7DB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含量（质量分数）范围</w:t>
            </w:r>
          </w:p>
          <w:p w14:paraId="46F919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656" w:type="pct"/>
            <w:tcBorders>
              <w:top w:val="single" w:color="000000" w:sz="12" w:space="0"/>
              <w:left w:val="single" w:color="auto" w:sz="4" w:space="0"/>
              <w:bottom w:val="single" w:color="auto" w:sz="12" w:space="0"/>
              <w:right w:val="single" w:color="000000" w:sz="12" w:space="0"/>
            </w:tcBorders>
            <w:shd w:val="clear" w:color="auto" w:fill="FFFFFF"/>
            <w:noWrap/>
          </w:tcPr>
          <w:p w14:paraId="5EC58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分取体积</w:t>
            </w:r>
          </w:p>
          <w:p w14:paraId="0F39A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mL</w:t>
            </w:r>
          </w:p>
        </w:tc>
      </w:tr>
      <w:tr w14:paraId="35D2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44" w:type="pct"/>
            <w:tcBorders>
              <w:top w:val="single" w:color="auto" w:sz="12" w:space="0"/>
              <w:left w:val="single" w:color="000000" w:sz="12" w:space="0"/>
              <w:bottom w:val="single" w:color="000000" w:sz="4" w:space="0"/>
              <w:right w:val="single" w:color="000000" w:sz="4" w:space="0"/>
            </w:tcBorders>
            <w:shd w:val="clear" w:color="auto" w:fill="FFFFFF"/>
            <w:noWrap/>
            <w:vAlign w:val="center"/>
          </w:tcPr>
          <w:p w14:paraId="2B3D7E6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0.0001~0.010</w:t>
            </w:r>
          </w:p>
        </w:tc>
        <w:tc>
          <w:tcPr>
            <w:tcW w:w="2656" w:type="pct"/>
            <w:tcBorders>
              <w:top w:val="single" w:color="auto" w:sz="12" w:space="0"/>
              <w:left w:val="single" w:color="auto" w:sz="4" w:space="0"/>
              <w:bottom w:val="single" w:color="000000" w:sz="4" w:space="0"/>
              <w:right w:val="single" w:color="000000" w:sz="12" w:space="0"/>
            </w:tcBorders>
            <w:shd w:val="clear" w:color="auto" w:fill="FFFFFF"/>
            <w:noWrap/>
            <w:vAlign w:val="center"/>
          </w:tcPr>
          <w:p w14:paraId="1835FC3B">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r>
      <w:tr w14:paraId="5CC8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44" w:type="pct"/>
            <w:tcBorders>
              <w:top w:val="single" w:color="000000" w:sz="4" w:space="0"/>
              <w:left w:val="single" w:color="000000" w:sz="12" w:space="0"/>
              <w:bottom w:val="single" w:color="000000" w:sz="12" w:space="0"/>
              <w:right w:val="single" w:color="000000" w:sz="4" w:space="0"/>
            </w:tcBorders>
            <w:shd w:val="clear" w:color="auto" w:fill="FFFFFF"/>
            <w:noWrap/>
            <w:vAlign w:val="center"/>
          </w:tcPr>
          <w:p w14:paraId="34C9C2EA">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&gt;0.0</w:t>
            </w:r>
            <w:r>
              <w:rPr>
                <w:rFonts w:hint="eastAsia"/>
                <w:color w:val="000000" w:themeColor="text1"/>
                <w:sz w:val="18"/>
                <w:szCs w:val="18"/>
                <w:lang w:val="en-US" w:eastAsia="zh-CN"/>
                <w14:textFill>
                  <w14:solidFill>
                    <w14:schemeClr w14:val="tx1"/>
                  </w14:solidFill>
                </w14:textFill>
              </w:rPr>
              <w:t>1</w:t>
            </w:r>
            <w:r>
              <w:rPr>
                <w:rFonts w:hint="eastAsia"/>
                <w:color w:val="000000" w:themeColor="text1"/>
                <w:sz w:val="18"/>
                <w:szCs w:val="18"/>
                <w14:textFill>
                  <w14:solidFill>
                    <w14:schemeClr w14:val="tx1"/>
                  </w14:solidFill>
                </w14:textFill>
              </w:rPr>
              <w:t>0~0.10</w:t>
            </w:r>
          </w:p>
        </w:tc>
        <w:tc>
          <w:tcPr>
            <w:tcW w:w="2656" w:type="pct"/>
            <w:tcBorders>
              <w:top w:val="single" w:color="000000" w:sz="4" w:space="0"/>
              <w:left w:val="single" w:color="auto" w:sz="4" w:space="0"/>
              <w:bottom w:val="single" w:color="000000" w:sz="12" w:space="0"/>
              <w:right w:val="single" w:color="000000" w:sz="12" w:space="0"/>
            </w:tcBorders>
            <w:shd w:val="clear" w:color="auto" w:fill="FFFFFF"/>
            <w:noWrap/>
            <w:vAlign w:val="center"/>
          </w:tcPr>
          <w:p w14:paraId="69F06226">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r>
    </w:tbl>
    <w:p w14:paraId="76D793A0">
      <w:pPr>
        <w:pStyle w:val="53"/>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5.5.5</w:t>
      </w:r>
      <w:r>
        <w:rPr>
          <w:rFonts w:hint="eastAsia" w:ascii="Times New Roman"/>
          <w:color w:val="000000" w:themeColor="text1"/>
          <w14:textFill>
            <w14:solidFill>
              <w14:schemeClr w14:val="tx1"/>
            </w14:solidFill>
          </w14:textFill>
        </w:rPr>
        <w:t xml:space="preserve"> 系列标准溶液配制</w:t>
      </w:r>
    </w:p>
    <w:p w14:paraId="3C133835">
      <w:pPr>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分别移取0 mL、0.10 mL、0.50 mL、1.00 mL、2.50 mL、5.00 mL、10.00 mL</w:t>
      </w:r>
      <w:r>
        <w:rPr>
          <w:rFonts w:hint="eastAsia"/>
          <w:color w:val="000000" w:themeColor="text1"/>
          <w:szCs w:val="21"/>
          <w:lang w:val="en-US" w:eastAsia="zh-CN"/>
          <w14:textFill>
            <w14:solidFill>
              <w14:schemeClr w14:val="tx1"/>
            </w14:solidFill>
          </w14:textFill>
        </w:rPr>
        <w:t>钼、钨</w:t>
      </w:r>
      <w:r>
        <w:rPr>
          <w:rFonts w:hint="eastAsia"/>
          <w:color w:val="000000" w:themeColor="text1"/>
          <w:szCs w:val="21"/>
          <w14:textFill>
            <w14:solidFill>
              <w14:schemeClr w14:val="tx1"/>
            </w14:solidFill>
          </w14:textFill>
        </w:rPr>
        <w:t>混合标准溶液（5.2.9）于7个100 mL 塑料容量瓶中，补加4滴（约0.2 mL）氢氟酸（5.2.3）、5 mL 硼酸溶液（5.2.6）、2 mL硝酸（5.2.2）、1 mL</w:t>
      </w:r>
      <w:r>
        <w:rPr>
          <w:rFonts w:hint="eastAsia"/>
          <w:color w:val="000000" w:themeColor="text1"/>
          <w:szCs w:val="21"/>
          <w:lang w:val="en-US" w:eastAsia="zh-CN"/>
          <w14:textFill>
            <w14:solidFill>
              <w14:schemeClr w14:val="tx1"/>
            </w14:solidFill>
          </w14:textFill>
        </w:rPr>
        <w:t>铯、</w:t>
      </w:r>
      <w:r>
        <w:rPr>
          <w:rFonts w:hint="eastAsia"/>
          <w:color w:val="000000" w:themeColor="text1"/>
          <w:szCs w:val="21"/>
          <w14:textFill>
            <w14:solidFill>
              <w14:schemeClr w14:val="tx1"/>
            </w14:solidFill>
          </w14:textFill>
        </w:rPr>
        <w:t>铑、铊内标混合溶液（5.2.1</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），用水稀释至刻度，混匀。此系列标准溶液的钼、钨浓度分别为0 ng/mL、1.00 ng/mL、5.00 ng/mL、10.00 ng/mL、25.00 ng/mL、50.00 ng/mL、100.00 ng/mL。</w:t>
      </w:r>
    </w:p>
    <w:p w14:paraId="4B607874">
      <w:pPr>
        <w:ind w:firstLine="360" w:firstLineChars="200"/>
        <w:rPr>
          <w:color w:val="000000" w:themeColor="text1"/>
          <w:szCs w:val="21"/>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宋体" w:hAnsi="宋体" w:cs="宋体"/>
          <w:color w:val="000000" w:themeColor="text1"/>
          <w:sz w:val="18"/>
          <w:szCs w:val="18"/>
          <w14:textFill>
            <w14:solidFill>
              <w14:schemeClr w14:val="tx1"/>
            </w14:solidFill>
          </w14:textFill>
        </w:rPr>
        <w:t>若仪器配备耐氢氟酸进样系统，可不加硼酸溶液（</w:t>
      </w:r>
      <w:r>
        <w:rPr>
          <w:rFonts w:hint="default" w:ascii="Times New Roman" w:hAnsi="Times New Roman" w:cs="Times New Roman"/>
          <w:color w:val="000000" w:themeColor="text1"/>
          <w:sz w:val="18"/>
          <w:szCs w:val="18"/>
          <w14:textFill>
            <w14:solidFill>
              <w14:schemeClr w14:val="tx1"/>
            </w14:solidFill>
          </w14:textFill>
        </w:rPr>
        <w:t>5.2.6</w:t>
      </w:r>
      <w:r>
        <w:rPr>
          <w:rFonts w:hint="eastAsia" w:ascii="宋体" w:hAnsi="宋体" w:cs="宋体"/>
          <w:color w:val="000000" w:themeColor="text1"/>
          <w:sz w:val="18"/>
          <w:szCs w:val="18"/>
          <w14:textFill>
            <w14:solidFill>
              <w14:schemeClr w14:val="tx1"/>
            </w14:solidFill>
          </w14:textFill>
        </w:rPr>
        <w:t>）；使用具有在线加入内标溶液装置的仪器时，在系列标准溶液配制时不加入</w:t>
      </w:r>
      <w:r>
        <w:rPr>
          <w:rFonts w:hint="eastAsia" w:ascii="宋体" w:hAnsi="宋体" w:cs="宋体"/>
          <w:color w:val="000000" w:themeColor="text1"/>
          <w:sz w:val="18"/>
          <w:szCs w:val="18"/>
          <w:lang w:val="en-US" w:eastAsia="zh-CN"/>
          <w14:textFill>
            <w14:solidFill>
              <w14:schemeClr w14:val="tx1"/>
            </w14:solidFill>
          </w14:textFill>
        </w:rPr>
        <w:t>铯、</w:t>
      </w:r>
      <w:r>
        <w:rPr>
          <w:rFonts w:hint="eastAsia" w:ascii="宋体" w:hAnsi="宋体" w:cs="宋体"/>
          <w:color w:val="000000" w:themeColor="text1"/>
          <w:sz w:val="18"/>
          <w:szCs w:val="18"/>
          <w14:textFill>
            <w14:solidFill>
              <w14:schemeClr w14:val="tx1"/>
            </w14:solidFill>
          </w14:textFill>
        </w:rPr>
        <w:t>铑、铊混合内标溶液（</w:t>
      </w:r>
      <w:r>
        <w:rPr>
          <w:rFonts w:hint="default" w:ascii="Times New Roman" w:hAnsi="Times New Roman" w:cs="Times New Roman"/>
          <w:color w:val="000000" w:themeColor="text1"/>
          <w:sz w:val="18"/>
          <w:szCs w:val="18"/>
          <w14:textFill>
            <w14:solidFill>
              <w14:schemeClr w14:val="tx1"/>
            </w14:solidFill>
          </w14:textFill>
        </w:rPr>
        <w:t>5.2.1</w:t>
      </w:r>
      <w:r>
        <w:rPr>
          <w:rFonts w:hint="eastAsia" w:cs="Times New Roman"/>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w:t>
      </w:r>
    </w:p>
    <w:p w14:paraId="7562F0BA">
      <w:pPr>
        <w:pStyle w:val="57"/>
        <w:snapToGrid w:val="0"/>
        <w:spacing w:before="156" w:beforeLines="50" w:after="156" w:afterLines="50" w:line="240" w:lineRule="auto"/>
        <w:jc w:val="both"/>
        <w:rPr>
          <w:rFonts w:eastAsia="黑体"/>
          <w:color w:val="000000" w:themeColor="text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 xml:space="preserve">5.5.6 </w:t>
      </w:r>
      <w:r>
        <w:rPr>
          <w:rFonts w:hint="eastAsia" w:eastAsia="黑体"/>
          <w:color w:val="000000" w:themeColor="text1"/>
          <w14:textFill>
            <w14:solidFill>
              <w14:schemeClr w14:val="tx1"/>
            </w14:solidFill>
          </w14:textFill>
        </w:rPr>
        <w:t>测定</w:t>
      </w:r>
    </w:p>
    <w:p w14:paraId="4971DCDD">
      <w:pPr>
        <w:pStyle w:val="57"/>
        <w:snapToGrid w:val="0"/>
        <w:spacing w:before="156" w:beforeLines="50" w:after="156" w:afterLines="50" w:line="240" w:lineRule="auto"/>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5.5.6.1 工作曲线的绘制</w:t>
      </w:r>
    </w:p>
    <w:p w14:paraId="3B5E97FC">
      <w:pPr>
        <w:pStyle w:val="57"/>
        <w:snapToGrid w:val="0"/>
        <w:spacing w:line="240" w:lineRule="auto"/>
        <w:ind w:firstLine="420" w:firstLineChars="200"/>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待电感耦合等离子体质谱仪运行稳定后，在选定的仪器工作条件下，于待测元素和内标元素质量数处，依次测定系列标准溶液（5.5.5）中待测元素和内标元素的离子流信号强度。以系列标准溶液中待测元素的质量浓度为横</w:t>
      </w:r>
      <w:r>
        <w:rPr>
          <w:rFonts w:hint="eastAsia"/>
          <w:color w:val="000000" w:themeColor="text1"/>
          <w:szCs w:val="21"/>
          <w:lang w:eastAsia="zh-CN"/>
          <w14:textFill>
            <w14:solidFill>
              <w14:schemeClr w14:val="tx1"/>
            </w14:solidFill>
          </w14:textFill>
        </w:rPr>
        <w:t>坐标</w:t>
      </w:r>
      <w:r>
        <w:rPr>
          <w:rFonts w:hint="eastAsia"/>
          <w:color w:val="000000" w:themeColor="text1"/>
          <w:szCs w:val="21"/>
          <w14:textFill>
            <w14:solidFill>
              <w14:schemeClr w14:val="tx1"/>
            </w14:solidFill>
          </w14:textFill>
        </w:rPr>
        <w:t>，待测元素与内标元素的离子流信号强度比值为纵坐标，绘制工作曲线。各元素的线性相关系数应不小于0.9995，否则需重新进行标准化或重新配制系列标准溶液进行标准化</w:t>
      </w:r>
      <w:r>
        <w:rPr>
          <w:color w:val="000000" w:themeColor="text1"/>
          <w:szCs w:val="21"/>
          <w14:textFill>
            <w14:solidFill>
              <w14:schemeClr w14:val="tx1"/>
            </w14:solidFill>
          </w14:textFill>
        </w:rPr>
        <w:t>。</w:t>
      </w:r>
    </w:p>
    <w:p w14:paraId="363C4190">
      <w:pPr>
        <w:pStyle w:val="57"/>
        <w:snapToGrid w:val="0"/>
        <w:spacing w:before="156" w:beforeLines="50" w:after="156" w:afterLines="50" w:line="240" w:lineRule="auto"/>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5.5.6.2 空白试液的测定</w:t>
      </w:r>
    </w:p>
    <w:p w14:paraId="1761D9F7">
      <w:pPr>
        <w:pStyle w:val="57"/>
        <w:snapToGrid w:val="0"/>
        <w:spacing w:line="240" w:lineRule="auto"/>
        <w:ind w:firstLine="420" w:firstLineChars="200"/>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在</w:t>
      </w:r>
      <w:r>
        <w:rPr>
          <w:rFonts w:hint="eastAsia"/>
          <w:color w:val="000000" w:themeColor="text1"/>
          <w:szCs w:val="21"/>
          <w14:textFill>
            <w14:solidFill>
              <w14:schemeClr w14:val="tx1"/>
            </w14:solidFill>
          </w14:textFill>
        </w:rPr>
        <w:t>工作曲线（5.5.6.1）</w:t>
      </w:r>
      <w:r>
        <w:rPr>
          <w:color w:val="000000" w:themeColor="text1"/>
          <w:szCs w:val="21"/>
          <w14:textFill>
            <w14:solidFill>
              <w14:schemeClr w14:val="tx1"/>
            </w14:solidFill>
          </w14:textFill>
        </w:rPr>
        <w:t>符合测定的要求后，</w:t>
      </w:r>
      <w:r>
        <w:rPr>
          <w:rFonts w:hint="eastAsia"/>
          <w:color w:val="000000" w:themeColor="text1"/>
          <w:szCs w:val="21"/>
          <w14:textFill>
            <w14:solidFill>
              <w14:schemeClr w14:val="tx1"/>
            </w14:solidFill>
          </w14:textFill>
        </w:rPr>
        <w:t>将空白</w:t>
      </w:r>
      <w:r>
        <w:rPr>
          <w:rFonts w:hint="eastAsia"/>
          <w:color w:val="000000" w:themeColor="text1"/>
          <w:szCs w:val="21"/>
          <w:lang w:val="en-US" w:eastAsia="zh-CN"/>
          <w14:textFill>
            <w14:solidFill>
              <w14:schemeClr w14:val="tx1"/>
            </w14:solidFill>
          </w14:textFill>
        </w:rPr>
        <w:t>试</w:t>
      </w:r>
      <w:r>
        <w:rPr>
          <w:rFonts w:hint="eastAsia"/>
          <w:color w:val="000000" w:themeColor="text1"/>
          <w:szCs w:val="21"/>
          <w14:textFill>
            <w14:solidFill>
              <w14:schemeClr w14:val="tx1"/>
            </w14:solidFill>
          </w14:textFill>
        </w:rPr>
        <w:t>验（</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.5.3）用选定的分析</w:t>
      </w:r>
      <w:r>
        <w:rPr>
          <w:rFonts w:hint="eastAsia"/>
          <w:color w:val="000000" w:themeColor="text1"/>
          <w:szCs w:val="21"/>
          <w:lang w:val="en-US" w:eastAsia="zh-CN"/>
          <w14:textFill>
            <w14:solidFill>
              <w14:schemeClr w14:val="tx1"/>
            </w14:solidFill>
          </w14:textFill>
        </w:rPr>
        <w:t>质量数</w:t>
      </w:r>
      <w:r>
        <w:rPr>
          <w:rFonts w:hint="eastAsia"/>
          <w:color w:val="000000" w:themeColor="text1"/>
          <w:szCs w:val="21"/>
          <w14:textFill>
            <w14:solidFill>
              <w14:schemeClr w14:val="tx1"/>
            </w14:solidFill>
          </w14:textFill>
        </w:rPr>
        <w:t>进行氩等离子体</w:t>
      </w:r>
      <w:r>
        <w:rPr>
          <w:rFonts w:hint="eastAsia"/>
          <w:color w:val="000000" w:themeColor="text1"/>
          <w:szCs w:val="21"/>
          <w:lang w:val="en-US" w:eastAsia="zh-CN"/>
          <w14:textFill>
            <w14:solidFill>
              <w14:schemeClr w14:val="tx1"/>
            </w14:solidFill>
          </w14:textFill>
        </w:rPr>
        <w:t>质</w:t>
      </w:r>
      <w:r>
        <w:rPr>
          <w:rFonts w:hint="eastAsia"/>
          <w:color w:val="000000" w:themeColor="text1"/>
          <w:szCs w:val="21"/>
          <w14:textFill>
            <w14:solidFill>
              <w14:schemeClr w14:val="tx1"/>
            </w14:solidFill>
          </w14:textFill>
        </w:rPr>
        <w:t>谱测定。仪器根据工作曲线</w:t>
      </w:r>
      <w:r>
        <w:rPr>
          <w:color w:val="000000" w:themeColor="text1"/>
          <w:szCs w:val="21"/>
          <w14:textFill>
            <w14:solidFill>
              <w14:schemeClr w14:val="tx1"/>
            </w14:solidFill>
          </w14:textFill>
        </w:rPr>
        <w:t>，自动进行数据处理，计算并输出</w:t>
      </w:r>
      <w:r>
        <w:rPr>
          <w:rFonts w:hint="eastAsia"/>
          <w:color w:val="000000" w:themeColor="text1"/>
          <w:szCs w:val="21"/>
          <w14:textFill>
            <w14:solidFill>
              <w14:schemeClr w14:val="tx1"/>
            </w14:solidFill>
          </w14:textFill>
        </w:rPr>
        <w:t>空白试液中待测</w:t>
      </w:r>
      <w:r>
        <w:rPr>
          <w:color w:val="000000" w:themeColor="text1"/>
          <w:szCs w:val="21"/>
          <w14:textFill>
            <w14:solidFill>
              <w14:schemeClr w14:val="tx1"/>
            </w14:solidFill>
          </w14:textFill>
        </w:rPr>
        <w:t>元素</w:t>
      </w:r>
      <w:r>
        <w:rPr>
          <w:rFonts w:hint="eastAsia"/>
          <w:color w:val="000000" w:themeColor="text1"/>
          <w:szCs w:val="21"/>
          <w14:textFill>
            <w14:solidFill>
              <w14:schemeClr w14:val="tx1"/>
            </w14:solidFill>
          </w14:textFill>
        </w:rPr>
        <w:t>的质量浓度</w:t>
      </w:r>
      <w:r>
        <w:rPr>
          <w:color w:val="000000" w:themeColor="text1"/>
          <w:szCs w:val="21"/>
          <w14:textFill>
            <w14:solidFill>
              <w14:schemeClr w14:val="tx1"/>
            </w14:solidFill>
          </w14:textFill>
        </w:rPr>
        <w:t>。</w:t>
      </w:r>
    </w:p>
    <w:p w14:paraId="57A47833">
      <w:pPr>
        <w:pStyle w:val="57"/>
        <w:snapToGrid w:val="0"/>
        <w:spacing w:line="240" w:lineRule="auto"/>
        <w:ind w:firstLine="360" w:firstLineChars="200"/>
        <w:jc w:val="both"/>
        <w:rPr>
          <w:rFonts w:hint="eastAsia" w:ascii="宋体" w:hAnsi="宋体" w:cs="宋体"/>
          <w:color w:val="000000" w:themeColor="text1"/>
          <w:kern w:val="2"/>
          <w:sz w:val="18"/>
          <w:szCs w:val="18"/>
          <w14:textFill>
            <w14:solidFill>
              <w14:schemeClr w14:val="tx1"/>
            </w14:solidFill>
          </w14:textFill>
        </w:rPr>
      </w:pPr>
      <w:r>
        <w:rPr>
          <w:rFonts w:hint="eastAsia" w:ascii="黑体" w:hAnsi="黑体" w:eastAsia="黑体" w:cs="黑体"/>
          <w:color w:val="000000" w:themeColor="text1"/>
          <w:kern w:val="2"/>
          <w:sz w:val="18"/>
          <w:szCs w:val="18"/>
          <w14:textFill>
            <w14:solidFill>
              <w14:schemeClr w14:val="tx1"/>
            </w14:solidFill>
          </w14:textFill>
        </w:rPr>
        <w:t>注：</w:t>
      </w:r>
      <w:r>
        <w:rPr>
          <w:rFonts w:hint="eastAsia" w:ascii="宋体" w:hAnsi="宋体" w:cs="宋体"/>
          <w:color w:val="000000" w:themeColor="text1"/>
          <w:kern w:val="2"/>
          <w:sz w:val="18"/>
          <w:szCs w:val="18"/>
          <w14:textFill>
            <w14:solidFill>
              <w14:schemeClr w14:val="tx1"/>
            </w14:solidFill>
          </w14:textFill>
        </w:rPr>
        <w:t>使用具有在线加入内标溶液装置的仪器时，应根据装置的加入比例，控制在线测定溶液的内标溶液的质量浓度为</w:t>
      </w:r>
      <w:r>
        <w:rPr>
          <w:rFonts w:hint="default" w:ascii="Times New Roman" w:hAnsi="Times New Roman" w:cs="Times New Roman"/>
          <w:color w:val="000000" w:themeColor="text1"/>
          <w:kern w:val="2"/>
          <w:sz w:val="18"/>
          <w:szCs w:val="18"/>
          <w14:textFill>
            <w14:solidFill>
              <w14:schemeClr w14:val="tx1"/>
            </w14:solidFill>
          </w14:textFill>
        </w:rPr>
        <w:t>10 ng/mL</w:t>
      </w:r>
      <w:r>
        <w:rPr>
          <w:rFonts w:hint="eastAsia" w:ascii="宋体" w:hAnsi="宋体" w:cs="宋体"/>
          <w:color w:val="000000" w:themeColor="text1"/>
          <w:kern w:val="2"/>
          <w:sz w:val="18"/>
          <w:szCs w:val="18"/>
          <w14:textFill>
            <w14:solidFill>
              <w14:schemeClr w14:val="tx1"/>
            </w14:solidFill>
          </w14:textFill>
        </w:rPr>
        <w:t>。</w:t>
      </w:r>
    </w:p>
    <w:p w14:paraId="24566AEF">
      <w:pPr>
        <w:pStyle w:val="57"/>
        <w:snapToGrid w:val="0"/>
        <w:spacing w:before="156" w:beforeLines="50" w:after="156" w:afterLines="50" w:line="240" w:lineRule="auto"/>
        <w:jc w:val="both"/>
        <w:rPr>
          <w:color w:val="000000" w:themeColor="text1"/>
          <w:szCs w:val="21"/>
          <w14:textFill>
            <w14:solidFill>
              <w14:schemeClr w14:val="tx1"/>
            </w14:solidFill>
          </w14:textFill>
        </w:rPr>
      </w:pPr>
      <w:r>
        <w:rPr>
          <w:rFonts w:hint="eastAsia" w:ascii="黑体" w:hAnsi="黑体" w:eastAsia="黑体" w:cs="黑体"/>
          <w:color w:val="000000" w:themeColor="text1"/>
          <w:kern w:val="2"/>
          <w:szCs w:val="21"/>
          <w14:textFill>
            <w14:solidFill>
              <w14:schemeClr w14:val="tx1"/>
            </w14:solidFill>
          </w14:textFill>
        </w:rPr>
        <w:t>5.5.6.</w:t>
      </w:r>
      <w:r>
        <w:rPr>
          <w:rFonts w:hint="eastAsia" w:ascii="黑体" w:hAnsi="黑体" w:eastAsia="黑体" w:cs="黑体"/>
          <w:color w:val="000000" w:themeColor="text1"/>
          <w:kern w:val="2"/>
          <w:szCs w:val="21"/>
          <w:lang w:val="en-US" w:eastAsia="zh-CN"/>
          <w14:textFill>
            <w14:solidFill>
              <w14:schemeClr w14:val="tx1"/>
            </w14:solidFill>
          </w14:textFill>
        </w:rPr>
        <w:t>3</w:t>
      </w:r>
      <w:r>
        <w:rPr>
          <w:rFonts w:hint="eastAsia" w:ascii="黑体" w:hAnsi="黑体" w:eastAsia="黑体" w:cs="黑体"/>
          <w:color w:val="000000" w:themeColor="text1"/>
          <w:kern w:val="2"/>
          <w:szCs w:val="21"/>
          <w14:textFill>
            <w14:solidFill>
              <w14:schemeClr w14:val="tx1"/>
            </w14:solidFill>
          </w14:textFill>
        </w:rPr>
        <w:t xml:space="preserve"> 分析试液的测定</w:t>
      </w:r>
    </w:p>
    <w:p w14:paraId="759C607E">
      <w:pPr>
        <w:pStyle w:val="57"/>
        <w:snapToGrid w:val="0"/>
        <w:spacing w:line="240" w:lineRule="auto"/>
        <w:ind w:firstLine="420" w:firstLineChars="200"/>
        <w:jc w:val="both"/>
        <w:rPr>
          <w:color w:val="000000" w:themeColor="text1"/>
          <w:szCs w:val="21"/>
          <w14:textFill>
            <w14:solidFill>
              <w14:schemeClr w14:val="tx1"/>
            </w14:solidFill>
          </w14:textFill>
        </w:rPr>
      </w:pPr>
      <w:r>
        <w:rPr>
          <w:color w:val="000000" w:themeColor="text1"/>
          <w:szCs w:val="21"/>
          <w14:textFill>
            <w14:solidFill>
              <w14:schemeClr w14:val="tx1"/>
            </w14:solidFill>
          </w14:textFill>
        </w:rPr>
        <w:t>在</w:t>
      </w:r>
      <w:r>
        <w:rPr>
          <w:rFonts w:hint="eastAsia"/>
          <w:color w:val="000000" w:themeColor="text1"/>
          <w:szCs w:val="21"/>
          <w14:textFill>
            <w14:solidFill>
              <w14:schemeClr w14:val="tx1"/>
            </w14:solidFill>
          </w14:textFill>
        </w:rPr>
        <w:t>工作曲线（</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.5.6.</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符合测定的要求后，</w:t>
      </w:r>
      <w:r>
        <w:rPr>
          <w:rFonts w:hint="eastAsia"/>
          <w:color w:val="000000" w:themeColor="text1"/>
          <w:szCs w:val="21"/>
          <w14:textFill>
            <w14:solidFill>
              <w14:schemeClr w14:val="tx1"/>
            </w14:solidFill>
          </w14:textFill>
        </w:rPr>
        <w:t>将分析试液（</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.5.4.2）用选定的分析</w:t>
      </w:r>
      <w:r>
        <w:rPr>
          <w:rFonts w:hint="eastAsia"/>
          <w:color w:val="000000" w:themeColor="text1"/>
          <w:szCs w:val="21"/>
          <w:lang w:val="en-US" w:eastAsia="zh-CN"/>
          <w14:textFill>
            <w14:solidFill>
              <w14:schemeClr w14:val="tx1"/>
            </w14:solidFill>
          </w14:textFill>
        </w:rPr>
        <w:t>质量数</w:t>
      </w:r>
      <w:r>
        <w:rPr>
          <w:rFonts w:hint="eastAsia"/>
          <w:color w:val="000000" w:themeColor="text1"/>
          <w:szCs w:val="21"/>
          <w14:textFill>
            <w14:solidFill>
              <w14:schemeClr w14:val="tx1"/>
            </w14:solidFill>
          </w14:textFill>
        </w:rPr>
        <w:t>进行氩等离子体</w:t>
      </w:r>
      <w:r>
        <w:rPr>
          <w:rFonts w:hint="eastAsia"/>
          <w:color w:val="000000" w:themeColor="text1"/>
          <w:szCs w:val="21"/>
          <w:lang w:val="en-US" w:eastAsia="zh-CN"/>
          <w14:textFill>
            <w14:solidFill>
              <w14:schemeClr w14:val="tx1"/>
            </w14:solidFill>
          </w14:textFill>
        </w:rPr>
        <w:t>质谱</w:t>
      </w:r>
      <w:r>
        <w:rPr>
          <w:rFonts w:hint="eastAsia"/>
          <w:color w:val="000000" w:themeColor="text1"/>
          <w:szCs w:val="21"/>
          <w14:textFill>
            <w14:solidFill>
              <w14:schemeClr w14:val="tx1"/>
            </w14:solidFill>
          </w14:textFill>
        </w:rPr>
        <w:t>测定。仪器根据工作曲线</w:t>
      </w:r>
      <w:r>
        <w:rPr>
          <w:color w:val="000000" w:themeColor="text1"/>
          <w:szCs w:val="21"/>
          <w14:textFill>
            <w14:solidFill>
              <w14:schemeClr w14:val="tx1"/>
            </w14:solidFill>
          </w14:textFill>
        </w:rPr>
        <w:t>，自动进行数据处理，计算并输出</w:t>
      </w:r>
      <w:r>
        <w:rPr>
          <w:rFonts w:hint="eastAsia"/>
          <w:color w:val="000000" w:themeColor="text1"/>
          <w:szCs w:val="21"/>
          <w14:textFill>
            <w14:solidFill>
              <w14:schemeClr w14:val="tx1"/>
            </w14:solidFill>
          </w14:textFill>
        </w:rPr>
        <w:t>分析试液中待测</w:t>
      </w:r>
      <w:r>
        <w:rPr>
          <w:color w:val="000000" w:themeColor="text1"/>
          <w:szCs w:val="21"/>
          <w14:textFill>
            <w14:solidFill>
              <w14:schemeClr w14:val="tx1"/>
            </w14:solidFill>
          </w14:textFill>
        </w:rPr>
        <w:t>元素</w:t>
      </w:r>
      <w:r>
        <w:rPr>
          <w:rFonts w:hint="eastAsia"/>
          <w:color w:val="000000" w:themeColor="text1"/>
          <w:szCs w:val="21"/>
          <w14:textFill>
            <w14:solidFill>
              <w14:schemeClr w14:val="tx1"/>
            </w14:solidFill>
          </w14:textFill>
        </w:rPr>
        <w:t>的质量浓度</w:t>
      </w:r>
      <w:r>
        <w:rPr>
          <w:color w:val="000000" w:themeColor="text1"/>
          <w:szCs w:val="21"/>
          <w14:textFill>
            <w14:solidFill>
              <w14:schemeClr w14:val="tx1"/>
            </w14:solidFill>
          </w14:textFill>
        </w:rPr>
        <w:t>。</w:t>
      </w:r>
    </w:p>
    <w:p w14:paraId="4865846E">
      <w:pPr>
        <w:pStyle w:val="57"/>
        <w:snapToGrid w:val="0"/>
        <w:spacing w:line="240" w:lineRule="auto"/>
        <w:ind w:firstLine="360" w:firstLineChars="200"/>
        <w:jc w:val="both"/>
        <w:rPr>
          <w:rFonts w:hint="eastAsia" w:ascii="黑体" w:hAnsi="黑体" w:eastAsia="黑体" w:cs="黑体"/>
          <w:color w:val="000000" w:themeColor="text1"/>
          <w:kern w:val="2"/>
          <w:sz w:val="18"/>
          <w:szCs w:val="18"/>
          <w14:textFill>
            <w14:solidFill>
              <w14:schemeClr w14:val="tx1"/>
            </w14:solidFill>
          </w14:textFill>
        </w:rPr>
      </w:pPr>
      <w:r>
        <w:rPr>
          <w:rFonts w:hint="eastAsia" w:ascii="黑体" w:hAnsi="黑体" w:eastAsia="黑体" w:cs="黑体"/>
          <w:color w:val="000000" w:themeColor="text1"/>
          <w:kern w:val="2"/>
          <w:sz w:val="18"/>
          <w:szCs w:val="18"/>
          <w14:textFill>
            <w14:solidFill>
              <w14:schemeClr w14:val="tx1"/>
            </w14:solidFill>
          </w14:textFill>
        </w:rPr>
        <w:t>注：</w:t>
      </w:r>
      <w:r>
        <w:rPr>
          <w:rFonts w:hint="eastAsia" w:ascii="宋体" w:hAnsi="宋体" w:eastAsia="宋体" w:cs="宋体"/>
          <w:b w:val="0"/>
          <w:bCs w:val="0"/>
          <w:color w:val="000000" w:themeColor="text1"/>
          <w:kern w:val="2"/>
          <w:sz w:val="18"/>
          <w:szCs w:val="18"/>
          <w14:textFill>
            <w14:solidFill>
              <w14:schemeClr w14:val="tx1"/>
            </w14:solidFill>
          </w14:textFill>
        </w:rPr>
        <w:t>使用具有在线加入内标溶液装置的仪器时，应根据装置的加入比例，控制在线测定溶液的内标溶液的质量浓度为</w:t>
      </w:r>
      <w:r>
        <w:rPr>
          <w:rFonts w:hint="default" w:ascii="Times New Roman" w:hAnsi="Times New Roman" w:eastAsia="宋体" w:cs="Times New Roman"/>
          <w:b w:val="0"/>
          <w:bCs w:val="0"/>
          <w:color w:val="000000" w:themeColor="text1"/>
          <w:kern w:val="2"/>
          <w:sz w:val="18"/>
          <w:szCs w:val="18"/>
          <w14:textFill>
            <w14:solidFill>
              <w14:schemeClr w14:val="tx1"/>
            </w14:solidFill>
          </w14:textFill>
        </w:rPr>
        <w:t>10 ng/mL</w:t>
      </w:r>
      <w:r>
        <w:rPr>
          <w:rFonts w:hint="eastAsia" w:ascii="宋体" w:hAnsi="宋体" w:eastAsia="宋体" w:cs="宋体"/>
          <w:b w:val="0"/>
          <w:bCs w:val="0"/>
          <w:color w:val="000000" w:themeColor="text1"/>
          <w:kern w:val="2"/>
          <w:sz w:val="18"/>
          <w:szCs w:val="18"/>
          <w14:textFill>
            <w14:solidFill>
              <w14:schemeClr w14:val="tx1"/>
            </w14:solidFill>
          </w14:textFill>
        </w:rPr>
        <w:t>。</w:t>
      </w:r>
    </w:p>
    <w:p w14:paraId="5862DEC3">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lang w:val="en-US" w:eastAsia="zh-CN"/>
          <w14:textFill>
            <w14:solidFill>
              <w14:schemeClr w14:val="tx1"/>
            </w14:solidFill>
          </w14:textFill>
        </w:rPr>
        <w:t>5</w:t>
      </w:r>
      <w:r>
        <w:rPr>
          <w:rFonts w:hint="eastAsia" w:hAnsi="黑体" w:cs="黑体"/>
          <w:color w:val="000000" w:themeColor="text1"/>
          <w:kern w:val="2"/>
          <w:szCs w:val="21"/>
          <w14:textFill>
            <w14:solidFill>
              <w14:schemeClr w14:val="tx1"/>
            </w14:solidFill>
          </w14:textFill>
        </w:rPr>
        <w:t>.6</w:t>
      </w:r>
      <w:r>
        <w:rPr>
          <w:rFonts w:hint="eastAsia" w:ascii="Times New Roman"/>
          <w:color w:val="000000" w:themeColor="text1"/>
          <w14:textFill>
            <w14:solidFill>
              <w14:schemeClr w14:val="tx1"/>
            </w14:solidFill>
          </w14:textFill>
        </w:rPr>
        <w:t xml:space="preserve"> 试验数据处理</w:t>
      </w:r>
    </w:p>
    <w:p w14:paraId="239624A5">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钼或钨的</w:t>
      </w:r>
      <w:r>
        <w:rPr>
          <w:rFonts w:hint="eastAsia"/>
          <w:color w:val="000000" w:themeColor="text1"/>
          <w:szCs w:val="21"/>
          <w14:textFill>
            <w14:solidFill>
              <w14:schemeClr w14:val="tx1"/>
            </w14:solidFill>
          </w14:textFill>
        </w:rPr>
        <w:t>含量</w:t>
      </w:r>
      <w:r>
        <w:rPr>
          <w:rFonts w:hint="eastAsia"/>
          <w:color w:val="000000" w:themeColor="text1"/>
          <w:szCs w:val="21"/>
          <w:lang w:val="en-US" w:eastAsia="zh-CN"/>
          <w14:textFill>
            <w14:solidFill>
              <w14:schemeClr w14:val="tx1"/>
            </w14:solidFill>
          </w14:textFill>
        </w:rPr>
        <w:t>以</w:t>
      </w:r>
      <w:r>
        <w:rPr>
          <w:rFonts w:hint="eastAsia"/>
          <w:color w:val="000000" w:themeColor="text1"/>
          <w:szCs w:val="21"/>
          <w14:textFill>
            <w14:solidFill>
              <w14:schemeClr w14:val="tx1"/>
            </w14:solidFill>
          </w14:textFill>
        </w:rPr>
        <w:t>质量分数</w:t>
      </w:r>
      <w:r>
        <w:rPr>
          <w:rFonts w:hint="eastAsia" w:eastAsia="微软雅黑"/>
          <w:i/>
          <w:iCs/>
          <w:color w:val="000000" w:themeColor="text1"/>
          <w:szCs w:val="21"/>
          <w:lang w:eastAsia="zh-CN"/>
          <w14:textFill>
            <w14:solidFill>
              <w14:schemeClr w14:val="tx1"/>
            </w14:solidFill>
          </w14:textFill>
        </w:rPr>
        <w:t>w</w:t>
      </w:r>
      <w:r>
        <w:rPr>
          <w:rFonts w:hint="eastAsia"/>
          <w:color w:val="000000" w:themeColor="text1"/>
          <w:szCs w:val="21"/>
          <w14:textFill>
            <w14:solidFill>
              <w14:schemeClr w14:val="tx1"/>
            </w14:solidFill>
          </w14:textFill>
        </w:rPr>
        <w:t>（</w:t>
      </w:r>
      <w:r>
        <w:rPr>
          <w:rFonts w:hint="eastAsia" w:eastAsia="微软雅黑"/>
          <w:b w:val="0"/>
          <w:bCs w:val="0"/>
          <w:i/>
          <w:iCs/>
          <w:color w:val="000000" w:themeColor="text1"/>
          <w:szCs w:val="21"/>
          <w:lang w:val="en-US" w:eastAsia="zh-CN"/>
          <w14:textFill>
            <w14:solidFill>
              <w14:schemeClr w14:val="tx1"/>
            </w14:solidFill>
          </w14:textFill>
        </w:rPr>
        <w:t>j</w:t>
      </w:r>
      <w:r>
        <w:rPr>
          <w:rFonts w:hint="eastAsia"/>
          <w:color w:val="000000" w:themeColor="text1"/>
          <w:szCs w:val="21"/>
          <w14:textFill>
            <w14:solidFill>
              <w14:schemeClr w14:val="tx1"/>
            </w14:solidFill>
          </w14:textFill>
        </w:rPr>
        <w:t>）计，按公式（</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）计算：</w:t>
      </w:r>
    </w:p>
    <w:p w14:paraId="1042CE65">
      <w:pPr>
        <w:jc w:val="right"/>
        <w:rPr>
          <w:color w:val="000000" w:themeColor="text1"/>
          <w:szCs w:val="21"/>
          <w14:textFill>
            <w14:solidFill>
              <w14:schemeClr w14:val="tx1"/>
            </w14:solidFill>
          </w14:textFill>
        </w:rPr>
      </w:pPr>
      <w:r>
        <w:rPr>
          <w:rFonts w:hint="eastAsia"/>
          <w:color w:val="000000" w:themeColor="text1"/>
          <w:position w:val="-30"/>
          <w:sz w:val="18"/>
          <w14:textFill>
            <w14:solidFill>
              <w14:schemeClr w14:val="tx1"/>
            </w14:solidFill>
          </w14:textFill>
        </w:rPr>
        <w:object>
          <v:shape id="_x0000_i1026" o:spt="75" type="#_x0000_t75" style="height:29.2pt;width:155.6pt;" o:ole="t" filled="f" o:preferrelative="t" stroked="f" coordsize="21600,21600">
            <v:path/>
            <v:fill on="f" focussize="0,0"/>
            <v:stroke on="f"/>
            <v:imagedata r:id="rId18" o:title=""/>
            <o:lock v:ext="edit" aspectratio="f"/>
            <w10:wrap type="none"/>
            <w10:anchorlock/>
          </v:shape>
          <o:OLEObject Type="Embed" ProgID="Equation.3" ShapeID="_x0000_i1026" DrawAspect="Content" ObjectID="_1468075726" r:id="rId17">
            <o:LockedField>false</o:LockedField>
          </o:OLEObject>
        </w:objec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w:t>
      </w:r>
    </w:p>
    <w:p w14:paraId="04CA6E92">
      <w:pPr>
        <w:spacing w:line="400" w:lineRule="exact"/>
        <w:ind w:firstLine="420" w:firstLineChars="200"/>
        <w:rPr>
          <w:i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式中：</w:t>
      </w:r>
    </w:p>
    <w:p w14:paraId="7D328DD5">
      <w:pPr>
        <w:ind w:firstLine="420" w:firstLineChars="200"/>
        <w:jc w:val="left"/>
        <w:rPr>
          <w:color w:val="000000" w:themeColor="text1"/>
          <w:szCs w:val="21"/>
          <w14:textFill>
            <w14:solidFill>
              <w14:schemeClr w14:val="tx1"/>
            </w14:solidFill>
          </w14:textFill>
        </w:rPr>
      </w:pPr>
      <w:r>
        <w:rPr>
          <w:i/>
          <w:color w:val="000000" w:themeColor="text1"/>
          <w:szCs w:val="21"/>
          <w14:textFill>
            <w14:solidFill>
              <w14:schemeClr w14:val="tx1"/>
            </w14:solidFill>
          </w14:textFill>
        </w:rPr>
        <w:t>ρ</w:t>
      </w:r>
      <w:r>
        <w:rPr>
          <w:rFonts w:hint="eastAsia"/>
          <w:i/>
          <w:color w:val="000000" w:themeColor="text1"/>
          <w:szCs w:val="21"/>
          <w:vertAlign w:val="subscript"/>
          <w:lang w:val="en-US" w:eastAsia="zh-CN"/>
          <w14:textFill>
            <w14:solidFill>
              <w14:schemeClr w14:val="tx1"/>
            </w14:solidFill>
          </w14:textFill>
        </w:rPr>
        <w:t>j</w:t>
      </w:r>
      <w:r>
        <w:rPr>
          <w:rFonts w:hint="eastAsia"/>
          <w:i w:val="0"/>
          <w:iCs/>
          <w:color w:val="000000" w:themeColor="text1"/>
          <w:szCs w:val="21"/>
          <w:vertAlign w:val="subscript"/>
          <w:lang w:val="en-US" w:eastAsia="zh-CN"/>
          <w14:textFill>
            <w14:solidFill>
              <w14:schemeClr w14:val="tx1"/>
            </w14:solidFill>
          </w14:textFill>
        </w:rPr>
        <w:t>1</w:t>
      </w:r>
      <w:r>
        <w:rPr>
          <w:rFonts w:hint="eastAsia"/>
          <w:i/>
          <w:color w:val="000000" w:themeColor="text1"/>
          <w:szCs w:val="21"/>
          <w:vertAlign w:val="subscript"/>
          <w14:textFill>
            <w14:solidFill>
              <w14:schemeClr w14:val="tx1"/>
            </w14:solidFill>
          </w14:textFill>
        </w:rPr>
        <w:t xml:space="preserve"> </w:t>
      </w:r>
      <w:r>
        <w:rPr>
          <w:rFonts w:hint="eastAsia"/>
          <w:i/>
          <w:color w:val="000000" w:themeColor="text1"/>
          <w:szCs w:val="21"/>
          <w14:textFill>
            <w14:solidFill>
              <w14:schemeClr w14:val="tx1"/>
            </w14:solidFill>
          </w14:textFill>
        </w:rPr>
        <w:t xml:space="preserve">—— </w:t>
      </w:r>
      <w:r>
        <w:rPr>
          <w:rFonts w:hint="eastAsia"/>
          <w:iCs/>
          <w:color w:val="000000" w:themeColor="text1"/>
          <w:szCs w:val="21"/>
          <w14:textFill>
            <w14:solidFill>
              <w14:schemeClr w14:val="tx1"/>
            </w14:solidFill>
          </w14:textFill>
        </w:rPr>
        <w:t>自工作曲线上查得的或计算机输出的分析试液（</w:t>
      </w:r>
      <w:r>
        <w:rPr>
          <w:rFonts w:hint="eastAsia"/>
          <w:color w:val="000000" w:themeColor="text1"/>
          <w:szCs w:val="21"/>
          <w14:textFill>
            <w14:solidFill>
              <w14:schemeClr w14:val="tx1"/>
            </w14:solidFill>
          </w14:textFill>
        </w:rPr>
        <w:t>5.5.4.2）中待测元素的质量浓度，单位为</w:t>
      </w:r>
      <w:r>
        <w:rPr>
          <w:rFonts w:hint="eastAsia"/>
          <w:color w:val="000000" w:themeColor="text1"/>
          <w:szCs w:val="21"/>
          <w:lang w:val="en-US" w:eastAsia="zh-CN"/>
          <w14:textFill>
            <w14:solidFill>
              <w14:schemeClr w14:val="tx1"/>
            </w14:solidFill>
          </w14:textFill>
        </w:rPr>
        <w:t>纳</w:t>
      </w:r>
      <w:r>
        <w:rPr>
          <w:rFonts w:hint="eastAsia"/>
          <w:color w:val="000000" w:themeColor="text1"/>
          <w:szCs w:val="21"/>
          <w14:textFill>
            <w14:solidFill>
              <w14:schemeClr w14:val="tx1"/>
            </w14:solidFill>
          </w14:textFill>
        </w:rPr>
        <w:t>克每毫升</w:t>
      </w:r>
      <w:r>
        <w:rPr>
          <w:color w:val="000000" w:themeColor="text1"/>
          <w:szCs w:val="21"/>
          <w14:textFill>
            <w14:solidFill>
              <w14:schemeClr w14:val="tx1"/>
            </w14:solidFill>
          </w14:textFill>
        </w:rPr>
        <w:t>（</w:t>
      </w:r>
      <w:r>
        <w:rPr>
          <w:rFonts w:hint="eastAsia"/>
          <w:i/>
          <w:iCs/>
          <w:color w:val="000000" w:themeColor="text1"/>
          <w:szCs w:val="21"/>
          <w:lang w:val="en-US" w:eastAsia="zh-CN"/>
          <w14:textFill>
            <w14:solidFill>
              <w14:schemeClr w14:val="tx1"/>
            </w14:solidFill>
          </w14:textFill>
        </w:rPr>
        <w:t>n</w:t>
      </w:r>
      <w:r>
        <w:rPr>
          <w:color w:val="000000" w:themeColor="text1"/>
          <w:szCs w:val="21"/>
          <w14:textFill>
            <w14:solidFill>
              <w14:schemeClr w14:val="tx1"/>
            </w14:solidFill>
          </w14:textFill>
        </w:rPr>
        <w:t>g/mL）</w:t>
      </w:r>
      <w:r>
        <w:rPr>
          <w:rFonts w:hint="eastAsia"/>
          <w:color w:val="000000" w:themeColor="text1"/>
          <w:szCs w:val="21"/>
          <w14:textFill>
            <w14:solidFill>
              <w14:schemeClr w14:val="tx1"/>
            </w14:solidFill>
          </w14:textFill>
        </w:rPr>
        <w:t>；</w:t>
      </w:r>
    </w:p>
    <w:p w14:paraId="3C3E00F5">
      <w:pPr>
        <w:ind w:firstLine="420" w:firstLineChars="200"/>
        <w:jc w:val="left"/>
        <w:rPr>
          <w:color w:val="000000" w:themeColor="text1"/>
          <w:szCs w:val="21"/>
          <w14:textFill>
            <w14:solidFill>
              <w14:schemeClr w14:val="tx1"/>
            </w14:solidFill>
          </w14:textFill>
        </w:rPr>
      </w:pPr>
      <w:r>
        <w:rPr>
          <w:i/>
          <w:color w:val="000000" w:themeColor="text1"/>
          <w:szCs w:val="21"/>
          <w14:textFill>
            <w14:solidFill>
              <w14:schemeClr w14:val="tx1"/>
            </w14:solidFill>
          </w14:textFill>
        </w:rPr>
        <w:t>ρ</w:t>
      </w:r>
      <w:r>
        <w:rPr>
          <w:rFonts w:hint="eastAsia"/>
          <w:i/>
          <w:color w:val="000000" w:themeColor="text1"/>
          <w:szCs w:val="21"/>
          <w:vertAlign w:val="subscript"/>
          <w:lang w:val="en-US" w:eastAsia="zh-CN"/>
          <w14:textFill>
            <w14:solidFill>
              <w14:schemeClr w14:val="tx1"/>
            </w14:solidFill>
          </w14:textFill>
        </w:rPr>
        <w:t>j0</w:t>
      </w:r>
      <w:r>
        <w:rPr>
          <w:rFonts w:hint="eastAsia"/>
          <w:i/>
          <w:color w:val="000000" w:themeColor="text1"/>
          <w:szCs w:val="21"/>
          <w:vertAlign w:val="subscript"/>
          <w14:textFill>
            <w14:solidFill>
              <w14:schemeClr w14:val="tx1"/>
            </w14:solidFill>
          </w14:textFill>
        </w:rPr>
        <w:t xml:space="preserve"> </w:t>
      </w:r>
      <w:r>
        <w:rPr>
          <w:rFonts w:hint="eastAsia"/>
          <w:i/>
          <w:color w:val="000000" w:themeColor="text1"/>
          <w:szCs w:val="21"/>
          <w14:textFill>
            <w14:solidFill>
              <w14:schemeClr w14:val="tx1"/>
            </w14:solidFill>
          </w14:textFill>
        </w:rPr>
        <w:t xml:space="preserve">—— </w:t>
      </w:r>
      <w:r>
        <w:rPr>
          <w:rFonts w:hint="eastAsia"/>
          <w:iCs/>
          <w:color w:val="000000" w:themeColor="text1"/>
          <w:szCs w:val="21"/>
          <w14:textFill>
            <w14:solidFill>
              <w14:schemeClr w14:val="tx1"/>
            </w14:solidFill>
          </w14:textFill>
        </w:rPr>
        <w:t>自工作曲线上查得的或计算机输出的</w:t>
      </w:r>
      <w:r>
        <w:rPr>
          <w:rFonts w:hint="eastAsia"/>
          <w:color w:val="000000" w:themeColor="text1"/>
          <w:szCs w:val="21"/>
          <w14:textFill>
            <w14:solidFill>
              <w14:schemeClr w14:val="tx1"/>
            </w14:solidFill>
          </w14:textFill>
        </w:rPr>
        <w:t>空白试</w:t>
      </w:r>
      <w:r>
        <w:rPr>
          <w:rFonts w:hint="eastAsia"/>
          <w:color w:val="000000" w:themeColor="text1"/>
          <w:szCs w:val="21"/>
          <w:lang w:val="en-US" w:eastAsia="zh-CN"/>
          <w14:textFill>
            <w14:solidFill>
              <w14:schemeClr w14:val="tx1"/>
            </w14:solidFill>
          </w14:textFill>
        </w:rPr>
        <w:t>验</w:t>
      </w:r>
      <w:r>
        <w:rPr>
          <w:rFonts w:hint="eastAsia"/>
          <w:color w:val="000000" w:themeColor="text1"/>
          <w:szCs w:val="21"/>
          <w14:textFill>
            <w14:solidFill>
              <w14:schemeClr w14:val="tx1"/>
            </w14:solidFill>
          </w14:textFill>
        </w:rPr>
        <w:t>（5.5.3）溶液中待测元素的质量浓度，单位</w:t>
      </w:r>
      <w:r>
        <w:rPr>
          <w:rFonts w:hint="eastAsia"/>
          <w:color w:val="000000" w:themeColor="text1"/>
          <w:szCs w:val="21"/>
          <w:lang w:eastAsia="zh-CN"/>
          <w14:textFill>
            <w14:solidFill>
              <w14:schemeClr w14:val="tx1"/>
            </w14:solidFill>
          </w14:textFill>
        </w:rPr>
        <w:t>为</w:t>
      </w:r>
      <w:r>
        <w:rPr>
          <w:rFonts w:hint="eastAsia"/>
          <w:color w:val="000000" w:themeColor="text1"/>
          <w:szCs w:val="21"/>
          <w:lang w:val="en-US" w:eastAsia="zh-CN"/>
          <w14:textFill>
            <w14:solidFill>
              <w14:schemeClr w14:val="tx1"/>
            </w14:solidFill>
          </w14:textFill>
        </w:rPr>
        <w:t>纳</w:t>
      </w:r>
      <w:r>
        <w:rPr>
          <w:rFonts w:hint="eastAsia"/>
          <w:color w:val="000000" w:themeColor="text1"/>
          <w:szCs w:val="21"/>
          <w14:textFill>
            <w14:solidFill>
              <w14:schemeClr w14:val="tx1"/>
            </w14:solidFill>
          </w14:textFill>
        </w:rPr>
        <w:t>克每毫升</w:t>
      </w:r>
      <w:r>
        <w:rPr>
          <w:color w:val="000000" w:themeColor="text1"/>
          <w:szCs w:val="21"/>
          <w14:textFill>
            <w14:solidFill>
              <w14:schemeClr w14:val="tx1"/>
            </w14:solidFill>
          </w14:textFill>
        </w:rPr>
        <w:t>（</w:t>
      </w:r>
      <w:r>
        <w:rPr>
          <w:rFonts w:hint="eastAsia"/>
          <w:i/>
          <w:iCs/>
          <w:color w:val="000000" w:themeColor="text1"/>
          <w:szCs w:val="21"/>
          <w:lang w:val="en-US" w:eastAsia="zh-CN"/>
          <w14:textFill>
            <w14:solidFill>
              <w14:schemeClr w14:val="tx1"/>
            </w14:solidFill>
          </w14:textFill>
        </w:rPr>
        <w:t>n</w:t>
      </w:r>
      <w:r>
        <w:rPr>
          <w:color w:val="000000" w:themeColor="text1"/>
          <w:szCs w:val="21"/>
          <w14:textFill>
            <w14:solidFill>
              <w14:schemeClr w14:val="tx1"/>
            </w14:solidFill>
          </w14:textFill>
        </w:rPr>
        <w:t>g/mL）</w:t>
      </w:r>
      <w:r>
        <w:rPr>
          <w:rFonts w:hint="eastAsia"/>
          <w:color w:val="000000" w:themeColor="text1"/>
          <w:szCs w:val="21"/>
          <w14:textFill>
            <w14:solidFill>
              <w14:schemeClr w14:val="tx1"/>
            </w14:solidFill>
          </w14:textFill>
        </w:rPr>
        <w:t>；</w:t>
      </w:r>
    </w:p>
    <w:p w14:paraId="733649AD">
      <w:pPr>
        <w:ind w:firstLine="420" w:firstLineChars="200"/>
        <w:jc w:val="left"/>
        <w:rPr>
          <w:color w:val="000000" w:themeColor="text1"/>
          <w:szCs w:val="21"/>
          <w14:textFill>
            <w14:solidFill>
              <w14:schemeClr w14:val="tx1"/>
            </w14:solidFill>
          </w14:textFill>
        </w:rPr>
      </w:pPr>
      <w:r>
        <w:rPr>
          <w:rFonts w:hint="eastAsia"/>
          <w:i/>
          <w:color w:val="000000" w:themeColor="text1"/>
          <w:szCs w:val="21"/>
          <w14:textFill>
            <w14:solidFill>
              <w14:schemeClr w14:val="tx1"/>
            </w14:solidFill>
          </w14:textFill>
        </w:rPr>
        <w:t>V</w:t>
      </w:r>
      <w:r>
        <w:rPr>
          <w:rFonts w:hint="eastAsia"/>
          <w:color w:val="000000" w:themeColor="text1"/>
          <w:szCs w:val="21"/>
          <w:vertAlign w:val="subscript"/>
          <w14:textFill>
            <w14:solidFill>
              <w14:schemeClr w14:val="tx1"/>
            </w14:solidFill>
          </w14:textFill>
        </w:rPr>
        <w:t xml:space="preserve">3 </w:t>
      </w:r>
      <w:r>
        <w:rPr>
          <w:rFonts w:hint="eastAsia"/>
          <w:i/>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试液（5.5.4.1）的总体积，单位为毫升（mL）；</w:t>
      </w:r>
    </w:p>
    <w:p w14:paraId="3A3EDDF4">
      <w:pPr>
        <w:ind w:firstLine="420" w:firstLineChars="200"/>
        <w:jc w:val="left"/>
        <w:rPr>
          <w:color w:val="000000" w:themeColor="text1"/>
          <w:szCs w:val="21"/>
          <w14:textFill>
            <w14:solidFill>
              <w14:schemeClr w14:val="tx1"/>
            </w14:solidFill>
          </w14:textFill>
        </w:rPr>
      </w:pPr>
      <w:r>
        <w:rPr>
          <w:rFonts w:hint="eastAsia"/>
          <w:i/>
          <w:color w:val="000000" w:themeColor="text1"/>
          <w:szCs w:val="21"/>
          <w14:textFill>
            <w14:solidFill>
              <w14:schemeClr w14:val="tx1"/>
            </w14:solidFill>
          </w14:textFill>
        </w:rPr>
        <w:t>V</w:t>
      </w:r>
      <w:r>
        <w:rPr>
          <w:rFonts w:hint="eastAsia"/>
          <w:iCs/>
          <w:color w:val="000000" w:themeColor="text1"/>
          <w:szCs w:val="21"/>
          <w:vertAlign w:val="subscript"/>
          <w14:textFill>
            <w14:solidFill>
              <w14:schemeClr w14:val="tx1"/>
            </w14:solidFill>
          </w14:textFill>
        </w:rPr>
        <w:t>4</w:t>
      </w:r>
      <w:r>
        <w:rPr>
          <w:rFonts w:hint="eastAsia"/>
          <w:i/>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分析试液（5.5.4.2）的体积，单位为毫升（mL）；</w:t>
      </w:r>
    </w:p>
    <w:p w14:paraId="3FF268CB">
      <w:pPr>
        <w:ind w:firstLine="420" w:firstLineChars="200"/>
        <w:jc w:val="left"/>
        <w:rPr>
          <w:rFonts w:hint="eastAsia" w:eastAsia="宋体"/>
          <w:i/>
          <w:color w:val="000000" w:themeColor="text1"/>
          <w:szCs w:val="21"/>
          <w:lang w:eastAsia="zh-CN"/>
          <w14:textFill>
            <w14:solidFill>
              <w14:schemeClr w14:val="tx1"/>
            </w14:solidFill>
          </w14:textFill>
        </w:rPr>
      </w:pPr>
      <w:r>
        <w:rPr>
          <w:iCs/>
          <w:color w:val="000000" w:themeColor="text1"/>
          <w:szCs w:val="21"/>
          <w14:textFill>
            <w14:solidFill>
              <w14:schemeClr w14:val="tx1"/>
            </w14:solidFill>
          </w14:textFill>
        </w:rPr>
        <w:t>m</w:t>
      </w:r>
      <w:r>
        <w:rPr>
          <w:rFonts w:hint="eastAsia"/>
          <w:color w:val="000000" w:themeColor="text1"/>
          <w:szCs w:val="21"/>
          <w:vertAlign w:val="subscript"/>
          <w14:textFill>
            <w14:solidFill>
              <w14:schemeClr w14:val="tx1"/>
            </w14:solidFill>
          </w14:textFill>
        </w:rPr>
        <w:t xml:space="preserve">2 </w:t>
      </w:r>
      <w:r>
        <w:rPr>
          <w:rFonts w:hint="eastAsia"/>
          <w:i/>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试料（5.5.1）的质量，单位为克（g）</w:t>
      </w:r>
      <w:r>
        <w:rPr>
          <w:rFonts w:hint="eastAsia"/>
          <w:color w:val="000000" w:themeColor="text1"/>
          <w:szCs w:val="21"/>
          <w:lang w:eastAsia="zh-CN"/>
          <w14:textFill>
            <w14:solidFill>
              <w14:schemeClr w14:val="tx1"/>
            </w14:solidFill>
          </w14:textFill>
        </w:rPr>
        <w:t>；</w:t>
      </w:r>
    </w:p>
    <w:p w14:paraId="4D3623DD">
      <w:pPr>
        <w:ind w:firstLine="420" w:firstLineChars="200"/>
        <w:jc w:val="left"/>
        <w:rPr>
          <w:color w:val="000000" w:themeColor="text1"/>
          <w14:textFill>
            <w14:solidFill>
              <w14:schemeClr w14:val="tx1"/>
            </w14:solidFill>
          </w14:textFill>
        </w:rPr>
      </w:pPr>
      <w:r>
        <w:rPr>
          <w:rFonts w:hint="eastAsia"/>
          <w:i/>
          <w:color w:val="000000" w:themeColor="text1"/>
          <w:szCs w:val="21"/>
          <w14:textFill>
            <w14:solidFill>
              <w14:schemeClr w14:val="tx1"/>
            </w14:solidFill>
          </w14:textFill>
        </w:rPr>
        <w:t>V</w:t>
      </w:r>
      <w:r>
        <w:rPr>
          <w:rFonts w:hint="eastAsia"/>
          <w:iCs/>
          <w:color w:val="000000" w:themeColor="text1"/>
          <w:szCs w:val="21"/>
          <w:vertAlign w:val="subscript"/>
          <w14:textFill>
            <w14:solidFill>
              <w14:schemeClr w14:val="tx1"/>
            </w14:solidFill>
          </w14:textFill>
        </w:rPr>
        <w:t>5</w:t>
      </w:r>
      <w:r>
        <w:rPr>
          <w:rFonts w:hint="eastAsia"/>
          <w:i/>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分取试液（5.5.4.1）的体积，单位为毫升（mL）。</w:t>
      </w:r>
    </w:p>
    <w:p w14:paraId="33F551C5">
      <w:pPr>
        <w:snapToGrid w:val="0"/>
        <w:ind w:firstLine="420" w:firstLineChars="200"/>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两次平行测定结果的绝对差值不大于表</w:t>
      </w:r>
      <w:r>
        <w:rPr>
          <w:rFonts w:hint="eastAsia"/>
          <w:color w:val="000000" w:themeColor="text1"/>
          <w:kern w:val="0"/>
          <w:szCs w:val="20"/>
          <w:lang w:val="en-US" w:eastAsia="zh-CN"/>
          <w14:textFill>
            <w14:solidFill>
              <w14:schemeClr w14:val="tx1"/>
            </w14:solidFill>
          </w14:textFill>
        </w:rPr>
        <w:t>6</w:t>
      </w:r>
      <w:r>
        <w:rPr>
          <w:rFonts w:hint="eastAsia"/>
          <w:color w:val="000000" w:themeColor="text1"/>
          <w:kern w:val="0"/>
          <w:szCs w:val="20"/>
          <w14:textFill>
            <w14:solidFill>
              <w14:schemeClr w14:val="tx1"/>
            </w14:solidFill>
          </w14:textFill>
        </w:rPr>
        <w:t>中相应重复性限时，取其平均值作为测定结果</w:t>
      </w:r>
      <w:r>
        <w:rPr>
          <w:rFonts w:hint="eastAsia" w:ascii="Times New Roman" w:hAnsi="Times New Roman" w:cs="Times New Roman"/>
          <w:color w:val="000000" w:themeColor="text1"/>
          <w:kern w:val="0"/>
          <w:szCs w:val="20"/>
          <w14:textFill>
            <w14:solidFill>
              <w14:schemeClr w14:val="tx1"/>
            </w14:solidFill>
          </w14:textFill>
        </w:rPr>
        <w:t>，</w:t>
      </w:r>
      <w:r>
        <w:rPr>
          <w:rFonts w:hint="eastAsia" w:ascii="Times New Roman" w:hAnsi="Times New Roman" w:cs="Times New Roman"/>
          <w:color w:val="000000" w:themeColor="text1"/>
          <w:kern w:val="0"/>
          <w:szCs w:val="20"/>
          <w:lang w:eastAsia="zh-CN"/>
          <w14:textFill>
            <w14:solidFill>
              <w14:schemeClr w14:val="tx1"/>
            </w14:solidFill>
          </w14:textFill>
        </w:rPr>
        <w:t>当结果＜</w:t>
      </w:r>
      <w:r>
        <w:rPr>
          <w:rFonts w:hint="eastAsia" w:ascii="Times New Roman" w:hAnsi="Times New Roman" w:cs="Times New Roman"/>
          <w:color w:val="000000" w:themeColor="text1"/>
          <w:kern w:val="0"/>
          <w:szCs w:val="20"/>
          <w:lang w:val="en-US" w:eastAsia="zh-CN"/>
          <w14:textFill>
            <w14:solidFill>
              <w14:schemeClr w14:val="tx1"/>
            </w14:solidFill>
          </w14:textFill>
        </w:rPr>
        <w:t>0.0010%时，保留一位有效数字；</w:t>
      </w:r>
      <w:r>
        <w:rPr>
          <w:rFonts w:hint="eastAsia" w:ascii="Times New Roman" w:hAnsi="Times New Roman" w:cs="Times New Roman"/>
          <w:color w:val="000000" w:themeColor="text1"/>
          <w:kern w:val="0"/>
          <w:szCs w:val="20"/>
          <w:lang w:eastAsia="zh-CN"/>
          <w14:textFill>
            <w14:solidFill>
              <w14:schemeClr w14:val="tx1"/>
            </w14:solidFill>
          </w14:textFill>
        </w:rPr>
        <w:t>当结果≥</w:t>
      </w:r>
      <w:r>
        <w:rPr>
          <w:rFonts w:hint="eastAsia" w:ascii="Times New Roman" w:hAnsi="Times New Roman" w:cs="Times New Roman"/>
          <w:color w:val="000000" w:themeColor="text1"/>
          <w:kern w:val="0"/>
          <w:szCs w:val="20"/>
          <w:lang w:val="en-US" w:eastAsia="zh-CN"/>
          <w14:textFill>
            <w14:solidFill>
              <w14:schemeClr w14:val="tx1"/>
            </w14:solidFill>
          </w14:textFill>
        </w:rPr>
        <w:t>0.0010%，保留两位有效数字，</w:t>
      </w:r>
      <w:r>
        <w:rPr>
          <w:rFonts w:hint="eastAsia" w:ascii="Times New Roman" w:hAnsi="Times New Roman" w:cs="Times New Roman"/>
          <w:color w:val="000000" w:themeColor="text1"/>
          <w:kern w:val="0"/>
          <w:szCs w:val="20"/>
          <w14:textFill>
            <w14:solidFill>
              <w14:schemeClr w14:val="tx1"/>
            </w14:solidFill>
          </w14:textFill>
        </w:rPr>
        <w:t>数值修</w:t>
      </w:r>
      <w:r>
        <w:rPr>
          <w:rFonts w:hint="eastAsia"/>
          <w:color w:val="000000" w:themeColor="text1"/>
          <w:kern w:val="0"/>
          <w:szCs w:val="20"/>
          <w14:textFill>
            <w14:solidFill>
              <w14:schemeClr w14:val="tx1"/>
            </w14:solidFill>
          </w14:textFill>
        </w:rPr>
        <w:t>约按照GB/T 8170规定执行。</w:t>
      </w:r>
    </w:p>
    <w:p w14:paraId="13C6F009">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 xml:space="preserve">5.7 </w:t>
      </w:r>
      <w:r>
        <w:rPr>
          <w:rFonts w:hint="eastAsia" w:ascii="Times New Roman"/>
          <w:color w:val="000000" w:themeColor="text1"/>
          <w14:textFill>
            <w14:solidFill>
              <w14:schemeClr w14:val="tx1"/>
            </w14:solidFill>
          </w14:textFill>
        </w:rPr>
        <w:t>精密度</w:t>
      </w:r>
    </w:p>
    <w:p w14:paraId="4C7329F0">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5.7.</w:t>
      </w:r>
      <w:r>
        <w:rPr>
          <w:rFonts w:hint="eastAsia" w:hAnsi="黑体" w:cs="黑体"/>
          <w:color w:val="000000" w:themeColor="text1"/>
          <w:kern w:val="2"/>
          <w:szCs w:val="21"/>
          <w:lang w:val="en-US" w:eastAsia="zh-CN"/>
          <w14:textFill>
            <w14:solidFill>
              <w14:schemeClr w14:val="tx1"/>
            </w14:solidFill>
          </w14:textFill>
        </w:rPr>
        <w:t>1</w:t>
      </w:r>
      <w:r>
        <w:rPr>
          <w:rFonts w:hint="eastAsia" w:hAnsi="黑体" w:cs="黑体"/>
          <w:color w:val="000000" w:themeColor="text1"/>
          <w:kern w:val="2"/>
          <w:szCs w:val="21"/>
          <w14:textFill>
            <w14:solidFill>
              <w14:schemeClr w14:val="tx1"/>
            </w14:solidFill>
          </w14:textFill>
        </w:rPr>
        <w:t xml:space="preserve"> </w:t>
      </w:r>
      <w:r>
        <w:rPr>
          <w:rFonts w:hint="eastAsia" w:ascii="Times New Roman"/>
          <w:color w:val="000000" w:themeColor="text1"/>
          <w14:textFill>
            <w14:solidFill>
              <w14:schemeClr w14:val="tx1"/>
            </w14:solidFill>
          </w14:textFill>
        </w:rPr>
        <w:t>重复性</w:t>
      </w:r>
    </w:p>
    <w:p w14:paraId="28C8037C">
      <w:pPr>
        <w:pStyle w:val="43"/>
        <w:adjustRightInd w:val="0"/>
        <w:snapToGrid w:val="0"/>
        <w:ind w:firstLine="420"/>
        <w:rPr>
          <w:color w:val="000000" w:themeColor="text1"/>
          <w14:textFill>
            <w14:solidFill>
              <w14:schemeClr w14:val="tx1"/>
            </w14:solidFill>
          </w14:textFill>
        </w:rPr>
      </w:pPr>
      <w:r>
        <w:rPr>
          <w:rFonts w:ascii="Times New Roman"/>
          <w:color w:val="000000" w:themeColor="text1"/>
          <w14:textFill>
            <w14:solidFill>
              <w14:schemeClr w14:val="tx1"/>
            </w14:solidFill>
          </w14:textFill>
        </w:rPr>
        <w:t>精密度数据是在</w:t>
      </w:r>
      <w:r>
        <w:rPr>
          <w:rFonts w:hint="eastAsia" w:ascii="Times New Roman"/>
          <w:color w:val="000000" w:themeColor="text1"/>
          <w14:textFill>
            <w14:solidFill>
              <w14:schemeClr w14:val="tx1"/>
            </w14:solidFill>
          </w14:textFill>
        </w:rPr>
        <w:t>2025</w:t>
      </w:r>
      <w:r>
        <w:rPr>
          <w:rFonts w:ascii="Times New Roman"/>
          <w:color w:val="000000" w:themeColor="text1"/>
          <w14:textFill>
            <w14:solidFill>
              <w14:schemeClr w14:val="tx1"/>
            </w14:solidFill>
          </w14:textFill>
        </w:rPr>
        <w:t>年由</w:t>
      </w:r>
      <w:r>
        <w:rPr>
          <w:rFonts w:hint="eastAsia" w:ascii="Times New Roman"/>
          <w:color w:val="000000" w:themeColor="text1"/>
          <w14:textFill>
            <w14:solidFill>
              <w14:schemeClr w14:val="tx1"/>
            </w14:solidFill>
          </w14:textFill>
        </w:rPr>
        <w:t>7</w:t>
      </w:r>
      <w:r>
        <w:rPr>
          <w:rFonts w:ascii="Times New Roman"/>
          <w:color w:val="000000" w:themeColor="text1"/>
          <w14:textFill>
            <w14:solidFill>
              <w14:schemeClr w14:val="tx1"/>
            </w14:solidFill>
          </w14:textFill>
        </w:rPr>
        <w:t>家</w:t>
      </w:r>
      <w:r>
        <w:rPr>
          <w:rFonts w:hint="eastAsia" w:ascii="Times New Roman"/>
          <w:color w:val="000000" w:themeColor="text1"/>
          <w14:textFill>
            <w14:solidFill>
              <w14:schemeClr w14:val="tx1"/>
            </w14:solidFill>
          </w14:textFill>
        </w:rPr>
        <w:t>实验</w:t>
      </w:r>
      <w:r>
        <w:rPr>
          <w:rFonts w:ascii="Times New Roman"/>
          <w:color w:val="000000" w:themeColor="text1"/>
          <w14:textFill>
            <w14:solidFill>
              <w14:schemeClr w14:val="tx1"/>
            </w14:solidFill>
          </w14:textFill>
        </w:rPr>
        <w:t>室对</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个不同</w:t>
      </w:r>
      <w:r>
        <w:rPr>
          <w:rFonts w:hint="eastAsia" w:ascii="Times New Roman"/>
          <w:color w:val="000000" w:themeColor="text1"/>
          <w14:textFill>
            <w14:solidFill>
              <w14:schemeClr w14:val="tx1"/>
            </w14:solidFill>
          </w14:textFill>
        </w:rPr>
        <w:t>钼、钨含量</w:t>
      </w:r>
      <w:r>
        <w:rPr>
          <w:rFonts w:ascii="Times New Roman"/>
          <w:color w:val="000000" w:themeColor="text1"/>
          <w14:textFill>
            <w14:solidFill>
              <w14:schemeClr w14:val="tx1"/>
            </w14:solidFill>
          </w14:textFill>
        </w:rPr>
        <w:t>的水平样品进行共同试验确定的。每个实验室对每个水平的</w:t>
      </w:r>
      <w:r>
        <w:rPr>
          <w:rFonts w:hint="eastAsia" w:ascii="Times New Roman"/>
          <w:color w:val="000000" w:themeColor="text1"/>
          <w14:textFill>
            <w14:solidFill>
              <w14:schemeClr w14:val="tx1"/>
            </w14:solidFill>
          </w14:textFill>
        </w:rPr>
        <w:t>钼、钨</w:t>
      </w:r>
      <w:r>
        <w:rPr>
          <w:rFonts w:ascii="Times New Roman"/>
          <w:color w:val="000000" w:themeColor="text1"/>
          <w14:textFill>
            <w14:solidFill>
              <w14:schemeClr w14:val="tx1"/>
            </w14:solidFill>
          </w14:textFill>
        </w:rPr>
        <w:t>含量在重复性条件下独立测定</w:t>
      </w:r>
      <w:r>
        <w:rPr>
          <w:rFonts w:hint="eastAsia" w:ascii="Times New Roman"/>
          <w:color w:val="000000" w:themeColor="text1"/>
          <w14:textFill>
            <w14:solidFill>
              <w14:schemeClr w14:val="tx1"/>
            </w14:solidFill>
          </w14:textFill>
        </w:rPr>
        <w:t>11</w:t>
      </w:r>
      <w:r>
        <w:rPr>
          <w:rFonts w:ascii="Times New Roman"/>
          <w:color w:val="000000" w:themeColor="text1"/>
          <w14:textFill>
            <w14:solidFill>
              <w14:schemeClr w14:val="tx1"/>
            </w14:solidFill>
          </w14:textFill>
        </w:rPr>
        <w:t>次。共同试验数据按GB/T 6379.2进行统计分析。</w:t>
      </w:r>
      <w:r>
        <w:rPr>
          <w:color w:val="000000" w:themeColor="text1"/>
          <w14:textFill>
            <w14:solidFill>
              <w14:schemeClr w14:val="tx1"/>
            </w14:solidFill>
          </w14:textFill>
        </w:rPr>
        <w:t>在重复性条件下获得的两次独立测试结果的绝对差值不超过重复性限（</w:t>
      </w:r>
      <w:r>
        <w:rPr>
          <w:rFonts w:hint="default" w:ascii="Times New Roman" w:hAnsi="Times New Roman" w:cs="Times New Roman"/>
          <w:i/>
          <w:color w:val="000000" w:themeColor="text1"/>
          <w14:textFill>
            <w14:solidFill>
              <w14:schemeClr w14:val="tx1"/>
            </w14:solidFill>
          </w14:textFill>
        </w:rPr>
        <w:t>r</w:t>
      </w:r>
      <w:r>
        <w:rPr>
          <w:color w:val="000000" w:themeColor="text1"/>
          <w14:textFill>
            <w14:solidFill>
              <w14:schemeClr w14:val="tx1"/>
            </w14:solidFill>
          </w14:textFill>
        </w:rPr>
        <w:t>），超过重复性限（</w:t>
      </w:r>
      <w:r>
        <w:rPr>
          <w:rFonts w:hint="default" w:ascii="Times New Roman" w:hAnsi="Times New Roman" w:cs="Times New Roman"/>
          <w:i/>
          <w:color w:val="000000" w:themeColor="text1"/>
          <w14:textFill>
            <w14:solidFill>
              <w14:schemeClr w14:val="tx1"/>
            </w14:solidFill>
          </w14:textFill>
        </w:rPr>
        <w:t>r</w:t>
      </w:r>
      <w:r>
        <w:rPr>
          <w:color w:val="000000" w:themeColor="text1"/>
          <w14:textFill>
            <w14:solidFill>
              <w14:schemeClr w14:val="tx1"/>
            </w14:solidFill>
          </w14:textFill>
        </w:rPr>
        <w:t>）的情况不超过</w:t>
      </w:r>
      <w:r>
        <w:rPr>
          <w:rFonts w:hint="default" w:ascii="Times New Roman" w:hAnsi="Times New Roman" w:cs="Times New Roman"/>
          <w:color w:val="000000" w:themeColor="text1"/>
          <w14:textFill>
            <w14:solidFill>
              <w14:schemeClr w14:val="tx1"/>
            </w14:solidFill>
          </w14:textFill>
        </w:rPr>
        <w:t>5</w:t>
      </w:r>
      <w:r>
        <w:rPr>
          <w:color w:val="000000" w:themeColor="text1"/>
          <w14:textFill>
            <w14:solidFill>
              <w14:schemeClr w14:val="tx1"/>
            </w14:solidFill>
          </w14:textFill>
        </w:rPr>
        <w:t xml:space="preserve"> %，重复性限（</w:t>
      </w:r>
      <w:r>
        <w:rPr>
          <w:rFonts w:hint="default" w:ascii="Times New Roman" w:hAnsi="Times New Roman" w:cs="Times New Roman"/>
          <w:i/>
          <w:color w:val="000000" w:themeColor="text1"/>
          <w14:textFill>
            <w14:solidFill>
              <w14:schemeClr w14:val="tx1"/>
            </w14:solidFill>
          </w14:textFill>
        </w:rPr>
        <w:t>r</w:t>
      </w:r>
      <w:r>
        <w:rPr>
          <w:color w:val="000000" w:themeColor="text1"/>
          <w14:textFill>
            <w14:solidFill>
              <w14:schemeClr w14:val="tx1"/>
            </w14:solidFill>
          </w14:textFill>
        </w:rPr>
        <w:t>）按表</w:t>
      </w:r>
      <w:r>
        <w:rPr>
          <w:rFonts w:hint="default" w:ascii="Times New Roman" w:hAnsi="Times New Roman" w:cs="Times New Roman"/>
          <w:color w:val="000000" w:themeColor="text1"/>
          <w:lang w:val="en-US" w:eastAsia="zh-CN"/>
          <w14:textFill>
            <w14:solidFill>
              <w14:schemeClr w14:val="tx1"/>
            </w14:solidFill>
          </w14:textFill>
        </w:rPr>
        <w:t>6</w:t>
      </w:r>
      <w:r>
        <w:rPr>
          <w:color w:val="000000" w:themeColor="text1"/>
          <w14:textFill>
            <w14:solidFill>
              <w14:schemeClr w14:val="tx1"/>
            </w14:solidFill>
          </w14:textFill>
        </w:rPr>
        <w:t>数据采用线性内插法或外延法求得。</w:t>
      </w:r>
    </w:p>
    <w:p w14:paraId="5CA3C5E8">
      <w:pPr>
        <w:spacing w:before="156" w:beforeLines="50" w:after="156" w:afterLines="50" w:line="360" w:lineRule="exact"/>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lang w:val="en-US" w:eastAsia="zh-CN"/>
          <w14:textFill>
            <w14:solidFill>
              <w14:schemeClr w14:val="tx1"/>
            </w14:solidFill>
          </w14:textFill>
        </w:rPr>
        <w:t>6</w:t>
      </w:r>
      <w:r>
        <w:rPr>
          <w:rFonts w:eastAsia="黑体"/>
          <w:color w:val="000000" w:themeColor="text1"/>
          <w14:textFill>
            <w14:solidFill>
              <w14:schemeClr w14:val="tx1"/>
            </w14:solidFill>
          </w14:textFill>
        </w:rPr>
        <w:t xml:space="preserve"> 重复性限</w:t>
      </w:r>
      <w:r>
        <w:rPr>
          <w:rFonts w:hint="eastAsia" w:eastAsia="黑体"/>
          <w:color w:val="000000" w:themeColor="text1"/>
          <w14:textFill>
            <w14:solidFill>
              <w14:schemeClr w14:val="tx1"/>
            </w14:solidFill>
          </w14:textFill>
        </w:rPr>
        <w:t>（</w:t>
      </w:r>
      <w:r>
        <w:rPr>
          <w:rFonts w:hint="eastAsia" w:eastAsia="黑体"/>
          <w:i/>
          <w:iCs/>
          <w:color w:val="000000" w:themeColor="text1"/>
          <w14:textFill>
            <w14:solidFill>
              <w14:schemeClr w14:val="tx1"/>
            </w14:solidFill>
          </w14:textFill>
        </w:rPr>
        <w:t>r</w:t>
      </w:r>
      <w:r>
        <w:rPr>
          <w:rFonts w:hint="eastAsia" w:eastAsia="黑体"/>
          <w:color w:val="000000" w:themeColor="text1"/>
          <w14:textFill>
            <w14:solidFill>
              <w14:schemeClr w14:val="tx1"/>
            </w14:solidFill>
          </w14:textFill>
        </w:rPr>
        <w:t>）</w:t>
      </w:r>
    </w:p>
    <w:tbl>
      <w:tblPr>
        <w:tblStyle w:val="25"/>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4"/>
        <w:gridCol w:w="1589"/>
        <w:gridCol w:w="1589"/>
        <w:gridCol w:w="1589"/>
        <w:gridCol w:w="1589"/>
        <w:gridCol w:w="1640"/>
      </w:tblGrid>
      <w:tr w14:paraId="474DE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pct"/>
            <w:tcBorders>
              <w:bottom w:val="single" w:color="auto" w:sz="12" w:space="0"/>
            </w:tcBorders>
            <w:vAlign w:val="center"/>
          </w:tcPr>
          <w:p w14:paraId="68812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831" w:type="pct"/>
            <w:tcBorders>
              <w:bottom w:val="single" w:color="auto" w:sz="12" w:space="0"/>
            </w:tcBorders>
            <w:vAlign w:val="center"/>
          </w:tcPr>
          <w:p w14:paraId="40D77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质量分数</w:t>
            </w:r>
          </w:p>
          <w:p w14:paraId="6BD06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31" w:type="pct"/>
            <w:tcBorders>
              <w:bottom w:val="single" w:color="auto" w:sz="12" w:space="0"/>
              <w:right w:val="double" w:color="auto" w:sz="4" w:space="0"/>
            </w:tcBorders>
            <w:vAlign w:val="center"/>
          </w:tcPr>
          <w:p w14:paraId="22A30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重复性限（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w:t>
            </w:r>
          </w:p>
          <w:p w14:paraId="48CA5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31" w:type="pct"/>
            <w:tcBorders>
              <w:left w:val="double" w:color="auto" w:sz="4" w:space="0"/>
              <w:bottom w:val="single" w:color="auto" w:sz="12" w:space="0"/>
            </w:tcBorders>
            <w:vAlign w:val="center"/>
          </w:tcPr>
          <w:p w14:paraId="108D0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831" w:type="pct"/>
            <w:tcBorders>
              <w:bottom w:val="single" w:color="auto" w:sz="12" w:space="0"/>
            </w:tcBorders>
            <w:vAlign w:val="center"/>
          </w:tcPr>
          <w:p w14:paraId="2C7F9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质量分数</w:t>
            </w:r>
            <w:r>
              <w:rPr>
                <w:color w:val="000000" w:themeColor="text1"/>
                <w:sz w:val="18"/>
                <w:szCs w:val="18"/>
                <w14:textFill>
                  <w14:solidFill>
                    <w14:schemeClr w14:val="tx1"/>
                  </w14:solidFill>
                </w14:textFill>
              </w:rPr>
              <w:t xml:space="preserve"> </w:t>
            </w:r>
          </w:p>
          <w:p w14:paraId="6F2CC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853" w:type="pct"/>
            <w:tcBorders>
              <w:bottom w:val="single" w:color="auto" w:sz="12" w:space="0"/>
            </w:tcBorders>
            <w:vAlign w:val="center"/>
          </w:tcPr>
          <w:p w14:paraId="32217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重复性限（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w:t>
            </w:r>
          </w:p>
          <w:p w14:paraId="6B5C2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14:paraId="7C1B2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restart"/>
            <w:tcBorders>
              <w:top w:val="single" w:color="auto" w:sz="12" w:space="0"/>
            </w:tcBorders>
            <w:vAlign w:val="center"/>
          </w:tcPr>
          <w:p w14:paraId="4B2BEE7C">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钼</w:t>
            </w:r>
          </w:p>
        </w:tc>
        <w:tc>
          <w:tcPr>
            <w:tcW w:w="831" w:type="pct"/>
            <w:tcBorders>
              <w:top w:val="single" w:color="auto" w:sz="12" w:space="0"/>
            </w:tcBorders>
            <w:vAlign w:val="center"/>
          </w:tcPr>
          <w:p w14:paraId="715A9E99">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0.0007</w:t>
            </w:r>
          </w:p>
        </w:tc>
        <w:tc>
          <w:tcPr>
            <w:tcW w:w="831" w:type="pct"/>
            <w:tcBorders>
              <w:top w:val="single" w:color="auto" w:sz="12" w:space="0"/>
              <w:right w:val="double" w:color="auto" w:sz="4" w:space="0"/>
            </w:tcBorders>
            <w:vAlign w:val="center"/>
          </w:tcPr>
          <w:p w14:paraId="734A45F0">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0.0001</w:t>
            </w:r>
          </w:p>
        </w:tc>
        <w:tc>
          <w:tcPr>
            <w:tcW w:w="831" w:type="pct"/>
            <w:vMerge w:val="restart"/>
            <w:tcBorders>
              <w:top w:val="single" w:color="auto" w:sz="12" w:space="0"/>
              <w:left w:val="double" w:color="auto" w:sz="4" w:space="0"/>
            </w:tcBorders>
            <w:vAlign w:val="center"/>
          </w:tcPr>
          <w:p w14:paraId="7810CD70">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钨</w:t>
            </w:r>
          </w:p>
        </w:tc>
        <w:tc>
          <w:tcPr>
            <w:tcW w:w="831" w:type="pct"/>
            <w:tcBorders>
              <w:top w:val="single" w:color="auto" w:sz="12" w:space="0"/>
            </w:tcBorders>
            <w:vAlign w:val="center"/>
          </w:tcPr>
          <w:p w14:paraId="61BA5CD4">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0.0002</w:t>
            </w:r>
          </w:p>
        </w:tc>
        <w:tc>
          <w:tcPr>
            <w:tcW w:w="853" w:type="pct"/>
            <w:tcBorders>
              <w:top w:val="single" w:color="auto" w:sz="12" w:space="0"/>
            </w:tcBorders>
            <w:vAlign w:val="center"/>
          </w:tcPr>
          <w:p w14:paraId="236ADC70">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0.0001</w:t>
            </w:r>
          </w:p>
        </w:tc>
      </w:tr>
      <w:tr w14:paraId="6D34B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36897E5D">
            <w:pPr>
              <w:spacing w:line="400" w:lineRule="exact"/>
              <w:jc w:val="center"/>
              <w:rPr>
                <w:color w:val="000000" w:themeColor="text1"/>
                <w:sz w:val="18"/>
                <w:szCs w:val="18"/>
                <w14:textFill>
                  <w14:solidFill>
                    <w14:schemeClr w14:val="tx1"/>
                  </w14:solidFill>
                </w14:textFill>
              </w:rPr>
            </w:pPr>
          </w:p>
        </w:tc>
        <w:tc>
          <w:tcPr>
            <w:tcW w:w="831" w:type="pct"/>
            <w:vAlign w:val="center"/>
          </w:tcPr>
          <w:p w14:paraId="428852FE">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0.0024</w:t>
            </w:r>
          </w:p>
        </w:tc>
        <w:tc>
          <w:tcPr>
            <w:tcW w:w="831" w:type="pct"/>
            <w:tcBorders>
              <w:right w:val="double" w:color="auto" w:sz="4" w:space="0"/>
            </w:tcBorders>
            <w:vAlign w:val="center"/>
          </w:tcPr>
          <w:p w14:paraId="7A6113CE">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0.0004</w:t>
            </w:r>
          </w:p>
        </w:tc>
        <w:tc>
          <w:tcPr>
            <w:tcW w:w="831" w:type="pct"/>
            <w:vMerge w:val="continue"/>
            <w:tcBorders>
              <w:left w:val="double" w:color="auto" w:sz="4" w:space="0"/>
            </w:tcBorders>
            <w:vAlign w:val="center"/>
          </w:tcPr>
          <w:p w14:paraId="3A328E95">
            <w:pPr>
              <w:spacing w:line="400" w:lineRule="exact"/>
              <w:jc w:val="center"/>
              <w:rPr>
                <w:color w:val="000000" w:themeColor="text1"/>
                <w:sz w:val="18"/>
                <w:szCs w:val="18"/>
                <w14:textFill>
                  <w14:solidFill>
                    <w14:schemeClr w14:val="tx1"/>
                  </w14:solidFill>
                </w14:textFill>
              </w:rPr>
            </w:pPr>
          </w:p>
        </w:tc>
        <w:tc>
          <w:tcPr>
            <w:tcW w:w="831" w:type="pct"/>
            <w:vAlign w:val="center"/>
          </w:tcPr>
          <w:p w14:paraId="087D2CD3">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0.0051</w:t>
            </w:r>
          </w:p>
        </w:tc>
        <w:tc>
          <w:tcPr>
            <w:tcW w:w="853" w:type="pct"/>
            <w:vAlign w:val="center"/>
          </w:tcPr>
          <w:p w14:paraId="398E567D">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0.0007</w:t>
            </w:r>
          </w:p>
        </w:tc>
      </w:tr>
      <w:tr w14:paraId="10D07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4F4BA7E3">
            <w:pPr>
              <w:spacing w:line="400" w:lineRule="exact"/>
              <w:jc w:val="center"/>
              <w:rPr>
                <w:color w:val="000000" w:themeColor="text1"/>
                <w:sz w:val="18"/>
                <w:szCs w:val="18"/>
                <w14:textFill>
                  <w14:solidFill>
                    <w14:schemeClr w14:val="tx1"/>
                  </w14:solidFill>
                </w14:textFill>
              </w:rPr>
            </w:pPr>
          </w:p>
        </w:tc>
        <w:tc>
          <w:tcPr>
            <w:tcW w:w="831" w:type="pct"/>
            <w:vAlign w:val="center"/>
          </w:tcPr>
          <w:p w14:paraId="677BA4AB">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0.0060</w:t>
            </w:r>
          </w:p>
        </w:tc>
        <w:tc>
          <w:tcPr>
            <w:tcW w:w="831" w:type="pct"/>
            <w:tcBorders>
              <w:right w:val="double" w:color="auto" w:sz="4" w:space="0"/>
            </w:tcBorders>
            <w:vAlign w:val="center"/>
          </w:tcPr>
          <w:p w14:paraId="646E3CEF">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0.0008</w:t>
            </w:r>
          </w:p>
        </w:tc>
        <w:tc>
          <w:tcPr>
            <w:tcW w:w="831" w:type="pct"/>
            <w:vMerge w:val="continue"/>
            <w:tcBorders>
              <w:left w:val="double" w:color="auto" w:sz="4" w:space="0"/>
            </w:tcBorders>
            <w:vAlign w:val="center"/>
          </w:tcPr>
          <w:p w14:paraId="1CF22ADC">
            <w:pPr>
              <w:spacing w:line="400" w:lineRule="exact"/>
              <w:jc w:val="center"/>
              <w:rPr>
                <w:color w:val="000000" w:themeColor="text1"/>
                <w:sz w:val="18"/>
                <w:szCs w:val="18"/>
                <w14:textFill>
                  <w14:solidFill>
                    <w14:schemeClr w14:val="tx1"/>
                  </w14:solidFill>
                </w14:textFill>
              </w:rPr>
            </w:pPr>
          </w:p>
        </w:tc>
        <w:tc>
          <w:tcPr>
            <w:tcW w:w="831" w:type="pct"/>
            <w:vAlign w:val="center"/>
          </w:tcPr>
          <w:p w14:paraId="446A36E6">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0.013</w:t>
            </w:r>
          </w:p>
        </w:tc>
        <w:tc>
          <w:tcPr>
            <w:tcW w:w="853" w:type="pct"/>
            <w:vAlign w:val="center"/>
          </w:tcPr>
          <w:p w14:paraId="78AC8BAE">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0.002</w:t>
            </w:r>
          </w:p>
        </w:tc>
      </w:tr>
      <w:tr w14:paraId="20043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77FD5D4F">
            <w:pPr>
              <w:spacing w:line="400" w:lineRule="exact"/>
              <w:jc w:val="center"/>
              <w:rPr>
                <w:color w:val="000000" w:themeColor="text1"/>
                <w:sz w:val="18"/>
                <w:szCs w:val="18"/>
                <w14:textFill>
                  <w14:solidFill>
                    <w14:schemeClr w14:val="tx1"/>
                  </w14:solidFill>
                </w14:textFill>
              </w:rPr>
            </w:pPr>
          </w:p>
        </w:tc>
        <w:tc>
          <w:tcPr>
            <w:tcW w:w="831" w:type="pct"/>
            <w:vAlign w:val="center"/>
          </w:tcPr>
          <w:p w14:paraId="67455CBC">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0.045</w:t>
            </w:r>
          </w:p>
        </w:tc>
        <w:tc>
          <w:tcPr>
            <w:tcW w:w="831" w:type="pct"/>
            <w:tcBorders>
              <w:right w:val="double" w:color="auto" w:sz="4" w:space="0"/>
            </w:tcBorders>
            <w:vAlign w:val="center"/>
          </w:tcPr>
          <w:p w14:paraId="08FC6ED2">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w:t>
            </w:r>
          </w:p>
        </w:tc>
        <w:tc>
          <w:tcPr>
            <w:tcW w:w="831" w:type="pct"/>
            <w:vMerge w:val="continue"/>
            <w:tcBorders>
              <w:left w:val="double" w:color="auto" w:sz="4" w:space="0"/>
            </w:tcBorders>
            <w:vAlign w:val="center"/>
          </w:tcPr>
          <w:p w14:paraId="62ECFE75">
            <w:pPr>
              <w:spacing w:line="400" w:lineRule="exact"/>
              <w:jc w:val="center"/>
              <w:rPr>
                <w:color w:val="000000" w:themeColor="text1"/>
                <w:sz w:val="18"/>
                <w:szCs w:val="18"/>
                <w14:textFill>
                  <w14:solidFill>
                    <w14:schemeClr w14:val="tx1"/>
                  </w14:solidFill>
                </w14:textFill>
              </w:rPr>
            </w:pPr>
          </w:p>
        </w:tc>
        <w:tc>
          <w:tcPr>
            <w:tcW w:w="831" w:type="pct"/>
            <w:vAlign w:val="center"/>
          </w:tcPr>
          <w:p w14:paraId="140BCD86">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0.024</w:t>
            </w:r>
          </w:p>
        </w:tc>
        <w:tc>
          <w:tcPr>
            <w:tcW w:w="853" w:type="pct"/>
            <w:vAlign w:val="center"/>
          </w:tcPr>
          <w:p w14:paraId="15F36A35">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0.002</w:t>
            </w:r>
          </w:p>
        </w:tc>
      </w:tr>
      <w:tr w14:paraId="33F67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6983350A">
            <w:pPr>
              <w:spacing w:line="400" w:lineRule="exact"/>
              <w:jc w:val="center"/>
              <w:rPr>
                <w:color w:val="000000" w:themeColor="text1"/>
                <w:sz w:val="18"/>
                <w:szCs w:val="18"/>
                <w14:textFill>
                  <w14:solidFill>
                    <w14:schemeClr w14:val="tx1"/>
                  </w14:solidFill>
                </w14:textFill>
              </w:rPr>
            </w:pPr>
          </w:p>
        </w:tc>
        <w:tc>
          <w:tcPr>
            <w:tcW w:w="831" w:type="pct"/>
            <w:vAlign w:val="center"/>
          </w:tcPr>
          <w:p w14:paraId="1191CD64">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0.11</w:t>
            </w:r>
          </w:p>
        </w:tc>
        <w:tc>
          <w:tcPr>
            <w:tcW w:w="831" w:type="pct"/>
            <w:tcBorders>
              <w:right w:val="double" w:color="auto" w:sz="4" w:space="0"/>
            </w:tcBorders>
            <w:vAlign w:val="center"/>
          </w:tcPr>
          <w:p w14:paraId="1490E76E">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0.01</w:t>
            </w:r>
          </w:p>
        </w:tc>
        <w:tc>
          <w:tcPr>
            <w:tcW w:w="831" w:type="pct"/>
            <w:vMerge w:val="continue"/>
            <w:tcBorders>
              <w:left w:val="double" w:color="auto" w:sz="4" w:space="0"/>
            </w:tcBorders>
            <w:vAlign w:val="center"/>
          </w:tcPr>
          <w:p w14:paraId="1441D8E4">
            <w:pPr>
              <w:spacing w:line="400" w:lineRule="exact"/>
              <w:jc w:val="center"/>
              <w:rPr>
                <w:color w:val="000000" w:themeColor="text1"/>
                <w:sz w:val="18"/>
                <w:szCs w:val="18"/>
                <w14:textFill>
                  <w14:solidFill>
                    <w14:schemeClr w14:val="tx1"/>
                  </w14:solidFill>
                </w14:textFill>
              </w:rPr>
            </w:pPr>
          </w:p>
        </w:tc>
        <w:tc>
          <w:tcPr>
            <w:tcW w:w="831" w:type="pct"/>
            <w:vAlign w:val="center"/>
          </w:tcPr>
          <w:p w14:paraId="2D5723D3">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0.050</w:t>
            </w:r>
          </w:p>
        </w:tc>
        <w:tc>
          <w:tcPr>
            <w:tcW w:w="853" w:type="pct"/>
            <w:vAlign w:val="center"/>
          </w:tcPr>
          <w:p w14:paraId="650ABA51">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0.004</w:t>
            </w:r>
          </w:p>
        </w:tc>
      </w:tr>
      <w:tr w14:paraId="4763B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818" w:type="pct"/>
            <w:vMerge w:val="continue"/>
            <w:vAlign w:val="center"/>
          </w:tcPr>
          <w:p w14:paraId="17A74083">
            <w:pPr>
              <w:spacing w:line="400" w:lineRule="exact"/>
              <w:jc w:val="center"/>
              <w:rPr>
                <w:color w:val="000000" w:themeColor="text1"/>
                <w:sz w:val="18"/>
                <w:szCs w:val="18"/>
                <w14:textFill>
                  <w14:solidFill>
                    <w14:schemeClr w14:val="tx1"/>
                  </w14:solidFill>
                </w14:textFill>
              </w:rPr>
            </w:pPr>
          </w:p>
        </w:tc>
        <w:tc>
          <w:tcPr>
            <w:tcW w:w="831" w:type="pct"/>
            <w:vAlign w:val="center"/>
          </w:tcPr>
          <w:p w14:paraId="414666BD">
            <w:pPr>
              <w:spacing w:line="40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c>
          <w:tcPr>
            <w:tcW w:w="831" w:type="pct"/>
            <w:tcBorders>
              <w:right w:val="double" w:color="auto" w:sz="4" w:space="0"/>
            </w:tcBorders>
            <w:vAlign w:val="center"/>
          </w:tcPr>
          <w:p w14:paraId="326B3037">
            <w:pPr>
              <w:spacing w:line="40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c>
          <w:tcPr>
            <w:tcW w:w="831" w:type="pct"/>
            <w:vMerge w:val="continue"/>
            <w:tcBorders>
              <w:left w:val="double" w:color="auto" w:sz="4" w:space="0"/>
            </w:tcBorders>
            <w:vAlign w:val="center"/>
          </w:tcPr>
          <w:p w14:paraId="764460EA">
            <w:pPr>
              <w:spacing w:line="400" w:lineRule="exact"/>
              <w:jc w:val="center"/>
              <w:rPr>
                <w:color w:val="000000" w:themeColor="text1"/>
                <w:sz w:val="18"/>
                <w:szCs w:val="18"/>
                <w14:textFill>
                  <w14:solidFill>
                    <w14:schemeClr w14:val="tx1"/>
                  </w14:solidFill>
                </w14:textFill>
              </w:rPr>
            </w:pPr>
          </w:p>
        </w:tc>
        <w:tc>
          <w:tcPr>
            <w:tcW w:w="831" w:type="pct"/>
            <w:vAlign w:val="center"/>
          </w:tcPr>
          <w:p w14:paraId="2C352859">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0.11</w:t>
            </w:r>
          </w:p>
        </w:tc>
        <w:tc>
          <w:tcPr>
            <w:tcW w:w="853" w:type="pct"/>
            <w:vAlign w:val="center"/>
          </w:tcPr>
          <w:p w14:paraId="2288B5A4">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0.01</w:t>
            </w:r>
          </w:p>
        </w:tc>
      </w:tr>
      <w:tr w14:paraId="21119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pct"/>
            <w:gridSpan w:val="6"/>
            <w:vAlign w:val="center"/>
          </w:tcPr>
          <w:p w14:paraId="148C86BC">
            <w:pPr>
              <w:spacing w:line="400" w:lineRule="exact"/>
              <w:jc w:val="left"/>
              <w:rPr>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color w:val="000000" w:themeColor="text1"/>
                <w:sz w:val="18"/>
                <w:szCs w:val="18"/>
                <w14:textFill>
                  <w14:solidFill>
                    <w14:schemeClr w14:val="tx1"/>
                  </w14:solidFill>
                </w14:textFill>
              </w:rPr>
              <w:t>重复性限（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）为2.8×</w:t>
            </w:r>
            <w:r>
              <w:rPr>
                <w:rFonts w:hint="eastAsia"/>
                <w:i/>
                <w:iCs/>
                <w:color w:val="000000" w:themeColor="text1"/>
                <w:sz w:val="18"/>
                <w:szCs w:val="18"/>
                <w14:textFill>
                  <w14:solidFill>
                    <w14:schemeClr w14:val="tx1"/>
                  </w14:solidFill>
                </w14:textFill>
              </w:rPr>
              <w:t>S</w:t>
            </w:r>
            <w:r>
              <w:rPr>
                <w:rFonts w:hint="eastAsia"/>
                <w:i/>
                <w:iCs/>
                <w:color w:val="000000" w:themeColor="text1"/>
                <w:sz w:val="18"/>
                <w:szCs w:val="18"/>
                <w:vertAlign w:val="subscript"/>
                <w14:textFill>
                  <w14:solidFill>
                    <w14:schemeClr w14:val="tx1"/>
                  </w14:solidFill>
                </w14:textFill>
              </w:rPr>
              <w:t>r</w:t>
            </w:r>
            <w:r>
              <w:rPr>
                <w:rFonts w:hint="eastAsia"/>
                <w:color w:val="000000" w:themeColor="text1"/>
                <w:sz w:val="18"/>
                <w:szCs w:val="18"/>
                <w14:textFill>
                  <w14:solidFill>
                    <w14:schemeClr w14:val="tx1"/>
                  </w14:solidFill>
                </w14:textFill>
              </w:rPr>
              <w:t>，</w:t>
            </w:r>
            <w:r>
              <w:rPr>
                <w:rFonts w:hint="eastAsia"/>
                <w:i/>
                <w:iCs/>
                <w:color w:val="000000" w:themeColor="text1"/>
                <w:sz w:val="18"/>
                <w:szCs w:val="18"/>
                <w14:textFill>
                  <w14:solidFill>
                    <w14:schemeClr w14:val="tx1"/>
                  </w14:solidFill>
                </w14:textFill>
              </w:rPr>
              <w:t>S</w:t>
            </w:r>
            <w:r>
              <w:rPr>
                <w:rFonts w:hint="eastAsia"/>
                <w:i/>
                <w:iCs/>
                <w:color w:val="000000" w:themeColor="text1"/>
                <w:sz w:val="18"/>
                <w:szCs w:val="18"/>
                <w:vertAlign w:val="subscript"/>
                <w14:textFill>
                  <w14:solidFill>
                    <w14:schemeClr w14:val="tx1"/>
                  </w14:solidFill>
                </w14:textFill>
              </w:rPr>
              <w:t>r</w:t>
            </w:r>
            <w:r>
              <w:rPr>
                <w:rFonts w:hint="eastAsia"/>
                <w:color w:val="000000" w:themeColor="text1"/>
                <w:sz w:val="18"/>
                <w:szCs w:val="18"/>
                <w14:textFill>
                  <w14:solidFill>
                    <w14:schemeClr w14:val="tx1"/>
                  </w14:solidFill>
                </w14:textFill>
              </w:rPr>
              <w:t>为重复性标准差。</w:t>
            </w:r>
          </w:p>
        </w:tc>
      </w:tr>
    </w:tbl>
    <w:p w14:paraId="541681B2">
      <w:pPr>
        <w:pStyle w:val="53"/>
        <w:snapToGrid w:val="0"/>
        <w:spacing w:before="156" w:after="156"/>
        <w:rPr>
          <w:rFonts w:ascii="Times New Roman"/>
          <w:color w:val="000000" w:themeColor="text1"/>
          <w14:textFill>
            <w14:solidFill>
              <w14:schemeClr w14:val="tx1"/>
            </w14:solidFill>
          </w14:textFill>
        </w:rPr>
      </w:pPr>
      <w:r>
        <w:rPr>
          <w:rFonts w:hint="eastAsia" w:hAnsi="黑体" w:cs="黑体"/>
          <w:color w:val="000000" w:themeColor="text1"/>
          <w:kern w:val="2"/>
          <w:szCs w:val="21"/>
          <w14:textFill>
            <w14:solidFill>
              <w14:schemeClr w14:val="tx1"/>
            </w14:solidFill>
          </w14:textFill>
        </w:rPr>
        <w:t>5.7.</w:t>
      </w:r>
      <w:r>
        <w:rPr>
          <w:rFonts w:hint="eastAsia" w:hAnsi="黑体" w:cs="黑体"/>
          <w:color w:val="000000" w:themeColor="text1"/>
          <w:kern w:val="2"/>
          <w:szCs w:val="21"/>
          <w:lang w:val="en-US" w:eastAsia="zh-CN"/>
          <w14:textFill>
            <w14:solidFill>
              <w14:schemeClr w14:val="tx1"/>
            </w14:solidFill>
          </w14:textFill>
        </w:rPr>
        <w:t>2</w:t>
      </w:r>
      <w:r>
        <w:rPr>
          <w:rFonts w:hint="eastAsia" w:hAnsi="黑体" w:cs="黑体"/>
          <w:color w:val="000000" w:themeColor="text1"/>
          <w:kern w:val="2"/>
          <w:szCs w:val="21"/>
          <w14:textFill>
            <w14:solidFill>
              <w14:schemeClr w14:val="tx1"/>
            </w14:solidFill>
          </w14:textFill>
        </w:rPr>
        <w:t xml:space="preserve"> </w:t>
      </w:r>
      <w:r>
        <w:rPr>
          <w:rFonts w:hint="eastAsia" w:ascii="Times New Roman"/>
          <w:color w:val="000000" w:themeColor="text1"/>
          <w14:textFill>
            <w14:solidFill>
              <w14:schemeClr w14:val="tx1"/>
            </w14:solidFill>
          </w14:textFill>
        </w:rPr>
        <w:t>再现性</w:t>
      </w:r>
    </w:p>
    <w:p w14:paraId="0EBFC0A3">
      <w:pPr>
        <w:snapToGrid w:val="0"/>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在再现性条件下获得的两次独立测试结果的绝对差值不大于再现性限（</w:t>
      </w:r>
      <w:r>
        <w:rPr>
          <w:i/>
          <w:color w:val="000000" w:themeColor="text1"/>
          <w14:textFill>
            <w14:solidFill>
              <w14:schemeClr w14:val="tx1"/>
            </w14:solidFill>
          </w14:textFill>
        </w:rPr>
        <w:t>R</w:t>
      </w:r>
      <w:r>
        <w:rPr>
          <w:color w:val="000000" w:themeColor="text1"/>
          <w14:textFill>
            <w14:solidFill>
              <w14:schemeClr w14:val="tx1"/>
            </w14:solidFill>
          </w14:textFill>
        </w:rPr>
        <w:t>），超过再现性限（</w:t>
      </w:r>
      <w:r>
        <w:rPr>
          <w:i/>
          <w:color w:val="000000" w:themeColor="text1"/>
          <w14:textFill>
            <w14:solidFill>
              <w14:schemeClr w14:val="tx1"/>
            </w14:solidFill>
          </w14:textFill>
        </w:rPr>
        <w:t>R</w:t>
      </w:r>
      <w:r>
        <w:rPr>
          <w:color w:val="000000" w:themeColor="text1"/>
          <w14:textFill>
            <w14:solidFill>
              <w14:schemeClr w14:val="tx1"/>
            </w14:solidFill>
          </w14:textFill>
        </w:rPr>
        <w:t>）的情况不超过5 %，再现性限（</w:t>
      </w:r>
      <w:r>
        <w:rPr>
          <w:i/>
          <w:color w:val="000000" w:themeColor="text1"/>
          <w14:textFill>
            <w14:solidFill>
              <w14:schemeClr w14:val="tx1"/>
            </w14:solidFill>
          </w14:textFill>
        </w:rPr>
        <w:t>R</w:t>
      </w:r>
      <w:r>
        <w:rPr>
          <w:color w:val="000000" w:themeColor="text1"/>
          <w14:textFill>
            <w14:solidFill>
              <w14:schemeClr w14:val="tx1"/>
            </w14:solidFill>
          </w14:textFill>
        </w:rPr>
        <w:t>）按表</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数据采用线性内插法或外延法求得。</w:t>
      </w:r>
    </w:p>
    <w:p w14:paraId="24FAD1FF">
      <w:pPr>
        <w:spacing w:before="156" w:beforeLines="50" w:after="156" w:afterLines="50" w:line="300" w:lineRule="exact"/>
        <w:jc w:val="center"/>
        <w:rPr>
          <w:color w:val="000000" w:themeColor="text1"/>
          <w:spacing w:val="6"/>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lang w:val="en-US" w:eastAsia="zh-CN"/>
          <w14:textFill>
            <w14:solidFill>
              <w14:schemeClr w14:val="tx1"/>
            </w14:solidFill>
          </w14:textFill>
        </w:rPr>
        <w:t>7</w:t>
      </w:r>
      <w:r>
        <w:rPr>
          <w:rFonts w:eastAsia="黑体"/>
          <w:color w:val="000000" w:themeColor="text1"/>
          <w14:textFill>
            <w14:solidFill>
              <w14:schemeClr w14:val="tx1"/>
            </w14:solidFill>
          </w14:textFill>
        </w:rPr>
        <w:t xml:space="preserve"> 再现性限</w:t>
      </w:r>
      <w:r>
        <w:rPr>
          <w:rFonts w:hint="eastAsia" w:eastAsia="黑体"/>
          <w:color w:val="000000" w:themeColor="text1"/>
          <w14:textFill>
            <w14:solidFill>
              <w14:schemeClr w14:val="tx1"/>
            </w14:solidFill>
          </w14:textFill>
        </w:rPr>
        <w:t>（</w:t>
      </w:r>
      <w:r>
        <w:rPr>
          <w:rFonts w:hint="eastAsia" w:eastAsia="黑体"/>
          <w:i/>
          <w:iCs/>
          <w:color w:val="000000" w:themeColor="text1"/>
          <w14:textFill>
            <w14:solidFill>
              <w14:schemeClr w14:val="tx1"/>
            </w14:solidFill>
          </w14:textFill>
        </w:rPr>
        <w:t>R</w:t>
      </w:r>
      <w:r>
        <w:rPr>
          <w:rFonts w:hint="eastAsia" w:eastAsia="黑体"/>
          <w:color w:val="000000" w:themeColor="text1"/>
          <w14:textFill>
            <w14:solidFill>
              <w14:schemeClr w14:val="tx1"/>
            </w14:solidFill>
          </w14:textFill>
        </w:rPr>
        <w:t>）</w:t>
      </w:r>
    </w:p>
    <w:tbl>
      <w:tblPr>
        <w:tblStyle w:val="25"/>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3"/>
        <w:gridCol w:w="1589"/>
        <w:gridCol w:w="1589"/>
        <w:gridCol w:w="1589"/>
        <w:gridCol w:w="1589"/>
        <w:gridCol w:w="1640"/>
      </w:tblGrid>
      <w:tr w14:paraId="6E25D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64" w:type="dxa"/>
            <w:tcBorders>
              <w:bottom w:val="single" w:color="auto" w:sz="12" w:space="0"/>
            </w:tcBorders>
            <w:vAlign w:val="center"/>
          </w:tcPr>
          <w:p w14:paraId="77D7D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1589" w:type="dxa"/>
            <w:tcBorders>
              <w:bottom w:val="single" w:color="auto" w:sz="12" w:space="0"/>
            </w:tcBorders>
            <w:vAlign w:val="center"/>
          </w:tcPr>
          <w:p w14:paraId="0C352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质量分数</w:t>
            </w:r>
          </w:p>
          <w:p w14:paraId="5DD4B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589" w:type="dxa"/>
            <w:tcBorders>
              <w:bottom w:val="single" w:color="auto" w:sz="12" w:space="0"/>
              <w:right w:val="double" w:color="auto" w:sz="4" w:space="0"/>
            </w:tcBorders>
            <w:vAlign w:val="center"/>
          </w:tcPr>
          <w:p w14:paraId="2E3A5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再现性限（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w:t>
            </w:r>
          </w:p>
          <w:p w14:paraId="125C5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1589" w:type="dxa"/>
            <w:tcBorders>
              <w:left w:val="double" w:color="auto" w:sz="4" w:space="0"/>
              <w:bottom w:val="single" w:color="auto" w:sz="12" w:space="0"/>
            </w:tcBorders>
            <w:vAlign w:val="center"/>
          </w:tcPr>
          <w:p w14:paraId="0A1DF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元素</w:t>
            </w:r>
          </w:p>
        </w:tc>
        <w:tc>
          <w:tcPr>
            <w:tcW w:w="1589" w:type="dxa"/>
            <w:tcBorders>
              <w:bottom w:val="single" w:color="auto" w:sz="12" w:space="0"/>
            </w:tcBorders>
            <w:vAlign w:val="center"/>
          </w:tcPr>
          <w:p w14:paraId="4219E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质量分数</w:t>
            </w:r>
          </w:p>
          <w:p w14:paraId="036B6A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 %</w:t>
            </w:r>
          </w:p>
        </w:tc>
        <w:tc>
          <w:tcPr>
            <w:tcW w:w="1640" w:type="dxa"/>
            <w:tcBorders>
              <w:bottom w:val="single" w:color="auto" w:sz="12" w:space="0"/>
            </w:tcBorders>
            <w:vAlign w:val="center"/>
          </w:tcPr>
          <w:p w14:paraId="74029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再现性限（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w:t>
            </w:r>
          </w:p>
          <w:p w14:paraId="76C0B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r>
      <w:tr w14:paraId="6C28E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restart"/>
            <w:tcBorders>
              <w:top w:val="single" w:color="auto" w:sz="12" w:space="0"/>
            </w:tcBorders>
            <w:vAlign w:val="center"/>
          </w:tcPr>
          <w:p w14:paraId="5962592C">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钼</w:t>
            </w:r>
          </w:p>
        </w:tc>
        <w:tc>
          <w:tcPr>
            <w:tcW w:w="1589" w:type="dxa"/>
            <w:tcBorders>
              <w:top w:val="single" w:color="auto" w:sz="12" w:space="0"/>
            </w:tcBorders>
            <w:shd w:val="clear" w:color="auto" w:fill="auto"/>
            <w:vAlign w:val="center"/>
          </w:tcPr>
          <w:p w14:paraId="5B50A5F7">
            <w:pPr>
              <w:spacing w:line="400" w:lineRule="exact"/>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0.0007</w:t>
            </w:r>
          </w:p>
        </w:tc>
        <w:tc>
          <w:tcPr>
            <w:tcW w:w="1589" w:type="dxa"/>
            <w:tcBorders>
              <w:top w:val="single" w:color="auto" w:sz="12" w:space="0"/>
              <w:right w:val="double" w:color="auto" w:sz="4" w:space="0"/>
            </w:tcBorders>
            <w:vAlign w:val="center"/>
          </w:tcPr>
          <w:p w14:paraId="5517186C">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0.0002</w:t>
            </w:r>
          </w:p>
        </w:tc>
        <w:tc>
          <w:tcPr>
            <w:tcW w:w="1589" w:type="dxa"/>
            <w:vMerge w:val="restart"/>
            <w:tcBorders>
              <w:top w:val="single" w:color="auto" w:sz="12" w:space="0"/>
              <w:left w:val="double" w:color="auto" w:sz="4" w:space="0"/>
            </w:tcBorders>
            <w:vAlign w:val="center"/>
          </w:tcPr>
          <w:p w14:paraId="4F86BA88">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钨</w:t>
            </w:r>
          </w:p>
        </w:tc>
        <w:tc>
          <w:tcPr>
            <w:tcW w:w="1589" w:type="dxa"/>
            <w:tcBorders>
              <w:top w:val="single" w:color="auto" w:sz="12" w:space="0"/>
            </w:tcBorders>
            <w:vAlign w:val="center"/>
          </w:tcPr>
          <w:p w14:paraId="787CCD55">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0.0002</w:t>
            </w:r>
          </w:p>
        </w:tc>
        <w:tc>
          <w:tcPr>
            <w:tcW w:w="1640" w:type="dxa"/>
            <w:tcBorders>
              <w:top w:val="single" w:color="auto" w:sz="12" w:space="0"/>
            </w:tcBorders>
            <w:vAlign w:val="center"/>
          </w:tcPr>
          <w:p w14:paraId="540F925C">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0.0001</w:t>
            </w:r>
          </w:p>
        </w:tc>
      </w:tr>
      <w:tr w14:paraId="429E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73B3781A">
            <w:pPr>
              <w:spacing w:line="400" w:lineRule="exact"/>
              <w:jc w:val="center"/>
              <w:rPr>
                <w:color w:val="000000" w:themeColor="text1"/>
                <w:sz w:val="18"/>
                <w:szCs w:val="18"/>
                <w14:textFill>
                  <w14:solidFill>
                    <w14:schemeClr w14:val="tx1"/>
                  </w14:solidFill>
                </w14:textFill>
              </w:rPr>
            </w:pPr>
          </w:p>
        </w:tc>
        <w:tc>
          <w:tcPr>
            <w:tcW w:w="1589" w:type="dxa"/>
            <w:shd w:val="clear" w:color="auto" w:fill="auto"/>
            <w:vAlign w:val="center"/>
          </w:tcPr>
          <w:p w14:paraId="6BB4A093">
            <w:pPr>
              <w:spacing w:line="400" w:lineRule="exact"/>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0.0024</w:t>
            </w:r>
          </w:p>
        </w:tc>
        <w:tc>
          <w:tcPr>
            <w:tcW w:w="1589" w:type="dxa"/>
            <w:tcBorders>
              <w:right w:val="double" w:color="auto" w:sz="4" w:space="0"/>
            </w:tcBorders>
            <w:vAlign w:val="center"/>
          </w:tcPr>
          <w:p w14:paraId="59EB171A">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0.0006</w:t>
            </w:r>
          </w:p>
        </w:tc>
        <w:tc>
          <w:tcPr>
            <w:tcW w:w="1589" w:type="dxa"/>
            <w:vMerge w:val="continue"/>
            <w:tcBorders>
              <w:left w:val="double" w:color="auto" w:sz="4" w:space="0"/>
            </w:tcBorders>
            <w:vAlign w:val="center"/>
          </w:tcPr>
          <w:p w14:paraId="26551C0D">
            <w:pPr>
              <w:spacing w:line="400" w:lineRule="exact"/>
              <w:jc w:val="center"/>
              <w:rPr>
                <w:color w:val="000000" w:themeColor="text1"/>
                <w:sz w:val="18"/>
                <w:szCs w:val="18"/>
                <w14:textFill>
                  <w14:solidFill>
                    <w14:schemeClr w14:val="tx1"/>
                  </w14:solidFill>
                </w14:textFill>
              </w:rPr>
            </w:pPr>
          </w:p>
        </w:tc>
        <w:tc>
          <w:tcPr>
            <w:tcW w:w="1589" w:type="dxa"/>
            <w:vAlign w:val="center"/>
          </w:tcPr>
          <w:p w14:paraId="0507A804">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0.0051</w:t>
            </w:r>
          </w:p>
        </w:tc>
        <w:tc>
          <w:tcPr>
            <w:tcW w:w="1640" w:type="dxa"/>
            <w:vAlign w:val="center"/>
          </w:tcPr>
          <w:p w14:paraId="5B5C3AAE">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0.0009</w:t>
            </w:r>
          </w:p>
        </w:tc>
      </w:tr>
      <w:tr w14:paraId="49919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0733CCC6">
            <w:pPr>
              <w:spacing w:line="400" w:lineRule="exact"/>
              <w:jc w:val="center"/>
              <w:rPr>
                <w:color w:val="000000" w:themeColor="text1"/>
                <w:sz w:val="18"/>
                <w:szCs w:val="18"/>
                <w14:textFill>
                  <w14:solidFill>
                    <w14:schemeClr w14:val="tx1"/>
                  </w14:solidFill>
                </w14:textFill>
              </w:rPr>
            </w:pPr>
          </w:p>
        </w:tc>
        <w:tc>
          <w:tcPr>
            <w:tcW w:w="1589" w:type="dxa"/>
            <w:shd w:val="clear" w:color="auto" w:fill="auto"/>
            <w:vAlign w:val="center"/>
          </w:tcPr>
          <w:p w14:paraId="4AEE0B1B">
            <w:pPr>
              <w:spacing w:line="400" w:lineRule="exact"/>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0.0060</w:t>
            </w:r>
          </w:p>
        </w:tc>
        <w:tc>
          <w:tcPr>
            <w:tcW w:w="1589" w:type="dxa"/>
            <w:tcBorders>
              <w:right w:val="double" w:color="auto" w:sz="4" w:space="0"/>
            </w:tcBorders>
            <w:vAlign w:val="center"/>
          </w:tcPr>
          <w:p w14:paraId="1D1DA442">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0.0010</w:t>
            </w:r>
          </w:p>
        </w:tc>
        <w:tc>
          <w:tcPr>
            <w:tcW w:w="1589" w:type="dxa"/>
            <w:vMerge w:val="continue"/>
            <w:tcBorders>
              <w:left w:val="double" w:color="auto" w:sz="4" w:space="0"/>
            </w:tcBorders>
            <w:vAlign w:val="center"/>
          </w:tcPr>
          <w:p w14:paraId="03484656">
            <w:pPr>
              <w:spacing w:line="400" w:lineRule="exact"/>
              <w:jc w:val="center"/>
              <w:rPr>
                <w:color w:val="000000" w:themeColor="text1"/>
                <w:sz w:val="18"/>
                <w:szCs w:val="18"/>
                <w14:textFill>
                  <w14:solidFill>
                    <w14:schemeClr w14:val="tx1"/>
                  </w14:solidFill>
                </w14:textFill>
              </w:rPr>
            </w:pPr>
          </w:p>
        </w:tc>
        <w:tc>
          <w:tcPr>
            <w:tcW w:w="1589" w:type="dxa"/>
            <w:vAlign w:val="center"/>
          </w:tcPr>
          <w:p w14:paraId="2F4575D5">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0.013</w:t>
            </w:r>
          </w:p>
        </w:tc>
        <w:tc>
          <w:tcPr>
            <w:tcW w:w="1640" w:type="dxa"/>
            <w:vAlign w:val="center"/>
          </w:tcPr>
          <w:p w14:paraId="67F3229F">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0.002</w:t>
            </w:r>
          </w:p>
        </w:tc>
      </w:tr>
      <w:tr w14:paraId="3000A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15D1869D">
            <w:pPr>
              <w:spacing w:line="400" w:lineRule="exact"/>
              <w:jc w:val="center"/>
              <w:rPr>
                <w:color w:val="000000" w:themeColor="text1"/>
                <w:sz w:val="18"/>
                <w:szCs w:val="18"/>
                <w14:textFill>
                  <w14:solidFill>
                    <w14:schemeClr w14:val="tx1"/>
                  </w14:solidFill>
                </w14:textFill>
              </w:rPr>
            </w:pPr>
          </w:p>
        </w:tc>
        <w:tc>
          <w:tcPr>
            <w:tcW w:w="1589" w:type="dxa"/>
            <w:shd w:val="clear" w:color="auto" w:fill="auto"/>
            <w:vAlign w:val="center"/>
          </w:tcPr>
          <w:p w14:paraId="0D2249B3">
            <w:pPr>
              <w:spacing w:line="400" w:lineRule="exact"/>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0.045</w:t>
            </w:r>
          </w:p>
        </w:tc>
        <w:tc>
          <w:tcPr>
            <w:tcW w:w="1589" w:type="dxa"/>
            <w:tcBorders>
              <w:right w:val="double" w:color="auto" w:sz="4" w:space="0"/>
            </w:tcBorders>
            <w:vAlign w:val="center"/>
          </w:tcPr>
          <w:p w14:paraId="0F825538">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0.006</w:t>
            </w:r>
          </w:p>
        </w:tc>
        <w:tc>
          <w:tcPr>
            <w:tcW w:w="1589" w:type="dxa"/>
            <w:vMerge w:val="continue"/>
            <w:tcBorders>
              <w:left w:val="double" w:color="auto" w:sz="4" w:space="0"/>
            </w:tcBorders>
            <w:vAlign w:val="center"/>
          </w:tcPr>
          <w:p w14:paraId="03A7077A">
            <w:pPr>
              <w:spacing w:line="400" w:lineRule="exact"/>
              <w:jc w:val="center"/>
              <w:rPr>
                <w:color w:val="000000" w:themeColor="text1"/>
                <w:sz w:val="18"/>
                <w:szCs w:val="18"/>
                <w14:textFill>
                  <w14:solidFill>
                    <w14:schemeClr w14:val="tx1"/>
                  </w14:solidFill>
                </w14:textFill>
              </w:rPr>
            </w:pPr>
          </w:p>
        </w:tc>
        <w:tc>
          <w:tcPr>
            <w:tcW w:w="1589" w:type="dxa"/>
            <w:vAlign w:val="center"/>
          </w:tcPr>
          <w:p w14:paraId="3B621FAE">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0.024</w:t>
            </w:r>
          </w:p>
        </w:tc>
        <w:tc>
          <w:tcPr>
            <w:tcW w:w="1640" w:type="dxa"/>
            <w:vAlign w:val="center"/>
          </w:tcPr>
          <w:p w14:paraId="244B6558">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0.003</w:t>
            </w:r>
          </w:p>
        </w:tc>
      </w:tr>
      <w:tr w14:paraId="249AB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423A6BC9">
            <w:pPr>
              <w:spacing w:line="400" w:lineRule="exact"/>
              <w:jc w:val="center"/>
              <w:rPr>
                <w:color w:val="000000" w:themeColor="text1"/>
                <w:sz w:val="18"/>
                <w:szCs w:val="18"/>
                <w14:textFill>
                  <w14:solidFill>
                    <w14:schemeClr w14:val="tx1"/>
                  </w14:solidFill>
                </w14:textFill>
              </w:rPr>
            </w:pPr>
          </w:p>
        </w:tc>
        <w:tc>
          <w:tcPr>
            <w:tcW w:w="1589" w:type="dxa"/>
            <w:shd w:val="clear" w:color="auto" w:fill="auto"/>
            <w:vAlign w:val="center"/>
          </w:tcPr>
          <w:p w14:paraId="715F54A6">
            <w:pPr>
              <w:spacing w:line="400" w:lineRule="exact"/>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0.11</w:t>
            </w:r>
          </w:p>
        </w:tc>
        <w:tc>
          <w:tcPr>
            <w:tcW w:w="1589" w:type="dxa"/>
            <w:tcBorders>
              <w:right w:val="double" w:color="auto" w:sz="4" w:space="0"/>
            </w:tcBorders>
            <w:vAlign w:val="center"/>
          </w:tcPr>
          <w:p w14:paraId="01D357A7">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0.01</w:t>
            </w:r>
          </w:p>
        </w:tc>
        <w:tc>
          <w:tcPr>
            <w:tcW w:w="1589" w:type="dxa"/>
            <w:vMerge w:val="continue"/>
            <w:tcBorders>
              <w:left w:val="double" w:color="auto" w:sz="4" w:space="0"/>
            </w:tcBorders>
            <w:vAlign w:val="center"/>
          </w:tcPr>
          <w:p w14:paraId="0CA38940">
            <w:pPr>
              <w:spacing w:line="400" w:lineRule="exact"/>
              <w:jc w:val="center"/>
              <w:rPr>
                <w:color w:val="000000" w:themeColor="text1"/>
                <w:sz w:val="18"/>
                <w:szCs w:val="18"/>
                <w14:textFill>
                  <w14:solidFill>
                    <w14:schemeClr w14:val="tx1"/>
                  </w14:solidFill>
                </w14:textFill>
              </w:rPr>
            </w:pPr>
          </w:p>
        </w:tc>
        <w:tc>
          <w:tcPr>
            <w:tcW w:w="1589" w:type="dxa"/>
            <w:vAlign w:val="center"/>
          </w:tcPr>
          <w:p w14:paraId="4C792650">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0.050</w:t>
            </w:r>
          </w:p>
        </w:tc>
        <w:tc>
          <w:tcPr>
            <w:tcW w:w="1640" w:type="dxa"/>
            <w:vAlign w:val="center"/>
          </w:tcPr>
          <w:p w14:paraId="2381DCB3">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0.006</w:t>
            </w:r>
          </w:p>
        </w:tc>
      </w:tr>
      <w:tr w14:paraId="15581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 w:hRule="atLeast"/>
          <w:jc w:val="center"/>
        </w:trPr>
        <w:tc>
          <w:tcPr>
            <w:tcW w:w="1564" w:type="dxa"/>
            <w:vMerge w:val="continue"/>
            <w:vAlign w:val="center"/>
          </w:tcPr>
          <w:p w14:paraId="510E4D1A">
            <w:pPr>
              <w:spacing w:line="400" w:lineRule="exact"/>
              <w:jc w:val="center"/>
              <w:rPr>
                <w:color w:val="000000" w:themeColor="text1"/>
                <w:sz w:val="18"/>
                <w:szCs w:val="18"/>
                <w14:textFill>
                  <w14:solidFill>
                    <w14:schemeClr w14:val="tx1"/>
                  </w14:solidFill>
                </w14:textFill>
              </w:rPr>
            </w:pPr>
          </w:p>
        </w:tc>
        <w:tc>
          <w:tcPr>
            <w:tcW w:w="1589" w:type="dxa"/>
            <w:vAlign w:val="center"/>
          </w:tcPr>
          <w:p w14:paraId="60D5EACD">
            <w:pPr>
              <w:spacing w:line="40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c>
          <w:tcPr>
            <w:tcW w:w="1589" w:type="dxa"/>
            <w:tcBorders>
              <w:right w:val="double" w:color="auto" w:sz="4" w:space="0"/>
            </w:tcBorders>
            <w:vAlign w:val="center"/>
          </w:tcPr>
          <w:p w14:paraId="5D020777">
            <w:pPr>
              <w:spacing w:line="400" w:lineRule="exact"/>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c>
          <w:tcPr>
            <w:tcW w:w="1589" w:type="dxa"/>
            <w:vMerge w:val="continue"/>
            <w:tcBorders>
              <w:left w:val="double" w:color="auto" w:sz="4" w:space="0"/>
            </w:tcBorders>
            <w:vAlign w:val="center"/>
          </w:tcPr>
          <w:p w14:paraId="3E696091">
            <w:pPr>
              <w:spacing w:line="400" w:lineRule="exact"/>
              <w:jc w:val="center"/>
              <w:rPr>
                <w:color w:val="000000" w:themeColor="text1"/>
                <w:sz w:val="18"/>
                <w:szCs w:val="18"/>
                <w14:textFill>
                  <w14:solidFill>
                    <w14:schemeClr w14:val="tx1"/>
                  </w14:solidFill>
                </w14:textFill>
              </w:rPr>
            </w:pPr>
          </w:p>
        </w:tc>
        <w:tc>
          <w:tcPr>
            <w:tcW w:w="1589" w:type="dxa"/>
            <w:vAlign w:val="center"/>
          </w:tcPr>
          <w:p w14:paraId="63F8CC44">
            <w:pPr>
              <w:spacing w:line="400" w:lineRule="exact"/>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0.11</w:t>
            </w:r>
          </w:p>
        </w:tc>
        <w:tc>
          <w:tcPr>
            <w:tcW w:w="1640" w:type="dxa"/>
            <w:vAlign w:val="center"/>
          </w:tcPr>
          <w:p w14:paraId="0174668E">
            <w:pPr>
              <w:spacing w:line="40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0.01</w:t>
            </w:r>
          </w:p>
        </w:tc>
      </w:tr>
      <w:tr w14:paraId="628ED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60" w:type="dxa"/>
            <w:gridSpan w:val="6"/>
            <w:vAlign w:val="center"/>
          </w:tcPr>
          <w:p w14:paraId="7546EB8D">
            <w:pPr>
              <w:spacing w:line="400" w:lineRule="exact"/>
              <w:jc w:val="left"/>
              <w:rPr>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color w:val="000000" w:themeColor="text1"/>
                <w:sz w:val="18"/>
                <w:szCs w:val="18"/>
                <w14:textFill>
                  <w14:solidFill>
                    <w14:schemeClr w14:val="tx1"/>
                  </w14:solidFill>
                </w14:textFill>
              </w:rPr>
              <w:t>再现性限（</w:t>
            </w:r>
            <w:r>
              <w:rPr>
                <w:rFonts w:hint="eastAsia"/>
                <w:i/>
                <w:iCs/>
                <w:color w:val="000000" w:themeColor="text1"/>
                <w:sz w:val="18"/>
                <w:szCs w:val="18"/>
                <w14:textFill>
                  <w14:solidFill>
                    <w14:schemeClr w14:val="tx1"/>
                  </w14:solidFill>
                </w14:textFill>
              </w:rPr>
              <w:t>R</w:t>
            </w:r>
            <w:r>
              <w:rPr>
                <w:rFonts w:hint="eastAsia"/>
                <w:color w:val="000000" w:themeColor="text1"/>
                <w:sz w:val="18"/>
                <w:szCs w:val="18"/>
                <w14:textFill>
                  <w14:solidFill>
                    <w14:schemeClr w14:val="tx1"/>
                  </w14:solidFill>
                </w14:textFill>
              </w:rPr>
              <w:t>）为2.8×</w:t>
            </w:r>
            <w:r>
              <w:rPr>
                <w:rFonts w:hint="eastAsia"/>
                <w:i/>
                <w:iCs/>
                <w:color w:val="000000" w:themeColor="text1"/>
                <w:sz w:val="18"/>
                <w:szCs w:val="18"/>
                <w14:textFill>
                  <w14:solidFill>
                    <w14:schemeClr w14:val="tx1"/>
                  </w14:solidFill>
                </w14:textFill>
              </w:rPr>
              <w:t>S</w:t>
            </w:r>
            <w:r>
              <w:rPr>
                <w:rFonts w:hint="eastAsia"/>
                <w:i/>
                <w:iCs/>
                <w:color w:val="000000" w:themeColor="text1"/>
                <w:sz w:val="18"/>
                <w:szCs w:val="18"/>
                <w:vertAlign w:val="subscript"/>
                <w14:textFill>
                  <w14:solidFill>
                    <w14:schemeClr w14:val="tx1"/>
                  </w14:solidFill>
                </w14:textFill>
              </w:rPr>
              <w:t>R</w:t>
            </w:r>
            <w:r>
              <w:rPr>
                <w:rFonts w:hint="eastAsia"/>
                <w:color w:val="000000" w:themeColor="text1"/>
                <w:sz w:val="18"/>
                <w:szCs w:val="18"/>
                <w14:textFill>
                  <w14:solidFill>
                    <w14:schemeClr w14:val="tx1"/>
                  </w14:solidFill>
                </w14:textFill>
              </w:rPr>
              <w:t>，</w:t>
            </w:r>
            <w:r>
              <w:rPr>
                <w:rFonts w:hint="eastAsia"/>
                <w:i/>
                <w:iCs/>
                <w:color w:val="000000" w:themeColor="text1"/>
                <w:sz w:val="18"/>
                <w:szCs w:val="18"/>
                <w14:textFill>
                  <w14:solidFill>
                    <w14:schemeClr w14:val="tx1"/>
                  </w14:solidFill>
                </w14:textFill>
              </w:rPr>
              <w:t>S</w:t>
            </w:r>
            <w:r>
              <w:rPr>
                <w:rFonts w:hint="eastAsia"/>
                <w:i/>
                <w:iCs/>
                <w:color w:val="000000" w:themeColor="text1"/>
                <w:sz w:val="18"/>
                <w:szCs w:val="18"/>
                <w:vertAlign w:val="subscript"/>
                <w14:textFill>
                  <w14:solidFill>
                    <w14:schemeClr w14:val="tx1"/>
                  </w14:solidFill>
                </w14:textFill>
              </w:rPr>
              <w:t>R</w:t>
            </w:r>
            <w:r>
              <w:rPr>
                <w:rFonts w:hint="eastAsia"/>
                <w:color w:val="000000" w:themeColor="text1"/>
                <w:sz w:val="18"/>
                <w:szCs w:val="18"/>
                <w14:textFill>
                  <w14:solidFill>
                    <w14:schemeClr w14:val="tx1"/>
                  </w14:solidFill>
                </w14:textFill>
              </w:rPr>
              <w:t>为再现性标准差。</w:t>
            </w:r>
          </w:p>
        </w:tc>
      </w:tr>
    </w:tbl>
    <w:p w14:paraId="241EBB0E">
      <w:pPr>
        <w:adjustRightInd w:val="0"/>
        <w:snapToGrid w:val="0"/>
        <w:spacing w:line="360" w:lineRule="exact"/>
        <w:rPr>
          <w:color w:val="000000" w:themeColor="text1"/>
          <w:spacing w:val="6"/>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1970405</wp:posOffset>
                </wp:positionH>
                <wp:positionV relativeFrom="paragraph">
                  <wp:posOffset>189230</wp:posOffset>
                </wp:positionV>
                <wp:extent cx="2105660" cy="0"/>
                <wp:effectExtent l="0" t="0" r="0" b="0"/>
                <wp:wrapNone/>
                <wp:docPr id="13" name="直接连接符 3"/>
                <wp:cNvGraphicFramePr/>
                <a:graphic xmlns:a="http://schemas.openxmlformats.org/drawingml/2006/main">
                  <a:graphicData uri="http://schemas.microsoft.com/office/word/2010/wordprocessingShape">
                    <wps:wsp>
                      <wps:cNvCnPr/>
                      <wps:spPr>
                        <a:xfrm>
                          <a:off x="0" y="0"/>
                          <a:ext cx="210566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55.15pt;margin-top:14.9pt;height:0pt;width:165.8pt;z-index:251669504;mso-width-relative:page;mso-height-relative:page;" filled="f" stroked="t" coordsize="21600,21600" o:gfxdata="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8lOf1QAAAAkBAAAPAAAAAAAAAAEAIAAAACIAAABkcnMvZG93bnJldi54bWxQ&#10;SwECFAAUAAAACACHTuJAdPH3TvoBAADyAwAADgAAAAAAAAABACAAAAAkAQAAZHJzL2Uyb0RvYy54&#10;bWxQSwUGAAAAAAYABgBZAQAAkAUAAAAA&#10;">
                <v:fill on="f" focussize="0,0"/>
                <v:stroke weight="1.5pt" color="#000000" joinstyle="round"/>
                <v:imagedata o:title=""/>
                <o:lock v:ext="edit" aspectratio="f"/>
              </v:shape>
            </w:pict>
          </mc:Fallback>
        </mc:AlternateContent>
      </w:r>
    </w:p>
    <w:sectPr>
      <w:headerReference r:id="rId10" w:type="first"/>
      <w:footerReference r:id="rId12" w:type="first"/>
      <w:headerReference r:id="rId8" w:type="default"/>
      <w:footerReference r:id="rId11" w:type="default"/>
      <w:headerReference r:id="rId9" w:type="even"/>
      <w:pgSz w:w="11906" w:h="16838"/>
      <w:pgMar w:top="2268" w:right="1134" w:bottom="851" w:left="1418" w:header="1418" w:footer="680"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3DC4">
    <w:pPr>
      <w:pStyle w:val="49"/>
      <w:rPr>
        <w:rStyle w:val="29"/>
      </w:rPr>
    </w:pPr>
    <w:r>
      <w:fldChar w:fldCharType="begin"/>
    </w:r>
    <w:r>
      <w:rPr>
        <w:rStyle w:val="29"/>
      </w:rPr>
      <w:instrText xml:space="preserve">PAGE  </w:instrText>
    </w:r>
    <w:r>
      <w:fldChar w:fldCharType="separate"/>
    </w:r>
    <w:r>
      <w:rPr>
        <w:rStyle w:val="2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339F">
    <w:pPr>
      <w:pStyle w:val="59"/>
      <w:rPr>
        <w:rStyle w:val="29"/>
      </w:rPr>
    </w:pPr>
    <w:r>
      <w:fldChar w:fldCharType="begin"/>
    </w:r>
    <w:r>
      <w:rPr>
        <w:rStyle w:val="29"/>
      </w:rPr>
      <w:instrText xml:space="preserve">PAGE  </w:instrText>
    </w:r>
    <w:r>
      <w:fldChar w:fldCharType="separate"/>
    </w:r>
    <w:r>
      <w:rPr>
        <w:rStyle w:val="29"/>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EC17">
    <w:pPr>
      <w:pStyle w:val="20"/>
      <w:jc w:val="right"/>
    </w:pPr>
    <w:r>
      <w:fldChar w:fldCharType="begin"/>
    </w:r>
    <w:r>
      <w:instrText xml:space="preserve"> PAGE   \* MERGEFORMAT </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B1DC">
    <w:pPr>
      <w:pStyle w:val="20"/>
      <w:jc w:val="right"/>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2338">
    <w:pPr>
      <w:pStyle w:val="66"/>
    </w:pPr>
    <w:r>
      <w:t>GB/T 12690.—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C6E4">
    <w:pPr>
      <w:pStyle w:val="65"/>
    </w:pPr>
    <w:r>
      <w:t>GB/T 12690.—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F158">
    <w:pPr>
      <w:pStyle w:val="6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A9E0">
    <w:pPr>
      <w:pStyle w:val="21"/>
      <w:pBdr>
        <w:bottom w:val="none" w:color="auto" w:sz="0" w:space="0"/>
      </w:pBdr>
      <w:jc w:val="right"/>
      <w:rPr>
        <w:sz w:val="21"/>
        <w:szCs w:val="21"/>
      </w:rPr>
    </w:pPr>
    <w:r>
      <w:rPr>
        <w:sz w:val="21"/>
        <w:szCs w:val="21"/>
      </w:rPr>
      <w:t xml:space="preserve">GB/T </w:t>
    </w:r>
    <w:r>
      <w:rPr>
        <w:rFonts w:hint="eastAsia"/>
        <w:sz w:val="21"/>
        <w:szCs w:val="21"/>
        <w:lang w:val="en-US" w:eastAsia="zh-CN"/>
      </w:rPr>
      <w:t>12690</w:t>
    </w:r>
    <w:r>
      <w:rPr>
        <w:rFonts w:hint="eastAsia"/>
        <w:sz w:val="21"/>
        <w:szCs w:val="21"/>
      </w:rPr>
      <w:t>.</w:t>
    </w:r>
    <w:r>
      <w:rPr>
        <w:rFonts w:hint="eastAsia"/>
        <w:sz w:val="21"/>
        <w:szCs w:val="21"/>
        <w:lang w:val="en-US" w:eastAsia="zh-CN"/>
      </w:rPr>
      <w:t>1</w:t>
    </w:r>
    <w:r>
      <w:rPr>
        <w:rFonts w:hint="eastAsia"/>
        <w:sz w:val="21"/>
        <w:szCs w:val="21"/>
      </w:rPr>
      <w:t>3</w:t>
    </w:r>
    <w:r>
      <w:rPr>
        <w:sz w:val="21"/>
        <w:szCs w:val="21"/>
      </w:rPr>
      <w:t>-202X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BCDE0">
    <w:pPr>
      <w:pStyle w:val="21"/>
      <w:pBdr>
        <w:bottom w:val="none" w:color="auto" w:sz="0" w:space="0"/>
      </w:pBdr>
      <w:jc w:val="both"/>
      <w:rPr>
        <w:sz w:val="21"/>
        <w:szCs w:val="21"/>
      </w:rPr>
    </w:pPr>
    <w:r>
      <w:rPr>
        <w:rFonts w:eastAsia="黑体"/>
        <w:sz w:val="21"/>
        <w:szCs w:val="21"/>
      </w:rPr>
      <w:t>GB/T</w:t>
    </w:r>
    <w:r>
      <w:rPr>
        <w:rFonts w:hint="eastAsia" w:eastAsia="黑体"/>
        <w:sz w:val="21"/>
        <w:szCs w:val="21"/>
      </w:rPr>
      <w:t>12690</w:t>
    </w:r>
    <w:r>
      <w:rPr>
        <w:rFonts w:hint="eastAsia" w:eastAsia="黑体"/>
        <w:sz w:val="21"/>
        <w:szCs w:val="21"/>
        <w:lang w:val="en-US" w:eastAsia="zh-CN"/>
      </w:rPr>
      <w:t>.13</w:t>
    </w:r>
    <w:r>
      <w:rPr>
        <w:rFonts w:eastAsia="黑体"/>
        <w:sz w:val="21"/>
        <w:szCs w:val="21"/>
      </w:rPr>
      <w:t>—202X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78DB">
    <w:pPr>
      <w:pStyle w:val="21"/>
      <w:pBdr>
        <w:bottom w:val="none" w:color="auto" w:sz="0" w:space="0"/>
      </w:pBdr>
      <w:jc w:val="right"/>
      <w:rPr>
        <w:rFonts w:ascii="黑体" w:hAnsi="黑体" w:eastAsia="黑体"/>
        <w:sz w:val="21"/>
        <w:szCs w:val="21"/>
      </w:rPr>
    </w:pPr>
    <w:r>
      <w:rPr>
        <w:rFonts w:eastAsia="黑体"/>
        <w:sz w:val="21"/>
        <w:szCs w:val="21"/>
      </w:rPr>
      <w:t xml:space="preserve">GB/T </w:t>
    </w:r>
    <w:r>
      <w:rPr>
        <w:rFonts w:hint="eastAsia" w:eastAsia="黑体"/>
        <w:sz w:val="21"/>
        <w:szCs w:val="21"/>
      </w:rPr>
      <w:t>12690.13</w:t>
    </w:r>
    <w:r>
      <w:rPr>
        <w:rFonts w:eastAsia="黑体"/>
        <w:sz w:val="21"/>
        <w:szCs w:val="21"/>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E656C"/>
    <w:multiLevelType w:val="multilevel"/>
    <w:tmpl w:val="339E656C"/>
    <w:lvl w:ilvl="0" w:tentative="0">
      <w:start w:val="1"/>
      <w:numFmt w:val="decimal"/>
      <w:suff w:val="nothing"/>
      <w:lvlText w:val="%1"/>
      <w:lvlJc w:val="left"/>
      <w:pPr>
        <w:ind w:left="420" w:hanging="420"/>
      </w:pPr>
      <w:rPr>
        <w:rFonts w:hint="default" w:ascii="黑体" w:hAnsi="黑体" w:eastAsia="黑体" w:cs="黑体"/>
      </w:rPr>
    </w:lvl>
    <w:lvl w:ilvl="1" w:tentative="0">
      <w:start w:val="1"/>
      <w:numFmt w:val="decimal"/>
      <w:isLgl/>
      <w:lvlText w:val="%1.%2"/>
      <w:lvlJc w:val="left"/>
      <w:pPr>
        <w:ind w:left="405" w:hanging="40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080" w:hanging="1080"/>
      </w:pPr>
      <w:rPr>
        <w:rFonts w:hint="default" w:ascii="黑体" w:hAnsi="黑体" w:eastAsia="黑体"/>
      </w:rPr>
    </w:lvl>
    <w:lvl w:ilvl="6" w:tentative="0">
      <w:start w:val="1"/>
      <w:numFmt w:val="decimal"/>
      <w:isLgl/>
      <w:lvlText w:val="%1.%2.%3.%4.%5.%6.%7"/>
      <w:lvlJc w:val="left"/>
      <w:pPr>
        <w:ind w:left="1080" w:hanging="1080"/>
      </w:pPr>
      <w:rPr>
        <w:rFonts w:hint="default" w:ascii="黑体" w:hAnsi="黑体" w:eastAsia="黑体"/>
      </w:rPr>
    </w:lvl>
    <w:lvl w:ilvl="7" w:tentative="0">
      <w:start w:val="1"/>
      <w:numFmt w:val="decimal"/>
      <w:isLgl/>
      <w:lvlText w:val="%1.%2.%3.%4.%5.%6.%7.%8"/>
      <w:lvlJc w:val="left"/>
      <w:pPr>
        <w:ind w:left="1440" w:hanging="1440"/>
      </w:pPr>
      <w:rPr>
        <w:rFonts w:hint="default" w:ascii="黑体" w:hAnsi="黑体" w:eastAsia="黑体"/>
      </w:rPr>
    </w:lvl>
    <w:lvl w:ilvl="8" w:tentative="0">
      <w:start w:val="1"/>
      <w:numFmt w:val="decimal"/>
      <w:isLgl/>
      <w:lvlText w:val="%1.%2.%3.%4.%5.%6.%7.%8.%9"/>
      <w:lvlJc w:val="left"/>
      <w:pPr>
        <w:ind w:left="1440" w:hanging="1440"/>
      </w:pPr>
      <w:rPr>
        <w:rFonts w:hint="default" w:ascii="黑体" w:hAnsi="黑体" w:eastAsia="黑体"/>
      </w:rPr>
    </w:lvl>
  </w:abstractNum>
  <w:abstractNum w:abstractNumId="1">
    <w:nsid w:val="39246A1E"/>
    <w:multiLevelType w:val="multilevel"/>
    <w:tmpl w:val="39246A1E"/>
    <w:lvl w:ilvl="0" w:tentative="0">
      <w:start w:val="6"/>
      <w:numFmt w:val="decimal"/>
      <w:pStyle w:val="61"/>
      <w:lvlText w:val="%1"/>
      <w:lvlJc w:val="left"/>
      <w:pPr>
        <w:tabs>
          <w:tab w:val="left" w:pos="360"/>
        </w:tabs>
        <w:ind w:left="360" w:hanging="360"/>
      </w:pPr>
      <w:rPr>
        <w:rFonts w:hint="default"/>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2">
    <w:nsid w:val="39E42C35"/>
    <w:multiLevelType w:val="multilevel"/>
    <w:tmpl w:val="39E42C35"/>
    <w:lvl w:ilvl="0" w:tentative="0">
      <w:start w:val="1"/>
      <w:numFmt w:val="chineseCountingThousand"/>
      <w:pStyle w:val="2"/>
      <w:suff w:val="nothing"/>
      <w:lvlText w:val="第%1章"/>
      <w:lvlJc w:val="left"/>
      <w:pPr>
        <w:ind w:left="0" w:firstLine="0"/>
      </w:pPr>
      <w:rPr>
        <w:rFonts w:hint="default"/>
      </w:rPr>
    </w:lvl>
    <w:lvl w:ilvl="1" w:tentative="0">
      <w:start w:val="1"/>
      <w:numFmt w:val="none"/>
      <w:pStyle w:val="3"/>
      <w:suff w:val="nothing"/>
      <w:lvlText w:val=""/>
      <w:lvlJc w:val="left"/>
      <w:pPr>
        <w:ind w:left="0" w:firstLine="0"/>
      </w:pPr>
      <w:rPr>
        <w:rFonts w:hint="default"/>
      </w:rPr>
    </w:lvl>
    <w:lvl w:ilvl="2" w:tentative="0">
      <w:start w:val="1"/>
      <w:numFmt w:val="none"/>
      <w:pStyle w:val="4"/>
      <w:suff w:val="nothing"/>
      <w:lvlText w:val=""/>
      <w:lvlJc w:val="left"/>
      <w:pPr>
        <w:ind w:left="0" w:firstLine="0"/>
      </w:pPr>
      <w:rPr>
        <w:rFonts w:hint="default"/>
      </w:rPr>
    </w:lvl>
    <w:lvl w:ilvl="3" w:tentative="0">
      <w:start w:val="1"/>
      <w:numFmt w:val="none"/>
      <w:pStyle w:val="5"/>
      <w:suff w:val="nothing"/>
      <w:lvlText w:val=""/>
      <w:lvlJc w:val="left"/>
      <w:pPr>
        <w:ind w:left="0" w:firstLine="0"/>
      </w:pPr>
      <w:rPr>
        <w:rFonts w:hint="default"/>
      </w:rPr>
    </w:lvl>
    <w:lvl w:ilvl="4" w:tentative="0">
      <w:start w:val="1"/>
      <w:numFmt w:val="none"/>
      <w:pStyle w:val="6"/>
      <w:suff w:val="nothing"/>
      <w:lvlText w:val=""/>
      <w:lvlJc w:val="left"/>
      <w:pPr>
        <w:ind w:left="0" w:firstLine="0"/>
      </w:pPr>
      <w:rPr>
        <w:rFonts w:hint="default"/>
      </w:rPr>
    </w:lvl>
    <w:lvl w:ilvl="5" w:tentative="0">
      <w:start w:val="1"/>
      <w:numFmt w:val="none"/>
      <w:pStyle w:val="7"/>
      <w:suff w:val="nothing"/>
      <w:lvlText w:val=""/>
      <w:lvlJc w:val="left"/>
      <w:pPr>
        <w:ind w:left="0" w:firstLine="0"/>
      </w:pPr>
      <w:rPr>
        <w:rFonts w:hint="default"/>
      </w:rPr>
    </w:lvl>
    <w:lvl w:ilvl="6" w:tentative="0">
      <w:start w:val="1"/>
      <w:numFmt w:val="none"/>
      <w:pStyle w:val="8"/>
      <w:suff w:val="nothing"/>
      <w:lvlText w:val=""/>
      <w:lvlJc w:val="left"/>
      <w:pPr>
        <w:ind w:left="0" w:firstLine="0"/>
      </w:pPr>
      <w:rPr>
        <w:rFonts w:hint="default"/>
      </w:rPr>
    </w:lvl>
    <w:lvl w:ilvl="7" w:tentative="0">
      <w:start w:val="1"/>
      <w:numFmt w:val="none"/>
      <w:pStyle w:val="9"/>
      <w:suff w:val="nothing"/>
      <w:lvlText w:val=""/>
      <w:lvlJc w:val="left"/>
      <w:pPr>
        <w:ind w:left="0" w:firstLine="0"/>
      </w:pPr>
      <w:rPr>
        <w:rFonts w:hint="default"/>
      </w:rPr>
    </w:lvl>
    <w:lvl w:ilvl="8" w:tentative="0">
      <w:start w:val="1"/>
      <w:numFmt w:val="none"/>
      <w:pStyle w:val="10"/>
      <w:suff w:val="nothing"/>
      <w:lvlText w:val=""/>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E0OTUwOGY4N2NmNTgyZDYyZmI1ZDZiMTkxM2UifQ=="/>
  </w:docVars>
  <w:rsids>
    <w:rsidRoot w:val="006474C5"/>
    <w:rsid w:val="000009F7"/>
    <w:rsid w:val="00001465"/>
    <w:rsid w:val="000019C0"/>
    <w:rsid w:val="0000387D"/>
    <w:rsid w:val="000050D6"/>
    <w:rsid w:val="00005259"/>
    <w:rsid w:val="000052C1"/>
    <w:rsid w:val="00006BA0"/>
    <w:rsid w:val="0001140E"/>
    <w:rsid w:val="00011F61"/>
    <w:rsid w:val="000156F9"/>
    <w:rsid w:val="00016AA1"/>
    <w:rsid w:val="00017A67"/>
    <w:rsid w:val="00022628"/>
    <w:rsid w:val="000244FB"/>
    <w:rsid w:val="000250FF"/>
    <w:rsid w:val="0002609A"/>
    <w:rsid w:val="00026235"/>
    <w:rsid w:val="00027846"/>
    <w:rsid w:val="0003229B"/>
    <w:rsid w:val="000329D7"/>
    <w:rsid w:val="00036588"/>
    <w:rsid w:val="00037866"/>
    <w:rsid w:val="00041436"/>
    <w:rsid w:val="000430D3"/>
    <w:rsid w:val="000505DB"/>
    <w:rsid w:val="00050B57"/>
    <w:rsid w:val="00052314"/>
    <w:rsid w:val="00053C45"/>
    <w:rsid w:val="00056461"/>
    <w:rsid w:val="00057E42"/>
    <w:rsid w:val="00057F18"/>
    <w:rsid w:val="000612D7"/>
    <w:rsid w:val="00062072"/>
    <w:rsid w:val="00062CE1"/>
    <w:rsid w:val="00064D0C"/>
    <w:rsid w:val="00066F3C"/>
    <w:rsid w:val="00070FB4"/>
    <w:rsid w:val="00073931"/>
    <w:rsid w:val="000745DF"/>
    <w:rsid w:val="00074E45"/>
    <w:rsid w:val="00075CA3"/>
    <w:rsid w:val="00076E2E"/>
    <w:rsid w:val="00076F65"/>
    <w:rsid w:val="00077ED7"/>
    <w:rsid w:val="00080A2D"/>
    <w:rsid w:val="000817D9"/>
    <w:rsid w:val="00081995"/>
    <w:rsid w:val="00082187"/>
    <w:rsid w:val="00084573"/>
    <w:rsid w:val="0008478F"/>
    <w:rsid w:val="00086889"/>
    <w:rsid w:val="00090709"/>
    <w:rsid w:val="00090B76"/>
    <w:rsid w:val="00091376"/>
    <w:rsid w:val="000A138F"/>
    <w:rsid w:val="000A23EB"/>
    <w:rsid w:val="000A298F"/>
    <w:rsid w:val="000A45A0"/>
    <w:rsid w:val="000A7164"/>
    <w:rsid w:val="000A7FDF"/>
    <w:rsid w:val="000B115A"/>
    <w:rsid w:val="000B3171"/>
    <w:rsid w:val="000B6108"/>
    <w:rsid w:val="000C12C6"/>
    <w:rsid w:val="000C3F11"/>
    <w:rsid w:val="000C5D3A"/>
    <w:rsid w:val="000D260D"/>
    <w:rsid w:val="000D4C8B"/>
    <w:rsid w:val="000D78A4"/>
    <w:rsid w:val="000E09A9"/>
    <w:rsid w:val="000E2878"/>
    <w:rsid w:val="000E48C1"/>
    <w:rsid w:val="000E4E18"/>
    <w:rsid w:val="000E58CC"/>
    <w:rsid w:val="000E60BE"/>
    <w:rsid w:val="000E7700"/>
    <w:rsid w:val="000F2B0D"/>
    <w:rsid w:val="000F3F79"/>
    <w:rsid w:val="000F468B"/>
    <w:rsid w:val="000F4CBC"/>
    <w:rsid w:val="000F5032"/>
    <w:rsid w:val="000F7109"/>
    <w:rsid w:val="000F760C"/>
    <w:rsid w:val="00100665"/>
    <w:rsid w:val="0010188B"/>
    <w:rsid w:val="00101EF8"/>
    <w:rsid w:val="00103678"/>
    <w:rsid w:val="00104F2B"/>
    <w:rsid w:val="00110ADF"/>
    <w:rsid w:val="00110EC3"/>
    <w:rsid w:val="00114BF6"/>
    <w:rsid w:val="001165AE"/>
    <w:rsid w:val="001169A4"/>
    <w:rsid w:val="00116A6A"/>
    <w:rsid w:val="0012192E"/>
    <w:rsid w:val="001258A7"/>
    <w:rsid w:val="00127204"/>
    <w:rsid w:val="001273CF"/>
    <w:rsid w:val="00130982"/>
    <w:rsid w:val="00130C79"/>
    <w:rsid w:val="0013140B"/>
    <w:rsid w:val="001319A2"/>
    <w:rsid w:val="00132800"/>
    <w:rsid w:val="001346CB"/>
    <w:rsid w:val="00136249"/>
    <w:rsid w:val="001506CD"/>
    <w:rsid w:val="001518E8"/>
    <w:rsid w:val="001524CD"/>
    <w:rsid w:val="00152AA4"/>
    <w:rsid w:val="001532C6"/>
    <w:rsid w:val="00154498"/>
    <w:rsid w:val="00156677"/>
    <w:rsid w:val="00156701"/>
    <w:rsid w:val="001576C6"/>
    <w:rsid w:val="00160F7D"/>
    <w:rsid w:val="001610FB"/>
    <w:rsid w:val="00166EAF"/>
    <w:rsid w:val="00171E70"/>
    <w:rsid w:val="00175602"/>
    <w:rsid w:val="001806E7"/>
    <w:rsid w:val="00180DE1"/>
    <w:rsid w:val="001818FB"/>
    <w:rsid w:val="0018287C"/>
    <w:rsid w:val="00184704"/>
    <w:rsid w:val="00184EAE"/>
    <w:rsid w:val="00186D9C"/>
    <w:rsid w:val="00187B71"/>
    <w:rsid w:val="001975CE"/>
    <w:rsid w:val="001A00DD"/>
    <w:rsid w:val="001A20BF"/>
    <w:rsid w:val="001A2551"/>
    <w:rsid w:val="001A2785"/>
    <w:rsid w:val="001A7680"/>
    <w:rsid w:val="001A777D"/>
    <w:rsid w:val="001B20F0"/>
    <w:rsid w:val="001B2261"/>
    <w:rsid w:val="001B4114"/>
    <w:rsid w:val="001B5B29"/>
    <w:rsid w:val="001B6FB2"/>
    <w:rsid w:val="001C134A"/>
    <w:rsid w:val="001C2A92"/>
    <w:rsid w:val="001C42AF"/>
    <w:rsid w:val="001C56FF"/>
    <w:rsid w:val="001C721B"/>
    <w:rsid w:val="001C74D7"/>
    <w:rsid w:val="001C77AD"/>
    <w:rsid w:val="001D15BC"/>
    <w:rsid w:val="001D6D86"/>
    <w:rsid w:val="001E26B9"/>
    <w:rsid w:val="001E51E4"/>
    <w:rsid w:val="001E7AB1"/>
    <w:rsid w:val="001F0351"/>
    <w:rsid w:val="001F2F14"/>
    <w:rsid w:val="001F40DE"/>
    <w:rsid w:val="001F5AD3"/>
    <w:rsid w:val="001F5C12"/>
    <w:rsid w:val="001F7999"/>
    <w:rsid w:val="001F7ED0"/>
    <w:rsid w:val="002105A2"/>
    <w:rsid w:val="00210BA4"/>
    <w:rsid w:val="002111F4"/>
    <w:rsid w:val="00212F92"/>
    <w:rsid w:val="00214D4C"/>
    <w:rsid w:val="002156AF"/>
    <w:rsid w:val="00216C4F"/>
    <w:rsid w:val="00217DA0"/>
    <w:rsid w:val="00217E03"/>
    <w:rsid w:val="0022110E"/>
    <w:rsid w:val="002211D7"/>
    <w:rsid w:val="00221824"/>
    <w:rsid w:val="00222A6E"/>
    <w:rsid w:val="002245CE"/>
    <w:rsid w:val="00224B82"/>
    <w:rsid w:val="00225550"/>
    <w:rsid w:val="002312CC"/>
    <w:rsid w:val="002329A2"/>
    <w:rsid w:val="00234F0D"/>
    <w:rsid w:val="00235139"/>
    <w:rsid w:val="002356D9"/>
    <w:rsid w:val="00235FF9"/>
    <w:rsid w:val="00237CE4"/>
    <w:rsid w:val="00240A54"/>
    <w:rsid w:val="0024102B"/>
    <w:rsid w:val="00244336"/>
    <w:rsid w:val="00244A2E"/>
    <w:rsid w:val="00246CB8"/>
    <w:rsid w:val="00246FAF"/>
    <w:rsid w:val="00250B7B"/>
    <w:rsid w:val="00255275"/>
    <w:rsid w:val="00255815"/>
    <w:rsid w:val="0025648B"/>
    <w:rsid w:val="00257FFB"/>
    <w:rsid w:val="0026042A"/>
    <w:rsid w:val="00261400"/>
    <w:rsid w:val="002630C1"/>
    <w:rsid w:val="00265CFE"/>
    <w:rsid w:val="00270C18"/>
    <w:rsid w:val="00272124"/>
    <w:rsid w:val="00272E24"/>
    <w:rsid w:val="00276068"/>
    <w:rsid w:val="0028212B"/>
    <w:rsid w:val="00286CD8"/>
    <w:rsid w:val="0029092F"/>
    <w:rsid w:val="002911ED"/>
    <w:rsid w:val="002917F8"/>
    <w:rsid w:val="002932AC"/>
    <w:rsid w:val="00294EE3"/>
    <w:rsid w:val="00295418"/>
    <w:rsid w:val="002954CC"/>
    <w:rsid w:val="00295993"/>
    <w:rsid w:val="002A1F8F"/>
    <w:rsid w:val="002A2C75"/>
    <w:rsid w:val="002A3C06"/>
    <w:rsid w:val="002A58FE"/>
    <w:rsid w:val="002A5E93"/>
    <w:rsid w:val="002A5FA6"/>
    <w:rsid w:val="002A6EC8"/>
    <w:rsid w:val="002A7C29"/>
    <w:rsid w:val="002B0EFD"/>
    <w:rsid w:val="002B1DA7"/>
    <w:rsid w:val="002B5437"/>
    <w:rsid w:val="002B5839"/>
    <w:rsid w:val="002B59C5"/>
    <w:rsid w:val="002B5B6B"/>
    <w:rsid w:val="002B6851"/>
    <w:rsid w:val="002C04DE"/>
    <w:rsid w:val="002C0C2B"/>
    <w:rsid w:val="002C1403"/>
    <w:rsid w:val="002C1FA0"/>
    <w:rsid w:val="002C2A7F"/>
    <w:rsid w:val="002C2B81"/>
    <w:rsid w:val="002C4CCD"/>
    <w:rsid w:val="002C6600"/>
    <w:rsid w:val="002C6758"/>
    <w:rsid w:val="002E149F"/>
    <w:rsid w:val="002E34FD"/>
    <w:rsid w:val="002E45AE"/>
    <w:rsid w:val="002E62F4"/>
    <w:rsid w:val="002E6CFE"/>
    <w:rsid w:val="002F2A4C"/>
    <w:rsid w:val="002F3495"/>
    <w:rsid w:val="002F4CE1"/>
    <w:rsid w:val="002F6901"/>
    <w:rsid w:val="002F6DAF"/>
    <w:rsid w:val="002F7C2E"/>
    <w:rsid w:val="00301AAB"/>
    <w:rsid w:val="00301B8A"/>
    <w:rsid w:val="003023A2"/>
    <w:rsid w:val="003023B7"/>
    <w:rsid w:val="00303662"/>
    <w:rsid w:val="00306C8F"/>
    <w:rsid w:val="00307949"/>
    <w:rsid w:val="00311E42"/>
    <w:rsid w:val="003150CA"/>
    <w:rsid w:val="0031521A"/>
    <w:rsid w:val="00323DBB"/>
    <w:rsid w:val="00325FAE"/>
    <w:rsid w:val="00327DAF"/>
    <w:rsid w:val="00327EBE"/>
    <w:rsid w:val="00333917"/>
    <w:rsid w:val="00334267"/>
    <w:rsid w:val="00334B24"/>
    <w:rsid w:val="003367E6"/>
    <w:rsid w:val="00336FB2"/>
    <w:rsid w:val="003424BB"/>
    <w:rsid w:val="00343181"/>
    <w:rsid w:val="00346705"/>
    <w:rsid w:val="00347DE2"/>
    <w:rsid w:val="00350833"/>
    <w:rsid w:val="00350898"/>
    <w:rsid w:val="0035135A"/>
    <w:rsid w:val="003566A4"/>
    <w:rsid w:val="00357B37"/>
    <w:rsid w:val="0036180B"/>
    <w:rsid w:val="00361896"/>
    <w:rsid w:val="00361E74"/>
    <w:rsid w:val="00362D37"/>
    <w:rsid w:val="00363035"/>
    <w:rsid w:val="00364304"/>
    <w:rsid w:val="0036552A"/>
    <w:rsid w:val="003655A8"/>
    <w:rsid w:val="003660AB"/>
    <w:rsid w:val="00374D69"/>
    <w:rsid w:val="00374E2D"/>
    <w:rsid w:val="00375477"/>
    <w:rsid w:val="00376B06"/>
    <w:rsid w:val="003803FC"/>
    <w:rsid w:val="00380C26"/>
    <w:rsid w:val="00381AEF"/>
    <w:rsid w:val="00381C3A"/>
    <w:rsid w:val="003829B3"/>
    <w:rsid w:val="00383273"/>
    <w:rsid w:val="00387865"/>
    <w:rsid w:val="0039033E"/>
    <w:rsid w:val="003943FB"/>
    <w:rsid w:val="003952D6"/>
    <w:rsid w:val="003A3669"/>
    <w:rsid w:val="003A4DB4"/>
    <w:rsid w:val="003A6516"/>
    <w:rsid w:val="003A6B48"/>
    <w:rsid w:val="003A764C"/>
    <w:rsid w:val="003B251E"/>
    <w:rsid w:val="003B3334"/>
    <w:rsid w:val="003B4D1F"/>
    <w:rsid w:val="003B58CD"/>
    <w:rsid w:val="003B674B"/>
    <w:rsid w:val="003B6CAB"/>
    <w:rsid w:val="003B6D8B"/>
    <w:rsid w:val="003B71D9"/>
    <w:rsid w:val="003B7AE2"/>
    <w:rsid w:val="003C0D97"/>
    <w:rsid w:val="003C132C"/>
    <w:rsid w:val="003C1AE5"/>
    <w:rsid w:val="003C4C84"/>
    <w:rsid w:val="003C5AD3"/>
    <w:rsid w:val="003C7AFF"/>
    <w:rsid w:val="003D08C0"/>
    <w:rsid w:val="003D1CF4"/>
    <w:rsid w:val="003D372A"/>
    <w:rsid w:val="003D3C54"/>
    <w:rsid w:val="003D5027"/>
    <w:rsid w:val="003D5FED"/>
    <w:rsid w:val="003D6630"/>
    <w:rsid w:val="003E2866"/>
    <w:rsid w:val="003E2FCB"/>
    <w:rsid w:val="003E3504"/>
    <w:rsid w:val="003E5851"/>
    <w:rsid w:val="003E7D11"/>
    <w:rsid w:val="003F01FA"/>
    <w:rsid w:val="003F5C0F"/>
    <w:rsid w:val="003F652D"/>
    <w:rsid w:val="003F653E"/>
    <w:rsid w:val="003F6729"/>
    <w:rsid w:val="003F7B24"/>
    <w:rsid w:val="004044F5"/>
    <w:rsid w:val="004046CA"/>
    <w:rsid w:val="00406890"/>
    <w:rsid w:val="004115DC"/>
    <w:rsid w:val="004124A0"/>
    <w:rsid w:val="00413FF9"/>
    <w:rsid w:val="00414AE2"/>
    <w:rsid w:val="00414B9C"/>
    <w:rsid w:val="00415A4D"/>
    <w:rsid w:val="00420652"/>
    <w:rsid w:val="00421536"/>
    <w:rsid w:val="00421B8D"/>
    <w:rsid w:val="00424500"/>
    <w:rsid w:val="00425660"/>
    <w:rsid w:val="00427F67"/>
    <w:rsid w:val="00430368"/>
    <w:rsid w:val="004318BD"/>
    <w:rsid w:val="004318F4"/>
    <w:rsid w:val="0043329D"/>
    <w:rsid w:val="004356C4"/>
    <w:rsid w:val="00441900"/>
    <w:rsid w:val="00442D37"/>
    <w:rsid w:val="00444A0C"/>
    <w:rsid w:val="00446A88"/>
    <w:rsid w:val="00446D6D"/>
    <w:rsid w:val="00452CCD"/>
    <w:rsid w:val="00452FE2"/>
    <w:rsid w:val="00454721"/>
    <w:rsid w:val="00455F98"/>
    <w:rsid w:val="00456891"/>
    <w:rsid w:val="00456FD3"/>
    <w:rsid w:val="0045720B"/>
    <w:rsid w:val="004614CB"/>
    <w:rsid w:val="00461B2E"/>
    <w:rsid w:val="00461FF9"/>
    <w:rsid w:val="00462ACA"/>
    <w:rsid w:val="004639BC"/>
    <w:rsid w:val="004642E0"/>
    <w:rsid w:val="00464B1D"/>
    <w:rsid w:val="00465E0E"/>
    <w:rsid w:val="00466B66"/>
    <w:rsid w:val="004677B9"/>
    <w:rsid w:val="004703D0"/>
    <w:rsid w:val="00470CA5"/>
    <w:rsid w:val="004720FF"/>
    <w:rsid w:val="00476232"/>
    <w:rsid w:val="004802C3"/>
    <w:rsid w:val="004848C6"/>
    <w:rsid w:val="00486793"/>
    <w:rsid w:val="004869E2"/>
    <w:rsid w:val="0049473F"/>
    <w:rsid w:val="00494E5C"/>
    <w:rsid w:val="00495762"/>
    <w:rsid w:val="00495F3A"/>
    <w:rsid w:val="00496527"/>
    <w:rsid w:val="004965AE"/>
    <w:rsid w:val="004A0AF5"/>
    <w:rsid w:val="004A144C"/>
    <w:rsid w:val="004A3703"/>
    <w:rsid w:val="004A3EE9"/>
    <w:rsid w:val="004A4E9F"/>
    <w:rsid w:val="004A5A6B"/>
    <w:rsid w:val="004A5B2C"/>
    <w:rsid w:val="004A656F"/>
    <w:rsid w:val="004A7B24"/>
    <w:rsid w:val="004A7C23"/>
    <w:rsid w:val="004B096C"/>
    <w:rsid w:val="004B17A5"/>
    <w:rsid w:val="004B1813"/>
    <w:rsid w:val="004B346E"/>
    <w:rsid w:val="004B47FC"/>
    <w:rsid w:val="004B6065"/>
    <w:rsid w:val="004B6B7A"/>
    <w:rsid w:val="004C7353"/>
    <w:rsid w:val="004C7F63"/>
    <w:rsid w:val="004D34CB"/>
    <w:rsid w:val="004D623B"/>
    <w:rsid w:val="004E1B1C"/>
    <w:rsid w:val="004E653D"/>
    <w:rsid w:val="004F19EE"/>
    <w:rsid w:val="004F2452"/>
    <w:rsid w:val="004F57A7"/>
    <w:rsid w:val="005003C0"/>
    <w:rsid w:val="00503028"/>
    <w:rsid w:val="00505CB0"/>
    <w:rsid w:val="00511152"/>
    <w:rsid w:val="005126FA"/>
    <w:rsid w:val="00512D50"/>
    <w:rsid w:val="00517A7A"/>
    <w:rsid w:val="00521851"/>
    <w:rsid w:val="00522333"/>
    <w:rsid w:val="005233C2"/>
    <w:rsid w:val="00524284"/>
    <w:rsid w:val="00527C2F"/>
    <w:rsid w:val="005308A2"/>
    <w:rsid w:val="0053183F"/>
    <w:rsid w:val="00533D61"/>
    <w:rsid w:val="0053421D"/>
    <w:rsid w:val="005346DB"/>
    <w:rsid w:val="00536C43"/>
    <w:rsid w:val="00537120"/>
    <w:rsid w:val="0054061C"/>
    <w:rsid w:val="00541D9A"/>
    <w:rsid w:val="00542CDF"/>
    <w:rsid w:val="00542EB6"/>
    <w:rsid w:val="00543405"/>
    <w:rsid w:val="0054677E"/>
    <w:rsid w:val="00547951"/>
    <w:rsid w:val="00553389"/>
    <w:rsid w:val="0055391B"/>
    <w:rsid w:val="00553B2D"/>
    <w:rsid w:val="00554135"/>
    <w:rsid w:val="00560D38"/>
    <w:rsid w:val="005611B6"/>
    <w:rsid w:val="005627A1"/>
    <w:rsid w:val="00562B13"/>
    <w:rsid w:val="00564802"/>
    <w:rsid w:val="00564870"/>
    <w:rsid w:val="00566694"/>
    <w:rsid w:val="00566DDD"/>
    <w:rsid w:val="00567FB5"/>
    <w:rsid w:val="00571D94"/>
    <w:rsid w:val="00572C7D"/>
    <w:rsid w:val="0057769C"/>
    <w:rsid w:val="00581665"/>
    <w:rsid w:val="0058237F"/>
    <w:rsid w:val="005828E7"/>
    <w:rsid w:val="0058383C"/>
    <w:rsid w:val="00583CD8"/>
    <w:rsid w:val="005850E8"/>
    <w:rsid w:val="005863CA"/>
    <w:rsid w:val="00586943"/>
    <w:rsid w:val="00586E17"/>
    <w:rsid w:val="0058700A"/>
    <w:rsid w:val="005903AE"/>
    <w:rsid w:val="00591369"/>
    <w:rsid w:val="00591A1A"/>
    <w:rsid w:val="005936F4"/>
    <w:rsid w:val="00595758"/>
    <w:rsid w:val="00595DF1"/>
    <w:rsid w:val="005A699B"/>
    <w:rsid w:val="005A6ABA"/>
    <w:rsid w:val="005A7072"/>
    <w:rsid w:val="005A7235"/>
    <w:rsid w:val="005A7E9E"/>
    <w:rsid w:val="005B11AA"/>
    <w:rsid w:val="005B25C4"/>
    <w:rsid w:val="005B47D0"/>
    <w:rsid w:val="005B50D1"/>
    <w:rsid w:val="005C1B8B"/>
    <w:rsid w:val="005C3627"/>
    <w:rsid w:val="005C42E5"/>
    <w:rsid w:val="005C49BE"/>
    <w:rsid w:val="005C5604"/>
    <w:rsid w:val="005C6981"/>
    <w:rsid w:val="005C7430"/>
    <w:rsid w:val="005D00E3"/>
    <w:rsid w:val="005D0ECF"/>
    <w:rsid w:val="005D3D81"/>
    <w:rsid w:val="005D5744"/>
    <w:rsid w:val="005D6633"/>
    <w:rsid w:val="005D7646"/>
    <w:rsid w:val="005E2EEC"/>
    <w:rsid w:val="005E35AF"/>
    <w:rsid w:val="005F0355"/>
    <w:rsid w:val="005F0E45"/>
    <w:rsid w:val="005F27FD"/>
    <w:rsid w:val="005F3B11"/>
    <w:rsid w:val="005F3D25"/>
    <w:rsid w:val="005F448F"/>
    <w:rsid w:val="005F4B02"/>
    <w:rsid w:val="005F5AD1"/>
    <w:rsid w:val="006001FF"/>
    <w:rsid w:val="00600313"/>
    <w:rsid w:val="0060149E"/>
    <w:rsid w:val="006021C6"/>
    <w:rsid w:val="0060375D"/>
    <w:rsid w:val="006047B9"/>
    <w:rsid w:val="00604EA2"/>
    <w:rsid w:val="0060675F"/>
    <w:rsid w:val="006074D1"/>
    <w:rsid w:val="00607AEC"/>
    <w:rsid w:val="00611B8A"/>
    <w:rsid w:val="006157DC"/>
    <w:rsid w:val="0061783E"/>
    <w:rsid w:val="006243DD"/>
    <w:rsid w:val="00624A13"/>
    <w:rsid w:val="00626756"/>
    <w:rsid w:val="00631638"/>
    <w:rsid w:val="00631809"/>
    <w:rsid w:val="006328D2"/>
    <w:rsid w:val="006329AC"/>
    <w:rsid w:val="006348F1"/>
    <w:rsid w:val="00634AC9"/>
    <w:rsid w:val="006359D3"/>
    <w:rsid w:val="00635CC8"/>
    <w:rsid w:val="006365B7"/>
    <w:rsid w:val="00636877"/>
    <w:rsid w:val="00636B28"/>
    <w:rsid w:val="00636F4F"/>
    <w:rsid w:val="00641C75"/>
    <w:rsid w:val="00641F08"/>
    <w:rsid w:val="006432BF"/>
    <w:rsid w:val="00643577"/>
    <w:rsid w:val="006438B0"/>
    <w:rsid w:val="00643D17"/>
    <w:rsid w:val="00646955"/>
    <w:rsid w:val="00646A06"/>
    <w:rsid w:val="006471C8"/>
    <w:rsid w:val="006474C5"/>
    <w:rsid w:val="00647705"/>
    <w:rsid w:val="00647B21"/>
    <w:rsid w:val="00654911"/>
    <w:rsid w:val="006558DF"/>
    <w:rsid w:val="006558F1"/>
    <w:rsid w:val="0066336A"/>
    <w:rsid w:val="0066513A"/>
    <w:rsid w:val="00665B35"/>
    <w:rsid w:val="0066689B"/>
    <w:rsid w:val="0066750C"/>
    <w:rsid w:val="0067000D"/>
    <w:rsid w:val="00671DA0"/>
    <w:rsid w:val="00673F40"/>
    <w:rsid w:val="0067752F"/>
    <w:rsid w:val="00677FD5"/>
    <w:rsid w:val="00680E06"/>
    <w:rsid w:val="006811A6"/>
    <w:rsid w:val="0068287F"/>
    <w:rsid w:val="00682B27"/>
    <w:rsid w:val="006838F7"/>
    <w:rsid w:val="006848A1"/>
    <w:rsid w:val="006872FF"/>
    <w:rsid w:val="0069038A"/>
    <w:rsid w:val="00690F1B"/>
    <w:rsid w:val="00692645"/>
    <w:rsid w:val="0069294D"/>
    <w:rsid w:val="00692FA4"/>
    <w:rsid w:val="0069462F"/>
    <w:rsid w:val="00694727"/>
    <w:rsid w:val="00695DEC"/>
    <w:rsid w:val="00697928"/>
    <w:rsid w:val="006A5122"/>
    <w:rsid w:val="006B0032"/>
    <w:rsid w:val="006B0C23"/>
    <w:rsid w:val="006B0C8C"/>
    <w:rsid w:val="006B17F8"/>
    <w:rsid w:val="006B2627"/>
    <w:rsid w:val="006C0D99"/>
    <w:rsid w:val="006C0E6A"/>
    <w:rsid w:val="006C2789"/>
    <w:rsid w:val="006C37F7"/>
    <w:rsid w:val="006C5C8F"/>
    <w:rsid w:val="006D2E9E"/>
    <w:rsid w:val="006D4E2D"/>
    <w:rsid w:val="006D5040"/>
    <w:rsid w:val="006E135C"/>
    <w:rsid w:val="006E1BD0"/>
    <w:rsid w:val="006E331A"/>
    <w:rsid w:val="006E3DF2"/>
    <w:rsid w:val="006E508B"/>
    <w:rsid w:val="006E5871"/>
    <w:rsid w:val="006E5C62"/>
    <w:rsid w:val="006E6228"/>
    <w:rsid w:val="006E6369"/>
    <w:rsid w:val="006F203A"/>
    <w:rsid w:val="006F55F3"/>
    <w:rsid w:val="00701323"/>
    <w:rsid w:val="00701461"/>
    <w:rsid w:val="00701A19"/>
    <w:rsid w:val="007020DD"/>
    <w:rsid w:val="00702E8E"/>
    <w:rsid w:val="007045BE"/>
    <w:rsid w:val="007076A8"/>
    <w:rsid w:val="00707AAB"/>
    <w:rsid w:val="007119E5"/>
    <w:rsid w:val="00712A91"/>
    <w:rsid w:val="007136F0"/>
    <w:rsid w:val="00713EC8"/>
    <w:rsid w:val="00713F90"/>
    <w:rsid w:val="00714DEF"/>
    <w:rsid w:val="00722092"/>
    <w:rsid w:val="007230F0"/>
    <w:rsid w:val="00723E76"/>
    <w:rsid w:val="0072414F"/>
    <w:rsid w:val="007274DC"/>
    <w:rsid w:val="0072781F"/>
    <w:rsid w:val="00727EDD"/>
    <w:rsid w:val="00731350"/>
    <w:rsid w:val="007315C8"/>
    <w:rsid w:val="007338A8"/>
    <w:rsid w:val="00733FB0"/>
    <w:rsid w:val="00734588"/>
    <w:rsid w:val="00734ED7"/>
    <w:rsid w:val="00737022"/>
    <w:rsid w:val="00741977"/>
    <w:rsid w:val="00741B12"/>
    <w:rsid w:val="00742D7E"/>
    <w:rsid w:val="00742F16"/>
    <w:rsid w:val="00743FFE"/>
    <w:rsid w:val="007504FA"/>
    <w:rsid w:val="00753366"/>
    <w:rsid w:val="00755AF9"/>
    <w:rsid w:val="00760749"/>
    <w:rsid w:val="007634E3"/>
    <w:rsid w:val="0076361E"/>
    <w:rsid w:val="00765FDA"/>
    <w:rsid w:val="0076719F"/>
    <w:rsid w:val="00771F36"/>
    <w:rsid w:val="007745D0"/>
    <w:rsid w:val="00780A5D"/>
    <w:rsid w:val="007877E4"/>
    <w:rsid w:val="00790010"/>
    <w:rsid w:val="007906E9"/>
    <w:rsid w:val="00791632"/>
    <w:rsid w:val="00794E05"/>
    <w:rsid w:val="00794F36"/>
    <w:rsid w:val="007A07AE"/>
    <w:rsid w:val="007A4ABE"/>
    <w:rsid w:val="007A4EC7"/>
    <w:rsid w:val="007A6831"/>
    <w:rsid w:val="007A6970"/>
    <w:rsid w:val="007A7159"/>
    <w:rsid w:val="007B1A81"/>
    <w:rsid w:val="007B1E93"/>
    <w:rsid w:val="007B4008"/>
    <w:rsid w:val="007B750B"/>
    <w:rsid w:val="007C1BE8"/>
    <w:rsid w:val="007C1ED1"/>
    <w:rsid w:val="007C2AC3"/>
    <w:rsid w:val="007C5A42"/>
    <w:rsid w:val="007D1623"/>
    <w:rsid w:val="007D1C66"/>
    <w:rsid w:val="007D3EDD"/>
    <w:rsid w:val="007D45CD"/>
    <w:rsid w:val="007E0DE3"/>
    <w:rsid w:val="007E2004"/>
    <w:rsid w:val="007E284C"/>
    <w:rsid w:val="007E44C2"/>
    <w:rsid w:val="007E4555"/>
    <w:rsid w:val="007E514B"/>
    <w:rsid w:val="007F38F5"/>
    <w:rsid w:val="008007E8"/>
    <w:rsid w:val="00802CC7"/>
    <w:rsid w:val="00803968"/>
    <w:rsid w:val="008051BE"/>
    <w:rsid w:val="00807FE4"/>
    <w:rsid w:val="0081030B"/>
    <w:rsid w:val="0081282A"/>
    <w:rsid w:val="00814403"/>
    <w:rsid w:val="00814CFF"/>
    <w:rsid w:val="00815864"/>
    <w:rsid w:val="008207B8"/>
    <w:rsid w:val="00820C0A"/>
    <w:rsid w:val="00820F72"/>
    <w:rsid w:val="00821450"/>
    <w:rsid w:val="008219A5"/>
    <w:rsid w:val="00826691"/>
    <w:rsid w:val="00832DDF"/>
    <w:rsid w:val="00834422"/>
    <w:rsid w:val="00836182"/>
    <w:rsid w:val="0083794D"/>
    <w:rsid w:val="00840E42"/>
    <w:rsid w:val="00841F4D"/>
    <w:rsid w:val="00842F3B"/>
    <w:rsid w:val="00843B8B"/>
    <w:rsid w:val="008540FA"/>
    <w:rsid w:val="00856369"/>
    <w:rsid w:val="00857104"/>
    <w:rsid w:val="008573FE"/>
    <w:rsid w:val="008618D8"/>
    <w:rsid w:val="00861D41"/>
    <w:rsid w:val="00863AB3"/>
    <w:rsid w:val="00865223"/>
    <w:rsid w:val="008654DD"/>
    <w:rsid w:val="00865CB5"/>
    <w:rsid w:val="00866EB5"/>
    <w:rsid w:val="00867EDD"/>
    <w:rsid w:val="00874545"/>
    <w:rsid w:val="008749B5"/>
    <w:rsid w:val="00874EED"/>
    <w:rsid w:val="00877E9A"/>
    <w:rsid w:val="008805B2"/>
    <w:rsid w:val="00883E25"/>
    <w:rsid w:val="00890716"/>
    <w:rsid w:val="00890AE4"/>
    <w:rsid w:val="0089192A"/>
    <w:rsid w:val="00891CAE"/>
    <w:rsid w:val="0089407B"/>
    <w:rsid w:val="008955A6"/>
    <w:rsid w:val="0089663D"/>
    <w:rsid w:val="00896F53"/>
    <w:rsid w:val="008A035B"/>
    <w:rsid w:val="008A066E"/>
    <w:rsid w:val="008A67EC"/>
    <w:rsid w:val="008A7CCC"/>
    <w:rsid w:val="008B132B"/>
    <w:rsid w:val="008B3A18"/>
    <w:rsid w:val="008B42AF"/>
    <w:rsid w:val="008B434D"/>
    <w:rsid w:val="008C2058"/>
    <w:rsid w:val="008C2876"/>
    <w:rsid w:val="008C46C4"/>
    <w:rsid w:val="008C6629"/>
    <w:rsid w:val="008C7F70"/>
    <w:rsid w:val="008D190E"/>
    <w:rsid w:val="008D2271"/>
    <w:rsid w:val="008D26AE"/>
    <w:rsid w:val="008E300B"/>
    <w:rsid w:val="008E46B3"/>
    <w:rsid w:val="008E4C6F"/>
    <w:rsid w:val="008E780D"/>
    <w:rsid w:val="00900A69"/>
    <w:rsid w:val="00903413"/>
    <w:rsid w:val="0090407F"/>
    <w:rsid w:val="009050C2"/>
    <w:rsid w:val="00907F1C"/>
    <w:rsid w:val="00910CEE"/>
    <w:rsid w:val="0091185E"/>
    <w:rsid w:val="00911FC0"/>
    <w:rsid w:val="009139E6"/>
    <w:rsid w:val="00914B85"/>
    <w:rsid w:val="009174BD"/>
    <w:rsid w:val="0092076D"/>
    <w:rsid w:val="00921AA2"/>
    <w:rsid w:val="0092211A"/>
    <w:rsid w:val="00926BB2"/>
    <w:rsid w:val="00930020"/>
    <w:rsid w:val="00933F08"/>
    <w:rsid w:val="00934489"/>
    <w:rsid w:val="00935FD8"/>
    <w:rsid w:val="00936C70"/>
    <w:rsid w:val="00937168"/>
    <w:rsid w:val="00937D49"/>
    <w:rsid w:val="009428ED"/>
    <w:rsid w:val="00943DAE"/>
    <w:rsid w:val="009455E2"/>
    <w:rsid w:val="009560AC"/>
    <w:rsid w:val="00960167"/>
    <w:rsid w:val="0096029A"/>
    <w:rsid w:val="00960934"/>
    <w:rsid w:val="0096108C"/>
    <w:rsid w:val="00961B24"/>
    <w:rsid w:val="00961BBC"/>
    <w:rsid w:val="00963AD2"/>
    <w:rsid w:val="0096448A"/>
    <w:rsid w:val="00964C6C"/>
    <w:rsid w:val="0096703C"/>
    <w:rsid w:val="00967C71"/>
    <w:rsid w:val="00970AA9"/>
    <w:rsid w:val="00970E56"/>
    <w:rsid w:val="009715AC"/>
    <w:rsid w:val="009725E1"/>
    <w:rsid w:val="0097301E"/>
    <w:rsid w:val="00975A5B"/>
    <w:rsid w:val="00977372"/>
    <w:rsid w:val="00982EA8"/>
    <w:rsid w:val="00985A25"/>
    <w:rsid w:val="0098620E"/>
    <w:rsid w:val="009863F1"/>
    <w:rsid w:val="00986FBB"/>
    <w:rsid w:val="00990AED"/>
    <w:rsid w:val="00991142"/>
    <w:rsid w:val="00992CA8"/>
    <w:rsid w:val="0099695A"/>
    <w:rsid w:val="009A0D37"/>
    <w:rsid w:val="009A1574"/>
    <w:rsid w:val="009A3629"/>
    <w:rsid w:val="009A6E85"/>
    <w:rsid w:val="009A73AB"/>
    <w:rsid w:val="009B1611"/>
    <w:rsid w:val="009B3339"/>
    <w:rsid w:val="009B44DE"/>
    <w:rsid w:val="009B51B3"/>
    <w:rsid w:val="009B56AD"/>
    <w:rsid w:val="009B5B9D"/>
    <w:rsid w:val="009B5D1F"/>
    <w:rsid w:val="009B6CB5"/>
    <w:rsid w:val="009B766D"/>
    <w:rsid w:val="009B7BDF"/>
    <w:rsid w:val="009C181D"/>
    <w:rsid w:val="009C1993"/>
    <w:rsid w:val="009C65C2"/>
    <w:rsid w:val="009C7DDF"/>
    <w:rsid w:val="009D0ACE"/>
    <w:rsid w:val="009D3C86"/>
    <w:rsid w:val="009D4711"/>
    <w:rsid w:val="009D5941"/>
    <w:rsid w:val="009D6C93"/>
    <w:rsid w:val="009E0CE8"/>
    <w:rsid w:val="009E0EF0"/>
    <w:rsid w:val="009E1B30"/>
    <w:rsid w:val="009E311B"/>
    <w:rsid w:val="009E3DDB"/>
    <w:rsid w:val="009E47F5"/>
    <w:rsid w:val="009E4B65"/>
    <w:rsid w:val="009E4F36"/>
    <w:rsid w:val="009E68E4"/>
    <w:rsid w:val="009F154A"/>
    <w:rsid w:val="009F22CC"/>
    <w:rsid w:val="009F2F7C"/>
    <w:rsid w:val="009F4D12"/>
    <w:rsid w:val="009F6DED"/>
    <w:rsid w:val="009F7321"/>
    <w:rsid w:val="009F769A"/>
    <w:rsid w:val="009F7F04"/>
    <w:rsid w:val="00A0124F"/>
    <w:rsid w:val="00A06806"/>
    <w:rsid w:val="00A0747A"/>
    <w:rsid w:val="00A11005"/>
    <w:rsid w:val="00A12591"/>
    <w:rsid w:val="00A1264A"/>
    <w:rsid w:val="00A148B2"/>
    <w:rsid w:val="00A210D6"/>
    <w:rsid w:val="00A2492C"/>
    <w:rsid w:val="00A2687B"/>
    <w:rsid w:val="00A26B41"/>
    <w:rsid w:val="00A3003A"/>
    <w:rsid w:val="00A300D6"/>
    <w:rsid w:val="00A32912"/>
    <w:rsid w:val="00A34230"/>
    <w:rsid w:val="00A35340"/>
    <w:rsid w:val="00A362CF"/>
    <w:rsid w:val="00A37A4E"/>
    <w:rsid w:val="00A41445"/>
    <w:rsid w:val="00A422C8"/>
    <w:rsid w:val="00A4313D"/>
    <w:rsid w:val="00A50399"/>
    <w:rsid w:val="00A504FE"/>
    <w:rsid w:val="00A50E6F"/>
    <w:rsid w:val="00A52CCD"/>
    <w:rsid w:val="00A52D7D"/>
    <w:rsid w:val="00A53123"/>
    <w:rsid w:val="00A5381A"/>
    <w:rsid w:val="00A54768"/>
    <w:rsid w:val="00A56381"/>
    <w:rsid w:val="00A62883"/>
    <w:rsid w:val="00A66364"/>
    <w:rsid w:val="00A77977"/>
    <w:rsid w:val="00A80457"/>
    <w:rsid w:val="00A80AD1"/>
    <w:rsid w:val="00A8280D"/>
    <w:rsid w:val="00A8336E"/>
    <w:rsid w:val="00A835A0"/>
    <w:rsid w:val="00A8379F"/>
    <w:rsid w:val="00A84F70"/>
    <w:rsid w:val="00A8687B"/>
    <w:rsid w:val="00A86A4C"/>
    <w:rsid w:val="00A9148C"/>
    <w:rsid w:val="00A96178"/>
    <w:rsid w:val="00A96AF1"/>
    <w:rsid w:val="00AA38E3"/>
    <w:rsid w:val="00AA3B66"/>
    <w:rsid w:val="00AA7F80"/>
    <w:rsid w:val="00AB10D2"/>
    <w:rsid w:val="00AB4709"/>
    <w:rsid w:val="00AB4A4B"/>
    <w:rsid w:val="00AC2285"/>
    <w:rsid w:val="00AC3BB2"/>
    <w:rsid w:val="00AC7AA3"/>
    <w:rsid w:val="00AC7C39"/>
    <w:rsid w:val="00AD03A7"/>
    <w:rsid w:val="00AD0D54"/>
    <w:rsid w:val="00AD18A0"/>
    <w:rsid w:val="00AD1D4A"/>
    <w:rsid w:val="00AD42AD"/>
    <w:rsid w:val="00AD4A6D"/>
    <w:rsid w:val="00AD5EA0"/>
    <w:rsid w:val="00AD698C"/>
    <w:rsid w:val="00AE10E0"/>
    <w:rsid w:val="00AE1576"/>
    <w:rsid w:val="00AE2B53"/>
    <w:rsid w:val="00AE2D3E"/>
    <w:rsid w:val="00AE5DD1"/>
    <w:rsid w:val="00AE6607"/>
    <w:rsid w:val="00AE78F7"/>
    <w:rsid w:val="00AF21BF"/>
    <w:rsid w:val="00AF41EE"/>
    <w:rsid w:val="00AF66A5"/>
    <w:rsid w:val="00AF7451"/>
    <w:rsid w:val="00AF769C"/>
    <w:rsid w:val="00B009E0"/>
    <w:rsid w:val="00B02C68"/>
    <w:rsid w:val="00B03830"/>
    <w:rsid w:val="00B059A2"/>
    <w:rsid w:val="00B12055"/>
    <w:rsid w:val="00B13E1D"/>
    <w:rsid w:val="00B16DC5"/>
    <w:rsid w:val="00B175A4"/>
    <w:rsid w:val="00B2052D"/>
    <w:rsid w:val="00B22E5F"/>
    <w:rsid w:val="00B2371B"/>
    <w:rsid w:val="00B2375A"/>
    <w:rsid w:val="00B241A3"/>
    <w:rsid w:val="00B2505F"/>
    <w:rsid w:val="00B30095"/>
    <w:rsid w:val="00B310EE"/>
    <w:rsid w:val="00B3154F"/>
    <w:rsid w:val="00B31E02"/>
    <w:rsid w:val="00B34041"/>
    <w:rsid w:val="00B3546F"/>
    <w:rsid w:val="00B36865"/>
    <w:rsid w:val="00B42ADE"/>
    <w:rsid w:val="00B45546"/>
    <w:rsid w:val="00B465AB"/>
    <w:rsid w:val="00B5126E"/>
    <w:rsid w:val="00B54962"/>
    <w:rsid w:val="00B560DC"/>
    <w:rsid w:val="00B61263"/>
    <w:rsid w:val="00B61A2D"/>
    <w:rsid w:val="00B625A0"/>
    <w:rsid w:val="00B64E78"/>
    <w:rsid w:val="00B661C3"/>
    <w:rsid w:val="00B67DE5"/>
    <w:rsid w:val="00B7074E"/>
    <w:rsid w:val="00B70DFD"/>
    <w:rsid w:val="00B71B34"/>
    <w:rsid w:val="00B725E1"/>
    <w:rsid w:val="00B730F4"/>
    <w:rsid w:val="00B7339D"/>
    <w:rsid w:val="00B84572"/>
    <w:rsid w:val="00B8558F"/>
    <w:rsid w:val="00B86F41"/>
    <w:rsid w:val="00B87792"/>
    <w:rsid w:val="00B87B80"/>
    <w:rsid w:val="00BA00FE"/>
    <w:rsid w:val="00BA0B39"/>
    <w:rsid w:val="00BA118B"/>
    <w:rsid w:val="00BA30A3"/>
    <w:rsid w:val="00BA7306"/>
    <w:rsid w:val="00BB13FB"/>
    <w:rsid w:val="00BB184A"/>
    <w:rsid w:val="00BB3A66"/>
    <w:rsid w:val="00BB40EA"/>
    <w:rsid w:val="00BB563B"/>
    <w:rsid w:val="00BB5B81"/>
    <w:rsid w:val="00BB667B"/>
    <w:rsid w:val="00BC306A"/>
    <w:rsid w:val="00BC527D"/>
    <w:rsid w:val="00BC6CE3"/>
    <w:rsid w:val="00BD213D"/>
    <w:rsid w:val="00BD2F8F"/>
    <w:rsid w:val="00BD4976"/>
    <w:rsid w:val="00BE0830"/>
    <w:rsid w:val="00BE1052"/>
    <w:rsid w:val="00BE1939"/>
    <w:rsid w:val="00BE38FA"/>
    <w:rsid w:val="00BE409B"/>
    <w:rsid w:val="00BE48DA"/>
    <w:rsid w:val="00BE6B41"/>
    <w:rsid w:val="00BE6C5F"/>
    <w:rsid w:val="00BF29DB"/>
    <w:rsid w:val="00BF4714"/>
    <w:rsid w:val="00BF5390"/>
    <w:rsid w:val="00BF57F1"/>
    <w:rsid w:val="00BF74AC"/>
    <w:rsid w:val="00C0003D"/>
    <w:rsid w:val="00C0206A"/>
    <w:rsid w:val="00C02693"/>
    <w:rsid w:val="00C0321E"/>
    <w:rsid w:val="00C1087D"/>
    <w:rsid w:val="00C11BF9"/>
    <w:rsid w:val="00C12DE0"/>
    <w:rsid w:val="00C137A6"/>
    <w:rsid w:val="00C16A92"/>
    <w:rsid w:val="00C1784A"/>
    <w:rsid w:val="00C20635"/>
    <w:rsid w:val="00C20FD1"/>
    <w:rsid w:val="00C22D6F"/>
    <w:rsid w:val="00C2442C"/>
    <w:rsid w:val="00C33171"/>
    <w:rsid w:val="00C35C92"/>
    <w:rsid w:val="00C363F5"/>
    <w:rsid w:val="00C433B5"/>
    <w:rsid w:val="00C44644"/>
    <w:rsid w:val="00C447FE"/>
    <w:rsid w:val="00C527A9"/>
    <w:rsid w:val="00C52E87"/>
    <w:rsid w:val="00C573CD"/>
    <w:rsid w:val="00C577CC"/>
    <w:rsid w:val="00C6382D"/>
    <w:rsid w:val="00C6661F"/>
    <w:rsid w:val="00C7083E"/>
    <w:rsid w:val="00C73312"/>
    <w:rsid w:val="00C7352F"/>
    <w:rsid w:val="00C73EB4"/>
    <w:rsid w:val="00C745EB"/>
    <w:rsid w:val="00C74B58"/>
    <w:rsid w:val="00C7577E"/>
    <w:rsid w:val="00C76266"/>
    <w:rsid w:val="00C80367"/>
    <w:rsid w:val="00C81DFA"/>
    <w:rsid w:val="00C82672"/>
    <w:rsid w:val="00C82D45"/>
    <w:rsid w:val="00C83047"/>
    <w:rsid w:val="00C849E4"/>
    <w:rsid w:val="00C85ADF"/>
    <w:rsid w:val="00C92850"/>
    <w:rsid w:val="00C9321A"/>
    <w:rsid w:val="00C93D39"/>
    <w:rsid w:val="00C94171"/>
    <w:rsid w:val="00C94D9E"/>
    <w:rsid w:val="00C95E82"/>
    <w:rsid w:val="00C95FF1"/>
    <w:rsid w:val="00C96102"/>
    <w:rsid w:val="00C96AE5"/>
    <w:rsid w:val="00C97847"/>
    <w:rsid w:val="00CA0EB3"/>
    <w:rsid w:val="00CA2A84"/>
    <w:rsid w:val="00CA51FB"/>
    <w:rsid w:val="00CA576C"/>
    <w:rsid w:val="00CA7AA6"/>
    <w:rsid w:val="00CB0D39"/>
    <w:rsid w:val="00CC1D19"/>
    <w:rsid w:val="00CC482F"/>
    <w:rsid w:val="00CD1377"/>
    <w:rsid w:val="00CD2259"/>
    <w:rsid w:val="00CD34EE"/>
    <w:rsid w:val="00CD3B2D"/>
    <w:rsid w:val="00CD415F"/>
    <w:rsid w:val="00CD55F8"/>
    <w:rsid w:val="00CD58DF"/>
    <w:rsid w:val="00CD6296"/>
    <w:rsid w:val="00CE00B4"/>
    <w:rsid w:val="00CE0F66"/>
    <w:rsid w:val="00CE3672"/>
    <w:rsid w:val="00CE53CF"/>
    <w:rsid w:val="00CE74FC"/>
    <w:rsid w:val="00CF003B"/>
    <w:rsid w:val="00CF293D"/>
    <w:rsid w:val="00CF5523"/>
    <w:rsid w:val="00CF56BA"/>
    <w:rsid w:val="00CF5C51"/>
    <w:rsid w:val="00CF648F"/>
    <w:rsid w:val="00CF6E82"/>
    <w:rsid w:val="00CF7CD1"/>
    <w:rsid w:val="00D01449"/>
    <w:rsid w:val="00D04D48"/>
    <w:rsid w:val="00D05D7F"/>
    <w:rsid w:val="00D07998"/>
    <w:rsid w:val="00D07AF7"/>
    <w:rsid w:val="00D07BF1"/>
    <w:rsid w:val="00D07D3E"/>
    <w:rsid w:val="00D12516"/>
    <w:rsid w:val="00D16162"/>
    <w:rsid w:val="00D17B05"/>
    <w:rsid w:val="00D2040A"/>
    <w:rsid w:val="00D31F45"/>
    <w:rsid w:val="00D361A1"/>
    <w:rsid w:val="00D4026E"/>
    <w:rsid w:val="00D40A97"/>
    <w:rsid w:val="00D41F91"/>
    <w:rsid w:val="00D42F1F"/>
    <w:rsid w:val="00D44B85"/>
    <w:rsid w:val="00D45161"/>
    <w:rsid w:val="00D57774"/>
    <w:rsid w:val="00D6189F"/>
    <w:rsid w:val="00D61AF1"/>
    <w:rsid w:val="00D65D36"/>
    <w:rsid w:val="00D65DD8"/>
    <w:rsid w:val="00D669A0"/>
    <w:rsid w:val="00D70946"/>
    <w:rsid w:val="00D710DA"/>
    <w:rsid w:val="00D73616"/>
    <w:rsid w:val="00D74E69"/>
    <w:rsid w:val="00D763F5"/>
    <w:rsid w:val="00D76F46"/>
    <w:rsid w:val="00D80566"/>
    <w:rsid w:val="00D8137B"/>
    <w:rsid w:val="00D86339"/>
    <w:rsid w:val="00D86E6B"/>
    <w:rsid w:val="00D90014"/>
    <w:rsid w:val="00D91024"/>
    <w:rsid w:val="00D92868"/>
    <w:rsid w:val="00D92FAE"/>
    <w:rsid w:val="00D96A30"/>
    <w:rsid w:val="00DA253E"/>
    <w:rsid w:val="00DA3D60"/>
    <w:rsid w:val="00DA4162"/>
    <w:rsid w:val="00DA5401"/>
    <w:rsid w:val="00DA563A"/>
    <w:rsid w:val="00DA7505"/>
    <w:rsid w:val="00DB0FD8"/>
    <w:rsid w:val="00DB30E1"/>
    <w:rsid w:val="00DB55CB"/>
    <w:rsid w:val="00DB5AC7"/>
    <w:rsid w:val="00DB6254"/>
    <w:rsid w:val="00DB66EE"/>
    <w:rsid w:val="00DB6A05"/>
    <w:rsid w:val="00DB6D83"/>
    <w:rsid w:val="00DC0B56"/>
    <w:rsid w:val="00DC2395"/>
    <w:rsid w:val="00DC31B9"/>
    <w:rsid w:val="00DC3386"/>
    <w:rsid w:val="00DC3CB0"/>
    <w:rsid w:val="00DC53B2"/>
    <w:rsid w:val="00DC6003"/>
    <w:rsid w:val="00DD0344"/>
    <w:rsid w:val="00DD164E"/>
    <w:rsid w:val="00DD18DA"/>
    <w:rsid w:val="00DD1DD4"/>
    <w:rsid w:val="00DD20AE"/>
    <w:rsid w:val="00DD44A2"/>
    <w:rsid w:val="00DD6D5A"/>
    <w:rsid w:val="00DD756E"/>
    <w:rsid w:val="00DE12B6"/>
    <w:rsid w:val="00DE2970"/>
    <w:rsid w:val="00DE2BE8"/>
    <w:rsid w:val="00DE2CE6"/>
    <w:rsid w:val="00DE3D9A"/>
    <w:rsid w:val="00DE6661"/>
    <w:rsid w:val="00DF1BDA"/>
    <w:rsid w:val="00DF66B2"/>
    <w:rsid w:val="00DF7915"/>
    <w:rsid w:val="00E0234E"/>
    <w:rsid w:val="00E0284B"/>
    <w:rsid w:val="00E03D38"/>
    <w:rsid w:val="00E04325"/>
    <w:rsid w:val="00E04350"/>
    <w:rsid w:val="00E046F3"/>
    <w:rsid w:val="00E05056"/>
    <w:rsid w:val="00E0604A"/>
    <w:rsid w:val="00E07E71"/>
    <w:rsid w:val="00E10DC1"/>
    <w:rsid w:val="00E11DC8"/>
    <w:rsid w:val="00E13A39"/>
    <w:rsid w:val="00E1453E"/>
    <w:rsid w:val="00E148A3"/>
    <w:rsid w:val="00E179E3"/>
    <w:rsid w:val="00E2022F"/>
    <w:rsid w:val="00E2360E"/>
    <w:rsid w:val="00E24500"/>
    <w:rsid w:val="00E26AF2"/>
    <w:rsid w:val="00E3038D"/>
    <w:rsid w:val="00E30519"/>
    <w:rsid w:val="00E30659"/>
    <w:rsid w:val="00E3138D"/>
    <w:rsid w:val="00E32584"/>
    <w:rsid w:val="00E345D3"/>
    <w:rsid w:val="00E34983"/>
    <w:rsid w:val="00E357D0"/>
    <w:rsid w:val="00E35B37"/>
    <w:rsid w:val="00E377A5"/>
    <w:rsid w:val="00E43F55"/>
    <w:rsid w:val="00E44980"/>
    <w:rsid w:val="00E44B7C"/>
    <w:rsid w:val="00E4690C"/>
    <w:rsid w:val="00E5128D"/>
    <w:rsid w:val="00E523E2"/>
    <w:rsid w:val="00E5338D"/>
    <w:rsid w:val="00E53AAC"/>
    <w:rsid w:val="00E5402A"/>
    <w:rsid w:val="00E55114"/>
    <w:rsid w:val="00E56F8C"/>
    <w:rsid w:val="00E6383B"/>
    <w:rsid w:val="00E65B72"/>
    <w:rsid w:val="00E66646"/>
    <w:rsid w:val="00E676EA"/>
    <w:rsid w:val="00E67EA1"/>
    <w:rsid w:val="00E730B3"/>
    <w:rsid w:val="00E737D8"/>
    <w:rsid w:val="00E73939"/>
    <w:rsid w:val="00E764A9"/>
    <w:rsid w:val="00E76548"/>
    <w:rsid w:val="00E83BFD"/>
    <w:rsid w:val="00E85161"/>
    <w:rsid w:val="00E86A10"/>
    <w:rsid w:val="00E87CA2"/>
    <w:rsid w:val="00E91CC1"/>
    <w:rsid w:val="00E9425E"/>
    <w:rsid w:val="00E94324"/>
    <w:rsid w:val="00E94F2D"/>
    <w:rsid w:val="00E9576F"/>
    <w:rsid w:val="00E96E72"/>
    <w:rsid w:val="00E97432"/>
    <w:rsid w:val="00E97536"/>
    <w:rsid w:val="00EA07BB"/>
    <w:rsid w:val="00EA5C74"/>
    <w:rsid w:val="00EA6723"/>
    <w:rsid w:val="00EA6735"/>
    <w:rsid w:val="00EB197D"/>
    <w:rsid w:val="00EB7238"/>
    <w:rsid w:val="00EC2840"/>
    <w:rsid w:val="00EC313D"/>
    <w:rsid w:val="00EC5F98"/>
    <w:rsid w:val="00EC608F"/>
    <w:rsid w:val="00EC7CE3"/>
    <w:rsid w:val="00ED09F3"/>
    <w:rsid w:val="00ED2DDE"/>
    <w:rsid w:val="00ED43CF"/>
    <w:rsid w:val="00ED4977"/>
    <w:rsid w:val="00ED5EBA"/>
    <w:rsid w:val="00ED655A"/>
    <w:rsid w:val="00ED7649"/>
    <w:rsid w:val="00EE2EC0"/>
    <w:rsid w:val="00EE3655"/>
    <w:rsid w:val="00EE5460"/>
    <w:rsid w:val="00EE6A57"/>
    <w:rsid w:val="00EF1CBF"/>
    <w:rsid w:val="00EF1CEF"/>
    <w:rsid w:val="00EF2867"/>
    <w:rsid w:val="00EF59CC"/>
    <w:rsid w:val="00F00B10"/>
    <w:rsid w:val="00F00E67"/>
    <w:rsid w:val="00F0269C"/>
    <w:rsid w:val="00F03537"/>
    <w:rsid w:val="00F072FE"/>
    <w:rsid w:val="00F07645"/>
    <w:rsid w:val="00F10F88"/>
    <w:rsid w:val="00F1191C"/>
    <w:rsid w:val="00F140FE"/>
    <w:rsid w:val="00F1529D"/>
    <w:rsid w:val="00F15605"/>
    <w:rsid w:val="00F1561E"/>
    <w:rsid w:val="00F1639F"/>
    <w:rsid w:val="00F200B5"/>
    <w:rsid w:val="00F20542"/>
    <w:rsid w:val="00F2502C"/>
    <w:rsid w:val="00F25055"/>
    <w:rsid w:val="00F25E81"/>
    <w:rsid w:val="00F2673F"/>
    <w:rsid w:val="00F2710A"/>
    <w:rsid w:val="00F30412"/>
    <w:rsid w:val="00F3101A"/>
    <w:rsid w:val="00F324E3"/>
    <w:rsid w:val="00F34FE8"/>
    <w:rsid w:val="00F35B69"/>
    <w:rsid w:val="00F431AD"/>
    <w:rsid w:val="00F44404"/>
    <w:rsid w:val="00F444FF"/>
    <w:rsid w:val="00F46E50"/>
    <w:rsid w:val="00F47C2A"/>
    <w:rsid w:val="00F52AEE"/>
    <w:rsid w:val="00F53379"/>
    <w:rsid w:val="00F606E9"/>
    <w:rsid w:val="00F60ABB"/>
    <w:rsid w:val="00F6356B"/>
    <w:rsid w:val="00F646BE"/>
    <w:rsid w:val="00F65A0F"/>
    <w:rsid w:val="00F67AB5"/>
    <w:rsid w:val="00F67B93"/>
    <w:rsid w:val="00F708A1"/>
    <w:rsid w:val="00F712E0"/>
    <w:rsid w:val="00F74246"/>
    <w:rsid w:val="00F7424A"/>
    <w:rsid w:val="00F747D2"/>
    <w:rsid w:val="00F748FA"/>
    <w:rsid w:val="00F83370"/>
    <w:rsid w:val="00F902E2"/>
    <w:rsid w:val="00F94E00"/>
    <w:rsid w:val="00F950C6"/>
    <w:rsid w:val="00F951CF"/>
    <w:rsid w:val="00F95A0A"/>
    <w:rsid w:val="00F97A57"/>
    <w:rsid w:val="00FA4029"/>
    <w:rsid w:val="00FA4A71"/>
    <w:rsid w:val="00FA4B86"/>
    <w:rsid w:val="00FA5757"/>
    <w:rsid w:val="00FA6ECB"/>
    <w:rsid w:val="00FB0AED"/>
    <w:rsid w:val="00FB2F74"/>
    <w:rsid w:val="00FB5BA9"/>
    <w:rsid w:val="00FB792D"/>
    <w:rsid w:val="00FC05CA"/>
    <w:rsid w:val="00FC0A67"/>
    <w:rsid w:val="00FC19AD"/>
    <w:rsid w:val="00FD045B"/>
    <w:rsid w:val="00FD3185"/>
    <w:rsid w:val="00FD4FED"/>
    <w:rsid w:val="00FD5BA9"/>
    <w:rsid w:val="00FD5C9E"/>
    <w:rsid w:val="00FD6E26"/>
    <w:rsid w:val="00FD6EA7"/>
    <w:rsid w:val="00FD7156"/>
    <w:rsid w:val="00FD77A4"/>
    <w:rsid w:val="00FE13BB"/>
    <w:rsid w:val="00FE1B19"/>
    <w:rsid w:val="00FE1DBA"/>
    <w:rsid w:val="00FE4883"/>
    <w:rsid w:val="00FE62E6"/>
    <w:rsid w:val="00FE666B"/>
    <w:rsid w:val="00FF16B3"/>
    <w:rsid w:val="0187775A"/>
    <w:rsid w:val="02306473"/>
    <w:rsid w:val="02BF0509"/>
    <w:rsid w:val="03612439"/>
    <w:rsid w:val="039F6C7B"/>
    <w:rsid w:val="0512661D"/>
    <w:rsid w:val="06200323"/>
    <w:rsid w:val="06EA3E96"/>
    <w:rsid w:val="09070A4D"/>
    <w:rsid w:val="09522FCB"/>
    <w:rsid w:val="09714476"/>
    <w:rsid w:val="09F87827"/>
    <w:rsid w:val="0B53517E"/>
    <w:rsid w:val="0C7778BC"/>
    <w:rsid w:val="0E3634E0"/>
    <w:rsid w:val="0EA24485"/>
    <w:rsid w:val="0EB10DC9"/>
    <w:rsid w:val="0F195CD1"/>
    <w:rsid w:val="0F631828"/>
    <w:rsid w:val="0FCB515E"/>
    <w:rsid w:val="0FD85A54"/>
    <w:rsid w:val="10617B94"/>
    <w:rsid w:val="12B72298"/>
    <w:rsid w:val="12D1335A"/>
    <w:rsid w:val="130E5FB3"/>
    <w:rsid w:val="136C3D1D"/>
    <w:rsid w:val="13B10D10"/>
    <w:rsid w:val="13B41C63"/>
    <w:rsid w:val="13E21CBC"/>
    <w:rsid w:val="14462317"/>
    <w:rsid w:val="153E45AB"/>
    <w:rsid w:val="18C37566"/>
    <w:rsid w:val="18D9193C"/>
    <w:rsid w:val="19545065"/>
    <w:rsid w:val="19F36CF5"/>
    <w:rsid w:val="1AE714AC"/>
    <w:rsid w:val="1AFE65EA"/>
    <w:rsid w:val="1B6C2BE6"/>
    <w:rsid w:val="1BA66B3F"/>
    <w:rsid w:val="1C7127D0"/>
    <w:rsid w:val="1CDE3AF1"/>
    <w:rsid w:val="1D3251EF"/>
    <w:rsid w:val="1F0E6BF0"/>
    <w:rsid w:val="1F215BCF"/>
    <w:rsid w:val="1FB575B7"/>
    <w:rsid w:val="1FEF4E1F"/>
    <w:rsid w:val="21C21F96"/>
    <w:rsid w:val="225E4CF0"/>
    <w:rsid w:val="2344483A"/>
    <w:rsid w:val="236917E4"/>
    <w:rsid w:val="24B47181"/>
    <w:rsid w:val="24BA34BB"/>
    <w:rsid w:val="24BF2F6C"/>
    <w:rsid w:val="258E471C"/>
    <w:rsid w:val="26116097"/>
    <w:rsid w:val="268065C9"/>
    <w:rsid w:val="2691100C"/>
    <w:rsid w:val="26EB0049"/>
    <w:rsid w:val="27AC2ADC"/>
    <w:rsid w:val="283830DC"/>
    <w:rsid w:val="289003AE"/>
    <w:rsid w:val="28D84CE1"/>
    <w:rsid w:val="298D2B90"/>
    <w:rsid w:val="2B005924"/>
    <w:rsid w:val="2B944ACD"/>
    <w:rsid w:val="2D2E57F8"/>
    <w:rsid w:val="2D3354D6"/>
    <w:rsid w:val="2DA0203D"/>
    <w:rsid w:val="2E0F053C"/>
    <w:rsid w:val="2FA33D38"/>
    <w:rsid w:val="2FD16CE0"/>
    <w:rsid w:val="305E56A9"/>
    <w:rsid w:val="306F53BB"/>
    <w:rsid w:val="30D03F07"/>
    <w:rsid w:val="31216334"/>
    <w:rsid w:val="347E37B5"/>
    <w:rsid w:val="34B104BD"/>
    <w:rsid w:val="3509794F"/>
    <w:rsid w:val="354C5B25"/>
    <w:rsid w:val="35977DD9"/>
    <w:rsid w:val="360721D0"/>
    <w:rsid w:val="37647C08"/>
    <w:rsid w:val="38004532"/>
    <w:rsid w:val="395B32FD"/>
    <w:rsid w:val="3AC87286"/>
    <w:rsid w:val="3B340CC8"/>
    <w:rsid w:val="3BF66E23"/>
    <w:rsid w:val="3CFF4D25"/>
    <w:rsid w:val="3ECB36C7"/>
    <w:rsid w:val="3EEC0B96"/>
    <w:rsid w:val="3F2255EA"/>
    <w:rsid w:val="40271D55"/>
    <w:rsid w:val="40F924D6"/>
    <w:rsid w:val="413D25AA"/>
    <w:rsid w:val="414E4D73"/>
    <w:rsid w:val="42442951"/>
    <w:rsid w:val="42D039DC"/>
    <w:rsid w:val="42F92D62"/>
    <w:rsid w:val="43545EC9"/>
    <w:rsid w:val="43574D0B"/>
    <w:rsid w:val="43AD4169"/>
    <w:rsid w:val="440726AF"/>
    <w:rsid w:val="45A328B5"/>
    <w:rsid w:val="467F21AA"/>
    <w:rsid w:val="46D8797F"/>
    <w:rsid w:val="474161CC"/>
    <w:rsid w:val="49D57E9B"/>
    <w:rsid w:val="4B9D718B"/>
    <w:rsid w:val="4CC34F69"/>
    <w:rsid w:val="4D5E43C0"/>
    <w:rsid w:val="4E431F51"/>
    <w:rsid w:val="4F3473D8"/>
    <w:rsid w:val="4FB31116"/>
    <w:rsid w:val="500B465A"/>
    <w:rsid w:val="52D518F2"/>
    <w:rsid w:val="52E269F5"/>
    <w:rsid w:val="53885536"/>
    <w:rsid w:val="53E83D39"/>
    <w:rsid w:val="5434715C"/>
    <w:rsid w:val="5456650D"/>
    <w:rsid w:val="546D76C6"/>
    <w:rsid w:val="559410F9"/>
    <w:rsid w:val="55ED0BE6"/>
    <w:rsid w:val="563870E2"/>
    <w:rsid w:val="570655DD"/>
    <w:rsid w:val="57143336"/>
    <w:rsid w:val="57382EB5"/>
    <w:rsid w:val="575073D3"/>
    <w:rsid w:val="576A51ED"/>
    <w:rsid w:val="58B16EAB"/>
    <w:rsid w:val="5AC32B55"/>
    <w:rsid w:val="5AC97A40"/>
    <w:rsid w:val="5CEA0B67"/>
    <w:rsid w:val="5CF43C49"/>
    <w:rsid w:val="5D0F1FC4"/>
    <w:rsid w:val="5D1908DC"/>
    <w:rsid w:val="5D761F5E"/>
    <w:rsid w:val="5D7D0589"/>
    <w:rsid w:val="5E02760D"/>
    <w:rsid w:val="5E825FC4"/>
    <w:rsid w:val="5E8D242E"/>
    <w:rsid w:val="5F530271"/>
    <w:rsid w:val="5FE6524F"/>
    <w:rsid w:val="605260AF"/>
    <w:rsid w:val="60700018"/>
    <w:rsid w:val="6110728C"/>
    <w:rsid w:val="612637B2"/>
    <w:rsid w:val="62336BDB"/>
    <w:rsid w:val="6370778B"/>
    <w:rsid w:val="638B442C"/>
    <w:rsid w:val="639F7C18"/>
    <w:rsid w:val="63B67995"/>
    <w:rsid w:val="643A63A7"/>
    <w:rsid w:val="64C44C16"/>
    <w:rsid w:val="65283949"/>
    <w:rsid w:val="65621E48"/>
    <w:rsid w:val="661832E3"/>
    <w:rsid w:val="66D51E63"/>
    <w:rsid w:val="671D3B6E"/>
    <w:rsid w:val="68CF7EA4"/>
    <w:rsid w:val="694A2BC9"/>
    <w:rsid w:val="69A71E37"/>
    <w:rsid w:val="6A151A51"/>
    <w:rsid w:val="6A7F4138"/>
    <w:rsid w:val="6AA27069"/>
    <w:rsid w:val="6B7113D2"/>
    <w:rsid w:val="6C4E0785"/>
    <w:rsid w:val="6C765525"/>
    <w:rsid w:val="6DF30F39"/>
    <w:rsid w:val="6E5F5530"/>
    <w:rsid w:val="6E9E1F6D"/>
    <w:rsid w:val="6EB4040A"/>
    <w:rsid w:val="6F0C6D23"/>
    <w:rsid w:val="6F6E5180"/>
    <w:rsid w:val="70200237"/>
    <w:rsid w:val="702E0F9F"/>
    <w:rsid w:val="711F134F"/>
    <w:rsid w:val="714A2DE3"/>
    <w:rsid w:val="726F2BDB"/>
    <w:rsid w:val="748B3B62"/>
    <w:rsid w:val="75653EC2"/>
    <w:rsid w:val="757D0790"/>
    <w:rsid w:val="76E55325"/>
    <w:rsid w:val="784621A3"/>
    <w:rsid w:val="79375FF8"/>
    <w:rsid w:val="79C93603"/>
    <w:rsid w:val="7AF62E02"/>
    <w:rsid w:val="7B715F11"/>
    <w:rsid w:val="7BD94A0D"/>
    <w:rsid w:val="7C86672D"/>
    <w:rsid w:val="7DF34C50"/>
    <w:rsid w:val="7E3D06F8"/>
    <w:rsid w:val="7ED467E0"/>
    <w:rsid w:val="7F1A5283"/>
    <w:rsid w:val="7FC20F94"/>
    <w:rsid w:val="7FEA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Document Map"/>
    <w:basedOn w:val="1"/>
    <w:link w:val="32"/>
    <w:qFormat/>
    <w:uiPriority w:val="0"/>
    <w:rPr>
      <w:rFonts w:ascii="宋体"/>
      <w:sz w:val="18"/>
      <w:szCs w:val="18"/>
    </w:rPr>
  </w:style>
  <w:style w:type="paragraph" w:styleId="13">
    <w:name w:val="annotation text"/>
    <w:basedOn w:val="1"/>
    <w:link w:val="33"/>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adjustRightInd w:val="0"/>
      <w:spacing w:line="300" w:lineRule="exact"/>
      <w:ind w:firstLine="420" w:firstLineChars="200"/>
      <w:textAlignment w:val="baseline"/>
    </w:pPr>
    <w:rPr>
      <w:kern w:val="0"/>
      <w:szCs w:val="20"/>
    </w:rPr>
  </w:style>
  <w:style w:type="paragraph" w:styleId="16">
    <w:name w:val="List 2"/>
    <w:basedOn w:val="1"/>
    <w:qFormat/>
    <w:uiPriority w:val="0"/>
    <w:pPr>
      <w:ind w:left="100" w:leftChars="200" w:hanging="200" w:hangingChars="200"/>
      <w:contextualSpacing/>
    </w:pPr>
  </w:style>
  <w:style w:type="paragraph" w:styleId="17">
    <w:name w:val="Plain Text"/>
    <w:basedOn w:val="1"/>
    <w:link w:val="34"/>
    <w:qFormat/>
    <w:uiPriority w:val="0"/>
    <w:rPr>
      <w:rFonts w:ascii="宋体" w:hAnsi="Courier New" w:cs="Courier New"/>
      <w:szCs w:val="21"/>
    </w:rPr>
  </w:style>
  <w:style w:type="paragraph" w:styleId="18">
    <w:name w:val="Date"/>
    <w:basedOn w:val="1"/>
    <w:next w:val="1"/>
    <w:link w:val="35"/>
    <w:semiHidden/>
    <w:qFormat/>
    <w:uiPriority w:val="0"/>
    <w:pPr>
      <w:ind w:left="100" w:leftChars="2500"/>
    </w:pPr>
  </w:style>
  <w:style w:type="paragraph" w:styleId="19">
    <w:name w:val="Balloon Text"/>
    <w:basedOn w:val="1"/>
    <w:link w:val="36"/>
    <w:qFormat/>
    <w:uiPriority w:val="0"/>
    <w:rPr>
      <w:sz w:val="18"/>
      <w:szCs w:val="18"/>
    </w:rPr>
  </w:style>
  <w:style w:type="paragraph" w:styleId="20">
    <w:name w:val="footer"/>
    <w:basedOn w:val="1"/>
    <w:link w:val="37"/>
    <w:qFormat/>
    <w:uiPriority w:val="99"/>
    <w:pPr>
      <w:tabs>
        <w:tab w:val="center" w:pos="4153"/>
        <w:tab w:val="right" w:pos="8306"/>
      </w:tabs>
      <w:snapToGrid w:val="0"/>
      <w:jc w:val="left"/>
    </w:pPr>
    <w:rPr>
      <w:sz w:val="18"/>
      <w:szCs w:val="18"/>
    </w:rPr>
  </w:style>
  <w:style w:type="paragraph" w:styleId="21">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22">
    <w:name w:val="footnote text"/>
    <w:basedOn w:val="1"/>
    <w:link w:val="39"/>
    <w:qFormat/>
    <w:uiPriority w:val="0"/>
    <w:pPr>
      <w:snapToGrid w:val="0"/>
      <w:jc w:val="left"/>
    </w:pPr>
    <w:rPr>
      <w:sz w:val="18"/>
      <w:szCs w:val="18"/>
    </w:rPr>
  </w:style>
  <w:style w:type="paragraph" w:styleId="23">
    <w:name w:val="Normal (Web)"/>
    <w:basedOn w:val="1"/>
    <w:unhideWhenUsed/>
    <w:qFormat/>
    <w:uiPriority w:val="99"/>
    <w:rPr>
      <w:sz w:val="24"/>
    </w:rPr>
  </w:style>
  <w:style w:type="paragraph" w:styleId="24">
    <w:name w:val="annotation subject"/>
    <w:basedOn w:val="13"/>
    <w:next w:val="13"/>
    <w:link w:val="40"/>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page number"/>
    <w:semiHidden/>
    <w:qFormat/>
    <w:uiPriority w:val="0"/>
  </w:style>
  <w:style w:type="character" w:styleId="30">
    <w:name w:val="Hyperlink"/>
    <w:basedOn w:val="27"/>
    <w:qFormat/>
    <w:uiPriority w:val="0"/>
    <w:rPr>
      <w:color w:val="0000FF"/>
      <w:u w:val="single"/>
    </w:rPr>
  </w:style>
  <w:style w:type="character" w:styleId="31">
    <w:name w:val="annotation reference"/>
    <w:qFormat/>
    <w:uiPriority w:val="0"/>
    <w:rPr>
      <w:sz w:val="21"/>
      <w:szCs w:val="21"/>
    </w:rPr>
  </w:style>
  <w:style w:type="character" w:customStyle="1" w:styleId="32">
    <w:name w:val="文档结构图 Char"/>
    <w:link w:val="12"/>
    <w:qFormat/>
    <w:uiPriority w:val="0"/>
    <w:rPr>
      <w:rFonts w:ascii="宋体"/>
      <w:kern w:val="2"/>
      <w:sz w:val="18"/>
      <w:szCs w:val="18"/>
    </w:rPr>
  </w:style>
  <w:style w:type="character" w:customStyle="1" w:styleId="33">
    <w:name w:val="批注文字 Char"/>
    <w:link w:val="13"/>
    <w:qFormat/>
    <w:uiPriority w:val="0"/>
    <w:rPr>
      <w:kern w:val="2"/>
      <w:sz w:val="21"/>
      <w:szCs w:val="24"/>
    </w:rPr>
  </w:style>
  <w:style w:type="character" w:customStyle="1" w:styleId="34">
    <w:name w:val="纯文本 Char"/>
    <w:link w:val="17"/>
    <w:qFormat/>
    <w:uiPriority w:val="0"/>
    <w:rPr>
      <w:rFonts w:ascii="宋体" w:hAnsi="Courier New" w:eastAsia="宋体" w:cs="Courier New"/>
      <w:kern w:val="2"/>
      <w:sz w:val="21"/>
      <w:szCs w:val="21"/>
      <w:lang w:val="en-US" w:eastAsia="zh-CN" w:bidi="ar-SA"/>
    </w:rPr>
  </w:style>
  <w:style w:type="character" w:customStyle="1" w:styleId="35">
    <w:name w:val="日期 Char"/>
    <w:link w:val="18"/>
    <w:semiHidden/>
    <w:qFormat/>
    <w:uiPriority w:val="0"/>
    <w:rPr>
      <w:kern w:val="2"/>
      <w:sz w:val="21"/>
      <w:szCs w:val="24"/>
      <w:lang w:bidi="ar-SA"/>
    </w:rPr>
  </w:style>
  <w:style w:type="character" w:customStyle="1" w:styleId="36">
    <w:name w:val="批注框文本 Char"/>
    <w:link w:val="19"/>
    <w:qFormat/>
    <w:uiPriority w:val="0"/>
    <w:rPr>
      <w:kern w:val="2"/>
      <w:sz w:val="18"/>
      <w:szCs w:val="18"/>
    </w:rPr>
  </w:style>
  <w:style w:type="character" w:customStyle="1" w:styleId="37">
    <w:name w:val="页脚 Char"/>
    <w:link w:val="20"/>
    <w:qFormat/>
    <w:uiPriority w:val="99"/>
    <w:rPr>
      <w:kern w:val="2"/>
      <w:sz w:val="18"/>
      <w:szCs w:val="18"/>
    </w:rPr>
  </w:style>
  <w:style w:type="character" w:customStyle="1" w:styleId="38">
    <w:name w:val="页眉 Char"/>
    <w:link w:val="21"/>
    <w:qFormat/>
    <w:uiPriority w:val="99"/>
    <w:rPr>
      <w:kern w:val="2"/>
      <w:sz w:val="18"/>
      <w:szCs w:val="18"/>
    </w:rPr>
  </w:style>
  <w:style w:type="character" w:customStyle="1" w:styleId="39">
    <w:name w:val="脚注文本 Char"/>
    <w:link w:val="22"/>
    <w:qFormat/>
    <w:uiPriority w:val="0"/>
    <w:rPr>
      <w:kern w:val="2"/>
      <w:sz w:val="18"/>
      <w:szCs w:val="18"/>
    </w:rPr>
  </w:style>
  <w:style w:type="character" w:customStyle="1" w:styleId="40">
    <w:name w:val="批注主题 Char"/>
    <w:link w:val="24"/>
    <w:qFormat/>
    <w:uiPriority w:val="0"/>
    <w:rPr>
      <w:b/>
      <w:bCs/>
      <w:kern w:val="2"/>
      <w:sz w:val="21"/>
      <w:szCs w:val="24"/>
    </w:rPr>
  </w:style>
  <w:style w:type="character" w:customStyle="1" w:styleId="41">
    <w:name w:val="发布"/>
    <w:qFormat/>
    <w:uiPriority w:val="0"/>
    <w:rPr>
      <w:rFonts w:ascii="黑体" w:eastAsia="黑体"/>
      <w:spacing w:val="22"/>
      <w:w w:val="100"/>
      <w:position w:val="3"/>
      <w:sz w:val="28"/>
    </w:rPr>
  </w:style>
  <w:style w:type="character" w:customStyle="1" w:styleId="42">
    <w:name w:val="段 Char"/>
    <w:link w:val="43"/>
    <w:qFormat/>
    <w:uiPriority w:val="0"/>
    <w:rPr>
      <w:rFonts w:ascii="宋体"/>
      <w:sz w:val="21"/>
      <w:lang w:val="en-US" w:eastAsia="zh-CN" w:bidi="ar-SA"/>
    </w:rPr>
  </w:style>
  <w:style w:type="paragraph" w:customStyle="1" w:styleId="43">
    <w:name w:val="段"/>
    <w:link w:val="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4">
    <w:name w:val="列项——（一级） Char"/>
    <w:link w:val="45"/>
    <w:qFormat/>
    <w:locked/>
    <w:uiPriority w:val="0"/>
    <w:rPr>
      <w:rFonts w:ascii="宋体"/>
      <w:sz w:val="21"/>
      <w:szCs w:val="22"/>
      <w:lang w:val="en-US" w:eastAsia="zh-CN" w:bidi="ar-SA"/>
    </w:rPr>
  </w:style>
  <w:style w:type="paragraph" w:customStyle="1" w:styleId="45">
    <w:name w:val="列项——（一级）"/>
    <w:link w:val="44"/>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paragraph" w:customStyle="1" w:styleId="4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7">
    <w:name w:val="一级条标题"/>
    <w:next w:val="1"/>
    <w:qFormat/>
    <w:uiPriority w:val="0"/>
    <w:pPr>
      <w:outlineLvl w:val="2"/>
    </w:pPr>
    <w:rPr>
      <w:rFonts w:ascii="Times New Roman" w:hAnsi="Times New Roman" w:eastAsia="黑体" w:cs="Times New Roman"/>
      <w:kern w:val="2"/>
      <w:sz w:val="21"/>
      <w:szCs w:val="24"/>
      <w:lang w:val="en-US" w:eastAsia="zh-CN" w:bidi="ar-SA"/>
    </w:rPr>
  </w:style>
  <w:style w:type="paragraph" w:customStyle="1" w:styleId="4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0">
    <w:name w:val="二级条标题"/>
    <w:basedOn w:val="47"/>
    <w:next w:val="1"/>
    <w:qFormat/>
    <w:uiPriority w:val="0"/>
    <w:pPr>
      <w:outlineLvl w:val="3"/>
    </w:pPr>
  </w:style>
  <w:style w:type="paragraph" w:customStyle="1" w:styleId="5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2">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53">
    <w:name w:val="章标题"/>
    <w:next w:val="43"/>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styleId="54">
    <w:name w:val="List Paragraph"/>
    <w:basedOn w:val="1"/>
    <w:qFormat/>
    <w:uiPriority w:val="34"/>
    <w:pPr>
      <w:ind w:firstLine="420" w:firstLineChars="200"/>
    </w:pPr>
  </w:style>
  <w:style w:type="paragraph" w:customStyle="1" w:styleId="55">
    <w:name w:val="四级条标题"/>
    <w:basedOn w:val="1"/>
    <w:next w:val="43"/>
    <w:qFormat/>
    <w:uiPriority w:val="0"/>
    <w:pPr>
      <w:widowControl/>
      <w:outlineLvl w:val="5"/>
    </w:pPr>
    <w:rPr>
      <w:rFonts w:ascii="黑体" w:eastAsia="黑体"/>
      <w:kern w:val="0"/>
      <w:szCs w:val="20"/>
    </w:rPr>
  </w:style>
  <w:style w:type="paragraph" w:customStyle="1" w:styleId="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7">
    <w:name w:val="标准"/>
    <w:basedOn w:val="1"/>
    <w:qFormat/>
    <w:uiPriority w:val="0"/>
    <w:pPr>
      <w:adjustRightInd w:val="0"/>
      <w:spacing w:line="312" w:lineRule="atLeast"/>
      <w:jc w:val="center"/>
      <w:textAlignment w:val="baseline"/>
    </w:pPr>
    <w:rPr>
      <w:kern w:val="0"/>
      <w:szCs w:val="20"/>
    </w:rPr>
  </w:style>
  <w:style w:type="paragraph" w:customStyle="1" w:styleId="58">
    <w:name w:val="目次、标准名称标题"/>
    <w:basedOn w:val="1"/>
    <w:next w:val="43"/>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1">
    <w:name w:val="正文表标题"/>
    <w:next w:val="43"/>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样式1"/>
    <w:basedOn w:val="1"/>
    <w:qFormat/>
    <w:uiPriority w:val="0"/>
    <w:pPr>
      <w:tabs>
        <w:tab w:val="left" w:pos="525"/>
      </w:tabs>
    </w:pPr>
    <w:rPr>
      <w:rFonts w:ascii="宋体" w:hAnsi="宋体"/>
      <w:szCs w:val="21"/>
    </w:rPr>
  </w:style>
  <w:style w:type="paragraph" w:customStyle="1" w:styleId="6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5">
    <w:name w:val="标准书眉_偶数页"/>
    <w:basedOn w:val="66"/>
    <w:next w:val="1"/>
    <w:qFormat/>
    <w:uiPriority w:val="0"/>
    <w:pPr>
      <w:tabs>
        <w:tab w:val="center" w:pos="4154"/>
        <w:tab w:val="right" w:pos="8306"/>
      </w:tabs>
      <w:jc w:val="left"/>
    </w:pPr>
  </w:style>
  <w:style w:type="paragraph" w:customStyle="1" w:styleId="6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
    <w:name w:val="发布部门"/>
    <w:next w:val="4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封面正文"/>
    <w:qFormat/>
    <w:uiPriority w:val="0"/>
    <w:pPr>
      <w:jc w:val="both"/>
    </w:pPr>
    <w:rPr>
      <w:rFonts w:ascii="Times New Roman" w:hAnsi="Times New Roman" w:eastAsia="宋体" w:cs="Times New Roman"/>
      <w:lang w:val="en-US" w:eastAsia="zh-CN" w:bidi="ar-SA"/>
    </w:rPr>
  </w:style>
  <w:style w:type="paragraph" w:customStyle="1" w:styleId="70">
    <w:name w:val="实施日期"/>
    <w:basedOn w:val="48"/>
    <w:qFormat/>
    <w:uiPriority w:val="0"/>
    <w:pPr>
      <w:framePr w:hSpace="0" w:wrap="around" w:xAlign="right"/>
      <w:jc w:val="right"/>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7840</Words>
  <Characters>9768</Characters>
  <Lines>66</Lines>
  <Paragraphs>18</Paragraphs>
  <TotalTime>0</TotalTime>
  <ScaleCrop>false</ScaleCrop>
  <LinksUpToDate>false</LinksUpToDate>
  <CharactersWithSpaces>10137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2024-08-27T04:46:00Z</dcterms:created>
  <dc:creator>USER</dc:creator>
  <cp:lastModifiedBy>诚</cp:lastModifiedBy>
  <cp:lastPrinted>2025-03-26T01:11:00Z</cp:lastPrinted>
  <dcterms:modified xsi:type="dcterms:W3CDTF">2025-09-15T08:32:59Z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2A7A7D7AD5594D33A9B3DBE5F93AD66C_13</vt:lpwstr>
  </property>
  <property fmtid="{D5CDD505-2E9C-101B-9397-08002B2CF9AE}" pid="4" name="KSOTemplateDocerSaveRecord">
    <vt:lpwstr>eyJoZGlkIjoiZjllY2M0NGVkYzVlYThlZjQyZjI2Y2RiZGMwYzI5YjEiLCJ1c2VySWQiOiIzNzUyOTc0MDUifQ==</vt:lpwstr>
  </property>
</Properties>
</file>