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0"/>
        <w:spacing w:after="0" w:line="240" w:lineRule="auto"/>
      </w:pPr>
      <w:r>
        <w:rPr>
          <w:rFonts w:ascii="Times New Roman"/>
        </w:rPr>
        <w:t>ICS</w:t>
      </w:r>
      <w:r>
        <w:t> 77.040</w:t>
      </w:r>
    </w:p>
    <w:p>
      <w:pPr>
        <w:pStyle w:val="130"/>
        <w:spacing w:after="0" w:line="240" w:lineRule="auto"/>
      </w:pPr>
      <w:r>
        <w:t>CCS H 21</w:t>
      </w:r>
    </w:p>
    <w:p>
      <w:pPr>
        <w:pStyle w:val="73"/>
        <w:rPr>
          <w:color w:val="000000"/>
        </w:rPr>
      </w:pPr>
      <w:r>
        <w:rPr>
          <w:color w:val="000000"/>
        </w:rPr>
        <w:drawing>
          <wp:inline distT="0" distB="0" distL="0" distR="0">
            <wp:extent cx="1438275" cy="723900"/>
            <wp:effectExtent l="19050" t="0" r="9525" b="0"/>
            <wp:docPr id="1" name="图片 1" desc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B"/>
                    <pic:cNvPicPr>
                      <a:picLocks noChangeAspect="1" noChangeArrowheads="1"/>
                    </pic:cNvPicPr>
                  </pic:nvPicPr>
                  <pic:blipFill>
                    <a:blip r:embed="rId6" cstate="print"/>
                    <a:srcRect/>
                    <a:stretch>
                      <a:fillRect/>
                    </a:stretch>
                  </pic:blipFill>
                  <pic:spPr>
                    <a:xfrm>
                      <a:off x="0" y="0"/>
                      <a:ext cx="1438275" cy="723900"/>
                    </a:xfrm>
                    <a:prstGeom prst="rect">
                      <a:avLst/>
                    </a:prstGeom>
                    <a:noFill/>
                    <a:ln w="9525">
                      <a:noFill/>
                      <a:miter lim="800000"/>
                      <a:headEnd/>
                      <a:tailEnd/>
                    </a:ln>
                  </pic:spPr>
                </pic:pic>
              </a:graphicData>
            </a:graphic>
          </wp:inline>
        </w:drawing>
      </w:r>
    </w:p>
    <w:p>
      <w:pPr>
        <w:pStyle w:val="74"/>
        <w:rPr>
          <w:color w:val="000000"/>
        </w:rPr>
      </w:pPr>
      <w:r>
        <w:rPr>
          <w:rFonts w:hint="eastAsia"/>
          <w:color w:val="000000"/>
        </w:rPr>
        <w:t>中华人民共和国国家标准</w:t>
      </w:r>
    </w:p>
    <w:p>
      <w:pPr>
        <w:pStyle w:val="54"/>
      </w:pPr>
      <w:r>
        <w:rPr>
          <w:rFonts w:hAnsi="黑体"/>
        </w:rPr>
        <w:t>GB/T XXXXX</w:t>
      </w:r>
      <w:r>
        <w:t>—</w:t>
      </w:r>
      <w:r>
        <w:fldChar w:fldCharType="begin">
          <w:ffData>
            <w:name w:val="StdNo2"/>
            <w:enabled/>
            <w:calcOnExit w:val="0"/>
            <w:textInput>
              <w:default w:val="XXXX"/>
              <w:maxLength w:val="4"/>
            </w:textInput>
          </w:ffData>
        </w:fldChar>
      </w:r>
      <w:bookmarkStart w:id="0" w:name="StdNo2"/>
      <w:r>
        <w:instrText xml:space="preserve"> FORMTEXT </w:instrText>
      </w:r>
      <w:r>
        <w:fldChar w:fldCharType="separate"/>
      </w:r>
      <w:r>
        <w:t>XXXX</w:t>
      </w:r>
      <w:r>
        <w:fldChar w:fldCharType="end"/>
      </w:r>
      <w:bookmarkEnd w:id="0"/>
    </w:p>
    <w:tbl>
      <w:tblPr>
        <w:tblStyle w:val="46"/>
        <w:tblW w:w="93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356" w:type="dxa"/>
            <w:tcBorders>
              <w:top w:val="nil"/>
              <w:left w:val="nil"/>
              <w:bottom w:val="nil"/>
              <w:right w:val="nil"/>
            </w:tcBorders>
            <w:shd w:val="clear" w:color="auto" w:fill="auto"/>
          </w:tcPr>
          <w:p>
            <w:pPr>
              <w:pStyle w:val="83"/>
              <w:ind w:right="420"/>
              <w:rPr>
                <w:color w:val="FF0000"/>
              </w:rPr>
            </w:pPr>
            <w:r>
              <w:rPr>
                <w:color w:val="FF0000"/>
              </w:rPr>
              <mc:AlternateContent>
                <mc:Choice Requires="wps">
                  <w:drawing>
                    <wp:anchor distT="0" distB="0" distL="114300" distR="114300" simplePos="0" relativeHeight="251657216" behindDoc="1" locked="0" layoutInCell="1" allowOverlap="1">
                      <wp:simplePos x="0" y="0"/>
                      <wp:positionH relativeFrom="column">
                        <wp:posOffset>4734560</wp:posOffset>
                      </wp:positionH>
                      <wp:positionV relativeFrom="paragraph">
                        <wp:posOffset>34290</wp:posOffset>
                      </wp:positionV>
                      <wp:extent cx="1143000" cy="228600"/>
                      <wp:effectExtent l="0" t="0" r="0" b="0"/>
                      <wp:wrapNone/>
                      <wp:docPr id="7"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a:effectLst/>
                            </wps:spPr>
                            <wps:bodyPr rot="0" vert="horz" wrap="square" lIns="91440" tIns="45720" rIns="91440" bIns="45720" anchor="t" anchorCtr="0" upright="1">
                              <a:noAutofit/>
                            </wps:bodyPr>
                          </wps:wsp>
                        </a:graphicData>
                      </a:graphic>
                    </wp:anchor>
                  </w:drawing>
                </mc:Choice>
                <mc:Fallback>
                  <w:pict>
                    <v:rect id="DT" o:spid="_x0000_s1026" o:spt="1" style="position:absolute;left:0pt;margin-left:372.8pt;margin-top:2.7pt;height:18pt;width:90pt;z-index:-251659264;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5g8svWAAAACAEAAA8AAAAAAAAAAQAgAAAAIgAAAGRycy9kb3ducmV2LnhtbFBLAQIUABQA&#10;AAAIAIdO4kBK5JEY8gEAAOADAAAOAAAAAAAAAAEAIAAAACUBAABkcnMvZTJvRG9jLnhtbFBLBQYA&#10;AAAABgAGAFkBAACJBQAAAAA=&#10;">
                      <v:fill on="t" focussize="0,0"/>
                      <v:stroke on="f"/>
                      <v:imagedata o:title=""/>
                      <o:lock v:ext="edit" aspectratio="f"/>
                    </v:rect>
                  </w:pict>
                </mc:Fallback>
              </mc:AlternateContent>
            </w:r>
          </w:p>
        </w:tc>
      </w:tr>
    </w:tbl>
    <w:p>
      <w:pPr>
        <w:pStyle w:val="54"/>
        <w:rPr>
          <w:color w:val="000000"/>
        </w:rPr>
      </w:pPr>
    </w:p>
    <w:p>
      <w:pPr>
        <w:pStyle w:val="54"/>
        <w:rPr>
          <w:color w:val="000000"/>
        </w:rPr>
      </w:pPr>
    </w:p>
    <w:p>
      <w:pPr>
        <w:pStyle w:val="85"/>
        <w:framePr w:x="1426" w:y="5978"/>
        <w:spacing w:after="0"/>
        <w:rPr>
          <w:szCs w:val="22"/>
        </w:rPr>
      </w:pPr>
    </w:p>
    <w:p>
      <w:pPr>
        <w:pStyle w:val="85"/>
        <w:framePr w:x="1426" w:y="5978"/>
        <w:spacing w:after="0"/>
        <w:rPr>
          <w:szCs w:val="22"/>
        </w:rPr>
      </w:pPr>
      <w:r>
        <w:rPr>
          <w:rFonts w:hint="eastAsia"/>
          <w:szCs w:val="22"/>
        </w:rPr>
        <w:t>300</w:t>
      </w:r>
      <w:r>
        <w:rPr>
          <w:rFonts w:hint="eastAsia"/>
          <w:szCs w:val="22"/>
          <w:vertAlign w:val="subscript"/>
        </w:rPr>
        <w:t xml:space="preserve"> </w:t>
      </w:r>
      <w:r>
        <w:rPr>
          <w:rFonts w:hint="eastAsia"/>
          <w:szCs w:val="22"/>
        </w:rPr>
        <w:t>mm硅片表面纳米形貌的评价方法</w:t>
      </w:r>
    </w:p>
    <w:tbl>
      <w:tblPr>
        <w:tblStyle w:val="46"/>
        <w:tblW w:w="98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88"/>
              <w:framePr w:x="1126" w:y="6391"/>
              <w:rPr>
                <w:color w:val="000000"/>
              </w:rPr>
            </w:pPr>
          </w:p>
          <w:p>
            <w:pPr>
              <w:pStyle w:val="88"/>
              <w:framePr w:x="1126" w:y="6391"/>
              <w:rPr>
                <w:color w:val="000000"/>
              </w:rPr>
            </w:pPr>
            <w:r>
              <w:rPr>
                <w:rFonts w:hint="eastAsia"/>
                <w:color w:val="000000"/>
              </w:rPr>
              <w:t>Evaluation methods for nanotopography of 300</w:t>
            </w:r>
            <w:r>
              <w:rPr>
                <w:rFonts w:hint="eastAsia"/>
                <w:color w:val="000000"/>
                <w:vertAlign w:val="subscript"/>
              </w:rPr>
              <w:t xml:space="preserve"> </w:t>
            </w:r>
            <w:r>
              <w:rPr>
                <w:rFonts w:hint="eastAsia"/>
                <w:color w:val="000000"/>
              </w:rPr>
              <w:t>mm silicon wafer surface</w:t>
            </w:r>
          </w:p>
          <w:p>
            <w:pPr>
              <w:pStyle w:val="88"/>
              <w:framePr w:x="1126" w:y="6391"/>
            </w:pPr>
            <w:r>
              <mc:AlternateContent>
                <mc:Choice Requires="wps">
                  <w:drawing>
                    <wp:anchor distT="0" distB="0" distL="114300" distR="114300" simplePos="0" relativeHeight="251659264" behindDoc="1" locked="1" layoutInCell="1" allowOverlap="1">
                      <wp:simplePos x="0" y="0"/>
                      <wp:positionH relativeFrom="column">
                        <wp:posOffset>2200910</wp:posOffset>
                      </wp:positionH>
                      <wp:positionV relativeFrom="paragraph">
                        <wp:posOffset>573405</wp:posOffset>
                      </wp:positionV>
                      <wp:extent cx="1905000" cy="254000"/>
                      <wp:effectExtent l="0" t="0" r="0" b="12700"/>
                      <wp:wrapNone/>
                      <wp:docPr id="6"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a:effectLst/>
                            </wps:spPr>
                            <wps:bodyPr rot="0" vert="horz" wrap="square" lIns="91440" tIns="45720" rIns="91440" bIns="45720" anchor="t" anchorCtr="0" upright="1">
                              <a:noAutofit/>
                            </wps:bodyPr>
                          </wps:wsp>
                        </a:graphicData>
                      </a:graphic>
                    </wp:anchor>
                  </w:drawing>
                </mc:Choice>
                <mc:Fallback>
                  <w:pict>
                    <v:rect id="RQ" o:spid="_x0000_s1026" o:spt="1" style="position:absolute;left:0pt;margin-left:173.3pt;margin-top:45.15pt;height:20pt;width:150pt;z-index:-251657216;mso-width-relative:page;mso-height-relative:page;" fillcolor="#FFFFFF" filled="t" stroked="f" coordsize="21600,21600" o:gfxdata="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Fia6S1QAAAAoBAAAPAAAAAAAAAAEAIAAAACIAAABkcnMvZG93bnJldi54bWxQSwECFAAUAAAA&#10;CACHTuJAhCnHOfEBAADgAwAADgAAAAAAAAABACAAAAAkAQAAZHJzL2Uyb0RvYy54bWxQSwUGAAAA&#10;AAYABgBZAQAAhwUAAAAA&#10;">
                      <v:fill on="t" focussize="0,0"/>
                      <v:stroke on="f"/>
                      <v:imagedata o:title=""/>
                      <o:lock v:ext="edit" aspectratio="f"/>
                      <w10:anchorlock/>
                    </v:rect>
                  </w:pict>
                </mc:Fallback>
              </mc:AlternateContent>
            </w:r>
            <w:r>
              <mc:AlternateContent>
                <mc:Choice Requires="wps">
                  <w:drawing>
                    <wp:anchor distT="0" distB="0" distL="114300" distR="114300" simplePos="0" relativeHeight="251656192" behindDoc="1" locked="0" layoutInCell="1" allowOverlap="1">
                      <wp:simplePos x="0" y="0"/>
                      <wp:positionH relativeFrom="column">
                        <wp:posOffset>2454910</wp:posOffset>
                      </wp:positionH>
                      <wp:positionV relativeFrom="paragraph">
                        <wp:posOffset>255905</wp:posOffset>
                      </wp:positionV>
                      <wp:extent cx="1270000" cy="304800"/>
                      <wp:effectExtent l="0" t="0" r="6350" b="0"/>
                      <wp:wrapNone/>
                      <wp:docPr id="5" name="LB"/>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a:effectLst/>
                            </wps:spPr>
                            <wps:bodyPr rot="0" vert="horz" wrap="square" lIns="91440" tIns="45720" rIns="91440" bIns="45720" anchor="t" anchorCtr="0" upright="1">
                              <a:noAutofit/>
                            </wps:bodyPr>
                          </wps:wsp>
                        </a:graphicData>
                      </a:graphic>
                    </wp:anchor>
                  </w:drawing>
                </mc:Choice>
                <mc:Fallback>
                  <w:pict>
                    <v:rect id="LB" o:spid="_x0000_s1026" o:spt="1" style="position:absolute;left:0pt;margin-left:193.3pt;margin-top:20.15pt;height:24pt;width:100pt;z-index:-251660288;mso-width-relative:page;mso-height-relative:page;" fillcolor="#FFFFFF" filled="t" stroked="f" coordsize="21600,21600" o:gfxdata="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GL5dYAAAAJAQAADwAAAAAAAAABACAAAAAiAAAAZHJzL2Rvd25yZXYueG1sUEsBAhQAFAAA&#10;AAgAh07iQOgdOtHxAQAA4AMAAA4AAAAAAAAAAQAgAAAAJQEAAGRycy9lMm9Eb2MueG1sUEsFBgAA&#10;AAAGAAYAWQEAAIgFAAAAAA==&#10;">
                      <v:fill on="t" focussize="0,0"/>
                      <v:stroke on="f"/>
                      <v:imagedata o:title=""/>
                      <o:lock v:ext="edit" aspectratio="f"/>
                    </v:rect>
                  </w:pict>
                </mc:Fallback>
              </mc:AlternateContent>
            </w:r>
            <w:r>
              <w:rPr>
                <w:rFonts w:hint="eastAsia"/>
              </w:rPr>
              <w:t>（</w:t>
            </w:r>
            <w:r>
              <w:rPr>
                <w:rFonts w:hint="eastAsia"/>
                <w:lang w:val="en-US" w:eastAsia="zh-CN"/>
              </w:rPr>
              <w:t>预审</w:t>
            </w:r>
            <w:r>
              <w:rPr>
                <w:rFonts w:hint="eastAsia"/>
              </w:rPr>
              <w:t>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89"/>
              <w:framePr w:x="1126" w:y="6391"/>
              <w:rPr>
                <w:color w:val="000000"/>
              </w:rPr>
            </w:pPr>
          </w:p>
          <w:p>
            <w:pPr>
              <w:pStyle w:val="89"/>
              <w:framePr w:x="1126" w:y="6391"/>
              <w:rPr>
                <w:color w:val="000000"/>
              </w:rPr>
            </w:pPr>
          </w:p>
          <w:p>
            <w:pPr>
              <w:pStyle w:val="89"/>
              <w:framePr w:x="1126" w:y="6391"/>
              <w:rPr>
                <w:color w:val="000000"/>
              </w:rPr>
            </w:pPr>
          </w:p>
        </w:tc>
      </w:tr>
    </w:tbl>
    <w:p>
      <w:pPr>
        <w:pStyle w:val="137"/>
        <w:framePr w:hAnchor="page" w:x="1246" w:y="13996"/>
        <w:rPr>
          <w:color w:val="000000"/>
        </w:rPr>
      </w:pPr>
      <w:r>
        <w:rPr>
          <w:rFonts w:ascii="黑体"/>
          <w:color w:val="000000"/>
        </w:rPr>
        <w:fldChar w:fldCharType="begin">
          <w:ffData>
            <w:name w:val="FY"/>
            <w:enabled/>
            <w:calcOnExit w:val="0"/>
            <w:textInput>
              <w:default w:val="XXXX"/>
              <w:maxLength w:val="4"/>
            </w:textInput>
          </w:ffData>
        </w:fldChar>
      </w:r>
      <w:bookmarkStart w:id="1" w:name="FY"/>
      <w:r>
        <w:rPr>
          <w:rFonts w:ascii="黑体"/>
          <w:color w:val="000000"/>
        </w:rPr>
        <w:instrText xml:space="preserve"> FORMTEXT </w:instrText>
      </w:r>
      <w:r>
        <w:rPr>
          <w:rFonts w:ascii="黑体"/>
          <w:color w:val="000000"/>
        </w:rPr>
        <w:fldChar w:fldCharType="separate"/>
      </w:r>
      <w:r>
        <w:rPr>
          <w:rFonts w:ascii="黑体"/>
          <w:color w:val="000000"/>
        </w:rPr>
        <w:t>XXXX</w:t>
      </w:r>
      <w:r>
        <w:rPr>
          <w:rFonts w:ascii="黑体"/>
          <w:color w:val="000000"/>
        </w:rPr>
        <w:fldChar w:fldCharType="end"/>
      </w:r>
      <w:bookmarkEnd w:id="1"/>
      <w:r>
        <w:rPr>
          <w:color w:val="000000"/>
        </w:rPr>
        <w:t xml:space="preserve"> </w:t>
      </w:r>
      <w:r>
        <w:rPr>
          <w:rFonts w:ascii="黑体"/>
          <w:color w:val="000000"/>
        </w:rPr>
        <w:t>-</w:t>
      </w:r>
      <w:r>
        <w:rPr>
          <w:color w:val="000000"/>
        </w:rPr>
        <w:t xml:space="preserve"> </w:t>
      </w:r>
      <w:r>
        <w:rPr>
          <w:rFonts w:ascii="黑体"/>
          <w:color w:val="000000"/>
        </w:rPr>
        <w:fldChar w:fldCharType="begin">
          <w:ffData>
            <w:name w:val="FM"/>
            <w:enabled/>
            <w:calcOnExit w:val="0"/>
            <w:textInput>
              <w:default w:val="XX"/>
              <w:maxLength w:val="2"/>
            </w:textInput>
          </w:ffData>
        </w:fldChar>
      </w:r>
      <w:bookmarkStart w:id="2" w:name="FM"/>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2"/>
      <w:r>
        <w:rPr>
          <w:color w:val="000000"/>
        </w:rPr>
        <w:t xml:space="preserve"> </w:t>
      </w:r>
      <w:r>
        <w:rPr>
          <w:rFonts w:ascii="黑体"/>
          <w:color w:val="000000"/>
        </w:rPr>
        <w:t>-</w:t>
      </w:r>
      <w:r>
        <w:rPr>
          <w:color w:val="000000"/>
        </w:rPr>
        <w:t xml:space="preserve"> </w:t>
      </w:r>
      <w:r>
        <w:rPr>
          <w:rFonts w:ascii="黑体"/>
          <w:color w:val="000000"/>
        </w:rPr>
        <w:fldChar w:fldCharType="begin">
          <w:ffData>
            <w:name w:val="FD"/>
            <w:enabled/>
            <w:calcOnExit w:val="0"/>
            <w:textInput>
              <w:default w:val="XX"/>
              <w:maxLength w:val="2"/>
            </w:textInput>
          </w:ffData>
        </w:fldChar>
      </w:r>
      <w:bookmarkStart w:id="3" w:name="FD"/>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3"/>
      <w:r>
        <w:rPr>
          <w:rFonts w:hint="eastAsia"/>
          <w:color w:val="000000"/>
        </w:rPr>
        <w:t>发布</w:t>
      </w:r>
      <w:r>
        <w:rPr>
          <w:color w:val="000000"/>
        </w:rPr>
        <mc:AlternateContent>
          <mc:Choice Requires="wps">
            <w:drawing>
              <wp:anchor distT="0" distB="0" distL="114300" distR="114300" simplePos="0" relativeHeight="251655168" behindDoc="0" locked="1" layoutInCell="1" allowOverlap="1">
                <wp:simplePos x="0" y="0"/>
                <wp:positionH relativeFrom="column">
                  <wp:posOffset>10795</wp:posOffset>
                </wp:positionH>
                <wp:positionV relativeFrom="page">
                  <wp:posOffset>9251950</wp:posOffset>
                </wp:positionV>
                <wp:extent cx="6120130" cy="0"/>
                <wp:effectExtent l="0" t="4445" r="0" b="5080"/>
                <wp:wrapNone/>
                <wp:docPr id="4" name="Line 10"/>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Line 10" o:spid="_x0000_s1026" o:spt="20" style="position:absolute;left:0pt;margin-left:0.85pt;margin-top:728.5pt;height:0pt;width:481.9pt;mso-position-vertical-relative:page;z-index:251655168;mso-width-relative:page;mso-height-relative:page;" filled="f" stroked="t" coordsize="21600,21600" o:gfxdata="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5&#10;EimX1gAAAAsBAAAPAAAAAAAAAAEAIAAAACIAAABkcnMvZG93bnJldi54bWxQSwECFAAUAAAACACH&#10;TuJAe6Wqv7QBAABgAwAADgAAAAAAAAABACAAAAAlAQAAZHJzL2Uyb0RvYy54bWxQSwUGAAAAAAYA&#10;BgBZAQAASwUAAAAA&#10;">
                <v:fill on="f" focussize="0,0"/>
                <v:stroke color="#000000" joinstyle="round"/>
                <v:imagedata o:title=""/>
                <o:lock v:ext="edit" aspectratio="f"/>
                <w10:anchorlock/>
              </v:line>
            </w:pict>
          </mc:Fallback>
        </mc:AlternateContent>
      </w:r>
    </w:p>
    <w:p>
      <w:pPr>
        <w:pStyle w:val="138"/>
        <w:framePr w:hAnchor="page" w:x="7006" w:y="13906"/>
        <w:rPr>
          <w:color w:val="000000"/>
        </w:rPr>
      </w:pPr>
      <w:r>
        <w:rPr>
          <w:rFonts w:ascii="黑体"/>
          <w:color w:val="000000"/>
        </w:rPr>
        <w:fldChar w:fldCharType="begin">
          <w:ffData>
            <w:name w:val="SY"/>
            <w:enabled/>
            <w:calcOnExit w:val="0"/>
            <w:textInput>
              <w:default w:val="XXXX"/>
              <w:maxLength w:val="4"/>
            </w:textInput>
          </w:ffData>
        </w:fldChar>
      </w:r>
      <w:bookmarkStart w:id="4" w:name="SY"/>
      <w:r>
        <w:rPr>
          <w:rFonts w:ascii="黑体"/>
          <w:color w:val="000000"/>
        </w:rPr>
        <w:instrText xml:space="preserve"> FORMTEXT </w:instrText>
      </w:r>
      <w:r>
        <w:rPr>
          <w:rFonts w:ascii="黑体"/>
          <w:color w:val="000000"/>
        </w:rPr>
        <w:fldChar w:fldCharType="separate"/>
      </w:r>
      <w:r>
        <w:rPr>
          <w:rFonts w:ascii="黑体"/>
          <w:color w:val="000000"/>
        </w:rPr>
        <w:t>XXXX</w:t>
      </w:r>
      <w:r>
        <w:rPr>
          <w:rFonts w:ascii="黑体"/>
          <w:color w:val="000000"/>
        </w:rPr>
        <w:fldChar w:fldCharType="end"/>
      </w:r>
      <w:bookmarkEnd w:id="4"/>
      <w:r>
        <w:rPr>
          <w:color w:val="000000"/>
        </w:rPr>
        <w:t xml:space="preserve"> </w:t>
      </w:r>
      <w:r>
        <w:rPr>
          <w:rFonts w:ascii="黑体"/>
          <w:color w:val="000000"/>
        </w:rPr>
        <w:t>-</w:t>
      </w:r>
      <w:r>
        <w:rPr>
          <w:color w:val="000000"/>
        </w:rPr>
        <w:t xml:space="preserve"> </w:t>
      </w:r>
      <w:r>
        <w:rPr>
          <w:rFonts w:ascii="黑体"/>
          <w:color w:val="000000"/>
        </w:rPr>
        <w:fldChar w:fldCharType="begin">
          <w:ffData>
            <w:name w:val="SM"/>
            <w:enabled/>
            <w:calcOnExit w:val="0"/>
            <w:textInput>
              <w:default w:val="XX"/>
              <w:maxLength w:val="2"/>
            </w:textInput>
          </w:ffData>
        </w:fldChar>
      </w:r>
      <w:bookmarkStart w:id="5" w:name="SM"/>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5"/>
      <w:r>
        <w:rPr>
          <w:color w:val="000000"/>
        </w:rPr>
        <w:t xml:space="preserve"> </w:t>
      </w:r>
      <w:r>
        <w:rPr>
          <w:rFonts w:ascii="黑体"/>
          <w:color w:val="000000"/>
        </w:rPr>
        <w:t>-</w:t>
      </w:r>
      <w:r>
        <w:rPr>
          <w:color w:val="000000"/>
        </w:rPr>
        <w:t xml:space="preserve"> </w:t>
      </w:r>
      <w:r>
        <w:rPr>
          <w:rFonts w:ascii="黑体"/>
          <w:color w:val="000000"/>
        </w:rPr>
        <w:fldChar w:fldCharType="begin">
          <w:ffData>
            <w:name w:val="SD"/>
            <w:enabled/>
            <w:calcOnExit w:val="0"/>
            <w:textInput>
              <w:default w:val="XX"/>
              <w:maxLength w:val="2"/>
            </w:textInput>
          </w:ffData>
        </w:fldChar>
      </w:r>
      <w:bookmarkStart w:id="6" w:name="SD"/>
      <w:r>
        <w:rPr>
          <w:rFonts w:ascii="黑体"/>
          <w:color w:val="000000"/>
        </w:rPr>
        <w:instrText xml:space="preserve"> FORMTEXT </w:instrText>
      </w:r>
      <w:r>
        <w:rPr>
          <w:rFonts w:ascii="黑体"/>
          <w:color w:val="000000"/>
        </w:rPr>
        <w:fldChar w:fldCharType="separate"/>
      </w:r>
      <w:r>
        <w:rPr>
          <w:rFonts w:ascii="黑体"/>
          <w:color w:val="000000"/>
        </w:rPr>
        <w:t>XX</w:t>
      </w:r>
      <w:r>
        <w:rPr>
          <w:rFonts w:ascii="黑体"/>
          <w:color w:val="000000"/>
        </w:rPr>
        <w:fldChar w:fldCharType="end"/>
      </w:r>
      <w:bookmarkEnd w:id="6"/>
      <w:r>
        <w:rPr>
          <w:rFonts w:hint="eastAsia"/>
          <w:color w:val="000000"/>
        </w:rPr>
        <w:t>实施</w:t>
      </w:r>
    </w:p>
    <w:p>
      <w:pPr>
        <w:pStyle w:val="81"/>
        <w:rPr>
          <w:color w:val="000000"/>
        </w:rPr>
      </w:pPr>
      <w:r>
        <w:drawing>
          <wp:inline distT="0" distB="0" distL="0" distR="0">
            <wp:extent cx="3473450" cy="720090"/>
            <wp:effectExtent l="0" t="0" r="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cstate="print"/>
                    <a:stretch>
                      <a:fillRect/>
                    </a:stretch>
                  </pic:blipFill>
                  <pic:spPr>
                    <a:xfrm>
                      <a:off x="0" y="0"/>
                      <a:ext cx="3473450" cy="720090"/>
                    </a:xfrm>
                    <a:prstGeom prst="rect">
                      <a:avLst/>
                    </a:prstGeom>
                  </pic:spPr>
                </pic:pic>
              </a:graphicData>
            </a:graphic>
          </wp:inline>
        </w:drawing>
      </w:r>
    </w:p>
    <w:p>
      <w:pPr>
        <w:pStyle w:val="26"/>
        <w:rPr>
          <w:color w:val="000000"/>
        </w:rPr>
        <w:sectPr>
          <w:pgSz w:w="11906" w:h="16838"/>
          <w:pgMar w:top="567" w:right="850" w:bottom="1134" w:left="1418" w:header="0" w:footer="0" w:gutter="0"/>
          <w:pgNumType w:fmt="upperRoman" w:start="1"/>
          <w:cols w:space="425" w:num="1"/>
          <w:docGrid w:type="lines" w:linePitch="312" w:charSpace="0"/>
        </w:sectPr>
      </w:pPr>
      <w:r>
        <w:rPr>
          <w:color w:val="000000"/>
        </w:rPr>
        <mc:AlternateContent>
          <mc:Choice Requires="wps">
            <w:drawing>
              <wp:anchor distT="0" distB="0" distL="114300" distR="114300" simplePos="0" relativeHeight="251654144" behindDoc="0" locked="0" layoutInCell="1" allowOverlap="1">
                <wp:simplePos x="0" y="0"/>
                <wp:positionH relativeFrom="column">
                  <wp:posOffset>-635</wp:posOffset>
                </wp:positionH>
                <wp:positionV relativeFrom="paragraph">
                  <wp:posOffset>2339975</wp:posOffset>
                </wp:positionV>
                <wp:extent cx="6120130" cy="0"/>
                <wp:effectExtent l="0" t="4445" r="0" b="5080"/>
                <wp:wrapNone/>
                <wp:docPr id="3" name="Line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Line 11" o:spid="_x0000_s1026" o:spt="20" style="position:absolute;left:0pt;margin-left:-0.05pt;margin-top:184.25pt;height:0pt;width:481.9pt;z-index:251654144;mso-width-relative:page;mso-height-relative:page;" filled="f" stroked="t" coordsize="21600,21600" o:gfxdata="UEsDBAoAAAAAAIdO4kAAAAAAAAAAAAAAAAAEAAAAZHJzL1BLAwQUAAAACACHTuJAQkHiX9cAAAAJ&#10;AQAADwAAAGRycy9kb3ducmV2LnhtbE2PzU7DMBCE70h9B2uRuFStnUaE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C&#10;QeJf1wAAAAkBAAAPAAAAAAAAAAEAIAAAACIAAABkcnMvZG93bnJldi54bWxQSwECFAAUAAAACACH&#10;TuJAGpMdSLMBAABgAwAADgAAAAAAAAABACAAAAAmAQAAZHJzL2Uyb0RvYy54bWxQSwUGAAAAAAYA&#10;BgBZAQAASwUAAAAA&#10;">
                <v:fill on="f" focussize="0,0"/>
                <v:stroke color="#000000" joinstyle="round"/>
                <v:imagedata o:title=""/>
                <o:lock v:ext="edit" aspectratio="f"/>
              </v:line>
            </w:pict>
          </mc:Fallback>
        </mc:AlternateContent>
      </w:r>
    </w:p>
    <w:p>
      <w:pPr>
        <w:pStyle w:val="119"/>
        <w:rPr>
          <w:color w:val="000000"/>
        </w:rPr>
      </w:pPr>
      <w:r>
        <w:rPr>
          <w:rFonts w:hint="eastAsia"/>
          <w:color w:val="000000"/>
        </w:rPr>
        <w:t>前</w:t>
      </w:r>
      <w:bookmarkStart w:id="7" w:name="BKQY"/>
      <w:r>
        <w:rPr>
          <w:color w:val="000000"/>
        </w:rPr>
        <w:t>  </w:t>
      </w:r>
      <w:r>
        <w:rPr>
          <w:rFonts w:hint="eastAsia"/>
          <w:color w:val="000000"/>
        </w:rPr>
        <w:t>言</w:t>
      </w:r>
      <w:bookmarkEnd w:id="7"/>
    </w:p>
    <w:p>
      <w:pPr>
        <w:tabs>
          <w:tab w:val="center" w:pos="4201"/>
          <w:tab w:val="right" w:leader="dot" w:pos="9298"/>
        </w:tabs>
        <w:autoSpaceDE w:val="0"/>
        <w:autoSpaceDN w:val="0"/>
        <w:spacing w:after="0" w:line="279" w:lineRule="auto"/>
        <w:ind w:firstLine="420" w:firstLineChars="200"/>
        <w:rPr>
          <w:rFonts w:hint="eastAsia" w:ascii="宋体" w:hAnsi="宋体"/>
          <w:szCs w:val="21"/>
        </w:rPr>
      </w:pPr>
      <w:r>
        <w:rPr>
          <w:rFonts w:hint="eastAsia" w:ascii="宋体" w:hAnsi="宋体"/>
          <w:szCs w:val="21"/>
        </w:rPr>
        <w:t>本文件按照GB/T 1.1—20</w:t>
      </w:r>
      <w:r>
        <w:rPr>
          <w:rFonts w:ascii="宋体" w:hAnsi="宋体"/>
          <w:szCs w:val="21"/>
        </w:rPr>
        <w:t>20</w:t>
      </w:r>
      <w:r>
        <w:rPr>
          <w:rFonts w:hint="eastAsia" w:ascii="宋体" w:hAnsi="宋体"/>
          <w:szCs w:val="21"/>
        </w:rPr>
        <w:t xml:space="preserve">《标准化工作导则 </w:t>
      </w:r>
      <w:r>
        <w:rPr>
          <w:rFonts w:ascii="宋体" w:hAnsi="宋体"/>
          <w:szCs w:val="21"/>
        </w:rPr>
        <w:t xml:space="preserve"> </w:t>
      </w:r>
      <w:r>
        <w:rPr>
          <w:rFonts w:hint="eastAsia" w:ascii="宋体" w:hAnsi="宋体"/>
          <w:szCs w:val="21"/>
        </w:rPr>
        <w:t>第1部分：标准化文件的结构和起草规则》的规定起草。</w:t>
      </w:r>
    </w:p>
    <w:p>
      <w:pPr>
        <w:pStyle w:val="166"/>
        <w:spacing w:after="0" w:line="279" w:lineRule="auto"/>
        <w:ind w:left="420" w:firstLine="0" w:firstLineChars="0"/>
        <w:rPr>
          <w:rFonts w:hint="eastAsia" w:ascii="宋体" w:hAnsi="宋体"/>
        </w:rPr>
      </w:pPr>
      <w:r>
        <w:rPr>
          <w:rFonts w:hint="eastAsia" w:hAnsi="宋体"/>
        </w:rPr>
        <w:t>请注意本文件的某些内容可能涉及专利。本文件的发布机构不承担识别专利的责任。</w:t>
      </w:r>
    </w:p>
    <w:p>
      <w:pPr>
        <w:pStyle w:val="26"/>
        <w:spacing w:after="0" w:line="279" w:lineRule="auto"/>
        <w:rPr>
          <w:color w:val="000000"/>
        </w:rPr>
      </w:pPr>
      <w:r>
        <w:rPr>
          <w:rFonts w:hint="eastAsia"/>
          <w:color w:val="000000"/>
        </w:rPr>
        <w:t>本文件由全国半导体设备和材料标准化技术委员会（SAC/TC203）与全国半导体设备和材料标准化技术委员会材料分技术委员会（SAC/TC203/SC2）共同提出并归口。</w:t>
      </w:r>
    </w:p>
    <w:p>
      <w:pPr>
        <w:pStyle w:val="26"/>
        <w:spacing w:after="0" w:line="279" w:lineRule="auto"/>
        <w:rPr>
          <w:rFonts w:hint="eastAsia" w:hAnsi="宋体"/>
        </w:rPr>
      </w:pPr>
      <w:r>
        <w:rPr>
          <w:rFonts w:hint="eastAsia" w:hAnsi="宋体"/>
        </w:rPr>
        <w:t>本文件起草单位：</w:t>
      </w:r>
    </w:p>
    <w:p>
      <w:pPr>
        <w:pStyle w:val="26"/>
        <w:spacing w:after="0" w:line="279" w:lineRule="auto"/>
        <w:jc w:val="left"/>
        <w:rPr>
          <w:rFonts w:hint="eastAsia" w:hAnsi="宋体"/>
        </w:rPr>
      </w:pPr>
      <w:r>
        <w:rPr>
          <w:rFonts w:hint="eastAsia" w:hAnsi="宋体"/>
        </w:rPr>
        <w:t>本文件主要起草人：</w:t>
      </w:r>
    </w:p>
    <w:p>
      <w:pPr>
        <w:pStyle w:val="57"/>
      </w:pPr>
      <w:r>
        <w:rPr>
          <w:rFonts w:hint="eastAsia"/>
          <w:szCs w:val="22"/>
        </w:rPr>
        <w:t>300</w:t>
      </w:r>
      <w:r>
        <w:rPr>
          <w:rFonts w:hint="eastAsia"/>
          <w:szCs w:val="22"/>
          <w:vertAlign w:val="superscript"/>
        </w:rPr>
        <w:t xml:space="preserve"> </w:t>
      </w:r>
      <w:r>
        <w:rPr>
          <w:rFonts w:hint="eastAsia"/>
          <w:szCs w:val="22"/>
        </w:rPr>
        <w:t>mm硅片表面纳米形貌的评价方法</w:t>
      </w:r>
    </w:p>
    <w:p>
      <w:pPr>
        <w:pStyle w:val="52"/>
        <w:numPr>
          <w:ilvl w:val="0"/>
          <w:numId w:val="18"/>
        </w:numPr>
        <w:spacing w:before="312" w:after="312" w:line="240" w:lineRule="auto"/>
        <w:rPr>
          <w:color w:val="000000"/>
        </w:rPr>
      </w:pPr>
      <w:r>
        <w:rPr>
          <w:rFonts w:hint="eastAsia"/>
          <w:color w:val="000000"/>
        </w:rPr>
        <w:t>范围</w:t>
      </w:r>
    </w:p>
    <w:p>
      <w:pPr>
        <w:pStyle w:val="26"/>
        <w:spacing w:after="0" w:line="279" w:lineRule="auto"/>
        <w:rPr>
          <w:rFonts w:hint="eastAsia" w:hAnsi="宋体"/>
          <w:color w:val="000000"/>
          <w:szCs w:val="21"/>
        </w:rPr>
      </w:pPr>
      <w:bookmarkStart w:id="8" w:name="OLE_LINK2"/>
      <w:bookmarkStart w:id="9" w:name="OLE_LINK1"/>
      <w:r>
        <w:rPr>
          <w:rFonts w:hint="eastAsia" w:hAnsi="宋体"/>
          <w:color w:val="000000"/>
          <w:szCs w:val="21"/>
        </w:rPr>
        <w:t>本文件描述了300</w:t>
      </w:r>
      <w:r>
        <w:rPr>
          <w:rFonts w:hint="eastAsia" w:hAnsi="宋体"/>
          <w:color w:val="000000"/>
          <w:szCs w:val="21"/>
          <w:vertAlign w:val="superscript"/>
        </w:rPr>
        <w:t xml:space="preserve"> </w:t>
      </w:r>
      <w:r>
        <w:rPr>
          <w:rFonts w:hint="eastAsia" w:hAnsi="宋体"/>
          <w:color w:val="000000"/>
          <w:szCs w:val="21"/>
        </w:rPr>
        <w:t>mm硅片表面0.2</w:t>
      </w:r>
      <w:r>
        <w:rPr>
          <w:rFonts w:hint="eastAsia" w:hAnsi="宋体"/>
          <w:color w:val="000000"/>
          <w:szCs w:val="21"/>
          <w:vertAlign w:val="subscript"/>
        </w:rPr>
        <w:t xml:space="preserve"> </w:t>
      </w:r>
      <w:r>
        <w:rPr>
          <w:rFonts w:hint="eastAsia" w:hAnsi="宋体"/>
          <w:color w:val="000000"/>
          <w:szCs w:val="21"/>
        </w:rPr>
        <w:t>mm-20</w:t>
      </w:r>
      <w:r>
        <w:rPr>
          <w:rFonts w:hint="eastAsia" w:hAnsi="宋体"/>
          <w:color w:val="000000"/>
          <w:szCs w:val="21"/>
          <w:vertAlign w:val="subscript"/>
        </w:rPr>
        <w:t xml:space="preserve"> </w:t>
      </w:r>
      <w:r>
        <w:rPr>
          <w:rFonts w:hint="eastAsia" w:hAnsi="宋体"/>
          <w:color w:val="000000"/>
          <w:szCs w:val="21"/>
        </w:rPr>
        <w:t>mm空间波长范围内的</w:t>
      </w:r>
      <w:bookmarkEnd w:id="8"/>
      <w:r>
        <w:rPr>
          <w:rFonts w:hint="eastAsia" w:hAnsi="宋体"/>
          <w:color w:val="000000"/>
          <w:szCs w:val="21"/>
          <w:lang w:val="en-US" w:eastAsia="zh-CN"/>
        </w:rPr>
        <w:t>纳米形貌</w:t>
      </w:r>
      <w:r>
        <w:rPr>
          <w:rFonts w:hint="eastAsia" w:hAnsi="宋体"/>
          <w:color w:val="000000"/>
          <w:szCs w:val="21"/>
        </w:rPr>
        <w:t>。</w:t>
      </w:r>
      <w:bookmarkEnd w:id="9"/>
    </w:p>
    <w:p>
      <w:pPr>
        <w:pStyle w:val="26"/>
        <w:spacing w:after="0" w:line="279" w:lineRule="auto"/>
        <w:rPr>
          <w:rFonts w:hint="eastAsia" w:hAnsi="宋体"/>
          <w:color w:val="000000"/>
          <w:szCs w:val="21"/>
        </w:rPr>
      </w:pPr>
      <w:bookmarkStart w:id="10" w:name="OLE_LINK4"/>
      <w:r>
        <w:rPr>
          <w:rFonts w:hint="eastAsia" w:hAnsi="宋体"/>
          <w:color w:val="000000"/>
          <w:szCs w:val="21"/>
        </w:rPr>
        <w:t>本文件适用于</w:t>
      </w:r>
      <w:r>
        <w:rPr>
          <w:rFonts w:hint="eastAsia" w:hAnsi="宋体"/>
          <w:color w:val="000000"/>
          <w:szCs w:val="21"/>
          <w:lang w:val="en-US" w:eastAsia="zh-CN"/>
        </w:rPr>
        <w:t>硅</w:t>
      </w:r>
      <w:r>
        <w:rPr>
          <w:rFonts w:hint="eastAsia" w:hAnsi="宋体"/>
          <w:szCs w:val="21"/>
        </w:rPr>
        <w:t>抛光片、硅</w:t>
      </w:r>
      <w:r>
        <w:rPr>
          <w:rFonts w:hint="eastAsia" w:hAnsi="宋体"/>
          <w:color w:val="000000"/>
          <w:szCs w:val="21"/>
        </w:rPr>
        <w:t>外延片、</w:t>
      </w:r>
      <w:r>
        <w:rPr>
          <w:rFonts w:hAnsi="宋体"/>
          <w:color w:val="000000"/>
          <w:szCs w:val="21"/>
        </w:rPr>
        <w:t>SOI片</w:t>
      </w:r>
      <w:r>
        <w:rPr>
          <w:rFonts w:hint="eastAsia" w:hAnsi="宋体"/>
          <w:color w:val="000000"/>
          <w:szCs w:val="21"/>
        </w:rPr>
        <w:t>等300</w:t>
      </w:r>
      <w:r>
        <w:rPr>
          <w:rFonts w:hint="eastAsia" w:hAnsi="宋体"/>
          <w:color w:val="000000"/>
          <w:szCs w:val="21"/>
          <w:vertAlign w:val="superscript"/>
        </w:rPr>
        <w:t xml:space="preserve"> </w:t>
      </w:r>
      <w:r>
        <w:rPr>
          <w:rFonts w:hint="eastAsia" w:hAnsi="宋体"/>
          <w:color w:val="000000"/>
          <w:szCs w:val="21"/>
        </w:rPr>
        <w:t>mm无</w:t>
      </w:r>
      <w:r>
        <w:rPr>
          <w:rFonts w:hint="eastAsia" w:hAnsi="宋体"/>
          <w:color w:val="000000"/>
          <w:szCs w:val="21"/>
          <w:lang w:val="en-US" w:eastAsia="zh-CN"/>
        </w:rPr>
        <w:t>图形</w:t>
      </w:r>
      <w:r>
        <w:rPr>
          <w:rFonts w:hint="eastAsia" w:hAnsi="宋体"/>
          <w:szCs w:val="21"/>
        </w:rPr>
        <w:t>硅</w:t>
      </w:r>
      <w:r>
        <w:rPr>
          <w:rFonts w:hint="eastAsia" w:hAnsi="宋体"/>
          <w:szCs w:val="21"/>
          <w:lang w:val="en-US" w:eastAsia="zh-CN"/>
        </w:rPr>
        <w:t>片</w:t>
      </w:r>
      <w:r>
        <w:rPr>
          <w:rFonts w:hint="eastAsia" w:hAnsi="宋体"/>
          <w:color w:val="000000"/>
          <w:szCs w:val="21"/>
        </w:rPr>
        <w:t>。</w:t>
      </w:r>
      <w:bookmarkEnd w:id="10"/>
    </w:p>
    <w:p>
      <w:pPr>
        <w:pStyle w:val="52"/>
        <w:numPr>
          <w:ilvl w:val="0"/>
          <w:numId w:val="18"/>
        </w:numPr>
        <w:spacing w:before="312" w:after="312" w:line="240" w:lineRule="auto"/>
      </w:pPr>
      <w:r>
        <w:rPr>
          <w:rFonts w:hint="eastAsia"/>
        </w:rPr>
        <w:t>规范性引用文件</w:t>
      </w:r>
    </w:p>
    <w:p>
      <w:pPr>
        <w:pStyle w:val="26"/>
        <w:spacing w:after="0" w:line="279" w:lineRule="auto"/>
        <w:rPr>
          <w:rFonts w:hint="eastAsia" w:hAnsi="宋体"/>
          <w:color w:val="00B050"/>
          <w:szCs w:val="21"/>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26"/>
        <w:spacing w:after="0" w:line="279" w:lineRule="auto"/>
      </w:pPr>
      <w:r>
        <w:t>GB/T 14264</w:t>
      </w:r>
      <w:r>
        <w:rPr>
          <w:rFonts w:hint="eastAsia"/>
        </w:rPr>
        <w:t>-2024</w:t>
      </w:r>
      <w:r>
        <w:t xml:space="preserve"> </w:t>
      </w:r>
      <w:r>
        <w:rPr>
          <w:rFonts w:hint="eastAsia"/>
        </w:rPr>
        <w:t>半导体材料术语</w:t>
      </w:r>
    </w:p>
    <w:p>
      <w:pPr>
        <w:pStyle w:val="26"/>
        <w:spacing w:after="0" w:line="279" w:lineRule="auto"/>
        <w:rPr>
          <w:bCs/>
        </w:rPr>
      </w:pPr>
      <w:r>
        <w:rPr>
          <w:bCs/>
        </w:rPr>
        <w:t xml:space="preserve">GB/T </w:t>
      </w:r>
      <w:r>
        <w:rPr>
          <w:rFonts w:hint="eastAsia"/>
          <w:bCs/>
        </w:rPr>
        <w:t>16596</w:t>
      </w:r>
      <w:r>
        <w:rPr>
          <w:bCs/>
        </w:rPr>
        <w:t xml:space="preserve"> </w:t>
      </w:r>
      <w:r>
        <w:rPr>
          <w:rFonts w:hint="eastAsia"/>
          <w:bCs/>
        </w:rPr>
        <w:t>确定硅片坐标系规范</w:t>
      </w:r>
    </w:p>
    <w:p>
      <w:pPr>
        <w:pStyle w:val="26"/>
        <w:spacing w:after="0" w:line="279" w:lineRule="auto"/>
        <w:rPr>
          <w:bCs/>
        </w:rPr>
      </w:pPr>
      <w:r>
        <w:rPr>
          <w:rFonts w:hint="eastAsia" w:hAnsi="宋体"/>
          <w:kern w:val="2"/>
          <w:szCs w:val="21"/>
        </w:rPr>
        <w:t>GB/T 25915.1</w:t>
      </w:r>
      <w:r>
        <w:rPr>
          <w:rFonts w:hAnsi="宋体"/>
          <w:kern w:val="2"/>
          <w:szCs w:val="21"/>
        </w:rPr>
        <w:t xml:space="preserve">-2021 </w:t>
      </w:r>
      <w:r>
        <w:rPr>
          <w:rFonts w:hint="eastAsia"/>
        </w:rPr>
        <w:t>洁净室及相关受控环境 第1部分：按粒子浓度划分空气洁净度等级</w:t>
      </w:r>
    </w:p>
    <w:p>
      <w:pPr>
        <w:pStyle w:val="52"/>
        <w:numPr>
          <w:ilvl w:val="0"/>
          <w:numId w:val="18"/>
        </w:numPr>
        <w:spacing w:before="312" w:after="312" w:line="240" w:lineRule="auto"/>
        <w:rPr>
          <w:color w:val="00B050"/>
        </w:rPr>
      </w:pPr>
      <w:r>
        <w:rPr>
          <w:rFonts w:hint="eastAsia"/>
          <w:color w:val="000000"/>
        </w:rPr>
        <w:t>术语和定义</w:t>
      </w:r>
    </w:p>
    <w:p>
      <w:pPr>
        <w:pStyle w:val="26"/>
        <w:spacing w:after="0" w:line="240" w:lineRule="auto"/>
        <w:rPr>
          <w:color w:val="000000"/>
        </w:rPr>
      </w:pPr>
      <w:r>
        <w:rPr>
          <w:rFonts w:hint="eastAsia"/>
          <w:color w:val="000000"/>
        </w:rPr>
        <w:t>GB/T 1426</w:t>
      </w:r>
      <w:r>
        <w:rPr>
          <w:rFonts w:hint="eastAsia"/>
        </w:rPr>
        <w:t>4界定的及下列</w:t>
      </w:r>
      <w:r>
        <w:rPr>
          <w:rFonts w:hint="eastAsia"/>
          <w:color w:val="000000"/>
        </w:rPr>
        <w:t>术语和定义适用于本文件。</w:t>
      </w:r>
    </w:p>
    <w:p>
      <w:pPr>
        <w:spacing w:before="156" w:beforeLines="50" w:after="156" w:afterLines="50" w:line="240" w:lineRule="auto"/>
        <w:rPr>
          <w:rFonts w:hint="eastAsia" w:ascii="黑体" w:hAnsi="黑体" w:eastAsia="黑体"/>
          <w:szCs w:val="21"/>
        </w:rPr>
      </w:pPr>
      <w:r>
        <w:rPr>
          <w:rFonts w:hint="eastAsia" w:ascii="黑体" w:hAnsi="黑体" w:eastAsia="黑体"/>
          <w:szCs w:val="21"/>
        </w:rPr>
        <w:t>3</w:t>
      </w:r>
      <w:r>
        <w:rPr>
          <w:rFonts w:ascii="黑体" w:hAnsi="黑体" w:eastAsia="黑体"/>
          <w:szCs w:val="21"/>
        </w:rPr>
        <w:t>.1</w:t>
      </w:r>
    </w:p>
    <w:p>
      <w:pPr>
        <w:pStyle w:val="166"/>
        <w:spacing w:after="0" w:line="240" w:lineRule="auto"/>
        <w:rPr>
          <w:rFonts w:hint="eastAsia" w:ascii="黑体" w:hAnsi="黑体" w:eastAsia="黑体"/>
        </w:rPr>
      </w:pPr>
      <w:r>
        <w:rPr>
          <w:rFonts w:hint="eastAsia" w:ascii="黑体" w:hAnsi="黑体" w:eastAsia="黑体"/>
          <w:lang w:val="en-US" w:eastAsia="zh-CN"/>
        </w:rPr>
        <w:t>无图形</w:t>
      </w:r>
      <w:r>
        <w:rPr>
          <w:rFonts w:hint="eastAsia" w:ascii="黑体" w:hAnsi="黑体" w:eastAsia="黑体"/>
        </w:rPr>
        <w:t xml:space="preserve">硅片  </w:t>
      </w:r>
      <w:r>
        <w:rPr>
          <w:rFonts w:ascii="黑体" w:hAnsi="黑体" w:eastAsia="黑体"/>
        </w:rPr>
        <w:t>unpatterned silicon wafe</w:t>
      </w:r>
      <w:r>
        <w:rPr>
          <w:rFonts w:hint="eastAsia" w:ascii="黑体" w:hAnsi="黑体" w:eastAsia="黑体"/>
        </w:rPr>
        <w:t>r</w:t>
      </w:r>
    </w:p>
    <w:p>
      <w:pPr>
        <w:pStyle w:val="166"/>
        <w:spacing w:after="0" w:line="240" w:lineRule="auto"/>
        <w:rPr>
          <w:rFonts w:hint="eastAsia" w:ascii="宋体" w:hAnsi="宋体"/>
        </w:rPr>
      </w:pPr>
      <w:r>
        <w:rPr>
          <w:rFonts w:hint="eastAsia" w:ascii="宋体" w:hAnsi="宋体"/>
        </w:rPr>
        <w:t>一种没有经过</w:t>
      </w:r>
      <w:r>
        <w:rPr>
          <w:rFonts w:hint="eastAsia" w:ascii="宋体" w:hAnsi="宋体"/>
          <w:lang w:val="en-US" w:eastAsia="zh-CN"/>
        </w:rPr>
        <w:t>图形</w:t>
      </w:r>
      <w:r>
        <w:rPr>
          <w:rFonts w:hint="eastAsia" w:ascii="宋体" w:hAnsi="宋体"/>
        </w:rPr>
        <w:t>工艺的硅片。</w:t>
      </w:r>
    </w:p>
    <w:p>
      <w:pPr>
        <w:pStyle w:val="166"/>
        <w:spacing w:after="0"/>
        <w:ind w:left="780" w:leftChars="200" w:hanging="360" w:hangingChars="200"/>
        <w:rPr>
          <w:rFonts w:hint="eastAsia" w:ascii="黑体" w:hAnsi="黑体" w:eastAsia="黑体"/>
          <w:sz w:val="18"/>
          <w:szCs w:val="18"/>
        </w:rPr>
      </w:pPr>
      <w:r>
        <w:rPr>
          <w:rFonts w:hint="eastAsia" w:ascii="黑体" w:hAnsi="黑体" w:eastAsia="黑体"/>
          <w:sz w:val="18"/>
          <w:szCs w:val="18"/>
        </w:rPr>
        <w:t>注：</w:t>
      </w:r>
      <w:r>
        <w:rPr>
          <w:rFonts w:hint="eastAsia" w:ascii="宋体" w:hAnsi="宋体"/>
          <w:sz w:val="18"/>
          <w:szCs w:val="18"/>
          <w:lang w:val="en-US" w:eastAsia="zh-CN"/>
        </w:rPr>
        <w:t>图形</w:t>
      </w:r>
      <w:r>
        <w:rPr>
          <w:rFonts w:hint="eastAsia" w:ascii="宋体" w:hAnsi="宋体"/>
          <w:sz w:val="18"/>
          <w:szCs w:val="18"/>
        </w:rPr>
        <w:t>工艺是在晶圆内和表面层建立</w:t>
      </w:r>
      <w:r>
        <w:rPr>
          <w:rFonts w:hint="eastAsia" w:ascii="宋体" w:hAnsi="宋体"/>
          <w:sz w:val="18"/>
          <w:szCs w:val="18"/>
          <w:lang w:val="en-US" w:eastAsia="zh-CN"/>
        </w:rPr>
        <w:t>图形</w:t>
      </w:r>
      <w:r>
        <w:rPr>
          <w:rFonts w:hint="eastAsia" w:ascii="宋体" w:hAnsi="宋体"/>
          <w:sz w:val="18"/>
          <w:szCs w:val="18"/>
        </w:rPr>
        <w:t>的一系列加工。一般是指曝光、显影、刻蚀、离子注入等。</w:t>
      </w:r>
    </w:p>
    <w:p>
      <w:pPr>
        <w:spacing w:before="156" w:beforeLines="50" w:after="156" w:afterLines="50" w:line="240" w:lineRule="auto"/>
        <w:rPr>
          <w:rFonts w:hint="eastAsia" w:ascii="黑体" w:hAnsi="黑体" w:eastAsia="黑体"/>
          <w:szCs w:val="21"/>
        </w:rPr>
      </w:pPr>
      <w:r>
        <w:rPr>
          <w:rFonts w:hint="eastAsia" w:ascii="黑体" w:hAnsi="黑体" w:eastAsia="黑体"/>
          <w:szCs w:val="21"/>
        </w:rPr>
        <w:t>3</w:t>
      </w:r>
      <w:r>
        <w:rPr>
          <w:rFonts w:ascii="黑体" w:hAnsi="黑体" w:eastAsia="黑体"/>
          <w:szCs w:val="21"/>
        </w:rPr>
        <w:t>.</w:t>
      </w:r>
      <w:r>
        <w:rPr>
          <w:rFonts w:hint="eastAsia" w:ascii="黑体" w:hAnsi="黑体" w:eastAsia="黑体"/>
          <w:szCs w:val="21"/>
        </w:rPr>
        <w:t>2</w:t>
      </w:r>
      <w:r>
        <w:rPr>
          <w:rFonts w:hint="eastAsia"/>
        </w:rPr>
        <w:t xml:space="preserve">  </w:t>
      </w:r>
    </w:p>
    <w:p>
      <w:pPr>
        <w:pStyle w:val="166"/>
        <w:spacing w:after="0" w:line="240" w:lineRule="auto"/>
        <w:rPr>
          <w:rFonts w:hint="eastAsia" w:ascii="黑体" w:hAnsi="黑体" w:eastAsia="黑体"/>
        </w:rPr>
      </w:pPr>
      <w:r>
        <w:rPr>
          <w:rFonts w:hint="eastAsia" w:ascii="黑体" w:hAnsi="黑体" w:eastAsia="黑体"/>
        </w:rPr>
        <w:t>不完整局部区域</w:t>
      </w:r>
      <w:r>
        <w:rPr>
          <w:rFonts w:ascii="黑体" w:hAnsi="黑体" w:eastAsia="黑体"/>
        </w:rPr>
        <w:t xml:space="preserve">  partial site</w:t>
      </w:r>
    </w:p>
    <w:p>
      <w:pPr>
        <w:pStyle w:val="166"/>
        <w:spacing w:after="0" w:line="240" w:lineRule="auto"/>
        <w:rPr>
          <w:rFonts w:hint="eastAsia" w:ascii="宋体" w:hAnsi="宋体"/>
        </w:rPr>
      </w:pPr>
      <w:r>
        <w:rPr>
          <w:rFonts w:hint="eastAsia" w:ascii="宋体" w:hAnsi="宋体"/>
        </w:rPr>
        <w:t>一部分位于合格质量区外，但其中心在合格质量区内的局部区域。</w:t>
      </w:r>
    </w:p>
    <w:p>
      <w:pPr>
        <w:pStyle w:val="26"/>
        <w:spacing w:after="0" w:line="240" w:lineRule="auto"/>
        <w:ind w:left="840" w:leftChars="200" w:hanging="420" w:hangingChars="200"/>
        <w:rPr>
          <w:rFonts w:hint="eastAsia" w:hAnsi="宋体"/>
        </w:rPr>
      </w:pPr>
      <w:r>
        <w:rPr>
          <w:rFonts w:hint="eastAsia" w:hAnsi="宋体"/>
          <w:color w:val="000000"/>
          <w:szCs w:val="21"/>
        </w:rPr>
        <w:t>[来源：GB/T 14264—2024，3.198.</w:t>
      </w:r>
      <w:r>
        <w:rPr>
          <w:rFonts w:hint="eastAsia"/>
          <w:color w:val="000000"/>
          <w:szCs w:val="21"/>
        </w:rPr>
        <w:t>15</w:t>
      </w:r>
      <w:r>
        <w:rPr>
          <w:rFonts w:hint="eastAsia" w:hAnsi="宋体"/>
          <w:color w:val="000000"/>
          <w:szCs w:val="21"/>
        </w:rPr>
        <w:t>]</w:t>
      </w:r>
    </w:p>
    <w:p>
      <w:pPr>
        <w:pStyle w:val="166"/>
        <w:spacing w:before="156" w:beforeLines="50" w:after="156" w:afterLines="50" w:line="240" w:lineRule="auto"/>
        <w:ind w:firstLine="0" w:firstLineChars="0"/>
        <w:rPr>
          <w:rFonts w:hint="eastAsia" w:ascii="黑体" w:hAnsi="黑体" w:eastAsia="黑体" w:cs="黑体"/>
        </w:rPr>
      </w:pPr>
      <w:r>
        <w:rPr>
          <w:rFonts w:hint="eastAsia" w:ascii="黑体" w:hAnsi="黑体" w:eastAsia="黑体" w:cs="黑体"/>
        </w:rPr>
        <w:t>3.3</w:t>
      </w:r>
    </w:p>
    <w:p>
      <w:pPr>
        <w:pStyle w:val="166"/>
        <w:spacing w:after="0" w:line="240" w:lineRule="auto"/>
        <w:ind w:firstLineChars="0"/>
        <w:rPr>
          <w:rFonts w:hint="eastAsia" w:ascii="黑体" w:hAnsi="黑体" w:eastAsia="黑体"/>
        </w:rPr>
      </w:pPr>
      <w:r>
        <w:rPr>
          <w:rFonts w:hint="eastAsia" w:ascii="黑体" w:hAnsi="黑体" w:eastAsia="黑体"/>
        </w:rPr>
        <w:t>空间波长 spatial wavelength</w:t>
      </w:r>
    </w:p>
    <w:p>
      <w:pPr>
        <w:pStyle w:val="166"/>
        <w:spacing w:after="0" w:line="240" w:lineRule="auto"/>
        <w:rPr>
          <w:rFonts w:hint="eastAsia" w:ascii="宋体" w:hAnsi="宋体"/>
        </w:rPr>
      </w:pPr>
      <w:r>
        <w:rPr>
          <w:rFonts w:hint="eastAsia" w:ascii="宋体" w:hAnsi="宋体"/>
        </w:rPr>
        <w:t>硅片表面高度起伏的周期性特征长度。</w:t>
      </w:r>
    </w:p>
    <w:p>
      <w:pPr>
        <w:pStyle w:val="166"/>
        <w:keepNext w:val="0"/>
        <w:keepLines w:val="0"/>
        <w:pageBreakBefore w:val="0"/>
        <w:widowControl w:val="0"/>
        <w:kinsoku/>
        <w:wordWrap/>
        <w:overflowPunct/>
        <w:topLinePunct w:val="0"/>
        <w:autoSpaceDE/>
        <w:autoSpaceDN/>
        <w:bidi w:val="0"/>
        <w:adjustRightInd/>
        <w:snapToGrid/>
        <w:spacing w:after="0" w:line="240" w:lineRule="auto"/>
        <w:ind w:left="780" w:leftChars="200" w:hanging="360" w:hangingChars="200"/>
        <w:textAlignment w:val="auto"/>
        <w:outlineLvl w:val="9"/>
        <w:rPr>
          <w:rFonts w:hint="eastAsia" w:ascii="宋体" w:hAnsi="宋体" w:eastAsia="宋体"/>
          <w:lang w:eastAsia="zh-CN"/>
        </w:rPr>
      </w:pPr>
      <w:r>
        <w:rPr>
          <w:rFonts w:hint="eastAsia" w:ascii="黑体" w:hAnsi="黑体" w:eastAsia="黑体" w:cs="黑体"/>
          <w:sz w:val="18"/>
          <w:szCs w:val="18"/>
          <w:lang w:val="en-US" w:eastAsia="zh-CN"/>
        </w:rPr>
        <w:t>注：</w:t>
      </w:r>
      <w:r>
        <w:rPr>
          <w:rFonts w:hint="eastAsia" w:ascii="宋体" w:hAnsi="宋体"/>
          <w:sz w:val="18"/>
          <w:szCs w:val="18"/>
          <w:lang w:val="en-US" w:eastAsia="zh-CN"/>
        </w:rPr>
        <w:t>是</w:t>
      </w:r>
      <w:r>
        <w:rPr>
          <w:rFonts w:hint="eastAsia" w:ascii="宋体" w:hAnsi="宋体"/>
          <w:sz w:val="18"/>
          <w:szCs w:val="18"/>
        </w:rPr>
        <w:t>区分不同类型表面起伏（如纳米形貌、宏观形状、微粗糙度）的关键指标</w:t>
      </w:r>
      <w:r>
        <w:rPr>
          <w:rFonts w:hint="eastAsia" w:ascii="宋体" w:hAnsi="宋体"/>
          <w:sz w:val="18"/>
          <w:szCs w:val="18"/>
          <w:lang w:eastAsia="zh-CN"/>
        </w:rPr>
        <w:t>。</w:t>
      </w:r>
    </w:p>
    <w:p>
      <w:pPr>
        <w:pStyle w:val="52"/>
        <w:numPr>
          <w:ilvl w:val="0"/>
          <w:numId w:val="18"/>
        </w:numPr>
        <w:spacing w:before="312" w:after="312" w:line="240" w:lineRule="auto"/>
        <w:rPr>
          <w:rFonts w:hint="eastAsia" w:ascii="宋体" w:hAnsi="宋体" w:cs="宋体"/>
          <w:kern w:val="2"/>
          <w:szCs w:val="21"/>
        </w:rPr>
      </w:pPr>
      <w:r>
        <w:rPr>
          <w:rFonts w:hint="eastAsia"/>
          <w:color w:val="000000"/>
        </w:rPr>
        <w:t>方法原理</w:t>
      </w:r>
    </w:p>
    <w:p>
      <w:pPr>
        <w:pStyle w:val="26"/>
        <w:keepNext w:val="0"/>
        <w:keepLines w:val="0"/>
        <w:pageBreakBefore w:val="0"/>
        <w:widowControl/>
        <w:kinsoku/>
        <w:wordWrap/>
        <w:overflowPunct/>
        <w:topLinePunct w:val="0"/>
        <w:autoSpaceDE w:val="0"/>
        <w:autoSpaceDN w:val="0"/>
        <w:bidi w:val="0"/>
        <w:adjustRightInd/>
        <w:snapToGrid/>
        <w:spacing w:after="0" w:line="279" w:lineRule="auto"/>
        <w:ind w:left="0" w:leftChars="0" w:firstLine="420" w:firstLineChars="200"/>
        <w:jc w:val="left"/>
        <w:textAlignment w:val="auto"/>
        <w:outlineLvl w:val="9"/>
        <w:rPr>
          <w:rFonts w:hint="default" w:ascii="宋体" w:hAnsi="宋体" w:eastAsia="宋体" w:cs="宋体"/>
          <w:lang w:val="en-US" w:eastAsia="zh-CN"/>
        </w:rPr>
      </w:pPr>
      <w:bookmarkStart w:id="11" w:name="OLE_LINK5"/>
      <w:r>
        <w:rPr>
          <w:rFonts w:hint="eastAsia" w:ascii="宋体" w:hAnsi="宋体" w:eastAsia="宋体" w:cs="宋体"/>
          <w:kern w:val="2"/>
          <w:szCs w:val="21"/>
          <w:lang w:val="en-US" w:eastAsia="zh-CN"/>
        </w:rPr>
        <w:t>获取300</w:t>
      </w:r>
      <w:r>
        <w:rPr>
          <w:rFonts w:hint="eastAsia" w:ascii="宋体" w:hAnsi="宋体" w:eastAsia="宋体" w:cs="宋体"/>
          <w:kern w:val="2"/>
          <w:szCs w:val="21"/>
          <w:vertAlign w:val="superscript"/>
          <w:lang w:val="en-US" w:eastAsia="zh-CN"/>
        </w:rPr>
        <w:t xml:space="preserve"> </w:t>
      </w:r>
      <w:r>
        <w:rPr>
          <w:rFonts w:hint="eastAsia" w:ascii="宋体" w:hAnsi="宋体" w:eastAsia="宋体" w:cs="宋体"/>
          <w:kern w:val="2"/>
          <w:szCs w:val="21"/>
          <w:lang w:val="en-US" w:eastAsia="zh-CN"/>
        </w:rPr>
        <w:t>mm无图形硅片单一表面（正表面或背表面）的高度数据阵列，对其</w:t>
      </w:r>
      <w:r>
        <w:rPr>
          <w:rFonts w:hint="eastAsia" w:hAnsi="宋体" w:cs="宋体"/>
          <w:kern w:val="2"/>
          <w:szCs w:val="21"/>
          <w:lang w:val="en-US" w:eastAsia="zh-CN"/>
        </w:rPr>
        <w:t>近边缘区域</w:t>
      </w:r>
      <w:r>
        <w:rPr>
          <w:rFonts w:hint="eastAsia" w:ascii="宋体" w:hAnsi="宋体" w:eastAsia="宋体" w:cs="宋体"/>
          <w:kern w:val="2"/>
          <w:szCs w:val="21"/>
          <w:lang w:val="en-US" w:eastAsia="zh-CN"/>
        </w:rPr>
        <w:t>进行收缩滤波或者恒定滤波处理后，再进行双高斯</w:t>
      </w:r>
      <w:r>
        <w:rPr>
          <w:rFonts w:hint="eastAsia" w:hAnsi="宋体" w:cs="宋体"/>
          <w:kern w:val="2"/>
          <w:szCs w:val="21"/>
          <w:lang w:val="en-US" w:eastAsia="zh-CN"/>
        </w:rPr>
        <w:t>高通</w:t>
      </w:r>
      <w:r>
        <w:rPr>
          <w:rFonts w:hint="eastAsia" w:ascii="宋体" w:hAnsi="宋体" w:eastAsia="宋体" w:cs="宋体"/>
          <w:kern w:val="2"/>
          <w:szCs w:val="21"/>
          <w:lang w:val="en-US" w:eastAsia="zh-CN"/>
        </w:rPr>
        <w:t>滤波处理。将滤波后合格质量区(FQA)</w:t>
      </w:r>
      <w:r>
        <w:rPr>
          <w:rFonts w:hint="eastAsia" w:hAnsi="宋体" w:cs="宋体"/>
          <w:kern w:val="2"/>
          <w:szCs w:val="21"/>
          <w:lang w:val="en-US" w:eastAsia="zh-CN"/>
        </w:rPr>
        <w:t>内</w:t>
      </w:r>
      <w:bookmarkStart w:id="14" w:name="_GoBack"/>
      <w:bookmarkEnd w:id="14"/>
      <w:r>
        <w:rPr>
          <w:rFonts w:hint="eastAsia" w:ascii="宋体" w:hAnsi="宋体" w:eastAsia="宋体" w:cs="宋体"/>
          <w:kern w:val="2"/>
          <w:szCs w:val="21"/>
          <w:lang w:val="en-US" w:eastAsia="zh-CN"/>
        </w:rPr>
        <w:t>的高度数据划分成若干个相同尺寸的圆形或者方形分析区域，用各区域的峰-谷差（P-V值）统计量表征0.2</w:t>
      </w:r>
      <w:r>
        <w:rPr>
          <w:rFonts w:hint="eastAsia" w:ascii="宋体" w:hAnsi="宋体" w:eastAsia="宋体" w:cs="宋体"/>
          <w:kern w:val="2"/>
          <w:szCs w:val="21"/>
          <w:vertAlign w:val="superscript"/>
          <w:lang w:val="en-US" w:eastAsia="zh-CN"/>
        </w:rPr>
        <w:t xml:space="preserve"> </w:t>
      </w:r>
      <w:r>
        <w:rPr>
          <w:rFonts w:hint="eastAsia" w:ascii="宋体" w:hAnsi="宋体" w:eastAsia="宋体" w:cs="宋体"/>
          <w:kern w:val="2"/>
          <w:szCs w:val="21"/>
          <w:lang w:val="en-US" w:eastAsia="zh-CN"/>
        </w:rPr>
        <w:t>mm—20</w:t>
      </w:r>
      <w:r>
        <w:rPr>
          <w:rFonts w:hint="eastAsia" w:ascii="宋体" w:hAnsi="宋体" w:eastAsia="宋体" w:cs="宋体"/>
          <w:kern w:val="2"/>
          <w:szCs w:val="21"/>
          <w:vertAlign w:val="superscript"/>
          <w:lang w:val="en-US" w:eastAsia="zh-CN"/>
        </w:rPr>
        <w:t xml:space="preserve"> </w:t>
      </w:r>
      <w:r>
        <w:rPr>
          <w:rFonts w:hint="eastAsia" w:ascii="宋体" w:hAnsi="宋体" w:eastAsia="宋体" w:cs="宋体"/>
          <w:kern w:val="2"/>
          <w:szCs w:val="21"/>
          <w:lang w:val="en-US" w:eastAsia="zh-CN"/>
        </w:rPr>
        <w:t>mm</w:t>
      </w:r>
      <w:r>
        <w:rPr>
          <w:rFonts w:hint="eastAsia" w:ascii="宋体" w:hAnsi="宋体" w:cs="宋体"/>
          <w:kern w:val="2"/>
          <w:szCs w:val="21"/>
          <w:lang w:val="en-US" w:eastAsia="zh-CN"/>
        </w:rPr>
        <w:t>空间波长范围内的纳米形貌。</w:t>
      </w:r>
    </w:p>
    <w:bookmarkEnd w:id="11"/>
    <w:p>
      <w:pPr>
        <w:pStyle w:val="52"/>
        <w:numPr>
          <w:ilvl w:val="0"/>
          <w:numId w:val="18"/>
        </w:numPr>
        <w:spacing w:before="312" w:after="312" w:line="240" w:lineRule="auto"/>
        <w:rPr>
          <w:b w:val="0"/>
          <w:bCs w:val="0"/>
          <w:color w:val="000000"/>
        </w:rPr>
      </w:pPr>
      <w:r>
        <w:rPr>
          <w:rFonts w:hint="eastAsia"/>
          <w:b w:val="0"/>
          <w:bCs w:val="0"/>
          <w:color w:val="000000"/>
        </w:rPr>
        <w:t>干扰因素</w:t>
      </w:r>
    </w:p>
    <w:p>
      <w:pPr>
        <w:pStyle w:val="26"/>
        <w:spacing w:after="0"/>
        <w:ind w:firstLine="0" w:firstLineChars="0"/>
        <w:rPr>
          <w:rFonts w:hint="eastAsia" w:hAnsi="宋体"/>
          <w:color w:val="000000" w:themeColor="text1"/>
          <w:kern w:val="2"/>
          <w:szCs w:val="21"/>
          <w14:textFill>
            <w14:solidFill>
              <w14:schemeClr w14:val="tx1"/>
            </w14:solidFill>
          </w14:textFill>
        </w:rPr>
      </w:pPr>
      <w:r>
        <w:rPr>
          <w:rFonts w:ascii="黑体" w:hAnsi="黑体" w:eastAsia="黑体"/>
          <w:color w:val="000000" w:themeColor="text1"/>
          <w:kern w:val="2"/>
          <w:szCs w:val="21"/>
          <w14:textFill>
            <w14:solidFill>
              <w14:schemeClr w14:val="tx1"/>
            </w14:solidFill>
          </w14:textFill>
        </w:rPr>
        <w:t>5.</w:t>
      </w:r>
      <w:r>
        <w:rPr>
          <w:rFonts w:hint="eastAsia" w:ascii="黑体" w:hAnsi="黑体" w:eastAsia="黑体"/>
          <w:color w:val="000000" w:themeColor="text1"/>
          <w:kern w:val="2"/>
          <w:szCs w:val="21"/>
          <w:lang w:val="en-US" w:eastAsia="zh-CN"/>
          <w14:textFill>
            <w14:solidFill>
              <w14:schemeClr w14:val="tx1"/>
            </w14:solidFill>
          </w14:textFill>
        </w:rPr>
        <w:t>1</w:t>
      </w:r>
      <w:r>
        <w:rPr>
          <w:rFonts w:hint="eastAsia" w:ascii="黑体" w:hAnsi="黑体" w:eastAsia="黑体"/>
          <w:color w:val="000000" w:themeColor="text1"/>
          <w:kern w:val="2"/>
          <w:szCs w:val="21"/>
          <w14:textFill>
            <w14:solidFill>
              <w14:schemeClr w14:val="tx1"/>
            </w14:solidFill>
          </w14:textFill>
        </w:rPr>
        <w:t xml:space="preserve">  </w:t>
      </w:r>
      <w:r>
        <w:rPr>
          <w:rFonts w:hint="eastAsia" w:hAnsi="宋体"/>
          <w:color w:val="000000" w:themeColor="text1"/>
          <w:kern w:val="2"/>
          <w:szCs w:val="21"/>
          <w14:textFill>
            <w14:solidFill>
              <w14:schemeClr w14:val="tx1"/>
            </w14:solidFill>
          </w14:textFill>
        </w:rPr>
        <w:t>获取高度数据阵列的方法不同</w:t>
      </w:r>
      <w:r>
        <w:rPr>
          <w:rFonts w:hint="eastAsia" w:hAnsi="宋体"/>
          <w:color w:val="000000" w:themeColor="text1"/>
          <w:kern w:val="2"/>
          <w:szCs w:val="21"/>
          <w:lang w:eastAsia="zh-CN"/>
          <w14:textFill>
            <w14:solidFill>
              <w14:schemeClr w14:val="tx1"/>
            </w14:solidFill>
          </w14:textFill>
        </w:rPr>
        <w:t>，</w:t>
      </w:r>
      <w:r>
        <w:rPr>
          <w:rFonts w:hint="eastAsia" w:ascii="宋体" w:hAnsi="宋体"/>
          <w:color w:val="000000" w:themeColor="text1"/>
          <w14:textFill>
            <w14:solidFill>
              <w14:schemeClr w14:val="tx1"/>
            </w14:solidFill>
          </w14:textFill>
        </w:rPr>
        <w:t>影响评价结果</w:t>
      </w:r>
      <w:r>
        <w:rPr>
          <w:rFonts w:hint="eastAsia" w:hAnsi="宋体"/>
          <w:color w:val="000000" w:themeColor="text1"/>
          <w:kern w:val="2"/>
          <w:szCs w:val="21"/>
          <w14:textFill>
            <w14:solidFill>
              <w14:schemeClr w14:val="tx1"/>
            </w14:solidFill>
          </w14:textFill>
        </w:rPr>
        <w:t>。</w:t>
      </w:r>
    </w:p>
    <w:p>
      <w:pPr>
        <w:widowControl/>
        <w:spacing w:after="0" w:line="240" w:lineRule="auto"/>
        <w:jc w:val="left"/>
        <w:rPr>
          <w:rFonts w:hint="eastAsia" w:ascii="宋体" w:hAnsi="宋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5.</w:t>
      </w:r>
      <w:r>
        <w:rPr>
          <w:rFonts w:hint="eastAsia" w:ascii="黑体" w:hAnsi="黑体" w:eastAsia="黑体" w:cs="黑体"/>
          <w:color w:val="000000" w:themeColor="text1"/>
          <w:lang w:val="en-US" w:eastAsia="zh-CN"/>
          <w14:textFill>
            <w14:solidFill>
              <w14:schemeClr w14:val="tx1"/>
            </w14:solidFill>
          </w14:textFill>
        </w:rPr>
        <w:t>2</w:t>
      </w:r>
      <w:r>
        <w:rPr>
          <w:rFonts w:hint="eastAsia" w:ascii="黑体" w:hAnsi="黑体" w:eastAsia="黑体" w:cs="黑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 xml:space="preserve"> 硅片边缘的卷曲</w:t>
      </w:r>
      <w:r>
        <w:rPr>
          <w:rFonts w:hint="eastAsia" w:ascii="宋体" w:hAnsi="宋体"/>
          <w:color w:val="000000" w:themeColor="text1"/>
          <w14:textFill>
            <w14:solidFill>
              <w14:schemeClr w14:val="tx1"/>
            </w14:solidFill>
          </w14:textFill>
        </w:rPr>
        <w:t>可能</w:t>
      </w:r>
      <w:r>
        <w:rPr>
          <w:rFonts w:ascii="宋体" w:hAnsi="宋体"/>
          <w:color w:val="000000" w:themeColor="text1"/>
          <w14:textFill>
            <w14:solidFill>
              <w14:schemeClr w14:val="tx1"/>
            </w14:solidFill>
          </w14:textFill>
        </w:rPr>
        <w:t>导致</w:t>
      </w:r>
      <w:r>
        <w:rPr>
          <w:rFonts w:hint="eastAsia" w:ascii="宋体" w:hAnsi="宋体"/>
          <w:color w:val="000000" w:themeColor="text1"/>
          <w14:textFill>
            <w14:solidFill>
              <w14:schemeClr w14:val="tx1"/>
            </w14:solidFill>
          </w14:textFill>
        </w:rPr>
        <w:t>合格质量区内的高度数据不准确，从而影响评价结果。</w:t>
      </w:r>
    </w:p>
    <w:p>
      <w:pPr>
        <w:widowControl/>
        <w:spacing w:after="0" w:line="240" w:lineRule="auto"/>
        <w:jc w:val="left"/>
        <w:rPr>
          <w:rFonts w:hint="eastAsia" w:ascii="宋体" w:hAnsi="宋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5.</w:t>
      </w:r>
      <w:r>
        <w:rPr>
          <w:rFonts w:hint="eastAsia" w:ascii="黑体" w:hAnsi="黑体" w:eastAsia="黑体" w:cs="黑体"/>
          <w:color w:val="000000" w:themeColor="text1"/>
          <w:lang w:val="en-US" w:eastAsia="zh-CN"/>
          <w14:textFill>
            <w14:solidFill>
              <w14:schemeClr w14:val="tx1"/>
            </w14:solidFill>
          </w14:textFill>
        </w:rPr>
        <w:t>3</w:t>
      </w:r>
      <w:r>
        <w:rPr>
          <w:rFonts w:ascii="宋体" w:hAnsi="宋体"/>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硅片表面高度的异常或极端变化可能超过设备获取原始高度数据的能力。</w:t>
      </w:r>
    </w:p>
    <w:p>
      <w:pPr>
        <w:widowControl/>
        <w:spacing w:after="0" w:line="240" w:lineRule="auto"/>
        <w:jc w:val="left"/>
        <w:rPr>
          <w:rFonts w:hint="eastAsia" w:ascii="宋体" w:hAnsi="宋体" w:cs="B27+CAJ FNT04"/>
          <w:kern w:val="0"/>
          <w:szCs w:val="21"/>
        </w:rPr>
      </w:pPr>
      <w:r>
        <w:rPr>
          <w:rFonts w:hint="eastAsia" w:ascii="黑体" w:hAnsi="黑体" w:eastAsia="黑体" w:cs="黑体"/>
          <w:color w:val="000000" w:themeColor="text1"/>
          <w14:textFill>
            <w14:solidFill>
              <w14:schemeClr w14:val="tx1"/>
            </w14:solidFill>
          </w14:textFill>
        </w:rPr>
        <w:t>5.</w:t>
      </w:r>
      <w:r>
        <w:rPr>
          <w:rFonts w:hint="eastAsia" w:ascii="黑体" w:hAnsi="黑体" w:eastAsia="黑体" w:cs="黑体"/>
          <w:color w:val="000000" w:themeColor="text1"/>
          <w:lang w:val="en-US" w:eastAsia="zh-CN"/>
          <w14:textFill>
            <w14:solidFill>
              <w14:schemeClr w14:val="tx1"/>
            </w14:solidFill>
          </w14:textFill>
        </w:rPr>
        <w:t>4</w:t>
      </w:r>
      <w:r>
        <w:rPr>
          <w:rFonts w:ascii="宋体" w:hAnsi="宋体"/>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高通（空间频率）滤波可以消除晶圆形状（如弯曲度、翘曲度和峰</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谷差）的（长空间波长）影响，滤波</w:t>
      </w:r>
      <w:r>
        <w:rPr>
          <w:rFonts w:hint="eastAsia" w:ascii="宋体" w:hAnsi="宋体"/>
        </w:rPr>
        <w:t>相关阈值的设定会影响评价结果。</w:t>
      </w:r>
    </w:p>
    <w:p>
      <w:pPr>
        <w:pStyle w:val="26"/>
        <w:spacing w:after="0" w:line="240" w:lineRule="auto"/>
        <w:ind w:firstLine="0" w:firstLineChars="0"/>
        <w:rPr>
          <w:rFonts w:hint="eastAsia" w:hAnsi="宋体"/>
          <w:color w:val="000000" w:themeColor="text1"/>
          <w:szCs w:val="21"/>
          <w14:textFill>
            <w14:solidFill>
              <w14:schemeClr w14:val="tx1"/>
            </w14:solidFill>
          </w14:textFill>
        </w:rPr>
      </w:pPr>
      <w:bookmarkStart w:id="12" w:name="OLE_LINK3"/>
      <w:r>
        <w:rPr>
          <w:rFonts w:hint="eastAsia" w:ascii="黑体" w:hAnsi="黑体" w:eastAsia="黑体" w:cs="黑体"/>
          <w:color w:val="000000" w:themeColor="text1"/>
          <w:szCs w:val="21"/>
          <w14:textFill>
            <w14:solidFill>
              <w14:schemeClr w14:val="tx1"/>
            </w14:solidFill>
          </w14:textFill>
        </w:rPr>
        <w:t>5.</w:t>
      </w:r>
      <w:r>
        <w:rPr>
          <w:rFonts w:hint="eastAsia" w:ascii="黑体" w:hAnsi="黑体" w:eastAsia="黑体" w:cs="黑体"/>
          <w:color w:val="000000" w:themeColor="text1"/>
          <w:szCs w:val="21"/>
          <w:lang w:val="en-US" w:eastAsia="zh-CN"/>
          <w14:textFill>
            <w14:solidFill>
              <w14:schemeClr w14:val="tx1"/>
            </w14:solidFill>
          </w14:textFill>
        </w:rPr>
        <w:t>5</w:t>
      </w:r>
      <w:r>
        <w:rPr>
          <w:rFonts w:hint="eastAsia" w:ascii="黑体" w:hAnsi="黑体" w:eastAsia="黑体" w:cs="黑体"/>
          <w:color w:val="000000" w:themeColor="text1"/>
          <w:szCs w:val="21"/>
          <w14:textFill>
            <w14:solidFill>
              <w14:schemeClr w14:val="tx1"/>
            </w14:solidFill>
          </w14:textFill>
        </w:rPr>
        <w:t xml:space="preserve">  </w:t>
      </w:r>
      <w:r>
        <w:rPr>
          <w:rFonts w:hint="eastAsia" w:hAnsi="宋体"/>
          <w:color w:val="000000" w:themeColor="text1"/>
          <w:szCs w:val="21"/>
          <w14:textFill>
            <w14:solidFill>
              <w14:schemeClr w14:val="tx1"/>
            </w14:solidFill>
          </w14:textFill>
        </w:rPr>
        <w:t>夹持方式影响硅片的高度数据阵列，进而影响评价结果。</w:t>
      </w:r>
      <w:bookmarkEnd w:id="12"/>
    </w:p>
    <w:p>
      <w:pPr>
        <w:pStyle w:val="52"/>
        <w:numPr>
          <w:ilvl w:val="0"/>
          <w:numId w:val="18"/>
        </w:numPr>
        <w:spacing w:before="312" w:after="312" w:line="240" w:lineRule="auto"/>
      </w:pPr>
      <w:r>
        <w:rPr>
          <w:rFonts w:hint="eastAsia"/>
        </w:rPr>
        <w:t>试验条件</w:t>
      </w:r>
    </w:p>
    <w:p>
      <w:pPr>
        <w:pStyle w:val="26"/>
        <w:spacing w:after="0" w:line="240" w:lineRule="auto"/>
        <w:rPr>
          <w:rFonts w:hint="eastAsia" w:hAnsi="宋体"/>
        </w:rPr>
      </w:pPr>
      <w:r>
        <w:rPr>
          <w:rFonts w:hint="eastAsia" w:hAnsi="宋体"/>
        </w:rPr>
        <w:t>应在下列环境中进行：</w:t>
      </w:r>
    </w:p>
    <w:p>
      <w:pPr>
        <w:pStyle w:val="26"/>
        <w:numPr>
          <w:ilvl w:val="0"/>
          <w:numId w:val="19"/>
        </w:numPr>
        <w:spacing w:after="0" w:line="240" w:lineRule="auto"/>
        <w:ind w:left="840" w:leftChars="200" w:hanging="420" w:firstLineChars="0"/>
        <w:rPr>
          <w:rFonts w:hint="eastAsia" w:hAnsi="宋体"/>
          <w:kern w:val="2"/>
          <w:szCs w:val="21"/>
        </w:rPr>
      </w:pPr>
      <w:r>
        <w:rPr>
          <w:rFonts w:hint="eastAsia" w:hAnsi="宋体"/>
          <w:kern w:val="2"/>
          <w:szCs w:val="21"/>
        </w:rPr>
        <w:t>温度：</w:t>
      </w:r>
      <w:r>
        <w:rPr>
          <w:rFonts w:hAnsi="宋体"/>
          <w:kern w:val="2"/>
          <w:szCs w:val="21"/>
        </w:rPr>
        <w:t>23</w:t>
      </w:r>
      <w:r>
        <w:rPr>
          <w:rFonts w:hAnsi="宋体"/>
          <w:kern w:val="2"/>
          <w:szCs w:val="21"/>
          <w:vertAlign w:val="subscript"/>
        </w:rPr>
        <w:t xml:space="preserve"> </w:t>
      </w:r>
      <w:r>
        <w:rPr>
          <w:rFonts w:hint="eastAsia" w:hAnsi="宋体"/>
          <w:kern w:val="2"/>
          <w:szCs w:val="21"/>
        </w:rPr>
        <w:t>℃±</w:t>
      </w:r>
      <w:r>
        <w:rPr>
          <w:rFonts w:hAnsi="宋体"/>
          <w:kern w:val="2"/>
          <w:szCs w:val="21"/>
        </w:rPr>
        <w:t>3</w:t>
      </w:r>
      <w:r>
        <w:rPr>
          <w:rFonts w:hAnsi="宋体"/>
          <w:kern w:val="2"/>
          <w:szCs w:val="21"/>
          <w:vertAlign w:val="subscript"/>
        </w:rPr>
        <w:t xml:space="preserve"> </w:t>
      </w:r>
      <w:r>
        <w:rPr>
          <w:rFonts w:hint="eastAsia" w:hAnsi="宋体"/>
          <w:kern w:val="2"/>
          <w:szCs w:val="21"/>
        </w:rPr>
        <w:t>℃；</w:t>
      </w:r>
    </w:p>
    <w:p>
      <w:pPr>
        <w:pStyle w:val="26"/>
        <w:numPr>
          <w:ilvl w:val="0"/>
          <w:numId w:val="19"/>
        </w:numPr>
        <w:spacing w:after="0" w:line="240" w:lineRule="auto"/>
        <w:ind w:left="840" w:leftChars="200" w:hanging="420" w:firstLineChars="0"/>
        <w:rPr>
          <w:rFonts w:hint="eastAsia" w:hAnsi="宋体"/>
          <w:kern w:val="2"/>
          <w:szCs w:val="21"/>
        </w:rPr>
      </w:pPr>
      <w:r>
        <w:rPr>
          <w:rFonts w:hint="eastAsia" w:hAnsi="宋体"/>
          <w:kern w:val="2"/>
          <w:szCs w:val="21"/>
        </w:rPr>
        <w:t>相对湿度：</w:t>
      </w:r>
      <w:r>
        <w:rPr>
          <w:rFonts w:hAnsi="宋体"/>
          <w:kern w:val="2"/>
          <w:szCs w:val="21"/>
        </w:rPr>
        <w:t>40%±10%</w:t>
      </w:r>
      <w:r>
        <w:rPr>
          <w:rFonts w:hint="eastAsia" w:hAnsi="宋体"/>
          <w:kern w:val="2"/>
          <w:szCs w:val="21"/>
        </w:rPr>
        <w:t>；</w:t>
      </w:r>
    </w:p>
    <w:p>
      <w:pPr>
        <w:pStyle w:val="26"/>
        <w:numPr>
          <w:ilvl w:val="0"/>
          <w:numId w:val="19"/>
        </w:numPr>
        <w:spacing w:after="0" w:line="240" w:lineRule="auto"/>
        <w:ind w:left="840" w:leftChars="200" w:hanging="420" w:firstLineChars="0"/>
        <w:rPr>
          <w:rFonts w:hint="eastAsia" w:hAnsi="宋体"/>
          <w:color w:val="FF0000"/>
          <w:kern w:val="2"/>
          <w:szCs w:val="21"/>
        </w:rPr>
      </w:pPr>
      <w:r>
        <w:rPr>
          <w:rFonts w:hint="eastAsia" w:hAnsi="宋体"/>
          <w:color w:val="000000" w:themeColor="text1"/>
          <w:kern w:val="2"/>
          <w:szCs w:val="21"/>
          <w14:textFill>
            <w14:solidFill>
              <w14:schemeClr w14:val="tx1"/>
            </w14:solidFill>
          </w14:textFill>
        </w:rPr>
        <w:t>空气洁净度：不低于</w:t>
      </w:r>
      <w:r>
        <w:rPr>
          <w:rFonts w:hAnsi="宋体"/>
          <w:color w:val="000000" w:themeColor="text1"/>
          <w:kern w:val="2"/>
          <w:szCs w:val="21"/>
          <w14:textFill>
            <w14:solidFill>
              <w14:schemeClr w14:val="tx1"/>
            </w14:solidFill>
          </w14:textFill>
        </w:rPr>
        <w:t>GB/T 25915.1-2021</w:t>
      </w:r>
      <w:r>
        <w:rPr>
          <w:rFonts w:hint="eastAsia" w:hAnsi="宋体"/>
          <w:color w:val="000000" w:themeColor="text1"/>
          <w:kern w:val="2"/>
          <w:szCs w:val="21"/>
          <w14:textFill>
            <w14:solidFill>
              <w14:schemeClr w14:val="tx1"/>
            </w14:solidFill>
          </w14:textFill>
        </w:rPr>
        <w:t>中规定的ISO</w:t>
      </w:r>
      <w:r>
        <w:rPr>
          <w:rFonts w:hAnsi="宋体"/>
          <w:color w:val="000000" w:themeColor="text1"/>
          <w:kern w:val="2"/>
          <w:szCs w:val="21"/>
          <w14:textFill>
            <w14:solidFill>
              <w14:schemeClr w14:val="tx1"/>
            </w14:solidFill>
          </w14:textFill>
        </w:rPr>
        <w:t>5级</w:t>
      </w:r>
      <w:r>
        <w:rPr>
          <w:rFonts w:hAnsi="宋体"/>
          <w:kern w:val="2"/>
          <w:szCs w:val="21"/>
        </w:rPr>
        <w:t>。</w:t>
      </w:r>
    </w:p>
    <w:p>
      <w:pPr>
        <w:pStyle w:val="52"/>
        <w:spacing w:before="312" w:after="312" w:line="240" w:lineRule="auto"/>
        <w:rPr>
          <w:rFonts w:hint="eastAsia" w:hAnsi="宋体"/>
          <w:kern w:val="2"/>
          <w:szCs w:val="21"/>
        </w:rPr>
      </w:pPr>
      <w:r>
        <w:rPr>
          <w:rFonts w:hint="eastAsia" w:hAnsi="宋体"/>
          <w:kern w:val="2"/>
          <w:szCs w:val="21"/>
        </w:rPr>
        <w:t>7  样品</w:t>
      </w:r>
    </w:p>
    <w:p>
      <w:pPr>
        <w:ind w:firstLine="420" w:firstLineChars="200"/>
      </w:pPr>
      <w:r>
        <w:rPr>
          <w:rFonts w:hint="eastAsia" w:ascii="宋体" w:hAnsi="宋体" w:cs="宋体"/>
        </w:rPr>
        <w:t>样品应洁净、无崩边。</w:t>
      </w:r>
    </w:p>
    <w:p>
      <w:pPr>
        <w:pStyle w:val="52"/>
        <w:numPr>
          <w:ilvl w:val="255"/>
          <w:numId w:val="0"/>
        </w:numPr>
        <w:spacing w:before="312" w:after="312" w:line="240" w:lineRule="auto"/>
        <w:rPr>
          <w:color w:val="000000"/>
        </w:rPr>
      </w:pPr>
      <w:r>
        <w:rPr>
          <w:rFonts w:hint="eastAsia"/>
          <w:color w:val="000000"/>
        </w:rPr>
        <w:t>8  仪器设备</w:t>
      </w:r>
    </w:p>
    <w:p>
      <w:pPr>
        <w:pStyle w:val="26"/>
        <w:spacing w:after="0" w:line="240" w:lineRule="auto"/>
        <w:ind w:firstLine="0" w:firstLineChars="0"/>
      </w:pPr>
      <w:r>
        <w:rPr>
          <w:rFonts w:hint="eastAsia" w:ascii="黑体" w:hAnsi="黑体" w:eastAsia="黑体"/>
        </w:rPr>
        <w:t>8.1</w:t>
      </w:r>
      <w:r>
        <w:rPr>
          <w:rFonts w:ascii="黑体" w:hAnsi="黑体" w:eastAsia="黑体"/>
        </w:rPr>
        <w:t xml:space="preserve">  </w:t>
      </w:r>
      <w:r>
        <w:rPr>
          <w:rFonts w:hint="eastAsia"/>
        </w:rPr>
        <w:t>几何参数测试系统满足以下条件：</w:t>
      </w:r>
    </w:p>
    <w:p>
      <w:pPr>
        <w:spacing w:after="0"/>
        <w:ind w:firstLine="420" w:firstLineChars="200"/>
      </w:pPr>
      <w:r>
        <w:rPr>
          <w:rFonts w:hint="eastAsia"/>
        </w:rPr>
        <w:t>a）获得的高度数据阵列进行</w:t>
      </w:r>
      <w:r>
        <w:rPr>
          <w:rFonts w:hint="eastAsia"/>
          <w:lang w:val="en-US" w:eastAsia="zh-CN"/>
        </w:rPr>
        <w:t>纳米形貌</w:t>
      </w:r>
      <w:r>
        <w:rPr>
          <w:rFonts w:hint="eastAsia"/>
        </w:rPr>
        <w:t>测试，且提供统计参数在内的结果；</w:t>
      </w:r>
    </w:p>
    <w:p>
      <w:pPr>
        <w:pStyle w:val="26"/>
        <w:spacing w:after="0"/>
      </w:pPr>
      <w:r>
        <w:rPr>
          <w:rFonts w:hint="eastAsia"/>
        </w:rPr>
        <w:t>b）可执行校准和边缘去除，能够识别并剔除无效数据；</w:t>
      </w:r>
    </w:p>
    <w:p>
      <w:pPr>
        <w:spacing w:after="0"/>
        <w:ind w:firstLine="420" w:firstLineChars="200"/>
        <w:rPr>
          <w:rFonts w:hint="eastAsia"/>
        </w:rPr>
      </w:pPr>
      <w:r>
        <w:rPr>
          <w:rFonts w:hint="eastAsia"/>
        </w:rPr>
        <w:t>c）</w:t>
      </w:r>
      <w:r>
        <w:rPr>
          <w:rFonts w:hint="eastAsia" w:ascii="宋体" w:hAnsi="宋体" w:eastAsia="宋体" w:cs="宋体"/>
          <w:color w:val="000000"/>
          <w:kern w:val="0"/>
          <w:szCs w:val="21"/>
        </w:rPr>
        <w:t>空间分辨率在X、Y方向样本密度不小于2个点/mm</w:t>
      </w:r>
      <w:r>
        <w:rPr>
          <w:rFonts w:hint="eastAsia"/>
        </w:rPr>
        <w:t>。</w:t>
      </w:r>
    </w:p>
    <w:p>
      <w:pPr>
        <w:pStyle w:val="26"/>
        <w:spacing w:after="0" w:line="240" w:lineRule="auto"/>
        <w:ind w:firstLine="0" w:firstLineChars="0"/>
      </w:pPr>
      <w:r>
        <w:rPr>
          <w:rFonts w:hint="eastAsia" w:ascii="黑体" w:hAnsi="黑体" w:eastAsia="黑体"/>
        </w:rPr>
        <w:t>8.2</w:t>
      </w:r>
      <w:r>
        <w:t xml:space="preserve">  </w:t>
      </w:r>
      <w:r>
        <w:rPr>
          <w:rFonts w:hint="eastAsia"/>
        </w:rPr>
        <w:t>数据处理系统可按照本文件计算并提供包括统计数据在内的结果输出。</w:t>
      </w:r>
    </w:p>
    <w:p>
      <w:pPr>
        <w:pStyle w:val="52"/>
        <w:numPr>
          <w:ilvl w:val="255"/>
          <w:numId w:val="0"/>
        </w:numPr>
        <w:spacing w:before="312" w:after="312" w:line="240" w:lineRule="auto"/>
        <w:rPr>
          <w:color w:val="000000"/>
        </w:rPr>
      </w:pPr>
      <w:r>
        <w:rPr>
          <w:rFonts w:hint="eastAsia"/>
          <w:color w:val="000000"/>
        </w:rPr>
        <w:t>9  试验步骤</w:t>
      </w:r>
    </w:p>
    <w:p>
      <w:pPr>
        <w:pStyle w:val="26"/>
        <w:keepNext w:val="0"/>
        <w:keepLines w:val="0"/>
        <w:pageBreakBefore w:val="0"/>
        <w:kinsoku/>
        <w:wordWrap/>
        <w:overflowPunct/>
        <w:topLinePunct w:val="0"/>
        <w:bidi w:val="0"/>
        <w:adjustRightInd/>
        <w:snapToGrid/>
        <w:spacing w:after="0"/>
        <w:ind w:firstLine="0" w:firstLineChars="0"/>
        <w:textAlignment w:val="auto"/>
        <w:outlineLvl w:val="9"/>
        <w:rPr>
          <w:rFonts w:hint="eastAsia" w:hAnsi="宋体"/>
        </w:rPr>
      </w:pPr>
      <w:r>
        <w:rPr>
          <w:rFonts w:hint="eastAsia" w:ascii="黑体" w:hAnsi="黑体" w:eastAsia="黑体"/>
        </w:rPr>
        <w:t>9</w:t>
      </w:r>
      <w:r>
        <w:rPr>
          <w:rFonts w:ascii="黑体" w:hAnsi="黑体" w:eastAsia="黑体"/>
        </w:rPr>
        <w:t xml:space="preserve">.1  </w:t>
      </w:r>
      <w:r>
        <w:rPr>
          <w:rFonts w:hint="eastAsia" w:hAnsi="宋体"/>
        </w:rPr>
        <w:t>垂直或水平放置待测样品。</w:t>
      </w:r>
    </w:p>
    <w:p>
      <w:pPr>
        <w:keepNext w:val="0"/>
        <w:keepLines w:val="0"/>
        <w:pageBreakBefore w:val="0"/>
        <w:kinsoku/>
        <w:wordWrap/>
        <w:overflowPunct/>
        <w:topLinePunct w:val="0"/>
        <w:bidi w:val="0"/>
        <w:adjustRightInd/>
        <w:snapToGrid/>
        <w:spacing w:after="0"/>
        <w:textAlignment w:val="auto"/>
        <w:outlineLvl w:val="9"/>
        <w:rPr>
          <w:rFonts w:hint="eastAsia" w:ascii="宋体" w:hAnsi="宋体"/>
        </w:rPr>
      </w:pPr>
      <w:r>
        <w:rPr>
          <w:rFonts w:hint="eastAsia" w:ascii="黑体" w:hAnsi="黑体" w:eastAsia="黑体"/>
        </w:rPr>
        <w:t>9</w:t>
      </w:r>
      <w:r>
        <w:rPr>
          <w:rFonts w:ascii="黑体" w:hAnsi="黑体" w:eastAsia="黑体"/>
        </w:rPr>
        <w:t>.</w:t>
      </w:r>
      <w:r>
        <w:rPr>
          <w:rFonts w:hint="eastAsia" w:ascii="黑体" w:hAnsi="黑体" w:eastAsia="黑体"/>
        </w:rPr>
        <w:t>2</w:t>
      </w:r>
      <w:r>
        <w:rPr>
          <w:rFonts w:ascii="黑体" w:hAnsi="黑体" w:eastAsia="黑体"/>
        </w:rPr>
        <w:t xml:space="preserve"> </w:t>
      </w:r>
      <w:r>
        <w:rPr>
          <w:rFonts w:hint="eastAsia" w:ascii="黑体" w:hAnsi="黑体" w:eastAsia="黑体"/>
        </w:rPr>
        <w:t xml:space="preserve"> </w:t>
      </w:r>
      <w:r>
        <w:rPr>
          <w:rFonts w:hint="eastAsia" w:ascii="宋体" w:hAnsi="宋体"/>
        </w:rPr>
        <w:t>校准测试设备。</w:t>
      </w:r>
    </w:p>
    <w:p>
      <w:pPr>
        <w:pStyle w:val="26"/>
        <w:keepNext w:val="0"/>
        <w:keepLines w:val="0"/>
        <w:pageBreakBefore w:val="0"/>
        <w:widowControl/>
        <w:kinsoku/>
        <w:wordWrap/>
        <w:overflowPunct/>
        <w:topLinePunct w:val="0"/>
        <w:autoSpaceDE w:val="0"/>
        <w:autoSpaceDN w:val="0"/>
        <w:bidi w:val="0"/>
        <w:adjustRightInd/>
        <w:snapToGrid/>
        <w:spacing w:after="0"/>
        <w:ind w:left="0" w:leftChars="0" w:firstLine="0" w:firstLineChars="0"/>
        <w:textAlignment w:val="auto"/>
        <w:outlineLvl w:val="9"/>
        <w:rPr>
          <w:rFonts w:hint="eastAsia" w:hAnsi="宋体"/>
          <w:lang w:val="en-US" w:eastAsia="zh-CN"/>
        </w:rPr>
      </w:pPr>
      <w:r>
        <w:rPr>
          <w:rFonts w:hint="eastAsia" w:ascii="黑体" w:hAnsi="黑体" w:eastAsia="黑体" w:cs="Times New Roman"/>
          <w:kern w:val="2"/>
          <w:sz w:val="21"/>
          <w:szCs w:val="24"/>
          <w:lang w:val="en-US" w:eastAsia="zh-CN" w:bidi="ar-SA"/>
        </w:rPr>
        <w:t xml:space="preserve">9.3 </w:t>
      </w:r>
      <w:r>
        <w:rPr>
          <w:rFonts w:hint="eastAsia" w:hAnsi="宋体"/>
          <w:lang w:val="en-US" w:eastAsia="zh-CN"/>
        </w:rPr>
        <w:t xml:space="preserve"> 获取合格质量区内正表面或背表面一系列高度数据阵列。</w:t>
      </w:r>
    </w:p>
    <w:p>
      <w:pPr>
        <w:keepNext w:val="0"/>
        <w:keepLines w:val="0"/>
        <w:pageBreakBefore w:val="0"/>
        <w:widowControl w:val="0"/>
        <w:kinsoku/>
        <w:wordWrap/>
        <w:overflowPunct/>
        <w:topLinePunct w:val="0"/>
        <w:autoSpaceDE/>
        <w:autoSpaceDN/>
        <w:bidi w:val="0"/>
        <w:adjustRightInd/>
        <w:snapToGrid/>
        <w:spacing w:after="0"/>
        <w:textAlignment w:val="auto"/>
        <w:outlineLvl w:val="9"/>
        <w:rPr>
          <w:rFonts w:hint="eastAsia" w:ascii="宋体" w:hAnsi="宋体" w:cs="宋体"/>
          <w:kern w:val="2"/>
          <w:sz w:val="21"/>
          <w:szCs w:val="24"/>
          <w:lang w:val="en-US" w:eastAsia="zh-CN" w:bidi="ar-SA"/>
        </w:rPr>
      </w:pPr>
      <w:r>
        <w:rPr>
          <w:rFonts w:hint="eastAsia" w:ascii="黑体" w:hAnsi="黑体" w:eastAsia="黑体" w:cs="Times New Roman"/>
          <w:kern w:val="2"/>
          <w:sz w:val="21"/>
          <w:szCs w:val="24"/>
          <w:lang w:val="en-US" w:eastAsia="zh-CN" w:bidi="ar-SA"/>
        </w:rPr>
        <w:t xml:space="preserve">9.4  </w:t>
      </w:r>
      <w:r>
        <w:rPr>
          <w:rFonts w:hint="eastAsia" w:ascii="宋体" w:hAnsi="宋体" w:cs="宋体"/>
          <w:kern w:val="2"/>
          <w:sz w:val="21"/>
          <w:szCs w:val="24"/>
          <w:lang w:val="en-US" w:eastAsia="zh-CN" w:bidi="ar-SA"/>
        </w:rPr>
        <w:t>硅片近边缘区域因测试设备无法完整覆盖卷积核导致数据缺失。处理近边缘区域内数据时，选择收缩滤波或者恒定滤波。</w:t>
      </w:r>
    </w:p>
    <w:p>
      <w:pPr>
        <w:pStyle w:val="26"/>
        <w:keepNext w:val="0"/>
        <w:keepLines w:val="0"/>
        <w:pageBreakBefore w:val="0"/>
        <w:widowControl/>
        <w:kinsoku/>
        <w:wordWrap/>
        <w:overflowPunct/>
        <w:topLinePunct w:val="0"/>
        <w:autoSpaceDE w:val="0"/>
        <w:autoSpaceDN w:val="0"/>
        <w:bidi w:val="0"/>
        <w:adjustRightInd/>
        <w:snapToGrid/>
        <w:spacing w:after="0"/>
        <w:ind w:left="780" w:leftChars="200" w:hanging="360" w:hangingChars="200"/>
        <w:textAlignment w:val="auto"/>
        <w:outlineLvl w:val="9"/>
        <w:rPr>
          <w:rFonts w:hint="eastAsia" w:hAnsi="宋体" w:cs="宋体"/>
          <w:kern w:val="2"/>
          <w:sz w:val="18"/>
          <w:szCs w:val="18"/>
          <w:lang w:val="en-US" w:eastAsia="zh-CN" w:bidi="ar-SA"/>
        </w:rPr>
      </w:pPr>
      <w:r>
        <w:rPr>
          <w:rFonts w:hint="eastAsia" w:ascii="黑体" w:hAnsi="黑体" w:eastAsia="黑体" w:cs="黑体"/>
          <w:kern w:val="2"/>
          <w:sz w:val="18"/>
          <w:szCs w:val="18"/>
          <w:lang w:val="en-US" w:eastAsia="zh-CN" w:bidi="ar-SA"/>
        </w:rPr>
        <w:t>注：“</w:t>
      </w:r>
      <w:r>
        <w:rPr>
          <w:rFonts w:hint="eastAsia" w:ascii="宋体" w:hAnsi="宋体" w:cs="宋体"/>
          <w:kern w:val="2"/>
          <w:sz w:val="18"/>
          <w:szCs w:val="18"/>
          <w:lang w:val="en-US" w:eastAsia="zh-CN" w:bidi="ar-SA"/>
        </w:rPr>
        <w:t>收缩</w:t>
      </w:r>
      <w:r>
        <w:rPr>
          <w:rFonts w:hint="eastAsia" w:hAnsi="宋体" w:cs="宋体"/>
          <w:kern w:val="2"/>
          <w:sz w:val="18"/>
          <w:szCs w:val="18"/>
          <w:lang w:val="en-US" w:eastAsia="zh-CN" w:bidi="ar-SA"/>
        </w:rPr>
        <w:t>”和“</w:t>
      </w:r>
      <w:r>
        <w:rPr>
          <w:rFonts w:hint="eastAsia" w:ascii="宋体" w:hAnsi="宋体" w:cs="宋体"/>
          <w:kern w:val="2"/>
          <w:sz w:val="18"/>
          <w:szCs w:val="18"/>
          <w:lang w:val="en-US" w:eastAsia="zh-CN" w:bidi="ar-SA"/>
        </w:rPr>
        <w:t>恒定</w:t>
      </w:r>
      <w:r>
        <w:rPr>
          <w:rFonts w:hint="eastAsia" w:hAnsi="宋体" w:cs="宋体"/>
          <w:kern w:val="2"/>
          <w:sz w:val="18"/>
          <w:szCs w:val="18"/>
          <w:lang w:val="en-US" w:eastAsia="zh-CN" w:bidi="ar-SA"/>
        </w:rPr>
        <w:t>”指的是空间域滤波器的支持区域。</w:t>
      </w:r>
    </w:p>
    <w:p>
      <w:pPr>
        <w:keepNext w:val="0"/>
        <w:keepLines w:val="0"/>
        <w:pageBreakBefore w:val="0"/>
        <w:widowControl w:val="0"/>
        <w:kinsoku/>
        <w:wordWrap/>
        <w:overflowPunct/>
        <w:topLinePunct w:val="0"/>
        <w:autoSpaceDE/>
        <w:autoSpaceDN/>
        <w:bidi w:val="0"/>
        <w:adjustRightInd/>
        <w:snapToGrid/>
        <w:spacing w:after="0"/>
        <w:textAlignment w:val="auto"/>
        <w:outlineLvl w:val="9"/>
        <w:rPr>
          <w:rFonts w:hint="default" w:ascii="宋体" w:hAnsi="宋体" w:eastAsia="宋体" w:cs="宋体"/>
          <w:color w:val="000000"/>
          <w:kern w:val="0"/>
          <w:sz w:val="21"/>
          <w:szCs w:val="21"/>
          <w:lang w:val="en-US" w:eastAsia="zh-CN" w:bidi="ar-SA"/>
        </w:rPr>
      </w:pPr>
      <w:r>
        <w:rPr>
          <w:rFonts w:hint="eastAsia" w:ascii="黑体" w:hAnsi="黑体" w:eastAsia="黑体" w:cs="Times New Roman"/>
          <w:kern w:val="2"/>
          <w:sz w:val="21"/>
          <w:szCs w:val="24"/>
          <w:lang w:val="en-US" w:eastAsia="zh-CN" w:bidi="ar-SA"/>
        </w:rPr>
        <w:t xml:space="preserve">9.4.1  </w:t>
      </w:r>
      <w:r>
        <w:rPr>
          <w:rFonts w:hint="eastAsia" w:ascii="宋体" w:hAnsi="宋体" w:eastAsia="宋体" w:cs="宋体"/>
          <w:color w:val="000000"/>
          <w:kern w:val="0"/>
          <w:sz w:val="21"/>
          <w:szCs w:val="21"/>
          <w:lang w:val="en-US" w:eastAsia="zh-CN" w:bidi="ar-SA"/>
        </w:rPr>
        <w:t>收缩滤波对</w:t>
      </w:r>
      <w:r>
        <w:rPr>
          <w:rFonts w:hint="eastAsia" w:ascii="宋体" w:hAnsi="宋体" w:cs="宋体"/>
          <w:color w:val="000000"/>
          <w:kern w:val="0"/>
          <w:sz w:val="21"/>
          <w:szCs w:val="21"/>
          <w:lang w:val="en-US" w:eastAsia="zh-CN" w:bidi="ar-SA"/>
        </w:rPr>
        <w:t>空间域滤波进行缩放，使其滤波支持区域到达合格质量区的边缘。只使用合格质量区内部的高度数据作为原始高度数据。</w:t>
      </w:r>
    </w:p>
    <w:p>
      <w:pPr>
        <w:keepNext w:val="0"/>
        <w:keepLines w:val="0"/>
        <w:pageBreakBefore w:val="0"/>
        <w:widowControl w:val="0"/>
        <w:kinsoku/>
        <w:wordWrap/>
        <w:overflowPunct/>
        <w:topLinePunct w:val="0"/>
        <w:autoSpaceDE/>
        <w:autoSpaceDN/>
        <w:bidi w:val="0"/>
        <w:adjustRightInd/>
        <w:snapToGrid/>
        <w:spacing w:after="0"/>
        <w:textAlignment w:val="auto"/>
        <w:outlineLvl w:val="9"/>
        <w:rPr>
          <w:rFonts w:hint="eastAsia" w:ascii="宋体" w:hAnsi="宋体" w:cs="宋体"/>
          <w:color w:val="000000"/>
          <w:kern w:val="0"/>
          <w:sz w:val="21"/>
          <w:szCs w:val="21"/>
          <w:lang w:val="en-US" w:eastAsia="zh-CN" w:bidi="ar-SA"/>
        </w:rPr>
      </w:pPr>
      <w:r>
        <w:rPr>
          <w:rFonts w:hint="eastAsia" w:ascii="黑体" w:hAnsi="黑体" w:eastAsia="黑体" w:cs="Times New Roman"/>
          <w:kern w:val="2"/>
          <w:sz w:val="21"/>
          <w:szCs w:val="24"/>
          <w:lang w:val="en-US" w:eastAsia="zh-CN" w:bidi="ar-SA"/>
        </w:rPr>
        <w:t xml:space="preserve">9.4.2  </w:t>
      </w:r>
      <w:r>
        <w:rPr>
          <w:rFonts w:hint="eastAsia" w:ascii="宋体" w:hAnsi="宋体" w:eastAsia="宋体" w:cs="宋体"/>
          <w:color w:val="000000"/>
          <w:kern w:val="0"/>
          <w:sz w:val="21"/>
          <w:szCs w:val="21"/>
          <w:lang w:val="en-US" w:eastAsia="zh-CN" w:bidi="ar-SA"/>
        </w:rPr>
        <w:t>恒定滤波</w:t>
      </w:r>
      <w:r>
        <w:rPr>
          <w:rFonts w:hint="eastAsia" w:ascii="宋体" w:hAnsi="宋体" w:cs="宋体"/>
          <w:color w:val="000000"/>
          <w:kern w:val="0"/>
          <w:sz w:val="21"/>
          <w:szCs w:val="21"/>
          <w:lang w:val="en-US" w:eastAsia="zh-CN" w:bidi="ar-SA"/>
        </w:rPr>
        <w:t>使空间域滤波在整个合格质量区内保持恒定。为了使近边缘区域内生成纳米形貌数据保持截止滤波恒定，需要将合格质量区内高度数据利用数学算法预测边界及边界外虚拟高度值。外推法由供需双方商议决定。</w:t>
      </w:r>
    </w:p>
    <w:p>
      <w:pPr>
        <w:pStyle w:val="26"/>
        <w:keepNext w:val="0"/>
        <w:keepLines w:val="0"/>
        <w:pageBreakBefore w:val="0"/>
        <w:widowControl/>
        <w:kinsoku/>
        <w:wordWrap/>
        <w:overflowPunct/>
        <w:topLinePunct w:val="0"/>
        <w:autoSpaceDE w:val="0"/>
        <w:autoSpaceDN w:val="0"/>
        <w:bidi w:val="0"/>
        <w:adjustRightInd/>
        <w:snapToGrid/>
        <w:spacing w:after="0"/>
        <w:ind w:left="780" w:leftChars="200" w:hanging="360" w:hangingChars="200"/>
        <w:textAlignment w:val="auto"/>
        <w:outlineLvl w:val="9"/>
        <w:rPr>
          <w:rFonts w:hint="default"/>
          <w:lang w:val="en-US" w:eastAsia="zh-CN"/>
        </w:rPr>
      </w:pPr>
      <w:r>
        <w:rPr>
          <w:rFonts w:hint="eastAsia" w:ascii="黑体" w:hAnsi="黑体" w:eastAsia="黑体" w:cs="黑体"/>
          <w:sz w:val="18"/>
          <w:szCs w:val="18"/>
          <w:lang w:val="en-US" w:eastAsia="zh-CN"/>
        </w:rPr>
        <w:t>注：</w:t>
      </w:r>
      <w:r>
        <w:rPr>
          <w:rFonts w:hint="default"/>
          <w:sz w:val="18"/>
          <w:szCs w:val="18"/>
          <w:lang w:val="en-US" w:eastAsia="zh-CN"/>
        </w:rPr>
        <w:t>由测量系统提供的不同的外推方法线性外推和曲面拟合。线性外推是假设近边缘高度呈线性变化（如斜坡延伸），用临近点斜率生成虚拟数据；曲面拟合通过多项式或曲线模拟硅片整体弯曲趋势，外推缺失区域高度。</w:t>
      </w:r>
    </w:p>
    <w:p>
      <w:pPr>
        <w:pStyle w:val="26"/>
        <w:spacing w:after="0"/>
        <w:ind w:firstLine="0" w:firstLineChars="0"/>
        <w:rPr>
          <w:rFonts w:hint="eastAsia" w:ascii="黑体" w:hAnsi="宋体" w:eastAsia="黑体"/>
          <w:color w:val="000000" w:themeColor="text1"/>
          <w14:textFill>
            <w14:solidFill>
              <w14:schemeClr w14:val="tx1"/>
            </w14:solidFill>
          </w14:textFill>
        </w:rPr>
      </w:pPr>
      <w:r>
        <w:rPr>
          <w:rFonts w:hint="eastAsia" w:ascii="黑体" w:hAnsi="黑体" w:eastAsia="黑体"/>
        </w:rPr>
        <w:t>9</w:t>
      </w:r>
      <w:r>
        <w:rPr>
          <w:rFonts w:ascii="黑体" w:hAnsi="黑体" w:eastAsia="黑体"/>
        </w:rPr>
        <w:t>.</w:t>
      </w:r>
      <w:r>
        <w:rPr>
          <w:rFonts w:hint="eastAsia" w:ascii="黑体" w:hAnsi="黑体" w:eastAsia="黑体"/>
          <w:lang w:val="en-US" w:eastAsia="zh-CN"/>
        </w:rPr>
        <w:t>5</w:t>
      </w:r>
      <w:r>
        <w:rPr>
          <w:rFonts w:hint="eastAsia" w:ascii="黑体" w:hAnsi="黑体" w:eastAsia="黑体"/>
        </w:rPr>
        <w:t xml:space="preserve"> </w:t>
      </w:r>
      <w:r>
        <w:rPr>
          <w:rFonts w:ascii="黑体" w:hAnsi="宋体" w:eastAsia="黑体"/>
        </w:rPr>
        <w:t xml:space="preserve"> </w:t>
      </w:r>
      <w:r>
        <w:rPr>
          <w:rFonts w:hint="eastAsia" w:ascii="宋体" w:hAnsi="宋体" w:eastAsia="宋体" w:cs="宋体"/>
          <w:color w:val="000000"/>
          <w:kern w:val="0"/>
          <w:szCs w:val="21"/>
        </w:rPr>
        <w:t>选择推荐直径2mm和10mm的圆形分析区域，或选择推荐边长2mm和10mm的方形分析区域</w:t>
      </w:r>
      <w:r>
        <w:rPr>
          <w:rFonts w:hint="eastAsia" w:hAnsi="宋体"/>
        </w:rPr>
        <w:t>，</w:t>
      </w:r>
      <w:r>
        <w:rPr>
          <w:rFonts w:hint="eastAsia" w:hAnsi="宋体" w:cs="宋体"/>
        </w:rPr>
        <w:t>如图所示</w:t>
      </w:r>
      <w:r>
        <w:rPr>
          <w:rFonts w:hint="eastAsia" w:hAnsi="宋体"/>
        </w:rPr>
        <w:t>。</w:t>
      </w:r>
    </w:p>
    <w:p>
      <w:pPr>
        <w:spacing w:after="0"/>
        <w:ind w:left="780" w:leftChars="200" w:hanging="360" w:hangingChars="200"/>
      </w:pPr>
      <w:r>
        <w:rPr>
          <w:rFonts w:hint="eastAsia" w:ascii="黑体" w:hAnsi="黑体" w:eastAsia="黑体"/>
          <w:sz w:val="18"/>
          <w:szCs w:val="18"/>
        </w:rPr>
        <w:t>注</w:t>
      </w:r>
      <w:r>
        <w:rPr>
          <w:rFonts w:hint="eastAsia"/>
          <w:sz w:val="18"/>
          <w:szCs w:val="18"/>
        </w:rPr>
        <w:t>：不同的分析区域测试结果不同。方形分析区域倾向于突出其对角线方向的纳米形貌，在每个分析区域内，对角线方向的长度约为轴向长度的1.4倍。圆形分析区域导致各向同性的分析，仅受样品密度的限制。</w:t>
      </w:r>
    </w:p>
    <w:p>
      <w:pPr>
        <w:pStyle w:val="26"/>
        <w:spacing w:after="0"/>
        <w:ind w:firstLine="0" w:firstLineChars="0"/>
      </w:pPr>
      <w:r>
        <w:rPr>
          <w:rFonts w:hint="eastAsia"/>
        </w:rPr>
        <w:drawing>
          <wp:anchor distT="0" distB="0" distL="114300" distR="114300" simplePos="0" relativeHeight="251661312" behindDoc="0" locked="0" layoutInCell="1" allowOverlap="1">
            <wp:simplePos x="0" y="0"/>
            <wp:positionH relativeFrom="column">
              <wp:posOffset>446405</wp:posOffset>
            </wp:positionH>
            <wp:positionV relativeFrom="paragraph">
              <wp:posOffset>69850</wp:posOffset>
            </wp:positionV>
            <wp:extent cx="5141595" cy="3031490"/>
            <wp:effectExtent l="0" t="0" r="1905" b="0"/>
            <wp:wrapTopAndBottom/>
            <wp:docPr id="4931014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1418" name="图片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1627" cy="3031438"/>
                    </a:xfrm>
                    <a:prstGeom prst="rect">
                      <a:avLst/>
                    </a:prstGeom>
                  </pic:spPr>
                </pic:pic>
              </a:graphicData>
            </a:graphic>
          </wp:anchor>
        </w:drawing>
      </w:r>
      <w:r>
        <w:rPr>
          <w:rFonts w:hint="eastAsia"/>
        </w:rPr>
        <w:t>图例说明：</w:t>
      </w:r>
    </w:p>
    <w:p>
      <w:pPr>
        <w:pStyle w:val="26"/>
        <w:spacing w:after="0"/>
        <w:ind w:firstLine="0" w:firstLineChars="0"/>
      </w:pPr>
      <w:r>
        <w:rPr>
          <w:rFonts w:hint="eastAsia"/>
        </w:rPr>
        <w:t>1——区域内的中心表面高度数据；</w:t>
      </w:r>
    </w:p>
    <w:p>
      <w:pPr>
        <w:spacing w:after="0"/>
      </w:pPr>
      <w:r>
        <w:rPr>
          <w:rFonts w:hint="eastAsia"/>
        </w:rPr>
        <w:t>2——区域内包含的表面高度数据。</w:t>
      </w:r>
    </w:p>
    <w:p>
      <w:pPr>
        <w:spacing w:before="156" w:beforeLines="50" w:after="156" w:afterLines="50"/>
        <w:jc w:val="center"/>
        <w:rPr>
          <w:rFonts w:ascii="黑体" w:hAnsi="黑体" w:eastAsia="黑体"/>
        </w:rPr>
      </w:pPr>
      <w:r>
        <w:rPr>
          <w:rFonts w:hint="eastAsia" w:ascii="黑体" w:hAnsi="黑体" w:eastAsia="黑体"/>
        </w:rPr>
        <w:t>图1  直径或者边长为D</w:t>
      </w:r>
      <w:r>
        <w:rPr>
          <w:rFonts w:ascii="黑体" w:hAnsi="黑体" w:eastAsia="黑体"/>
          <w:vertAlign w:val="subscript"/>
        </w:rPr>
        <w:t>i</w:t>
      </w:r>
      <w:r>
        <w:rPr>
          <w:rFonts w:hint="eastAsia" w:ascii="黑体" w:hAnsi="黑体" w:eastAsia="黑体"/>
        </w:rPr>
        <w:t>的圆形或者方形分析区域</w:t>
      </w:r>
    </w:p>
    <w:p>
      <w:pPr>
        <w:pStyle w:val="26"/>
        <w:keepNext w:val="0"/>
        <w:keepLines w:val="0"/>
        <w:pageBreakBefore w:val="0"/>
        <w:widowControl/>
        <w:kinsoku/>
        <w:wordWrap/>
        <w:overflowPunct/>
        <w:topLinePunct w:val="0"/>
        <w:autoSpaceDE w:val="0"/>
        <w:autoSpaceDN w:val="0"/>
        <w:bidi w:val="0"/>
        <w:adjustRightInd/>
        <w:snapToGrid/>
        <w:spacing w:after="0"/>
        <w:ind w:firstLine="0" w:firstLineChars="0"/>
        <w:textAlignment w:val="auto"/>
        <w:outlineLvl w:val="9"/>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9.</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14:textFill>
            <w14:solidFill>
              <w14:schemeClr w14:val="tx1"/>
            </w14:solidFill>
          </w14:textFill>
        </w:rPr>
        <w:t xml:space="preserve">  经</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截止波长（50%响应）为20</w:t>
      </w:r>
      <w:r>
        <w:rPr>
          <w:rFonts w:hint="eastAsia" w:asciiTheme="minorEastAsia" w:hAnsiTheme="minorEastAsia" w:eastAsiaTheme="minorEastAsia" w:cstheme="minorEastAsia"/>
          <w:color w:val="000000" w:themeColor="text1"/>
          <w:vertAlign w:val="superscript"/>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mm的频域</w:t>
      </w:r>
      <w:r>
        <w:rPr>
          <w:rFonts w:hint="eastAsia" w:asciiTheme="minorEastAsia" w:hAnsiTheme="minorEastAsia" w:eastAsiaTheme="minorEastAsia" w:cstheme="minorEastAsia"/>
          <w:color w:val="000000" w:themeColor="text1"/>
          <w14:textFill>
            <w14:solidFill>
              <w14:schemeClr w14:val="tx1"/>
            </w14:solidFill>
          </w14:textFill>
        </w:rPr>
        <w:t>双高斯高通滤波处理后，最终生成的有效高度图仅包含合格质量区（FQA）内测得的高度数据</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pStyle w:val="26"/>
        <w:spacing w:after="0"/>
        <w:ind w:left="780" w:leftChars="200" w:hanging="360" w:hangingChars="200"/>
        <w:rPr>
          <w:rFonts w:hint="eastAsia" w:hAnsi="宋体" w:cs="宋体"/>
          <w:sz w:val="18"/>
          <w:szCs w:val="18"/>
        </w:rPr>
      </w:pPr>
      <w:r>
        <w:rPr>
          <w:rFonts w:hint="eastAsia" w:ascii="黑体" w:hAnsi="黑体" w:eastAsia="黑体"/>
          <w:sz w:val="18"/>
          <w:szCs w:val="18"/>
        </w:rPr>
        <w:t>注：</w:t>
      </w:r>
      <w:r>
        <w:rPr>
          <w:rFonts w:hint="eastAsia" w:hAnsi="宋体" w:cs="宋体"/>
          <w:sz w:val="18"/>
          <w:szCs w:val="18"/>
        </w:rPr>
        <w:t>高通滤波移除了长空间波长（低空间频率）的硅片形状和形貌效应，有效呈现零均值的滤波高度。此滤波过程不可与纳米形貌分析过程混淆。</w:t>
      </w:r>
    </w:p>
    <w:p>
      <w:pPr>
        <w:keepNext w:val="0"/>
        <w:keepLines w:val="0"/>
        <w:pageBreakBefore w:val="0"/>
        <w:widowControl w:val="0"/>
        <w:kinsoku/>
        <w:wordWrap/>
        <w:overflowPunct/>
        <w:topLinePunct w:val="0"/>
        <w:autoSpaceDE/>
        <w:autoSpaceDN/>
        <w:bidi w:val="0"/>
        <w:adjustRightInd/>
        <w:snapToGrid/>
        <w:spacing w:after="0"/>
        <w:textAlignment w:val="auto"/>
        <w:outlineLvl w:val="9"/>
        <w:rPr>
          <w:rFonts w:ascii="宋体" w:hAnsi="宋体"/>
        </w:rPr>
      </w:pPr>
      <w:r>
        <w:rPr>
          <w:rFonts w:hint="eastAsia" w:ascii="黑体" w:hAnsi="黑体" w:eastAsia="黑体"/>
        </w:rPr>
        <w:t>9</w:t>
      </w:r>
      <w:r>
        <w:rPr>
          <w:rFonts w:ascii="黑体" w:hAnsi="黑体" w:eastAsia="黑体"/>
        </w:rPr>
        <w:t>.</w:t>
      </w:r>
      <w:r>
        <w:rPr>
          <w:rFonts w:hint="eastAsia" w:ascii="黑体" w:hAnsi="黑体" w:eastAsia="黑体"/>
          <w:lang w:val="en-US" w:eastAsia="zh-CN"/>
        </w:rPr>
        <w:t>7</w:t>
      </w:r>
      <w:r>
        <w:rPr>
          <w:rFonts w:hint="eastAsia" w:ascii="黑体" w:hAnsi="黑体" w:eastAsia="黑体"/>
        </w:rPr>
        <w:t xml:space="preserve">  </w:t>
      </w:r>
      <w:r>
        <w:rPr>
          <w:rFonts w:hint="eastAsia" w:ascii="宋体" w:hAnsi="宋体"/>
        </w:rPr>
        <w:t>对固定质量区内（FQA）所有经高通滤波之后的表面高度采样点，以每个点为中心分别计算并存储其对应的2</w:t>
      </w:r>
      <w:r>
        <w:rPr>
          <w:rFonts w:hint="eastAsia" w:ascii="宋体" w:hAnsi="宋体"/>
          <w:vertAlign w:val="subscript"/>
        </w:rPr>
        <w:t xml:space="preserve"> </w:t>
      </w:r>
      <w:r>
        <w:rPr>
          <w:rFonts w:hint="eastAsia" w:ascii="宋体" w:hAnsi="宋体"/>
        </w:rPr>
        <w:t>mm和10 mm 分析区域的P-V值；分析区域的中心点必须完全位于FQA内或FQA边界上（包括部分超出边界的局部不完整区域），但在计算P-V值时仅使用FQA范围内的滤波高度数据，从而排除外推数据干扰，确保结果准确反映硅片有效区域内的纳米形貌特征，避免因边缘外推引入的非物理性伪影。</w:t>
      </w:r>
    </w:p>
    <w:p>
      <w:pPr>
        <w:pStyle w:val="26"/>
        <w:spacing w:after="0"/>
        <w:ind w:left="780" w:leftChars="200" w:hanging="360" w:hangingChars="200"/>
        <w:rPr>
          <w:rFonts w:hint="eastAsia" w:hAnsi="宋体"/>
          <w:sz w:val="18"/>
          <w:szCs w:val="18"/>
        </w:rPr>
      </w:pPr>
      <w:r>
        <w:rPr>
          <w:rFonts w:hint="eastAsia" w:ascii="黑体" w:hAnsi="黑体" w:eastAsia="黑体"/>
          <w:sz w:val="18"/>
          <w:szCs w:val="18"/>
        </w:rPr>
        <w:t>注：</w:t>
      </w:r>
      <w:r>
        <w:rPr>
          <w:rFonts w:hint="eastAsia" w:hAnsi="宋体"/>
          <w:sz w:val="18"/>
          <w:szCs w:val="18"/>
        </w:rPr>
        <w:t>在合格质量区内2</w:t>
      </w:r>
      <w:r>
        <w:rPr>
          <w:rFonts w:hAnsi="宋体"/>
          <w:sz w:val="18"/>
          <w:szCs w:val="18"/>
          <w:vertAlign w:val="subscript"/>
        </w:rPr>
        <w:t xml:space="preserve"> </w:t>
      </w:r>
      <w:r>
        <w:rPr>
          <w:rFonts w:hint="eastAsia" w:hAnsi="宋体"/>
          <w:sz w:val="18"/>
          <w:szCs w:val="18"/>
        </w:rPr>
        <w:t>mm和10</w:t>
      </w:r>
      <w:r>
        <w:rPr>
          <w:rFonts w:hAnsi="宋体"/>
          <w:sz w:val="18"/>
          <w:szCs w:val="18"/>
          <w:vertAlign w:val="subscript"/>
        </w:rPr>
        <w:t xml:space="preserve"> </w:t>
      </w:r>
      <w:r>
        <w:rPr>
          <w:rFonts w:hint="eastAsia" w:hAnsi="宋体"/>
          <w:sz w:val="18"/>
          <w:szCs w:val="18"/>
        </w:rPr>
        <w:t>mm的分析区域的N个P-V值存储为线性数组或二维映射表。</w:t>
      </w:r>
    </w:p>
    <w:p>
      <w:pPr>
        <w:pStyle w:val="52"/>
        <w:keepNext w:val="0"/>
        <w:keepLines w:val="0"/>
        <w:pageBreakBefore w:val="0"/>
        <w:widowControl/>
        <w:numPr>
          <w:ilvl w:val="255"/>
          <w:numId w:val="0"/>
        </w:numPr>
        <w:kinsoku/>
        <w:wordWrap/>
        <w:overflowPunct/>
        <w:topLinePunct w:val="0"/>
        <w:autoSpaceDE/>
        <w:autoSpaceDN/>
        <w:bidi w:val="0"/>
        <w:adjustRightInd/>
        <w:snapToGrid/>
        <w:spacing w:before="312" w:after="312" w:line="240" w:lineRule="auto"/>
        <w:textAlignment w:val="auto"/>
        <w:outlineLvl w:val="1"/>
        <w:rPr>
          <w:color w:val="000000"/>
        </w:rPr>
      </w:pPr>
      <w:r>
        <w:rPr>
          <w:rFonts w:hint="eastAsia" w:hAnsi="黑体"/>
          <w:color w:val="000000"/>
        </w:rPr>
        <w:t xml:space="preserve">10  </w:t>
      </w:r>
      <w:r>
        <w:rPr>
          <w:rFonts w:hint="eastAsia" w:hAnsi="黑体"/>
          <w:color w:val="000000"/>
          <w:lang w:val="en-US" w:eastAsia="zh-CN"/>
        </w:rPr>
        <w:t>试验</w:t>
      </w:r>
      <w:r>
        <w:rPr>
          <w:rFonts w:hint="eastAsia" w:hAnsi="黑体"/>
          <w:color w:val="000000"/>
        </w:rPr>
        <w:t>数据处理</w:t>
      </w:r>
    </w:p>
    <w:p>
      <w:pPr>
        <w:keepNext w:val="0"/>
        <w:keepLines w:val="0"/>
        <w:pageBreakBefore w:val="0"/>
        <w:kinsoku/>
        <w:wordWrap/>
        <w:overflowPunct/>
        <w:topLinePunct w:val="0"/>
        <w:bidi w:val="0"/>
        <w:adjustRightInd/>
        <w:snapToGrid/>
        <w:spacing w:after="0"/>
        <w:ind w:left="0" w:leftChars="0"/>
        <w:textAlignment w:val="auto"/>
        <w:outlineLvl w:val="9"/>
        <w:rPr>
          <w:rFonts w:hint="eastAsia" w:ascii="宋体" w:hAnsi="宋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 xml:space="preserve">10.1  </w:t>
      </w:r>
      <w:r>
        <w:rPr>
          <w:rFonts w:hint="eastAsia" w:ascii="宋体" w:hAnsi="宋体"/>
          <w:color w:val="000000" w:themeColor="text1"/>
          <w14:textFill>
            <w14:solidFill>
              <w14:schemeClr w14:val="tx1"/>
            </w14:solidFill>
          </w14:textFill>
        </w:rPr>
        <w:t>对于P-V</w:t>
      </w:r>
      <w:r>
        <w:rPr>
          <w:rFonts w:hint="eastAsia" w:ascii="宋体" w:hAnsi="宋体"/>
          <w:color w:val="000000" w:themeColor="text1"/>
          <w:lang w:val="en-US" w:eastAsia="zh-CN"/>
          <w14:textFill>
            <w14:solidFill>
              <w14:schemeClr w14:val="tx1"/>
            </w14:solidFill>
          </w14:textFill>
        </w:rPr>
        <w:t>值</w:t>
      </w:r>
      <w:r>
        <w:rPr>
          <w:rFonts w:hint="eastAsia" w:ascii="宋体" w:hAnsi="宋体"/>
          <w:color w:val="000000" w:themeColor="text1"/>
          <w14:textFill>
            <w14:solidFill>
              <w14:schemeClr w14:val="tx1"/>
            </w14:solidFill>
          </w14:textFill>
        </w:rPr>
        <w:t>进行统计分析，得出</w:t>
      </w:r>
      <w:r>
        <w:rPr>
          <w:rFonts w:hint="eastAsia" w:ascii="宋体" w:hAnsi="宋体"/>
          <w:color w:val="000000" w:themeColor="text1"/>
          <w:lang w:val="en-US" w:eastAsia="zh-CN"/>
          <w14:textFill>
            <w14:solidFill>
              <w14:schemeClr w14:val="tx1"/>
            </w14:solidFill>
          </w14:textFill>
        </w:rPr>
        <w:t>2</w:t>
      </w:r>
      <w:r>
        <w:rPr>
          <w:rFonts w:hint="eastAsia" w:ascii="宋体" w:hAnsi="宋体"/>
          <w:color w:val="000000" w:themeColor="text1"/>
          <w:vertAlign w:val="superscript"/>
          <w:lang w:val="en-US" w:eastAsia="zh-CN"/>
          <w14:textFill>
            <w14:solidFill>
              <w14:schemeClr w14:val="tx1"/>
            </w14:solidFill>
          </w14:textFill>
        </w:rPr>
        <w:t xml:space="preserve"> </w:t>
      </w:r>
      <w:r>
        <w:rPr>
          <w:rFonts w:hint="eastAsia" w:ascii="宋体" w:hAnsi="宋体"/>
          <w:color w:val="000000" w:themeColor="text1"/>
          <w:lang w:val="en-US" w:eastAsia="zh-CN"/>
          <w14:textFill>
            <w14:solidFill>
              <w14:schemeClr w14:val="tx1"/>
            </w14:solidFill>
          </w14:textFill>
        </w:rPr>
        <w:t>mm和10</w:t>
      </w:r>
      <w:r>
        <w:rPr>
          <w:rFonts w:hint="eastAsia" w:ascii="宋体" w:hAnsi="宋体"/>
          <w:color w:val="000000" w:themeColor="text1"/>
          <w:vertAlign w:val="subscript"/>
          <w:lang w:val="en-US" w:eastAsia="zh-CN"/>
          <w14:textFill>
            <w14:solidFill>
              <w14:schemeClr w14:val="tx1"/>
            </w14:solidFill>
          </w14:textFill>
        </w:rPr>
        <w:t xml:space="preserve"> </w:t>
      </w:r>
      <w:r>
        <w:rPr>
          <w:rFonts w:hint="eastAsia" w:ascii="宋体" w:hAnsi="宋体"/>
          <w:color w:val="000000" w:themeColor="text1"/>
          <w:lang w:val="en-US" w:eastAsia="zh-CN"/>
          <w14:textFill>
            <w14:solidFill>
              <w14:schemeClr w14:val="tx1"/>
            </w14:solidFill>
          </w14:textFill>
        </w:rPr>
        <w:t>mm分析区域的</w:t>
      </w:r>
      <w:r>
        <w:rPr>
          <w:rFonts w:hint="eastAsia" w:ascii="宋体" w:hAnsi="宋体"/>
          <w:color w:val="000000" w:themeColor="text1"/>
          <w14:textFill>
            <w14:solidFill>
              <w14:schemeClr w14:val="tx1"/>
            </w14:solidFill>
          </w14:textFill>
        </w:rPr>
        <w:t>两组纳米形貌P-V值的阈值曲线</w:t>
      </w:r>
      <w:r>
        <w:rPr>
          <w:rFonts w:ascii="宋体" w:hAnsi="宋体"/>
          <w:i/>
          <w:iCs/>
          <w:color w:val="000000" w:themeColor="text1"/>
          <w14:textFill>
            <w14:solidFill>
              <w14:schemeClr w14:val="tx1"/>
            </w14:solidFill>
          </w14:textFill>
        </w:rPr>
        <w:t>T</w:t>
      </w:r>
      <w:r>
        <w:rPr>
          <w:rFonts w:hint="eastAsia" w:ascii="宋体" w:hAnsi="宋体"/>
          <w:color w:val="000000" w:themeColor="text1"/>
          <w14:textFill>
            <w14:solidFill>
              <w14:schemeClr w14:val="tx1"/>
            </w14:solidFill>
          </w14:textFill>
        </w:rPr>
        <w:t>：</w:t>
      </w:r>
    </w:p>
    <w:p>
      <w:pPr>
        <w:pStyle w:val="26"/>
        <w:keepNext w:val="0"/>
        <w:keepLines w:val="0"/>
        <w:pageBreakBefore w:val="0"/>
        <w:widowControl/>
        <w:kinsoku/>
        <w:wordWrap/>
        <w:overflowPunct/>
        <w:topLinePunct w:val="0"/>
        <w:autoSpaceDE w:val="0"/>
        <w:autoSpaceDN w:val="0"/>
        <w:bidi w:val="0"/>
        <w:adjustRightInd/>
        <w:snapToGrid/>
        <w:spacing w:after="0"/>
        <w:ind w:left="0" w:leftChars="0"/>
        <w:textAlignment w:val="auto"/>
        <w:outlineLvl w:val="9"/>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i/>
          <w:iCs/>
          <w:color w:val="000000" w:themeColor="text1"/>
          <w14:textFill>
            <w14:solidFill>
              <w14:schemeClr w14:val="tx1"/>
            </w14:solidFill>
          </w14:textFill>
        </w:rPr>
        <w:t>T</w:t>
      </w:r>
      <w:r>
        <w:rPr>
          <w:rFonts w:hint="eastAsia"/>
          <w:color w:val="000000" w:themeColor="text1"/>
          <w14:textFill>
            <w14:solidFill>
              <w14:schemeClr w14:val="tx1"/>
            </w14:solidFill>
          </w14:textFill>
        </w:rPr>
        <w:t>(t)=1-CDF(t)</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(1)</w:t>
      </w:r>
    </w:p>
    <w:p>
      <w:pPr>
        <w:keepNext w:val="0"/>
        <w:keepLines w:val="0"/>
        <w:pageBreakBefore w:val="0"/>
        <w:kinsoku/>
        <w:wordWrap/>
        <w:overflowPunct/>
        <w:topLinePunct w:val="0"/>
        <w:bidi w:val="0"/>
        <w:adjustRightInd/>
        <w:snapToGrid/>
        <w:spacing w:after="0"/>
        <w:ind w:left="0" w:leftChars="0" w:firstLine="630" w:firstLineChars="300"/>
        <w:textAlignment w:val="auto"/>
        <w:outlineLvl w:val="9"/>
        <w:rPr>
          <w:rFonts w:hint="eastAsia" w:ascii="宋体" w:hAnsi="宋体" w:eastAsia="宋体" w:cs="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式中：</w:t>
      </w:r>
      <w:r>
        <w:rPr>
          <w:rFonts w:hint="eastAsia" w:ascii="宋体" w:hAnsi="宋体" w:eastAsia="宋体" w:cs="宋体"/>
          <w:i/>
          <w:iCs/>
          <w:color w:val="000000" w:themeColor="text1"/>
          <w14:textFill>
            <w14:solidFill>
              <w14:schemeClr w14:val="tx1"/>
            </w14:solidFill>
          </w14:textFill>
        </w:rPr>
        <w:t>T</w:t>
      </w:r>
      <w:r>
        <w:rPr>
          <w:rFonts w:hint="eastAsia" w:ascii="宋体" w:hAnsi="宋体" w:eastAsia="宋体" w:cs="宋体"/>
          <w:i w:val="0"/>
          <w:iCs w:val="0"/>
          <w:color w:val="000000" w:themeColor="text1"/>
          <w:lang w:val="en-US" w:eastAsia="zh-CN"/>
          <w14:textFill>
            <w14:solidFill>
              <w14:schemeClr w14:val="tx1"/>
            </w14:solidFill>
          </w14:textFill>
        </w:rPr>
        <w:t>(t)</w:t>
      </w:r>
      <w:r>
        <w:rPr>
          <w:rFonts w:hint="eastAsia" w:ascii="宋体" w:hAnsi="宋体" w:eastAsia="宋体" w:cs="宋体"/>
          <w:color w:val="000000" w:themeColor="text1"/>
          <w14:textFill>
            <w14:solidFill>
              <w14:schemeClr w14:val="tx1"/>
            </w14:solidFill>
          </w14:textFill>
        </w:rPr>
        <w:t>——P-V值的阈值曲线；</w:t>
      </w:r>
    </w:p>
    <w:p>
      <w:pPr>
        <w:keepNext w:val="0"/>
        <w:keepLines w:val="0"/>
        <w:pageBreakBefore w:val="0"/>
        <w:kinsoku/>
        <w:wordWrap/>
        <w:overflowPunct/>
        <w:topLinePunct w:val="0"/>
        <w:bidi w:val="0"/>
        <w:adjustRightInd/>
        <w:snapToGrid/>
        <w:spacing w:after="0"/>
        <w:ind w:left="0" w:leftChars="0"/>
        <w:textAlignment w:val="auto"/>
        <w:outlineLvl w:val="9"/>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            t——P-V值，单位为纳米(nm)</w:t>
      </w:r>
      <w:r>
        <w:rPr>
          <w:rFonts w:hint="eastAsia" w:ascii="宋体" w:hAnsi="宋体" w:eastAsia="宋体" w:cs="宋体"/>
          <w:color w:val="000000" w:themeColor="text1"/>
          <w:lang w:eastAsia="zh-CN"/>
          <w14:textFill>
            <w14:solidFill>
              <w14:schemeClr w14:val="tx1"/>
            </w14:solidFill>
          </w14:textFill>
        </w:rPr>
        <w:t>；</w:t>
      </w:r>
    </w:p>
    <w:p>
      <w:pPr>
        <w:pStyle w:val="26"/>
        <w:keepNext w:val="0"/>
        <w:keepLines w:val="0"/>
        <w:pageBreakBefore w:val="0"/>
        <w:widowControl/>
        <w:kinsoku/>
        <w:wordWrap/>
        <w:overflowPunct/>
        <w:topLinePunct w:val="0"/>
        <w:autoSpaceDE w:val="0"/>
        <w:autoSpaceDN w:val="0"/>
        <w:bidi w:val="0"/>
        <w:adjustRightInd/>
        <w:snapToGrid/>
        <w:spacing w:after="0"/>
        <w:ind w:left="0" w:leftChars="0" w:firstLine="1260" w:firstLineChars="600"/>
        <w:textAlignment w:val="auto"/>
        <w:outlineLvl w:val="9"/>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CDF</w:t>
      </w:r>
      <w:r>
        <w:rPr>
          <w:rFonts w:hint="eastAsia" w:ascii="宋体" w:hAnsi="宋体" w:eastAsia="宋体" w:cs="宋体"/>
          <w:color w:val="000000" w:themeColor="text1"/>
          <w:lang w:val="en-US" w:eastAsia="zh-CN"/>
          <w14:textFill>
            <w14:solidFill>
              <w14:schemeClr w14:val="tx1"/>
            </w14:solidFill>
          </w14:textFill>
        </w:rPr>
        <w:t>(t)</w:t>
      </w:r>
      <w:r>
        <w:rPr>
          <w:rFonts w:hint="eastAsia" w:ascii="宋体" w:hAnsi="宋体" w:eastAsia="宋体" w:cs="宋体"/>
          <w:color w:val="000000" w:themeColor="text1"/>
          <w14:textFill>
            <w14:solidFill>
              <w14:schemeClr w14:val="tx1"/>
            </w14:solidFill>
          </w14:textFill>
        </w:rPr>
        <w:t>——纳米形貌P-V值的累积分布函数（%）</w:t>
      </w:r>
      <w:r>
        <w:rPr>
          <w:rFonts w:hint="eastAsia" w:ascii="宋体" w:hAnsi="宋体" w:eastAsia="宋体" w:cs="宋体"/>
          <w:color w:val="000000" w:themeColor="text1"/>
          <w:lang w:eastAsia="zh-CN"/>
          <w14:textFill>
            <w14:solidFill>
              <w14:schemeClr w14:val="tx1"/>
            </w14:solidFill>
          </w14:textFill>
        </w:rPr>
        <w:t>。</w:t>
      </w:r>
    </w:p>
    <w:p>
      <w:pPr>
        <w:pStyle w:val="26"/>
        <w:keepNext w:val="0"/>
        <w:keepLines w:val="0"/>
        <w:pageBreakBefore w:val="0"/>
        <w:kinsoku/>
        <w:wordWrap/>
        <w:overflowPunct/>
        <w:topLinePunct w:val="0"/>
        <w:bidi w:val="0"/>
        <w:adjustRightInd/>
        <w:snapToGrid/>
        <w:spacing w:after="0"/>
        <w:ind w:left="0" w:leftChars="0" w:firstLine="0" w:firstLineChars="0"/>
        <w:textAlignment w:val="auto"/>
        <w:outlineLvl w:val="9"/>
        <w:rPr>
          <w:rFonts w:hint="eastAsia" w:hAnsi="宋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 xml:space="preserve">10.2  </w:t>
      </w:r>
      <w:r>
        <w:rPr>
          <w:rFonts w:hint="eastAsia" w:hAnsi="宋体"/>
          <w:color w:val="000000" w:themeColor="text1"/>
          <w14:textFill>
            <w14:solidFill>
              <w14:schemeClr w14:val="tx1"/>
            </w14:solidFill>
          </w14:textFill>
        </w:rPr>
        <w:t>根据阈值T确定P-V值t，单位为纳米。阈值P-V值t</w:t>
      </w:r>
      <w:r>
        <w:rPr>
          <w:rFonts w:hint="eastAsia" w:hAnsi="宋体"/>
          <w:color w:val="000000" w:themeColor="text1"/>
          <w:vertAlign w:val="subscript"/>
          <w14:textFill>
            <w14:solidFill>
              <w14:schemeClr w14:val="tx1"/>
            </w14:solidFill>
          </w14:textFill>
        </w:rPr>
        <w:t>1</w:t>
      </w:r>
      <w:r>
        <w:rPr>
          <w:rFonts w:hint="eastAsia" w:hAnsi="宋体"/>
          <w:color w:val="000000" w:themeColor="text1"/>
          <w14:textFill>
            <w14:solidFill>
              <w14:schemeClr w14:val="tx1"/>
            </w14:solidFill>
          </w14:textFill>
        </w:rPr>
        <w:t>和t</w:t>
      </w:r>
      <w:r>
        <w:rPr>
          <w:rFonts w:hint="eastAsia" w:hAnsi="宋体"/>
          <w:color w:val="000000" w:themeColor="text1"/>
          <w:vertAlign w:val="subscript"/>
          <w14:textFill>
            <w14:solidFill>
              <w14:schemeClr w14:val="tx1"/>
            </w14:solidFill>
          </w14:textFill>
        </w:rPr>
        <w:t>2</w:t>
      </w:r>
      <w:r>
        <w:rPr>
          <w:rFonts w:hint="eastAsia" w:hAnsi="宋体"/>
          <w:color w:val="000000" w:themeColor="text1"/>
          <w14:textFill>
            <w14:solidFill>
              <w14:schemeClr w14:val="tx1"/>
            </w14:solidFill>
          </w14:textFill>
        </w:rPr>
        <w:t>分别为2mm和10mm分析区域阈值</w:t>
      </w:r>
      <w:r>
        <w:rPr>
          <w:rFonts w:hint="eastAsia" w:hAnsi="宋体"/>
          <w:color w:val="000000" w:themeColor="text1"/>
          <w:lang w:val="en-US" w:eastAsia="zh-CN"/>
          <w14:textFill>
            <w14:solidFill>
              <w14:schemeClr w14:val="tx1"/>
            </w14:solidFill>
          </w14:textFill>
        </w:rPr>
        <w:t>T</w:t>
      </w:r>
      <w:r>
        <w:rPr>
          <w:rFonts w:hint="eastAsia" w:hAnsi="宋体"/>
          <w:color w:val="000000" w:themeColor="text1"/>
          <w14:textFill>
            <w14:solidFill>
              <w14:schemeClr w14:val="tx1"/>
            </w14:solidFill>
          </w14:textFill>
        </w:rPr>
        <w:t>处的硅片</w:t>
      </w:r>
      <w:r>
        <w:rPr>
          <w:rFonts w:hint="eastAsia" w:hAnsi="宋体"/>
          <w:color w:val="000000" w:themeColor="text1"/>
          <w:lang w:val="en-US" w:eastAsia="zh-CN"/>
          <w14:textFill>
            <w14:solidFill>
              <w14:schemeClr w14:val="tx1"/>
            </w14:solidFill>
          </w14:textFill>
        </w:rPr>
        <w:t>NT值</w:t>
      </w:r>
      <w:r>
        <w:rPr>
          <w:rFonts w:hint="eastAsia" w:hAnsi="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ind w:left="780" w:leftChars="200" w:hanging="360" w:hangingChars="200"/>
        <w:textAlignment w:val="auto"/>
        <w:outlineLvl w:val="9"/>
        <w:rPr>
          <w:rFonts w:hint="eastAsia" w:ascii="宋体" w:hAnsi="宋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注：</w:t>
      </w:r>
      <w:r>
        <w:rPr>
          <w:rFonts w:hint="eastAsia" w:ascii="宋体" w:hAnsi="宋体" w:eastAsia="黑体"/>
          <w:color w:val="000000" w:themeColor="text1"/>
          <w:sz w:val="18"/>
          <w:szCs w:val="18"/>
          <w:lang w:val="en-US" w:eastAsia="zh-CN"/>
          <w14:textFill>
            <w14:solidFill>
              <w14:schemeClr w14:val="tx1"/>
            </w14:solidFill>
          </w14:textFill>
        </w:rPr>
        <w:t>T</w:t>
      </w:r>
      <w:r>
        <w:rPr>
          <w:rFonts w:hint="eastAsia" w:ascii="宋体" w:hAnsi="宋体"/>
          <w:color w:val="000000" w:themeColor="text1"/>
          <w:sz w:val="18"/>
          <w:szCs w:val="18"/>
          <w14:textFill>
            <w14:solidFill>
              <w14:schemeClr w14:val="tx1"/>
            </w14:solidFill>
          </w14:textFill>
        </w:rPr>
        <w:t>一般情况下默认为</w:t>
      </w:r>
      <w:r>
        <w:rPr>
          <w:rFonts w:ascii="宋体" w:hAnsi="宋体"/>
          <w:color w:val="000000" w:themeColor="text1"/>
          <w:sz w:val="18"/>
          <w:szCs w:val="18"/>
          <w14:textFill>
            <w14:solidFill>
              <w14:schemeClr w14:val="tx1"/>
            </w14:solidFill>
          </w14:textFill>
        </w:rPr>
        <w:t>0.05</w:t>
      </w:r>
      <w:r>
        <w:rPr>
          <w:rFonts w:hint="eastAsia" w:ascii="宋体" w:hAnsi="宋体"/>
          <w:color w:val="000000" w:themeColor="text1"/>
          <w:sz w:val="18"/>
          <w:szCs w:val="18"/>
          <w14:textFill>
            <w14:solidFill>
              <w14:schemeClr w14:val="tx1"/>
            </w14:solidFill>
          </w14:textFill>
        </w:rPr>
        <w:t>。如：对于N为10</w:t>
      </w:r>
      <w:r>
        <w:rPr>
          <w:rFonts w:ascii="宋体" w:hAnsi="宋体"/>
          <w:color w:val="000000" w:themeColor="text1"/>
          <w:sz w:val="18"/>
          <w:szCs w:val="18"/>
          <w:vertAlign w:val="superscript"/>
          <w14:textFill>
            <w14:solidFill>
              <w14:schemeClr w14:val="tx1"/>
            </w14:solidFill>
          </w14:textFill>
        </w:rPr>
        <w:t>6</w:t>
      </w:r>
      <w:r>
        <w:rPr>
          <w:rFonts w:hint="eastAsia" w:ascii="宋体" w:hAnsi="宋体"/>
          <w:color w:val="000000" w:themeColor="text1"/>
          <w:sz w:val="18"/>
          <w:szCs w:val="18"/>
          <w14:textFill>
            <w14:solidFill>
              <w14:schemeClr w14:val="tx1"/>
            </w14:solidFill>
          </w14:textFill>
        </w:rPr>
        <w:t>个滤波之后的高度数据图，0.05%阈值处的P-V值比最大P-V值更稳定，能很好地反应出整个合格质量区内最差</w:t>
      </w:r>
      <w:r>
        <w:rPr>
          <w:rFonts w:hint="eastAsia" w:ascii="宋体" w:hAnsi="宋体"/>
          <w:color w:val="000000" w:themeColor="text1"/>
          <w:sz w:val="18"/>
          <w:szCs w:val="18"/>
          <w:lang w:val="en-US" w:eastAsia="zh-CN"/>
          <w14:textFill>
            <w14:solidFill>
              <w14:schemeClr w14:val="tx1"/>
            </w14:solidFill>
          </w14:textFill>
        </w:rPr>
        <w:t>NT</w:t>
      </w:r>
      <w:r>
        <w:rPr>
          <w:rFonts w:hint="eastAsia" w:ascii="宋体" w:hAnsi="宋体"/>
          <w:color w:val="000000" w:themeColor="text1"/>
          <w:sz w:val="18"/>
          <w:szCs w:val="18"/>
          <w14:textFill>
            <w14:solidFill>
              <w14:schemeClr w14:val="tx1"/>
            </w14:solidFill>
          </w14:textFill>
        </w:rPr>
        <w:t>的值。</w:t>
      </w:r>
    </w:p>
    <w:p>
      <w:pPr>
        <w:pStyle w:val="52"/>
        <w:keepNext w:val="0"/>
        <w:keepLines w:val="0"/>
        <w:pageBreakBefore w:val="0"/>
        <w:widowControl/>
        <w:numPr>
          <w:ilvl w:val="255"/>
          <w:numId w:val="0"/>
        </w:numPr>
        <w:kinsoku/>
        <w:wordWrap/>
        <w:overflowPunct/>
        <w:topLinePunct w:val="0"/>
        <w:autoSpaceDE/>
        <w:autoSpaceDN/>
        <w:bidi w:val="0"/>
        <w:adjustRightInd/>
        <w:snapToGrid/>
        <w:spacing w:before="312" w:after="312" w:line="240" w:lineRule="auto"/>
        <w:textAlignment w:val="auto"/>
        <w:outlineLvl w:val="1"/>
        <w:rPr>
          <w:rFonts w:hint="eastAsia" w:hAnsi="黑体"/>
          <w:color w:val="000000"/>
          <w:szCs w:val="22"/>
          <w:lang w:val="en-US" w:eastAsia="zh-CN"/>
        </w:rPr>
      </w:pPr>
      <w:r>
        <w:rPr>
          <w:rFonts w:hint="eastAsia" w:hAnsi="黑体"/>
          <w:color w:val="000000"/>
          <w:szCs w:val="22"/>
          <w:lang w:val="en-US" w:eastAsia="zh-CN"/>
        </w:rPr>
        <w:t>11  精密度</w:t>
      </w:r>
    </w:p>
    <w:p>
      <w:pPr>
        <w:keepNext w:val="0"/>
        <w:keepLines w:val="0"/>
        <w:pageBreakBefore w:val="0"/>
        <w:widowControl w:val="0"/>
        <w:kinsoku/>
        <w:wordWrap/>
        <w:overflowPunct/>
        <w:topLinePunct w:val="0"/>
        <w:autoSpaceDE/>
        <w:autoSpaceDN/>
        <w:bidi w:val="0"/>
        <w:adjustRightInd/>
        <w:snapToGrid/>
        <w:spacing w:after="0"/>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选取直径300 mm厚度范围在760μm～790 μm的3片硅抛光片及2片硅外延片样品，在5个实验分别对每个样品的进行了9次重复性测试对正表面2 mm方形分析区域进行了纳米形貌（NT）数据评价，单个实验室测试的NT相对标准偏差不大于0.60%，多个实验室测试的NT相对标准偏差不大于1.50%；</w:t>
      </w:r>
    </w:p>
    <w:p>
      <w:pPr>
        <w:keepNext w:val="0"/>
        <w:keepLines w:val="0"/>
        <w:pageBreakBefore w:val="0"/>
        <w:widowControl w:val="0"/>
        <w:kinsoku/>
        <w:wordWrap/>
        <w:overflowPunct/>
        <w:topLinePunct w:val="0"/>
        <w:autoSpaceDE/>
        <w:autoSpaceDN/>
        <w:bidi w:val="0"/>
        <w:adjustRightInd/>
        <w:snapToGrid/>
        <w:spacing w:after="0"/>
        <w:ind w:firstLine="420" w:firstLineChars="200"/>
        <w:textAlignment w:val="auto"/>
        <w:outlineLvl w:val="9"/>
        <w:rPr>
          <w:rFonts w:hint="eastAsia" w:ascii="宋体" w:hAnsi="宋体" w:eastAsia="宋体" w:cs="宋体"/>
          <w:color w:val="000000" w:themeColor="text1"/>
          <w:szCs w:val="21"/>
          <w14:textFill>
            <w14:solidFill>
              <w14:schemeClr w14:val="tx1"/>
            </w14:solidFill>
          </w14:textFill>
        </w:rPr>
      </w:pPr>
      <w:r>
        <w:rPr>
          <w:rFonts w:hint="eastAsia" w:asciiTheme="minorEastAsia" w:hAnsiTheme="minorEastAsia" w:eastAsiaTheme="minorEastAsia" w:cstheme="minorEastAsia"/>
          <w:lang w:val="en-US" w:eastAsia="zh-CN"/>
        </w:rPr>
        <w:t>对正表面10 mm方形分析区域进行了纳米形貌（NT）数据评价，单个实验室测试的NT相对标准偏差不大于0.50%，</w:t>
      </w:r>
      <w:r>
        <w:rPr>
          <w:rFonts w:hint="eastAsia" w:ascii="宋体" w:hAnsi="宋体" w:eastAsia="宋体" w:cs="宋体"/>
          <w:color w:val="000000" w:themeColor="text1"/>
          <w:szCs w:val="21"/>
          <w:lang w:eastAsia="zh-CN"/>
          <w14:textFill>
            <w14:solidFill>
              <w14:schemeClr w14:val="tx1"/>
            </w14:solidFill>
          </w14:textFill>
        </w:rPr>
        <w:t>多</w:t>
      </w:r>
      <w:r>
        <w:rPr>
          <w:rFonts w:hint="eastAsia" w:ascii="宋体" w:hAnsi="宋体" w:eastAsia="宋体" w:cs="宋体"/>
          <w:color w:val="000000" w:themeColor="text1"/>
          <w:szCs w:val="21"/>
          <w14:textFill>
            <w14:solidFill>
              <w14:schemeClr w14:val="tx1"/>
            </w14:solidFill>
          </w14:textFill>
        </w:rPr>
        <w:t>个实验室测试的</w:t>
      </w:r>
      <w:r>
        <w:rPr>
          <w:rFonts w:hint="eastAsia" w:ascii="宋体" w:hAnsi="宋体" w:eastAsia="宋体" w:cs="宋体"/>
          <w:color w:val="000000" w:themeColor="text1"/>
          <w:szCs w:val="21"/>
          <w:lang w:val="en-US" w:eastAsia="zh-CN"/>
          <w14:textFill>
            <w14:solidFill>
              <w14:schemeClr w14:val="tx1"/>
            </w14:solidFill>
          </w14:textFill>
        </w:rPr>
        <w:t>NT</w:t>
      </w:r>
      <w:r>
        <w:rPr>
          <w:rFonts w:hint="eastAsia" w:ascii="宋体" w:hAnsi="宋体" w:eastAsia="宋体" w:cs="宋体"/>
          <w:color w:val="000000" w:themeColor="text1"/>
          <w:szCs w:val="21"/>
          <w14:textFill>
            <w14:solidFill>
              <w14:schemeClr w14:val="tx1"/>
            </w14:solidFill>
          </w14:textFill>
        </w:rPr>
        <w:t>相对标准偏差不大于</w:t>
      </w:r>
      <w:r>
        <w:rPr>
          <w:rFonts w:hint="eastAsia" w:ascii="宋体" w:hAnsi="宋体" w:eastAsia="宋体" w:cs="宋体"/>
          <w:color w:val="000000" w:themeColor="text1"/>
          <w:szCs w:val="21"/>
          <w:lang w:val="en-US" w:eastAsia="zh-CN"/>
          <w14:textFill>
            <w14:solidFill>
              <w14:schemeClr w14:val="tx1"/>
            </w14:solidFill>
          </w14:textFill>
        </w:rPr>
        <w:t>2.70</w:t>
      </w:r>
      <w:r>
        <w:rPr>
          <w:rFonts w:hint="eastAsia" w:ascii="宋体" w:hAnsi="宋体" w:eastAsia="宋体" w:cs="宋体"/>
          <w:color w:val="000000" w:themeColor="text1"/>
          <w:szCs w:val="2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ind w:firstLine="420" w:firstLineChars="200"/>
        <w:textAlignment w:val="auto"/>
        <w:outlineLvl w:val="9"/>
        <w:rPr>
          <w:rFonts w:hint="eastAsia" w:ascii="宋体" w:hAnsi="宋体" w:eastAsia="宋体" w:cs="宋体"/>
          <w:color w:val="000000" w:themeColor="text1"/>
          <w:szCs w:val="21"/>
          <w:lang w:eastAsia="zh-CN"/>
          <w14:textFill>
            <w14:solidFill>
              <w14:schemeClr w14:val="tx1"/>
            </w14:solidFill>
          </w14:textFill>
        </w:rPr>
      </w:pPr>
      <w:r>
        <w:rPr>
          <w:rFonts w:hint="eastAsia" w:asciiTheme="minorEastAsia" w:hAnsiTheme="minorEastAsia" w:eastAsiaTheme="minorEastAsia" w:cstheme="minorEastAsia"/>
          <w:lang w:val="en-US" w:eastAsia="zh-CN"/>
        </w:rPr>
        <w:t>对背表面2 mm方形分析区域进行了纳米形貌（NT）数据评价，单个实验室测试的NT相对标准偏差不大于0.60%，</w:t>
      </w:r>
      <w:r>
        <w:rPr>
          <w:rFonts w:hint="eastAsia" w:ascii="宋体" w:hAnsi="宋体" w:eastAsia="宋体" w:cs="宋体"/>
          <w:color w:val="000000" w:themeColor="text1"/>
          <w:szCs w:val="21"/>
          <w:lang w:eastAsia="zh-CN"/>
          <w14:textFill>
            <w14:solidFill>
              <w14:schemeClr w14:val="tx1"/>
            </w14:solidFill>
          </w14:textFill>
        </w:rPr>
        <w:t>多</w:t>
      </w:r>
      <w:r>
        <w:rPr>
          <w:rFonts w:hint="eastAsia" w:ascii="宋体" w:hAnsi="宋体" w:eastAsia="宋体" w:cs="宋体"/>
          <w:color w:val="000000" w:themeColor="text1"/>
          <w:szCs w:val="21"/>
          <w14:textFill>
            <w14:solidFill>
              <w14:schemeClr w14:val="tx1"/>
            </w14:solidFill>
          </w14:textFill>
        </w:rPr>
        <w:t>个实验室测试的</w:t>
      </w:r>
      <w:r>
        <w:rPr>
          <w:rFonts w:hint="eastAsia" w:ascii="宋体" w:hAnsi="宋体" w:eastAsia="宋体" w:cs="宋体"/>
          <w:color w:val="000000" w:themeColor="text1"/>
          <w:szCs w:val="21"/>
          <w:lang w:val="en-US" w:eastAsia="zh-CN"/>
          <w14:textFill>
            <w14:solidFill>
              <w14:schemeClr w14:val="tx1"/>
            </w14:solidFill>
          </w14:textFill>
        </w:rPr>
        <w:t>NT</w:t>
      </w:r>
      <w:r>
        <w:rPr>
          <w:rFonts w:hint="eastAsia" w:ascii="宋体" w:hAnsi="宋体" w:eastAsia="宋体" w:cs="宋体"/>
          <w:color w:val="000000" w:themeColor="text1"/>
          <w:szCs w:val="21"/>
          <w14:textFill>
            <w14:solidFill>
              <w14:schemeClr w14:val="tx1"/>
            </w14:solidFill>
          </w14:textFill>
        </w:rPr>
        <w:t>相对标准偏差不大于</w:t>
      </w:r>
      <w:r>
        <w:rPr>
          <w:rFonts w:hint="eastAsia" w:ascii="宋体" w:hAnsi="宋体" w:eastAsia="宋体" w:cs="宋体"/>
          <w:color w:val="000000" w:themeColor="text1"/>
          <w:szCs w:val="21"/>
          <w:lang w:val="en-US" w:eastAsia="zh-CN"/>
          <w14:textFill>
            <w14:solidFill>
              <w14:schemeClr w14:val="tx1"/>
            </w14:solidFill>
          </w14:textFill>
        </w:rPr>
        <w:t>2.30</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ind w:firstLine="420" w:firstLineChars="200"/>
        <w:textAlignment w:val="auto"/>
        <w:outlineLvl w:val="9"/>
        <w:rPr>
          <w:rFonts w:hint="eastAsia" w:ascii="宋体" w:hAnsi="宋体" w:eastAsia="宋体" w:cs="宋体"/>
          <w:color w:val="000000" w:themeColor="text1"/>
          <w:szCs w:val="21"/>
          <w:lang w:eastAsia="zh-CN"/>
          <w14:textFill>
            <w14:solidFill>
              <w14:schemeClr w14:val="tx1"/>
            </w14:solidFill>
          </w14:textFill>
        </w:rPr>
      </w:pPr>
      <w:r>
        <w:rPr>
          <w:rFonts w:hint="eastAsia" w:asciiTheme="minorEastAsia" w:hAnsiTheme="minorEastAsia" w:eastAsiaTheme="minorEastAsia" w:cstheme="minorEastAsia"/>
          <w:lang w:val="en-US" w:eastAsia="zh-CN"/>
        </w:rPr>
        <w:t>对背表面10</w:t>
      </w:r>
      <w:r>
        <w:rPr>
          <w:rFonts w:hint="eastAsia" w:asciiTheme="minorEastAsia" w:hAnsiTheme="minorEastAsia" w:eastAsiaTheme="minorEastAsia" w:cstheme="minorEastAsia"/>
          <w:vertAlign w:val="superscript"/>
          <w:lang w:val="en-US" w:eastAsia="zh-CN"/>
        </w:rPr>
        <w:t xml:space="preserve"> </w:t>
      </w:r>
      <w:r>
        <w:rPr>
          <w:rFonts w:hint="eastAsia" w:asciiTheme="minorEastAsia" w:hAnsiTheme="minorEastAsia" w:eastAsiaTheme="minorEastAsia" w:cstheme="minorEastAsia"/>
          <w:lang w:val="en-US" w:eastAsia="zh-CN"/>
        </w:rPr>
        <w:t>mm方形分析区域进行了纳米形貌（NT）数据评价，单个实验室测试的NT相对标准偏差不大于0.40%，</w:t>
      </w:r>
      <w:r>
        <w:rPr>
          <w:rFonts w:hint="eastAsia" w:ascii="宋体" w:hAnsi="宋体" w:eastAsia="宋体" w:cs="宋体"/>
          <w:color w:val="000000" w:themeColor="text1"/>
          <w:szCs w:val="21"/>
          <w:lang w:eastAsia="zh-CN"/>
          <w14:textFill>
            <w14:solidFill>
              <w14:schemeClr w14:val="tx1"/>
            </w14:solidFill>
          </w14:textFill>
        </w:rPr>
        <w:t>多</w:t>
      </w:r>
      <w:r>
        <w:rPr>
          <w:rFonts w:hint="eastAsia" w:ascii="宋体" w:hAnsi="宋体" w:eastAsia="宋体" w:cs="宋体"/>
          <w:color w:val="000000" w:themeColor="text1"/>
          <w:szCs w:val="21"/>
          <w14:textFill>
            <w14:solidFill>
              <w14:schemeClr w14:val="tx1"/>
            </w14:solidFill>
          </w14:textFill>
        </w:rPr>
        <w:t>个实验室测试的</w:t>
      </w:r>
      <w:r>
        <w:rPr>
          <w:rFonts w:hint="eastAsia" w:ascii="宋体" w:hAnsi="宋体" w:eastAsia="宋体" w:cs="宋体"/>
          <w:color w:val="000000" w:themeColor="text1"/>
          <w:szCs w:val="21"/>
          <w:lang w:val="en-US" w:eastAsia="zh-CN"/>
          <w14:textFill>
            <w14:solidFill>
              <w14:schemeClr w14:val="tx1"/>
            </w14:solidFill>
          </w14:textFill>
        </w:rPr>
        <w:t>NT</w:t>
      </w:r>
      <w:r>
        <w:rPr>
          <w:rFonts w:hint="eastAsia" w:ascii="宋体" w:hAnsi="宋体" w:eastAsia="宋体" w:cs="宋体"/>
          <w:color w:val="000000" w:themeColor="text1"/>
          <w:szCs w:val="21"/>
          <w14:textFill>
            <w14:solidFill>
              <w14:schemeClr w14:val="tx1"/>
            </w14:solidFill>
          </w14:textFill>
        </w:rPr>
        <w:t>相对标准偏差不大于</w:t>
      </w:r>
      <w:r>
        <w:rPr>
          <w:rFonts w:hint="eastAsia" w:ascii="宋体" w:hAnsi="宋体" w:eastAsia="宋体" w:cs="宋体"/>
          <w:color w:val="000000" w:themeColor="text1"/>
          <w:szCs w:val="21"/>
          <w:lang w:val="en-US" w:eastAsia="zh-CN"/>
          <w14:textFill>
            <w14:solidFill>
              <w14:schemeClr w14:val="tx1"/>
            </w14:solidFill>
          </w14:textFill>
        </w:rPr>
        <w:t>1.40</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ind w:firstLine="420" w:firstLineChars="200"/>
        <w:textAlignment w:val="auto"/>
        <w:outlineLvl w:val="9"/>
        <w:rPr>
          <w:rFonts w:hint="eastAsia" w:eastAsia="宋体" w:asciiTheme="minorEastAsia" w:hAnsiTheme="minorEastAsia" w:cstheme="minorEastAsia"/>
          <w:lang w:val="en-US" w:eastAsia="zh-CN"/>
        </w:rPr>
      </w:pPr>
      <w:r>
        <w:rPr>
          <w:rFonts w:hint="eastAsia" w:asciiTheme="minorEastAsia" w:hAnsiTheme="minorEastAsia" w:eastAsiaTheme="minorEastAsia" w:cstheme="minorEastAsia"/>
          <w:lang w:val="en-US" w:eastAsia="zh-CN"/>
        </w:rPr>
        <w:t>对正表面2 mm圆形分析区域进行了纳米形貌（NT）数据评价，单个实验室测试的NT相对标准偏差不大于0.60%，</w:t>
      </w:r>
      <w:r>
        <w:rPr>
          <w:rFonts w:hint="eastAsia" w:ascii="宋体" w:hAnsi="宋体" w:eastAsia="宋体" w:cs="宋体"/>
          <w:color w:val="000000" w:themeColor="text1"/>
          <w:szCs w:val="21"/>
          <w:lang w:eastAsia="zh-CN"/>
          <w14:textFill>
            <w14:solidFill>
              <w14:schemeClr w14:val="tx1"/>
            </w14:solidFill>
          </w14:textFill>
        </w:rPr>
        <w:t>多</w:t>
      </w:r>
      <w:r>
        <w:rPr>
          <w:rFonts w:hint="eastAsia" w:ascii="宋体" w:hAnsi="宋体" w:eastAsia="宋体" w:cs="宋体"/>
          <w:color w:val="000000" w:themeColor="text1"/>
          <w:szCs w:val="21"/>
          <w14:textFill>
            <w14:solidFill>
              <w14:schemeClr w14:val="tx1"/>
            </w14:solidFill>
          </w14:textFill>
        </w:rPr>
        <w:t>个实验室测试的</w:t>
      </w:r>
      <w:r>
        <w:rPr>
          <w:rFonts w:hint="eastAsia" w:ascii="宋体" w:hAnsi="宋体" w:eastAsia="宋体" w:cs="宋体"/>
          <w:color w:val="000000" w:themeColor="text1"/>
          <w:szCs w:val="21"/>
          <w:lang w:val="en-US" w:eastAsia="zh-CN"/>
          <w14:textFill>
            <w14:solidFill>
              <w14:schemeClr w14:val="tx1"/>
            </w14:solidFill>
          </w14:textFill>
        </w:rPr>
        <w:t>NT</w:t>
      </w:r>
      <w:r>
        <w:rPr>
          <w:rFonts w:hint="eastAsia" w:ascii="宋体" w:hAnsi="宋体" w:eastAsia="宋体" w:cs="宋体"/>
          <w:color w:val="000000" w:themeColor="text1"/>
          <w:szCs w:val="21"/>
          <w14:textFill>
            <w14:solidFill>
              <w14:schemeClr w14:val="tx1"/>
            </w14:solidFill>
          </w14:textFill>
        </w:rPr>
        <w:t>相对标准偏差不大于</w:t>
      </w:r>
      <w:r>
        <w:rPr>
          <w:rFonts w:hint="eastAsia" w:ascii="宋体" w:hAnsi="宋体" w:eastAsia="宋体" w:cs="宋体"/>
          <w:color w:val="000000" w:themeColor="text1"/>
          <w:szCs w:val="21"/>
          <w:lang w:val="en-US" w:eastAsia="zh-CN"/>
          <w14:textFill>
            <w14:solidFill>
              <w14:schemeClr w14:val="tx1"/>
            </w14:solidFill>
          </w14:textFill>
        </w:rPr>
        <w:t>3.60</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对正表面10 mm圆形分析区域进行了纳米形貌（NT）数据评价，单个实验室测试的NT相对标准偏差不大于0.80%，</w:t>
      </w:r>
      <w:r>
        <w:rPr>
          <w:rFonts w:hint="eastAsia" w:ascii="宋体" w:hAnsi="宋体" w:eastAsia="宋体" w:cs="宋体"/>
          <w:color w:val="000000" w:themeColor="text1"/>
          <w:szCs w:val="21"/>
          <w:lang w:eastAsia="zh-CN"/>
          <w14:textFill>
            <w14:solidFill>
              <w14:schemeClr w14:val="tx1"/>
            </w14:solidFill>
          </w14:textFill>
        </w:rPr>
        <w:t>多</w:t>
      </w:r>
      <w:r>
        <w:rPr>
          <w:rFonts w:hint="eastAsia" w:ascii="宋体" w:hAnsi="宋体" w:eastAsia="宋体" w:cs="宋体"/>
          <w:color w:val="000000" w:themeColor="text1"/>
          <w:szCs w:val="21"/>
          <w14:textFill>
            <w14:solidFill>
              <w14:schemeClr w14:val="tx1"/>
            </w14:solidFill>
          </w14:textFill>
        </w:rPr>
        <w:t>个实验室测试的</w:t>
      </w:r>
      <w:r>
        <w:rPr>
          <w:rFonts w:hint="eastAsia" w:ascii="宋体" w:hAnsi="宋体" w:eastAsia="宋体" w:cs="宋体"/>
          <w:color w:val="000000" w:themeColor="text1"/>
          <w:szCs w:val="21"/>
          <w:lang w:val="en-US" w:eastAsia="zh-CN"/>
          <w14:textFill>
            <w14:solidFill>
              <w14:schemeClr w14:val="tx1"/>
            </w14:solidFill>
          </w14:textFill>
        </w:rPr>
        <w:t>NT</w:t>
      </w:r>
      <w:r>
        <w:rPr>
          <w:rFonts w:hint="eastAsia" w:ascii="宋体" w:hAnsi="宋体" w:eastAsia="宋体" w:cs="宋体"/>
          <w:color w:val="000000" w:themeColor="text1"/>
          <w:szCs w:val="21"/>
          <w14:textFill>
            <w14:solidFill>
              <w14:schemeClr w14:val="tx1"/>
            </w14:solidFill>
          </w14:textFill>
        </w:rPr>
        <w:t>相对标准偏差不大于</w:t>
      </w:r>
      <w:r>
        <w:rPr>
          <w:rFonts w:hint="eastAsia" w:ascii="宋体" w:hAnsi="宋体" w:eastAsia="宋体" w:cs="宋体"/>
          <w:color w:val="000000" w:themeColor="text1"/>
          <w:szCs w:val="21"/>
          <w:lang w:val="en-US" w:eastAsia="zh-CN"/>
          <w14:textFill>
            <w14:solidFill>
              <w14:schemeClr w14:val="tx1"/>
            </w14:solidFill>
          </w14:textFill>
        </w:rPr>
        <w:t>2.70</w:t>
      </w:r>
      <w:r>
        <w:rPr>
          <w:rFonts w:hint="eastAsia" w:ascii="宋体" w:hAnsi="宋体" w:eastAsia="宋体" w:cs="宋体"/>
          <w:color w:val="000000" w:themeColor="text1"/>
          <w:szCs w:val="2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对背表面2</w:t>
      </w:r>
      <w:r>
        <w:rPr>
          <w:rFonts w:hint="eastAsia" w:asciiTheme="minorEastAsia" w:hAnsiTheme="minorEastAsia" w:eastAsiaTheme="minorEastAsia" w:cstheme="minorEastAsia"/>
          <w:vertAlign w:val="subscript"/>
          <w:lang w:val="en-US" w:eastAsia="zh-CN"/>
        </w:rPr>
        <w:t xml:space="preserve"> </w:t>
      </w:r>
      <w:r>
        <w:rPr>
          <w:rFonts w:hint="eastAsia" w:asciiTheme="minorEastAsia" w:hAnsiTheme="minorEastAsia" w:eastAsiaTheme="minorEastAsia" w:cstheme="minorEastAsia"/>
          <w:lang w:val="en-US" w:eastAsia="zh-CN"/>
        </w:rPr>
        <w:t>mm圆形分析区域进行了纳米形貌（NT）数据评价，单个实验室测试的NT相对标准偏差不大于1.00%，</w:t>
      </w:r>
      <w:r>
        <w:rPr>
          <w:rFonts w:hint="eastAsia" w:ascii="宋体" w:hAnsi="宋体" w:eastAsia="宋体" w:cs="宋体"/>
          <w:color w:val="000000" w:themeColor="text1"/>
          <w:szCs w:val="21"/>
          <w:lang w:eastAsia="zh-CN"/>
          <w14:textFill>
            <w14:solidFill>
              <w14:schemeClr w14:val="tx1"/>
            </w14:solidFill>
          </w14:textFill>
        </w:rPr>
        <w:t>多</w:t>
      </w:r>
      <w:r>
        <w:rPr>
          <w:rFonts w:hint="eastAsia" w:ascii="宋体" w:hAnsi="宋体" w:eastAsia="宋体" w:cs="宋体"/>
          <w:color w:val="000000" w:themeColor="text1"/>
          <w:szCs w:val="21"/>
          <w14:textFill>
            <w14:solidFill>
              <w14:schemeClr w14:val="tx1"/>
            </w14:solidFill>
          </w14:textFill>
        </w:rPr>
        <w:t>个实验室测试的</w:t>
      </w:r>
      <w:r>
        <w:rPr>
          <w:rFonts w:hint="eastAsia" w:ascii="宋体" w:hAnsi="宋体" w:eastAsia="宋体" w:cs="宋体"/>
          <w:color w:val="000000" w:themeColor="text1"/>
          <w:szCs w:val="21"/>
          <w:lang w:val="en-US" w:eastAsia="zh-CN"/>
          <w14:textFill>
            <w14:solidFill>
              <w14:schemeClr w14:val="tx1"/>
            </w14:solidFill>
          </w14:textFill>
        </w:rPr>
        <w:t>NT</w:t>
      </w:r>
      <w:r>
        <w:rPr>
          <w:rFonts w:hint="eastAsia" w:ascii="宋体" w:hAnsi="宋体" w:eastAsia="宋体" w:cs="宋体"/>
          <w:color w:val="000000" w:themeColor="text1"/>
          <w:szCs w:val="21"/>
          <w14:textFill>
            <w14:solidFill>
              <w14:schemeClr w14:val="tx1"/>
            </w14:solidFill>
          </w14:textFill>
        </w:rPr>
        <w:t>相对标准偏差不大于</w:t>
      </w:r>
      <w:r>
        <w:rPr>
          <w:rFonts w:hint="eastAsia" w:ascii="宋体" w:hAnsi="宋体" w:eastAsia="宋体" w:cs="宋体"/>
          <w:color w:val="000000" w:themeColor="text1"/>
          <w:szCs w:val="21"/>
          <w:lang w:val="en-US" w:eastAsia="zh-CN"/>
          <w14:textFill>
            <w14:solidFill>
              <w14:schemeClr w14:val="tx1"/>
            </w14:solidFill>
          </w14:textFill>
        </w:rPr>
        <w:t>3.50</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eastAsia="zh-CN"/>
          <w14:textFill>
            <w14:solidFill>
              <w14:schemeClr w14:val="tx1"/>
            </w14:solidFill>
          </w14:textFill>
        </w:rPr>
        <w:t>；</w:t>
      </w:r>
    </w:p>
    <w:p>
      <w:pPr>
        <w:pStyle w:val="166"/>
        <w:keepNext w:val="0"/>
        <w:keepLines w:val="0"/>
        <w:pageBreakBefore w:val="0"/>
        <w:widowControl w:val="0"/>
        <w:kinsoku/>
        <w:wordWrap/>
        <w:overflowPunct/>
        <w:topLinePunct w:val="0"/>
        <w:autoSpaceDE/>
        <w:autoSpaceDN/>
        <w:bidi w:val="0"/>
        <w:adjustRightInd/>
        <w:snapToGrid/>
        <w:spacing w:after="0" w:line="288" w:lineRule="auto"/>
        <w:ind w:left="0"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对背表面10</w:t>
      </w:r>
      <w:r>
        <w:rPr>
          <w:rFonts w:hint="eastAsia" w:asciiTheme="minorEastAsia" w:hAnsiTheme="minorEastAsia" w:eastAsiaTheme="minorEastAsia" w:cstheme="minorEastAsia"/>
          <w:vertAlign w:val="superscript"/>
          <w:lang w:val="en-US" w:eastAsia="zh-CN"/>
        </w:rPr>
        <w:t xml:space="preserve"> </w:t>
      </w:r>
      <w:r>
        <w:rPr>
          <w:rFonts w:hint="eastAsia" w:asciiTheme="minorEastAsia" w:hAnsiTheme="minorEastAsia" w:eastAsiaTheme="minorEastAsia" w:cstheme="minorEastAsia"/>
          <w:lang w:val="en-US" w:eastAsia="zh-CN"/>
        </w:rPr>
        <w:t>mm圆形分析区域进行了纳米形貌（NT）数据评价，单个实验室测试的NT相对标准偏差不大于0.80%，</w:t>
      </w:r>
      <w:r>
        <w:rPr>
          <w:rFonts w:hint="eastAsia" w:ascii="宋体" w:hAnsi="宋体" w:eastAsia="宋体" w:cs="宋体"/>
          <w:color w:val="000000" w:themeColor="text1"/>
          <w:szCs w:val="21"/>
          <w:lang w:eastAsia="zh-CN"/>
          <w14:textFill>
            <w14:solidFill>
              <w14:schemeClr w14:val="tx1"/>
            </w14:solidFill>
          </w14:textFill>
        </w:rPr>
        <w:t>多</w:t>
      </w:r>
      <w:r>
        <w:rPr>
          <w:rFonts w:hint="eastAsia" w:ascii="宋体" w:hAnsi="宋体" w:eastAsia="宋体" w:cs="宋体"/>
          <w:color w:val="000000" w:themeColor="text1"/>
          <w:szCs w:val="21"/>
          <w14:textFill>
            <w14:solidFill>
              <w14:schemeClr w14:val="tx1"/>
            </w14:solidFill>
          </w14:textFill>
        </w:rPr>
        <w:t>个实验室测试的</w:t>
      </w:r>
      <w:r>
        <w:rPr>
          <w:rFonts w:hint="eastAsia" w:ascii="宋体" w:hAnsi="宋体" w:eastAsia="宋体" w:cs="宋体"/>
          <w:color w:val="000000" w:themeColor="text1"/>
          <w:szCs w:val="21"/>
          <w:lang w:val="en-US" w:eastAsia="zh-CN"/>
          <w14:textFill>
            <w14:solidFill>
              <w14:schemeClr w14:val="tx1"/>
            </w14:solidFill>
          </w14:textFill>
        </w:rPr>
        <w:t>NT</w:t>
      </w:r>
      <w:r>
        <w:rPr>
          <w:rFonts w:hint="eastAsia" w:ascii="宋体" w:hAnsi="宋体" w:eastAsia="宋体" w:cs="宋体"/>
          <w:color w:val="000000" w:themeColor="text1"/>
          <w:szCs w:val="21"/>
          <w14:textFill>
            <w14:solidFill>
              <w14:schemeClr w14:val="tx1"/>
            </w14:solidFill>
          </w14:textFill>
        </w:rPr>
        <w:t>相对标准偏差不大于</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00</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eastAsia="zh-CN"/>
          <w14:textFill>
            <w14:solidFill>
              <w14:schemeClr w14:val="tx1"/>
            </w14:solidFill>
          </w14:textFill>
        </w:rPr>
        <w:t>。</w:t>
      </w:r>
    </w:p>
    <w:p>
      <w:pPr>
        <w:pStyle w:val="52"/>
        <w:spacing w:before="312" w:after="312" w:line="240" w:lineRule="auto"/>
        <w:rPr>
          <w:color w:val="000000"/>
        </w:rPr>
      </w:pPr>
      <w:r>
        <w:rPr>
          <w:rFonts w:hint="eastAsia"/>
          <w:color w:val="000000" w:themeColor="text1"/>
          <w14:textFill>
            <w14:solidFill>
              <w14:schemeClr w14:val="tx1"/>
            </w14:solidFill>
          </w14:textFill>
        </w:rPr>
        <w:t>12</w:t>
      </w:r>
      <w:r>
        <w:rPr>
          <w:color w:val="000000" w:themeColor="text1"/>
          <w14:textFill>
            <w14:solidFill>
              <w14:schemeClr w14:val="tx1"/>
            </w14:solidFill>
          </w14:textFill>
        </w:rPr>
        <w:t xml:space="preserve">  </w:t>
      </w:r>
      <w:bookmarkStart w:id="13" w:name="_Toc41299125"/>
      <w:r>
        <w:rPr>
          <w:rFonts w:hint="eastAsia"/>
          <w:color w:val="000000"/>
        </w:rPr>
        <w:t>试验报告</w:t>
      </w:r>
    </w:p>
    <w:p>
      <w:pPr>
        <w:spacing w:after="0" w:line="240" w:lineRule="auto"/>
        <w:ind w:firstLine="420" w:firstLineChars="200"/>
        <w:rPr>
          <w:szCs w:val="22"/>
        </w:rPr>
      </w:pPr>
      <w:r>
        <w:rPr>
          <w:rFonts w:hint="eastAsia"/>
          <w:szCs w:val="22"/>
        </w:rPr>
        <w:t>试验报告应至少包括以下内容：</w:t>
      </w:r>
    </w:p>
    <w:bookmarkEnd w:id="13"/>
    <w:p>
      <w:pPr>
        <w:pStyle w:val="26"/>
        <w:numPr>
          <w:ilvl w:val="0"/>
          <w:numId w:val="20"/>
        </w:numPr>
        <w:spacing w:after="0" w:line="240" w:lineRule="auto"/>
        <w:ind w:left="840" w:hanging="420" w:firstLineChars="0"/>
        <w:rPr>
          <w:rFonts w:hint="eastAsia" w:hAnsi="宋体"/>
          <w:kern w:val="2"/>
          <w:szCs w:val="22"/>
        </w:rPr>
      </w:pPr>
      <w:r>
        <w:rPr>
          <w:rFonts w:hint="eastAsia" w:hAnsi="宋体"/>
          <w:kern w:val="2"/>
          <w:szCs w:val="22"/>
        </w:rPr>
        <w:t>测试</w:t>
      </w:r>
      <w:r>
        <w:rPr>
          <w:rFonts w:hint="eastAsia" w:hAnsi="宋体"/>
          <w:kern w:val="2"/>
          <w:szCs w:val="22"/>
          <w:lang w:val="en-US" w:eastAsia="zh-CN"/>
        </w:rPr>
        <w:t>时间</w:t>
      </w:r>
      <w:r>
        <w:rPr>
          <w:rFonts w:hint="eastAsia" w:hAnsi="宋体"/>
          <w:kern w:val="2"/>
          <w:szCs w:val="22"/>
        </w:rPr>
        <w:t>；</w:t>
      </w:r>
    </w:p>
    <w:p>
      <w:pPr>
        <w:pStyle w:val="26"/>
        <w:numPr>
          <w:ilvl w:val="0"/>
          <w:numId w:val="20"/>
        </w:numPr>
        <w:spacing w:after="0" w:line="240" w:lineRule="auto"/>
        <w:ind w:left="840" w:hanging="420" w:firstLineChars="0"/>
        <w:rPr>
          <w:rFonts w:hint="eastAsia" w:hAnsi="宋体"/>
          <w:kern w:val="2"/>
          <w:szCs w:val="22"/>
        </w:rPr>
      </w:pPr>
      <w:r>
        <w:rPr>
          <w:rFonts w:hint="eastAsia" w:hAnsi="宋体"/>
          <w:kern w:val="2"/>
          <w:szCs w:val="22"/>
        </w:rPr>
        <w:t>操作者；</w:t>
      </w:r>
    </w:p>
    <w:p>
      <w:pPr>
        <w:pStyle w:val="26"/>
        <w:numPr>
          <w:ilvl w:val="0"/>
          <w:numId w:val="20"/>
        </w:numPr>
        <w:spacing w:after="0" w:line="240" w:lineRule="auto"/>
        <w:ind w:left="840" w:hanging="420" w:firstLineChars="0"/>
        <w:rPr>
          <w:rFonts w:hint="eastAsia" w:hAnsi="宋体"/>
          <w:kern w:val="2"/>
          <w:szCs w:val="22"/>
        </w:rPr>
      </w:pPr>
      <w:r>
        <w:rPr>
          <w:rFonts w:hint="eastAsia" w:hAnsi="宋体"/>
          <w:kern w:val="2"/>
          <w:szCs w:val="22"/>
          <w:lang w:val="en-US" w:eastAsia="zh-CN"/>
        </w:rPr>
        <w:t>仪器设备</w:t>
      </w:r>
      <w:r>
        <w:rPr>
          <w:rFonts w:hint="eastAsia" w:hAnsi="宋体"/>
          <w:kern w:val="2"/>
          <w:szCs w:val="22"/>
        </w:rPr>
        <w:t>；</w:t>
      </w:r>
    </w:p>
    <w:p>
      <w:pPr>
        <w:pStyle w:val="26"/>
        <w:numPr>
          <w:ilvl w:val="0"/>
          <w:numId w:val="20"/>
        </w:numPr>
        <w:spacing w:after="0" w:line="240" w:lineRule="auto"/>
        <w:ind w:left="840" w:hanging="420" w:firstLineChars="0"/>
        <w:rPr>
          <w:rFonts w:hint="eastAsia" w:hAnsi="宋体"/>
          <w:kern w:val="2"/>
          <w:szCs w:val="22"/>
        </w:rPr>
      </w:pPr>
      <w:r>
        <w:rPr>
          <w:rFonts w:hint="eastAsia" w:hAnsi="宋体"/>
          <w:kern w:val="2"/>
          <w:szCs w:val="22"/>
        </w:rPr>
        <w:t>样品批号和硅片编号、硅片尺寸、标称边缘去除；</w:t>
      </w:r>
    </w:p>
    <w:p>
      <w:pPr>
        <w:pStyle w:val="26"/>
        <w:numPr>
          <w:ilvl w:val="0"/>
          <w:numId w:val="20"/>
        </w:numPr>
        <w:spacing w:after="0" w:line="240" w:lineRule="auto"/>
        <w:ind w:left="840" w:hanging="420" w:firstLineChars="0"/>
        <w:rPr>
          <w:rFonts w:hint="eastAsia" w:hAnsi="宋体"/>
          <w:kern w:val="2"/>
          <w:szCs w:val="22"/>
        </w:rPr>
      </w:pPr>
      <w:r>
        <w:rPr>
          <w:rFonts w:hint="eastAsia" w:hAnsi="宋体"/>
          <w:kern w:val="2"/>
          <w:szCs w:val="22"/>
        </w:rPr>
        <w:t>分析区域的形状、尺寸；</w:t>
      </w:r>
    </w:p>
    <w:p>
      <w:pPr>
        <w:pStyle w:val="26"/>
        <w:numPr>
          <w:ilvl w:val="0"/>
          <w:numId w:val="20"/>
        </w:numPr>
        <w:spacing w:after="0" w:line="240" w:lineRule="auto"/>
        <w:ind w:left="840" w:hanging="420" w:firstLineChars="0"/>
        <w:rPr>
          <w:rFonts w:hint="eastAsia" w:hAnsi="宋体"/>
          <w:kern w:val="2"/>
          <w:szCs w:val="22"/>
        </w:rPr>
      </w:pPr>
      <w:r>
        <w:rPr>
          <w:rFonts w:hint="eastAsia" w:hAnsi="宋体"/>
          <w:kern w:val="2"/>
          <w:szCs w:val="22"/>
        </w:rPr>
        <w:t>t</w:t>
      </w:r>
      <w:r>
        <w:rPr>
          <w:rFonts w:hint="eastAsia" w:hAnsi="宋体"/>
          <w:kern w:val="2"/>
          <w:szCs w:val="22"/>
          <w:vertAlign w:val="subscript"/>
        </w:rPr>
        <w:t>1</w:t>
      </w:r>
      <w:r>
        <w:rPr>
          <w:rFonts w:hint="eastAsia" w:hAnsi="宋体"/>
          <w:kern w:val="2"/>
          <w:szCs w:val="22"/>
        </w:rPr>
        <w:t>和t</w:t>
      </w:r>
      <w:r>
        <w:rPr>
          <w:rFonts w:hAnsi="宋体"/>
          <w:kern w:val="2"/>
          <w:szCs w:val="22"/>
          <w:vertAlign w:val="subscript"/>
        </w:rPr>
        <w:t>2</w:t>
      </w:r>
      <w:r>
        <w:rPr>
          <w:rFonts w:hint="eastAsia" w:hAnsi="宋体"/>
          <w:kern w:val="2"/>
          <w:szCs w:val="22"/>
        </w:rPr>
        <w:t>为0.05%阈值时，</w:t>
      </w:r>
      <w:r>
        <w:rPr>
          <w:rFonts w:hint="eastAsia" w:hAnsi="宋体"/>
          <w:kern w:val="2"/>
          <w:szCs w:val="22"/>
          <w:lang w:val="en-US" w:eastAsia="zh-CN"/>
        </w:rPr>
        <w:t>不同</w:t>
      </w:r>
      <w:r>
        <w:rPr>
          <w:rFonts w:hint="eastAsia" w:hAnsi="宋体"/>
          <w:kern w:val="2"/>
          <w:szCs w:val="22"/>
        </w:rPr>
        <w:t>分析区域的</w:t>
      </w:r>
      <w:r>
        <w:rPr>
          <w:rFonts w:hint="eastAsia" w:hAnsi="宋体"/>
          <w:kern w:val="2"/>
          <w:szCs w:val="22"/>
          <w:lang w:val="en-US" w:eastAsia="zh-CN"/>
        </w:rPr>
        <w:t>纳米形貌值</w:t>
      </w:r>
      <w:r>
        <w:rPr>
          <w:rFonts w:hint="eastAsia" w:hAnsi="宋体"/>
          <w:kern w:val="2"/>
          <w:szCs w:val="22"/>
        </w:rPr>
        <w:t>；</w:t>
      </w:r>
    </w:p>
    <w:p>
      <w:pPr>
        <w:pStyle w:val="26"/>
        <w:numPr>
          <w:ilvl w:val="0"/>
          <w:numId w:val="20"/>
        </w:numPr>
        <w:spacing w:after="0" w:line="240" w:lineRule="auto"/>
        <w:ind w:left="840" w:hanging="420" w:firstLineChars="0"/>
        <w:rPr>
          <w:rFonts w:hint="eastAsia" w:hAnsi="宋体"/>
          <w:kern w:val="2"/>
          <w:szCs w:val="22"/>
        </w:rPr>
      </w:pPr>
      <w:r>
        <w:rPr>
          <w:rFonts w:hint="eastAsia" w:hAnsi="宋体"/>
          <w:kern w:val="2"/>
          <w:szCs w:val="22"/>
        </w:rPr>
        <w:t>本文件编号。</w:t>
      </w:r>
    </w:p>
    <w:p>
      <w:pPr>
        <w:widowControl/>
        <w:spacing w:after="0" w:line="240" w:lineRule="auto"/>
        <w:jc w:val="left"/>
        <w:rPr>
          <w:rFonts w:hint="eastAsia" w:ascii="宋体" w:hAnsi="黑体"/>
          <w:kern w:val="0"/>
          <w:szCs w:val="20"/>
        </w:rPr>
      </w:pPr>
      <w:r>
        <w:rPr>
          <w:rFonts w:hAnsi="黑体"/>
        </w:rPr>
        <w:br w:type="page"/>
      </w:r>
    </w:p>
    <w:p>
      <w:pPr>
        <w:pStyle w:val="26"/>
        <w:spacing w:after="0" w:line="240" w:lineRule="auto"/>
        <w:ind w:firstLine="0" w:firstLineChars="0"/>
        <w:jc w:val="center"/>
        <w:rPr>
          <w:rFonts w:hint="eastAsia" w:ascii="黑体" w:hAnsi="黑体" w:eastAsia="黑体" w:cs="黑体"/>
        </w:rPr>
      </w:pPr>
      <w:r>
        <w:rPr>
          <w:rFonts w:hint="eastAsia" w:ascii="黑体" w:hAnsi="黑体" w:eastAsia="黑体" w:cs="黑体"/>
        </w:rPr>
        <w:t xml:space="preserve">附 录 </w:t>
      </w:r>
      <w:r>
        <w:rPr>
          <w:rFonts w:ascii="黑体" w:hAnsi="黑体" w:eastAsia="黑体" w:cs="黑体"/>
        </w:rPr>
        <w:t>A</w:t>
      </w:r>
    </w:p>
    <w:p>
      <w:pPr>
        <w:pStyle w:val="109"/>
        <w:numPr>
          <w:ilvl w:val="0"/>
          <w:numId w:val="0"/>
        </w:numPr>
        <w:spacing w:beforeLines="0" w:afterLines="0" w:line="240" w:lineRule="auto"/>
        <w:jc w:val="center"/>
        <w:rPr>
          <w:rFonts w:hint="eastAsia" w:hAnsi="黑体" w:cs="黑体"/>
        </w:rPr>
      </w:pPr>
      <w:r>
        <w:rPr>
          <w:rFonts w:hint="eastAsia" w:hAnsi="黑体" w:cs="黑体"/>
        </w:rPr>
        <w:t>（资料性）</w:t>
      </w:r>
    </w:p>
    <w:p>
      <w:pPr>
        <w:jc w:val="center"/>
      </w:pPr>
      <w:r>
        <w:rPr>
          <w:rFonts w:hint="eastAsia" w:ascii="黑体" w:hAnsi="黑体" w:eastAsia="黑体" w:cs="黑体"/>
        </w:rPr>
        <w:t>滤波器的分类及相关介绍</w:t>
      </w:r>
    </w:p>
    <w:p>
      <w:pPr>
        <w:pStyle w:val="26"/>
        <w:spacing w:before="156" w:beforeLines="50" w:after="156" w:afterLines="50"/>
        <w:ind w:firstLine="0" w:firstLineChars="0"/>
        <w:contextualSpacing/>
        <w:rPr>
          <w:rFonts w:hint="eastAsia" w:ascii="黑体" w:hAnsi="黑体" w:eastAsia="黑体"/>
        </w:rPr>
      </w:pPr>
      <w:r>
        <w:rPr>
          <w:rFonts w:ascii="黑体" w:hAnsi="黑体" w:eastAsia="黑体"/>
        </w:rPr>
        <w:t>A.1</w:t>
      </w:r>
      <w:r>
        <w:rPr>
          <w:rFonts w:hint="eastAsia" w:ascii="黑体" w:hAnsi="黑体" w:eastAsia="黑体"/>
        </w:rPr>
        <w:t xml:space="preserve">  双高斯高通滤波器</w:t>
      </w:r>
    </w:p>
    <w:p>
      <w:pPr>
        <w:spacing w:after="0"/>
        <w:rPr>
          <w:rFonts w:hint="eastAsia" w:ascii="宋体" w:hAnsi="宋体"/>
        </w:rPr>
      </w:pPr>
      <w:r>
        <w:rPr>
          <w:rFonts w:ascii="黑体" w:hAnsi="黑体" w:eastAsia="黑体"/>
        </w:rPr>
        <w:t>A.1.1</w:t>
      </w:r>
      <w:r>
        <w:rPr>
          <w:rFonts w:hint="eastAsia" w:ascii="黑体" w:hAnsi="黑体" w:eastAsia="黑体"/>
        </w:rPr>
        <w:t xml:space="preserve"> </w:t>
      </w:r>
      <w:r>
        <w:rPr>
          <w:rFonts w:ascii="宋体" w:hAnsi="宋体"/>
        </w:rPr>
        <w:t xml:space="preserve"> </w:t>
      </w:r>
      <w:r>
        <w:rPr>
          <w:rFonts w:hint="eastAsia" w:ascii="宋体" w:hAnsi="宋体"/>
        </w:rPr>
        <w:t>对采集的高度数据阵列进行滤波，去除硅片宏观变形（低频），保留微管纳米特征（高频）。滤波器由其传输函数G(</w:t>
      </w:r>
      <w:r>
        <w:rPr>
          <w:rFonts w:hint="eastAsia" w:ascii="宋体" w:hAnsi="宋体"/>
          <w:i/>
          <w:iCs/>
        </w:rPr>
        <w:t>λ</w:t>
      </w:r>
      <w:r>
        <w:rPr>
          <w:rFonts w:hint="eastAsia" w:ascii="宋体" w:hAnsi="宋体"/>
        </w:rPr>
        <w:t>，</w:t>
      </w:r>
      <w:r>
        <w:rPr>
          <w:rFonts w:hint="eastAsia" w:ascii="宋体" w:hAnsi="宋体"/>
          <w:i/>
          <w:iCs/>
        </w:rPr>
        <w:t>λ</w:t>
      </w:r>
      <w:r>
        <w:rPr>
          <w:rFonts w:ascii="宋体" w:hAnsi="宋体"/>
          <w:i/>
          <w:iCs/>
        </w:rPr>
        <w:t>c</w:t>
      </w:r>
      <w:r>
        <w:rPr>
          <w:rFonts w:hint="eastAsia" w:ascii="宋体" w:hAnsi="宋体"/>
        </w:rPr>
        <w:t>)是空间波长λ的函数。G 在截止波长</w:t>
      </w:r>
      <w:r>
        <w:rPr>
          <w:rFonts w:hint="eastAsia" w:ascii="宋体" w:hAnsi="宋体"/>
          <w:i/>
          <w:iCs/>
        </w:rPr>
        <w:t>λ</w:t>
      </w:r>
      <w:r>
        <w:rPr>
          <w:rFonts w:ascii="宋体" w:hAnsi="宋体"/>
          <w:i/>
          <w:iCs/>
        </w:rPr>
        <w:t>c</w:t>
      </w:r>
      <w:r>
        <w:rPr>
          <w:rFonts w:hint="eastAsia" w:ascii="宋体" w:hAnsi="宋体"/>
        </w:rPr>
        <w:t>处的取值定义为0.5。</w:t>
      </w:r>
    </w:p>
    <w:p>
      <w:pPr>
        <w:pStyle w:val="26"/>
        <w:ind w:firstLine="0" w:firstLineChars="0"/>
        <w:rPr>
          <w:rFonts w:hint="eastAsia" w:ascii="黑体" w:hAnsi="宋体" w:eastAsia="黑体"/>
        </w:rPr>
      </w:pPr>
      <w:r>
        <w:rPr>
          <w:rFonts w:ascii="黑体" w:hAnsi="黑体" w:eastAsia="黑体"/>
        </w:rPr>
        <w:t xml:space="preserve">A.1.2 </w:t>
      </w:r>
      <w:r>
        <w:rPr>
          <w:rFonts w:ascii="黑体" w:hAnsi="宋体" w:eastAsia="黑体"/>
        </w:rPr>
        <w:t xml:space="preserve"> </w:t>
      </w:r>
      <w:r>
        <w:rPr>
          <w:rFonts w:hint="eastAsia" w:ascii="黑体" w:hAnsi="宋体" w:eastAsia="黑体"/>
        </w:rPr>
        <w:t>纳米形貌的测试采用双高斯高通滤波器。</w:t>
      </w:r>
    </w:p>
    <w:p>
      <w:pPr>
        <w:pStyle w:val="26"/>
        <w:spacing w:after="0"/>
        <w:ind w:firstLine="0" w:firstLineChars="0"/>
        <w:rPr>
          <w:rFonts w:hint="eastAsia" w:ascii="黑体" w:hAnsi="黑体" w:eastAsia="黑体"/>
        </w:rPr>
      </w:pPr>
      <w:r>
        <w:rPr>
          <w:rFonts w:hint="eastAsia" w:hAnsi="宋体"/>
        </w:rPr>
        <w:t>该滤波器通常通过对高度数据阵列进行低通滤波并从原始高度数据中减去低通滤波来实现，公式如下：</w:t>
      </w:r>
    </w:p>
    <w:p>
      <w:pPr>
        <w:pStyle w:val="26"/>
        <w:spacing w:after="0"/>
      </w:pPr>
      <w:r>
        <w:rPr>
          <w:rFonts w:hint="eastAsia"/>
        </w:rPr>
        <w:t xml:space="preserve">                                   </w:t>
      </w:r>
      <m:oMath>
        <m:sSub>
          <m:sSubPr>
            <m:ctrlPr>
              <w:rPr>
                <w:rFonts w:ascii="Cambria Math" w:hAnsi="Cambria Math"/>
                <w:i/>
              </w:rPr>
            </m:ctrlPr>
          </m:sSubPr>
          <m:e>
            <m:r>
              <w:rPr>
                <w:rFonts w:ascii="Cambria Math" w:hAnsi="Cambria Math"/>
              </w:rPr>
              <m:t>G</m:t>
            </m:r>
            <m:ctrlPr>
              <w:rPr>
                <w:rFonts w:ascii="Cambria Math" w:hAnsi="Cambria Math"/>
                <w:i/>
              </w:rPr>
            </m:ctrlPr>
          </m:e>
          <m:sub>
            <m:r>
              <w:rPr>
                <w:rFonts w:ascii="Cambria Math" w:hAnsi="Cambria Math"/>
              </w:rPr>
              <m:t>DHP</m:t>
            </m:r>
            <m:ctrlPr>
              <w:rPr>
                <w:rFonts w:ascii="Cambria Math" w:hAnsi="Cambria Math"/>
                <w:i/>
              </w:rPr>
            </m:ctrlPr>
          </m:sub>
        </m:sSub>
        <m:r>
          <w:rPr>
            <w:rFonts w:ascii="Cambria Math" w:hAnsi="Cambria Math"/>
          </w:rPr>
          <m:t>=1-</m:t>
        </m:r>
        <m:sSub>
          <m:sSubPr>
            <m:ctrlPr>
              <w:rPr>
                <w:rFonts w:ascii="Cambria Math" w:hAnsi="Cambria Math"/>
                <w:i/>
              </w:rPr>
            </m:ctrlPr>
          </m:sSubPr>
          <m:e>
            <m:r>
              <w:rPr>
                <w:rFonts w:ascii="Cambria Math" w:hAnsi="Cambria Math"/>
              </w:rPr>
              <m:t>G</m:t>
            </m:r>
            <m:ctrlPr>
              <w:rPr>
                <w:rFonts w:ascii="Cambria Math" w:hAnsi="Cambria Math"/>
                <w:i/>
              </w:rPr>
            </m:ctrlPr>
          </m:e>
          <m:sub>
            <m:r>
              <w:rPr>
                <w:rFonts w:ascii="Cambria Math" w:hAnsi="Cambria Math"/>
              </w:rPr>
              <m:t>DLP</m:t>
            </m:r>
            <m:ctrlPr>
              <w:rPr>
                <w:rFonts w:ascii="Cambria Math" w:hAnsi="Cambria Math"/>
                <w:i/>
              </w:rPr>
            </m:ctrlPr>
          </m:sub>
        </m:sSub>
      </m:oMath>
      <w:r>
        <w:t>……………………………………</w:t>
      </w:r>
      <w:r>
        <w:rPr>
          <w:rFonts w:hint="eastAsia"/>
        </w:rPr>
        <w:t>.(A.1)</w:t>
      </w:r>
    </w:p>
    <w:p>
      <w:pPr>
        <w:spacing w:after="0"/>
      </w:pPr>
      <w:r>
        <w:rPr>
          <w:i/>
          <w:iCs/>
        </w:rPr>
        <w:t>G</w:t>
      </w:r>
      <w:r>
        <w:rPr>
          <w:vertAlign w:val="subscript"/>
        </w:rPr>
        <w:t>DLP</w:t>
      </w:r>
      <w:r>
        <w:rPr>
          <w:rFonts w:hint="eastAsia"/>
        </w:rPr>
        <w:t>为双高斯低通滤波器响应，公式如下：</w:t>
      </w:r>
    </w:p>
    <w:p>
      <w:pPr>
        <w:pStyle w:val="26"/>
      </w:pPr>
      <w:r>
        <w:rPr>
          <w:rFonts w:hint="eastAsia"/>
        </w:rPr>
        <w:t xml:space="preserve">                            </w:t>
      </w:r>
      <m:oMath>
        <m:sSub>
          <m:sSubPr>
            <m:ctrlPr>
              <w:rPr>
                <w:rFonts w:ascii="Cambria Math" w:hAnsi="Cambria Math"/>
                <w:i/>
              </w:rPr>
            </m:ctrlPr>
          </m:sSubPr>
          <m:e>
            <m:r>
              <w:rPr>
                <w:rFonts w:ascii="Cambria Math" w:hAnsi="Cambria Math"/>
              </w:rPr>
              <m:t>G</m:t>
            </m:r>
            <m:ctrlPr>
              <w:rPr>
                <w:rFonts w:ascii="Cambria Math" w:hAnsi="Cambria Math"/>
                <w:i/>
              </w:rPr>
            </m:ctrlPr>
          </m:e>
          <m:sub>
            <m:r>
              <w:rPr>
                <w:rFonts w:ascii="Cambria Math" w:hAnsi="Cambria Math"/>
              </w:rPr>
              <m:t>DLP</m:t>
            </m:r>
            <m:ctrlPr>
              <w:rPr>
                <w:rFonts w:ascii="Cambria Math" w:hAnsi="Cambria Math"/>
                <w:i/>
              </w:rPr>
            </m:ctrlPr>
          </m:sub>
        </m:sSub>
        <m:d>
          <m:dPr>
            <m:ctrlPr>
              <w:rPr>
                <w:rFonts w:ascii="Cambria Math" w:hAnsi="Cambria Math"/>
                <w:i/>
              </w:rPr>
            </m:ctrlPr>
          </m:dPr>
          <m:e>
            <m:r>
              <w:rPr>
                <w:rFonts w:ascii="Cambria Math" w:hAnsi="Cambria Math"/>
              </w:rPr>
              <m:t>λ</m:t>
            </m:r>
            <m:r>
              <w:rPr>
                <w:rFonts w:hint="eastAsia" w:ascii="Cambria Math" w:hAnsi="Cambria Math"/>
              </w:rPr>
              <m:t>，</m:t>
            </m:r>
            <m:sSub>
              <m:sSubPr>
                <m:ctrlPr>
                  <w:rPr>
                    <w:rFonts w:ascii="Cambria Math" w:hAnsi="Cambria Math"/>
                    <w:i/>
                  </w:rPr>
                </m:ctrlPr>
              </m:sSubPr>
              <m:e>
                <m:r>
                  <w:rPr>
                    <w:rFonts w:ascii="Cambria Math" w:hAnsi="Cambria Math"/>
                  </w:rPr>
                  <m:t>λ</m:t>
                </m:r>
                <m:ctrlPr>
                  <w:rPr>
                    <w:rFonts w:ascii="Cambria Math" w:hAnsi="Cambria Math"/>
                    <w:i/>
                  </w:rPr>
                </m:ctrlPr>
              </m:e>
              <m:sub>
                <m:r>
                  <w:rPr>
                    <w:rFonts w:hint="eastAsia" w:ascii="Cambria Math" w:hAnsi="Cambria Math"/>
                  </w:rPr>
                  <m:t>c</m:t>
                </m:r>
                <m:ctrlPr>
                  <w:rPr>
                    <w:rFonts w:ascii="Cambria Math" w:hAnsi="Cambria Math"/>
                    <w:i/>
                  </w:rPr>
                </m:ctrlPr>
              </m:sub>
            </m:sSub>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G</m:t>
            </m:r>
            <m:ctrlPr>
              <w:rPr>
                <w:rFonts w:ascii="Cambria Math" w:hAnsi="Cambria Math"/>
                <w:i/>
              </w:rPr>
            </m:ctrlPr>
          </m:e>
          <m:sub>
            <m:r>
              <w:rPr>
                <w:rFonts w:ascii="Cambria Math" w:hAnsi="Cambria Math"/>
              </w:rPr>
              <m:t>LP</m:t>
            </m:r>
            <m:ctrlPr>
              <w:rPr>
                <w:rFonts w:ascii="Cambria Math" w:hAnsi="Cambria Math"/>
                <w:i/>
              </w:rPr>
            </m:ctrlPr>
          </m:sub>
        </m:sSub>
        <m:r>
          <w:rPr>
            <w:rFonts w:ascii="Cambria Math" w:hAnsi="Cambria Math"/>
          </w:rPr>
          <m:t>(λ,1.331</m:t>
        </m:r>
        <m:sSub>
          <m:sSubPr>
            <m:ctrlPr>
              <w:rPr>
                <w:rFonts w:ascii="Cambria Math" w:hAnsi="Cambria Math"/>
                <w:i/>
              </w:rPr>
            </m:ctrlPr>
          </m:sSubPr>
          <m:e>
            <m:r>
              <w:rPr>
                <w:rFonts w:ascii="Cambria Math" w:hAnsi="Cambria Math"/>
              </w:rPr>
              <m:t>λ</m:t>
            </m:r>
            <m:ctrlPr>
              <w:rPr>
                <w:rFonts w:ascii="Cambria Math" w:hAnsi="Cambria Math"/>
                <w:i/>
              </w:rPr>
            </m:ctrlPr>
          </m:e>
          <m:sub>
            <m:r>
              <w:rPr>
                <w:rFonts w:ascii="Cambria Math" w:hAnsi="Cambria Math"/>
              </w:rPr>
              <m:t>c</m:t>
            </m:r>
            <m:ctrlPr>
              <w:rPr>
                <w:rFonts w:ascii="Cambria Math" w:hAnsi="Cambria Math"/>
                <w:i/>
              </w:rPr>
            </m:ctrlPr>
          </m:sub>
        </m:sSub>
        <m:r>
          <w:rPr>
            <w:rFonts w:ascii="Cambria Math" w:hAnsi="Cambria Math"/>
          </w:rPr>
          <m:t>)∙(2-</m:t>
        </m:r>
        <m:sSub>
          <m:sSubPr>
            <m:ctrlPr>
              <w:rPr>
                <w:rFonts w:ascii="Cambria Math" w:hAnsi="Cambria Math"/>
                <w:i/>
              </w:rPr>
            </m:ctrlPr>
          </m:sSubPr>
          <m:e>
            <m:r>
              <w:rPr>
                <w:rFonts w:ascii="Cambria Math" w:hAnsi="Cambria Math"/>
              </w:rPr>
              <m:t>G</m:t>
            </m:r>
            <m:ctrlPr>
              <w:rPr>
                <w:rFonts w:ascii="Cambria Math" w:hAnsi="Cambria Math"/>
                <w:i/>
              </w:rPr>
            </m:ctrlPr>
          </m:e>
          <m:sub>
            <m:r>
              <w:rPr>
                <w:rFonts w:ascii="Cambria Math" w:hAnsi="Cambria Math"/>
              </w:rPr>
              <m:t>LP</m:t>
            </m:r>
            <m:ctrlPr>
              <w:rPr>
                <w:rFonts w:ascii="Cambria Math" w:hAnsi="Cambria Math"/>
                <w:i/>
              </w:rPr>
            </m:ctrlPr>
          </m:sub>
        </m:sSub>
        <m:d>
          <m:dPr>
            <m:ctrlPr>
              <w:rPr>
                <w:rFonts w:ascii="Cambria Math" w:hAnsi="Cambria Math"/>
                <w:i/>
              </w:rPr>
            </m:ctrlPr>
          </m:dPr>
          <m:e>
            <m:r>
              <w:rPr>
                <w:rFonts w:ascii="Cambria Math" w:hAnsi="Cambria Math"/>
              </w:rPr>
              <m:t>λ,1.331</m:t>
            </m:r>
            <m:sSub>
              <m:sSubPr>
                <m:ctrlPr>
                  <w:rPr>
                    <w:rFonts w:ascii="Cambria Math" w:hAnsi="Cambria Math"/>
                    <w:i/>
                  </w:rPr>
                </m:ctrlPr>
              </m:sSubPr>
              <m:e>
                <m:r>
                  <w:rPr>
                    <w:rFonts w:ascii="Cambria Math" w:hAnsi="Cambria Math"/>
                  </w:rPr>
                  <m:t>λ</m:t>
                </m:r>
                <m:ctrlPr>
                  <w:rPr>
                    <w:rFonts w:ascii="Cambria Math" w:hAnsi="Cambria Math"/>
                    <w:i/>
                  </w:rPr>
                </m:ctrlPr>
              </m:e>
              <m:sub>
                <m:r>
                  <w:rPr>
                    <w:rFonts w:ascii="Cambria Math" w:hAnsi="Cambria Math"/>
                  </w:rPr>
                  <m:t>c</m:t>
                </m:r>
                <m:ctrlPr>
                  <w:rPr>
                    <w:rFonts w:ascii="Cambria Math" w:hAnsi="Cambria Math"/>
                    <w:i/>
                  </w:rPr>
                </m:ctrlPr>
              </m:sub>
            </m:sSub>
            <m:ctrlPr>
              <w:rPr>
                <w:rFonts w:ascii="Cambria Math" w:hAnsi="Cambria Math"/>
                <w:i/>
              </w:rPr>
            </m:ctrlPr>
          </m:e>
        </m:d>
      </m:oMath>
      <w:r>
        <w:t>………</w:t>
      </w:r>
      <w:r>
        <w:rPr>
          <w:rFonts w:hint="eastAsia"/>
        </w:rPr>
        <w:t>（A.2）</w:t>
      </w:r>
    </w:p>
    <w:p>
      <w:pPr>
        <w:spacing w:after="0"/>
      </w:pPr>
      <w:r>
        <w:rPr>
          <w:rFonts w:hint="eastAsia"/>
        </w:rPr>
        <w:t>G</w:t>
      </w:r>
      <w:r>
        <w:rPr>
          <w:vertAlign w:val="subscript"/>
        </w:rPr>
        <w:t>LP</w:t>
      </w:r>
      <w:r>
        <w:rPr>
          <w:rFonts w:hint="eastAsia"/>
        </w:rPr>
        <w:t>为高斯低通滤波器响应，公式如下：</w:t>
      </w:r>
    </w:p>
    <w:p>
      <w:pPr>
        <w:pStyle w:val="26"/>
        <w:spacing w:after="0"/>
        <w:rPr>
          <w:i/>
        </w:rPr>
      </w:pPr>
      <w:r>
        <w:rPr>
          <w:rFonts w:hint="eastAsia"/>
        </w:rPr>
        <w:t xml:space="preserve">                            </w:t>
      </w:r>
      <m:oMath>
        <m:sSub>
          <m:sSubPr>
            <m:ctrlPr>
              <w:rPr>
                <w:rFonts w:ascii="Cambria Math" w:hAnsi="Cambria Math"/>
                <w:i/>
              </w:rPr>
            </m:ctrlPr>
          </m:sSubPr>
          <m:e>
            <m:r>
              <w:rPr>
                <w:rFonts w:ascii="Cambria Math" w:hAnsi="Cambria Math"/>
              </w:rPr>
              <m:t>G</m:t>
            </m:r>
            <m:ctrlPr>
              <w:rPr>
                <w:rFonts w:ascii="Cambria Math" w:hAnsi="Cambria Math"/>
                <w:i/>
              </w:rPr>
            </m:ctrlPr>
          </m:e>
          <m:sub>
            <m:r>
              <w:rPr>
                <w:rFonts w:ascii="Cambria Math" w:hAnsi="Cambria Math"/>
              </w:rPr>
              <m:t>LP</m:t>
            </m:r>
            <m:ctrlPr>
              <w:rPr>
                <w:rFonts w:ascii="Cambria Math" w:hAnsi="Cambria Math"/>
                <w:i/>
              </w:rPr>
            </m:ctrlPr>
          </m:sub>
        </m:sSub>
        <m:d>
          <m:dPr>
            <m:ctrlPr>
              <w:rPr>
                <w:rFonts w:ascii="Cambria Math" w:hAnsi="Cambria Math"/>
                <w:i/>
              </w:rPr>
            </m:ctrlPr>
          </m:dPr>
          <m:e>
            <m:r>
              <w:rPr>
                <w:rFonts w:ascii="Cambria Math" w:hAnsi="Cambria Math"/>
              </w:rPr>
              <m:t>λ,λc</m:t>
            </m:r>
            <m:ctrlPr>
              <w:rPr>
                <w:rFonts w:ascii="Cambria Math" w:hAnsi="Cambria Math"/>
                <w:i/>
              </w:rPr>
            </m:ctrlPr>
          </m:e>
        </m:d>
        <m:r>
          <w:rPr>
            <w:rFonts w:ascii="Cambria Math" w:hAnsi="Cambria Math"/>
          </w:rPr>
          <m:t>=</m:t>
        </m:r>
        <m:r>
          <m:rPr>
            <m:sty m:val="p"/>
          </m:rPr>
          <w:rPr>
            <w:rFonts w:ascii="Cambria Math" w:hAnsi="Cambria Math"/>
          </w:rPr>
          <m:t>exp⁡</m:t>
        </m:r>
        <m:d>
          <m:dPr>
            <m:ctrlPr>
              <w:rPr>
                <w:rFonts w:ascii="Cambria Math" w:hAnsi="Cambria Math"/>
                <w:i/>
              </w:rPr>
            </m:ctrlPr>
          </m:dPr>
          <m:e>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ctrlPr>
                              <w:rPr>
                                <w:rFonts w:ascii="Cambria Math" w:hAnsi="Cambria Math"/>
                                <w:i/>
                              </w:rPr>
                            </m:ctrlPr>
                          </m:e>
                          <m:sub>
                            <m:r>
                              <w:rPr>
                                <w:rFonts w:ascii="Cambria Math" w:hAnsi="Cambria Math"/>
                              </w:rPr>
                              <m:t>c</m:t>
                            </m:r>
                            <m:ctrlPr>
                              <w:rPr>
                                <w:rFonts w:ascii="Cambria Math" w:hAnsi="Cambria Math"/>
                                <w:i/>
                              </w:rPr>
                            </m:ctrlPr>
                          </m:sub>
                        </m:sSub>
                        <m:ctrlPr>
                          <w:rPr>
                            <w:rFonts w:ascii="Cambria Math" w:hAnsi="Cambria Math"/>
                            <w:i/>
                          </w:rPr>
                        </m:ctrlPr>
                      </m:num>
                      <m:den>
                        <m:r>
                          <w:rPr>
                            <w:rFonts w:ascii="Cambria Math" w:hAnsi="Cambria Math"/>
                          </w:rPr>
                          <m:t>λ</m:t>
                        </m:r>
                        <m:ctrlPr>
                          <w:rPr>
                            <w:rFonts w:ascii="Cambria Math" w:hAnsi="Cambria Math"/>
                            <w:i/>
                          </w:rPr>
                        </m:ctrlPr>
                      </m:den>
                    </m:f>
                    <m:ctrlPr>
                      <w:rPr>
                        <w:rFonts w:ascii="Cambria Math" w:hAnsi="Cambria Math"/>
                        <w:i/>
                      </w:rPr>
                    </m:ctrlPr>
                  </m:e>
                </m:d>
                <m:ctrlPr>
                  <w:rPr>
                    <w:rFonts w:ascii="Cambria Math" w:hAnsi="Cambria Math"/>
                    <w:i/>
                  </w:rPr>
                </m:ctrlPr>
              </m:e>
              <m:sup>
                <m:r>
                  <w:rPr>
                    <w:rFonts w:ascii="Cambria Math" w:hAnsi="Cambria Math"/>
                  </w:rPr>
                  <m:t>2</m:t>
                </m:r>
                <m:ctrlPr>
                  <w:rPr>
                    <w:rFonts w:ascii="Cambria Math" w:hAnsi="Cambria Math"/>
                    <w:i/>
                  </w:rPr>
                </m:ctrlPr>
              </m:sup>
            </m:sSup>
            <m:r>
              <w:rPr>
                <w:rFonts w:ascii="Cambria Math" w:hAnsi="Cambria Math"/>
              </w:rPr>
              <m:t>∙</m:t>
            </m:r>
            <m:func>
              <m:funcPr>
                <m:ctrlPr>
                  <w:rPr>
                    <w:rFonts w:ascii="Cambria Math" w:hAnsi="Cambria Math"/>
                    <w:i/>
                  </w:rPr>
                </m:ctrlPr>
              </m:funcPr>
              <m:fName>
                <m:r>
                  <m:rPr>
                    <m:sty m:val="p"/>
                  </m:rPr>
                  <w:rPr>
                    <w:rFonts w:ascii="Cambria Math" w:hAnsi="Cambria Math"/>
                  </w:rPr>
                  <m:t>ln</m:t>
                </m:r>
                <m:ctrlPr>
                  <w:rPr>
                    <w:rFonts w:ascii="Cambria Math" w:hAnsi="Cambria Math"/>
                    <w:i/>
                  </w:rPr>
                </m:ctrlPr>
              </m:fName>
              <m:e>
                <m:r>
                  <w:rPr>
                    <w:rFonts w:ascii="Cambria Math" w:hAnsi="Cambria Math"/>
                  </w:rPr>
                  <m:t>2</m:t>
                </m:r>
                <m:ctrlPr>
                  <w:rPr>
                    <w:rFonts w:ascii="Cambria Math" w:hAnsi="Cambria Math"/>
                    <w:i/>
                  </w:rPr>
                </m:ctrlPr>
              </m:e>
            </m:func>
            <m:ctrlPr>
              <w:rPr>
                <w:rFonts w:ascii="Cambria Math" w:hAnsi="Cambria Math"/>
                <w:i/>
              </w:rPr>
            </m:ctrlPr>
          </m:e>
        </m:d>
      </m:oMath>
      <w:r>
        <w:t>……………………………</w:t>
      </w:r>
      <w:r>
        <w:rPr>
          <w:rFonts w:hint="eastAsia"/>
        </w:rPr>
        <w:t>..(A.3)</w:t>
      </w:r>
    </w:p>
    <w:p>
      <w:pPr>
        <w:pStyle w:val="26"/>
        <w:spacing w:after="0"/>
        <w:ind w:firstLine="0" w:firstLineChars="0"/>
      </w:pPr>
      <w:r>
        <w:rPr>
          <w:rFonts w:hint="eastAsia"/>
        </w:rPr>
        <w:t>结合上述几个公式如下：</w:t>
      </w:r>
    </w:p>
    <w:p>
      <w:pPr>
        <w:spacing w:after="0"/>
        <w:rPr>
          <w:rFonts w:hint="eastAsia" w:hAnsi="宋体"/>
          <w:i/>
        </w:rPr>
      </w:pPr>
      <w:r>
        <w:rPr>
          <w:rFonts w:hint="eastAsia"/>
        </w:rPr>
        <w:t xml:space="preserve">                            </w:t>
      </w:r>
      <m:oMath>
        <m:sSub>
          <m:sSubPr>
            <m:ctrlPr>
              <w:rPr>
                <w:rFonts w:ascii="Cambria Math" w:hAnsi="Cambria Math"/>
                <w:i/>
              </w:rPr>
            </m:ctrlPr>
          </m:sSubPr>
          <m:e>
            <m:r>
              <w:rPr>
                <w:rFonts w:ascii="Cambria Math" w:hAnsi="Cambria Math"/>
              </w:rPr>
              <m:t>G</m:t>
            </m:r>
            <m:ctrlPr>
              <w:rPr>
                <w:rFonts w:ascii="Cambria Math" w:hAnsi="Cambria Math"/>
                <w:i/>
              </w:rPr>
            </m:ctrlPr>
          </m:e>
          <m:sub>
            <m:r>
              <w:rPr>
                <w:rFonts w:ascii="Cambria Math" w:hAnsi="Cambria Math"/>
              </w:rPr>
              <m:t>DHP</m:t>
            </m:r>
            <m:ctrlPr>
              <w:rPr>
                <w:rFonts w:ascii="Cambria Math" w:hAnsi="Cambria Math"/>
                <w:i/>
              </w:rPr>
            </m:ctrlPr>
          </m:sub>
        </m:sSub>
        <m:r>
          <w:rPr>
            <w:rFonts w:ascii="Cambria Math" w:hAnsi="Cambria Math"/>
          </w:rPr>
          <m:t>=1-2</m:t>
        </m:r>
        <m:func>
          <m:funcPr>
            <m:ctrlPr>
              <w:rPr>
                <w:rFonts w:ascii="Cambria Math" w:hAnsi="Cambria Math"/>
              </w:rPr>
            </m:ctrlPr>
          </m:funcPr>
          <m:fName>
            <m:r>
              <m:rPr>
                <m:sty m:val="p"/>
              </m:rPr>
              <w:rPr>
                <w:rFonts w:ascii="Cambria Math" w:hAnsi="Cambria Math"/>
              </w:rPr>
              <m:t>exp</m:t>
            </m:r>
            <m:ctrlPr>
              <w:rPr>
                <w:rFonts w:ascii="Cambria Math" w:hAnsi="Cambria Math"/>
              </w:rPr>
            </m:ctrlPr>
          </m:fName>
          <m:e>
            <m:d>
              <m:dPr>
                <m:begChr m:val="["/>
                <m:endChr m:val="]"/>
                <m:ctrlPr>
                  <w:rPr>
                    <w:rFonts w:ascii="Cambria Math" w:hAnsi="Cambria Math"/>
                    <w:i/>
                  </w:rPr>
                </m:ctrlPr>
              </m:dPr>
              <m:e>
                <m:r>
                  <w:rPr>
                    <w:rFonts w:hint="eastAsia" w:ascii="微软雅黑" w:hAnsi="微软雅黑" w:eastAsia="微软雅黑" w:cs="微软雅黑"/>
                  </w:rPr>
                  <m:t>-</m:t>
                </m:r>
                <m:r>
                  <w:rPr>
                    <w:rFonts w:hint="eastAsia" w:ascii="Cambria Math" w:hAnsi="Cambria Math"/>
                  </w:rPr>
                  <m:t>1.228</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ctrlPr>
                                  <w:rPr>
                                    <w:rFonts w:ascii="Cambria Math" w:hAnsi="Cambria Math"/>
                                    <w:i/>
                                  </w:rPr>
                                </m:ctrlPr>
                              </m:e>
                              <m:sub>
                                <m:r>
                                  <w:rPr>
                                    <w:rFonts w:ascii="Cambria Math" w:hAnsi="Cambria Math"/>
                                  </w:rPr>
                                  <m:t>2</m:t>
                                </m:r>
                                <m:ctrlPr>
                                  <w:rPr>
                                    <w:rFonts w:ascii="Cambria Math" w:hAnsi="Cambria Math"/>
                                    <w:i/>
                                  </w:rPr>
                                </m:ctrlPr>
                              </m:sub>
                            </m:sSub>
                            <m:ctrlPr>
                              <w:rPr>
                                <w:rFonts w:ascii="Cambria Math" w:hAnsi="Cambria Math"/>
                                <w:i/>
                              </w:rPr>
                            </m:ctrlPr>
                          </m:num>
                          <m:den>
                            <m:r>
                              <w:rPr>
                                <w:rFonts w:ascii="Cambria Math" w:hAnsi="Cambria Math"/>
                              </w:rPr>
                              <m:t>λ</m:t>
                            </m:r>
                            <m:ctrlPr>
                              <w:rPr>
                                <w:rFonts w:ascii="Cambria Math" w:hAnsi="Cambria Math"/>
                                <w:i/>
                              </w:rPr>
                            </m:ctrlPr>
                          </m:den>
                        </m:f>
                        <m:ctrlPr>
                          <w:rPr>
                            <w:rFonts w:ascii="Cambria Math" w:hAnsi="Cambria Math"/>
                            <w:i/>
                          </w:rPr>
                        </m:ctrlPr>
                      </m:e>
                    </m:d>
                    <m:ctrlPr>
                      <w:rPr>
                        <w:rFonts w:hint="eastAsia" w:ascii="Cambria Math" w:hAnsi="Cambria Math"/>
                        <w:i/>
                      </w:rPr>
                    </m:ctrlPr>
                  </m:e>
                  <m:sup>
                    <m:r>
                      <w:rPr>
                        <w:rFonts w:hint="eastAsia" w:ascii="Cambria Math" w:hAnsi="Cambria Math"/>
                      </w:rPr>
                      <m:t>2</m:t>
                    </m:r>
                    <m:ctrlPr>
                      <w:rPr>
                        <w:rFonts w:ascii="Cambria Math" w:hAnsi="Cambria Math"/>
                        <w:i/>
                      </w:rPr>
                    </m:ctrlPr>
                  </m:sup>
                </m:sSup>
                <m:ctrlPr>
                  <w:rPr>
                    <w:rFonts w:ascii="Cambria Math" w:hAnsi="Cambria Math"/>
                    <w:i/>
                  </w:rPr>
                </m:ctrlPr>
              </m:e>
            </m:d>
            <m:ctrlPr>
              <w:rPr>
                <w:rFonts w:ascii="Cambria Math" w:hAnsi="Cambria Math"/>
              </w:rPr>
            </m:ctrlPr>
          </m:e>
        </m:func>
        <m:r>
          <w:rPr>
            <w:rFonts w:ascii="Cambria Math" w:hAnsi="Cambria Math"/>
          </w:rPr>
          <m:t>+</m:t>
        </m:r>
        <m:d>
          <m:dPr>
            <m:begChr m:val="["/>
            <m:endChr m:val="]"/>
            <m:ctrlPr>
              <w:rPr>
                <w:rFonts w:ascii="Cambria Math" w:hAnsi="Cambria Math"/>
                <w:i/>
              </w:rPr>
            </m:ctrlPr>
          </m:dPr>
          <m:e>
            <m:r>
              <w:rPr>
                <w:rFonts w:ascii="Cambria Math" w:hAnsi="Cambria Math"/>
              </w:rPr>
              <m:t>-2.456</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ctrlPr>
                              <w:rPr>
                                <w:rFonts w:ascii="Cambria Math" w:hAnsi="Cambria Math"/>
                                <w:i/>
                              </w:rPr>
                            </m:ctrlPr>
                          </m:e>
                          <m:sub>
                            <m:r>
                              <w:rPr>
                                <w:rFonts w:ascii="Cambria Math" w:hAnsi="Cambria Math"/>
                              </w:rPr>
                              <m:t>c</m:t>
                            </m:r>
                            <m:ctrlPr>
                              <w:rPr>
                                <w:rFonts w:ascii="Cambria Math" w:hAnsi="Cambria Math"/>
                                <w:i/>
                              </w:rPr>
                            </m:ctrlPr>
                          </m:sub>
                        </m:sSub>
                        <m:ctrlPr>
                          <w:rPr>
                            <w:rFonts w:ascii="Cambria Math" w:hAnsi="Cambria Math"/>
                            <w:i/>
                          </w:rPr>
                        </m:ctrlPr>
                      </m:num>
                      <m:den>
                        <m:r>
                          <w:rPr>
                            <w:rFonts w:ascii="Cambria Math" w:hAnsi="Cambria Math"/>
                          </w:rPr>
                          <m:t>λ</m:t>
                        </m:r>
                        <m:ctrlPr>
                          <w:rPr>
                            <w:rFonts w:ascii="Cambria Math" w:hAnsi="Cambria Math"/>
                            <w:i/>
                          </w:rPr>
                        </m:ctrlPr>
                      </m:den>
                    </m:f>
                    <m:ctrlPr>
                      <w:rPr>
                        <w:rFonts w:ascii="Cambria Math" w:hAnsi="Cambria Math"/>
                        <w:i/>
                      </w:rPr>
                    </m:ctrlPr>
                  </m:e>
                </m:d>
                <m:ctrlPr>
                  <w:rPr>
                    <w:rFonts w:ascii="Cambria Math" w:hAnsi="Cambria Math"/>
                    <w:i/>
                  </w:rPr>
                </m:ctrlPr>
              </m:e>
              <m:sup>
                <m:r>
                  <w:rPr>
                    <w:rFonts w:ascii="Cambria Math" w:hAnsi="Cambria Math"/>
                  </w:rPr>
                  <m:t>2</m:t>
                </m:r>
                <m:ctrlPr>
                  <w:rPr>
                    <w:rFonts w:ascii="Cambria Math" w:hAnsi="Cambria Math"/>
                    <w:i/>
                  </w:rPr>
                </m:ctrlPr>
              </m:sup>
            </m:sSup>
            <m:ctrlPr>
              <w:rPr>
                <w:rFonts w:ascii="Cambria Math" w:hAnsi="Cambria Math"/>
                <w:i/>
              </w:rPr>
            </m:ctrlPr>
          </m:e>
        </m:d>
      </m:oMath>
      <w:r>
        <w:t>………………</w:t>
      </w:r>
      <w:r>
        <w:rPr>
          <w:rFonts w:hint="eastAsia"/>
        </w:rPr>
        <w:t>.</w:t>
      </w:r>
      <w:r>
        <w:rPr>
          <w:rFonts w:ascii="宋体" w:hAnsi="宋体"/>
        </w:rPr>
        <w:t>(A.4)</w:t>
      </w:r>
    </w:p>
    <w:p>
      <w:pPr>
        <w:spacing w:after="312" w:afterLines="100" w:line="240" w:lineRule="auto"/>
        <w:rPr>
          <w:rFonts w:hint="eastAsia" w:ascii="宋体" w:hAnsi="宋体" w:eastAsia="黑体" w:cs="黑体"/>
        </w:rPr>
      </w:pPr>
      <w:r>
        <w:rPr>
          <w:rFonts w:ascii="黑体" w:hAnsi="黑体" w:eastAsia="黑体"/>
          <w:kern w:val="0"/>
          <w:szCs w:val="20"/>
        </w:rPr>
        <w:t xml:space="preserve">A.1.3  </w:t>
      </w:r>
      <w:r>
        <w:rPr>
          <w:rFonts w:hint="eastAsia" w:ascii="宋体" w:hAnsi="宋体"/>
        </w:rPr>
        <w:t>图A.1是双高斯高通滤波器响应。</w:t>
      </w:r>
      <w:r>
        <w:rPr>
          <w:rFonts w:ascii="黑体" w:hAnsi="黑体" w:eastAsia="黑体"/>
          <w:color w:val="000000" w:themeColor="text1"/>
          <w:kern w:val="0"/>
          <w:sz w:val="18"/>
          <w:szCs w:val="20"/>
          <w14:textFill>
            <w14:solidFill>
              <w14:schemeClr w14:val="tx1"/>
            </w14:solidFill>
          </w14:textFill>
        </w:rPr>
        <w:drawing>
          <wp:anchor distT="0" distB="0" distL="114300" distR="114300" simplePos="0" relativeHeight="251658240" behindDoc="0" locked="0" layoutInCell="1" allowOverlap="1">
            <wp:simplePos x="0" y="0"/>
            <wp:positionH relativeFrom="column">
              <wp:posOffset>1604645</wp:posOffset>
            </wp:positionH>
            <wp:positionV relativeFrom="page">
              <wp:posOffset>5832475</wp:posOffset>
            </wp:positionV>
            <wp:extent cx="3240405" cy="2591435"/>
            <wp:effectExtent l="0" t="0" r="0" b="0"/>
            <wp:wrapTopAndBottom/>
            <wp:docPr id="3642007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00769" name="图片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240405" cy="2591435"/>
                    </a:xfrm>
                    <a:prstGeom prst="rect">
                      <a:avLst/>
                    </a:prstGeom>
                  </pic:spPr>
                </pic:pic>
              </a:graphicData>
            </a:graphic>
          </wp:anchor>
        </w:drawing>
      </w:r>
    </w:p>
    <w:p>
      <w:pPr>
        <w:pStyle w:val="26"/>
        <w:spacing w:before="156" w:beforeLines="50" w:after="156" w:afterLines="50" w:line="240" w:lineRule="auto"/>
        <w:ind w:firstLine="360" w:firstLineChars="0"/>
        <w:jc w:val="center"/>
        <w:rPr>
          <w:rFonts w:hint="eastAsia" w:ascii="黑体" w:hAnsi="黑体" w:eastAsia="黑体"/>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图</w:t>
      </w:r>
      <w:r>
        <w:rPr>
          <w:rFonts w:ascii="黑体" w:hAnsi="黑体" w:eastAsia="黑体"/>
          <w:color w:val="000000" w:themeColor="text1"/>
          <w:szCs w:val="21"/>
          <w14:textFill>
            <w14:solidFill>
              <w14:schemeClr w14:val="tx1"/>
            </w14:solidFill>
          </w14:textFill>
        </w:rPr>
        <w:t xml:space="preserve">A.1  </w:t>
      </w:r>
      <w:r>
        <w:rPr>
          <w:rFonts w:hint="eastAsia" w:ascii="黑体" w:hAnsi="黑体" w:eastAsia="黑体"/>
          <w:color w:val="000000" w:themeColor="text1"/>
          <w:szCs w:val="21"/>
          <w14:textFill>
            <w14:solidFill>
              <w14:schemeClr w14:val="tx1"/>
            </w14:solidFill>
          </w14:textFill>
        </w:rPr>
        <w:t>双高斯高通滤波器的响应函数</w:t>
      </w:r>
    </w:p>
    <w:p>
      <w:pPr>
        <w:spacing w:before="156" w:beforeLines="50" w:after="156" w:afterLines="50"/>
        <w:rPr>
          <w:rFonts w:hint="eastAsia" w:ascii="黑体" w:hAnsi="黑体" w:eastAsia="黑体"/>
        </w:rPr>
      </w:pPr>
      <w:r>
        <w:rPr>
          <w:rFonts w:ascii="黑体" w:hAnsi="黑体" w:eastAsia="黑体"/>
        </w:rPr>
        <w:t xml:space="preserve">A.2  </w:t>
      </w:r>
      <w:r>
        <w:rPr>
          <w:rFonts w:hint="eastAsia" w:ascii="黑体" w:hAnsi="黑体" w:eastAsia="黑体"/>
        </w:rPr>
        <w:t>低通滤波器应用</w:t>
      </w:r>
    </w:p>
    <w:p>
      <w:pPr>
        <w:pStyle w:val="26"/>
        <w:spacing w:after="0"/>
      </w:pPr>
      <w:r>
        <w:rPr>
          <w:rFonts w:hint="eastAsia"/>
        </w:rPr>
        <w:t>低通滤波器在空间域实现为：对滤波器支持区域内的高度数据阵列像素值进行加权平均如公式A.5。中心像素权重最高。此滤波过程是滤波器核与高度数据阵列的卷积。</w:t>
      </w:r>
    </w:p>
    <w:p>
      <w:pPr>
        <w:ind w:firstLine="3780" w:firstLineChars="1800"/>
        <w:rPr>
          <w:rFonts w:hint="eastAsia" w:ascii="宋体" w:hAnsi="宋体"/>
        </w:rPr>
      </w:pPr>
      <w:r>
        <w:rPr>
          <w:rFonts w:hint="eastAsia"/>
          <w:position w:val="-32"/>
        </w:rPr>
        <w:object>
          <v:shape id="_x0000_i1025" o:spt="75" type="#_x0000_t75" style="height:27.95pt;width:197.1pt;" o:ole="t" filled="f" o:preferrelative="t" stroked="f" coordsize="21600,21600">
            <v:path/>
            <v:fill on="f" focussize="0,0"/>
            <v:stroke on="f" joinstyle="miter"/>
            <v:imagedata r:id="rId11" o:title=""/>
            <o:lock v:ext="edit" aspectratio="t"/>
            <w10:wrap type="none"/>
            <w10:anchorlock/>
          </v:shape>
          <o:OLEObject Type="Embed" ProgID="Equation.KSEE3" ShapeID="_x0000_i1025" DrawAspect="Content" ObjectID="_1468075725" r:id="rId10">
            <o:LockedField>false</o:LockedField>
          </o:OLEObject>
        </w:object>
      </w:r>
      <w:r>
        <w:rPr>
          <w:rFonts w:ascii="宋体" w:hAnsi="宋体"/>
        </w:rPr>
        <w:t>……………(A.5</w:t>
      </w:r>
      <w:r>
        <w:rPr>
          <w:rFonts w:hint="eastAsia" w:ascii="宋体" w:hAnsi="宋体"/>
        </w:rPr>
        <w:t>)</w:t>
      </w:r>
    </w:p>
    <w:p>
      <w:pPr>
        <w:pStyle w:val="26"/>
        <w:spacing w:after="0"/>
        <w:rPr>
          <w:rFonts w:hint="eastAsia" w:hAnsi="宋体" w:cs="宋体"/>
          <w:szCs w:val="21"/>
          <w:shd w:val="clear" w:color="auto" w:fill="FFFFFF"/>
        </w:rPr>
      </w:pPr>
      <w:r>
        <w:rPr>
          <w:rFonts w:hint="eastAsia" w:hAnsi="宋体"/>
        </w:rPr>
        <w:t>式中：</w:t>
      </w:r>
      <w:r>
        <w:rPr>
          <w:rFonts w:hint="eastAsia" w:hAnsi="宋体" w:cs="宋体"/>
          <w:szCs w:val="21"/>
          <w:shd w:val="clear" w:color="auto" w:fill="FFFFFF"/>
        </w:rPr>
        <w:t>Filtered(x,y)</w:t>
      </w:r>
      <w:r>
        <w:rPr>
          <w:rFonts w:hint="eastAsia" w:hAnsi="宋体"/>
        </w:rPr>
        <w:t>——</w:t>
      </w:r>
      <w:r>
        <w:rPr>
          <w:rFonts w:hint="eastAsia" w:hAnsi="宋体" w:cs="宋体"/>
          <w:szCs w:val="21"/>
          <w:shd w:val="clear" w:color="auto" w:fill="FFFFFF"/>
        </w:rPr>
        <w:t>滤波后目标点的新高度值；</w:t>
      </w:r>
    </w:p>
    <w:p>
      <w:pPr>
        <w:pStyle w:val="26"/>
        <w:spacing w:after="0"/>
        <w:ind w:firstLine="1050" w:firstLineChars="500"/>
        <w:rPr>
          <w:rFonts w:hint="eastAsia" w:hAnsi="宋体" w:cs="宋体"/>
          <w:szCs w:val="21"/>
          <w:shd w:val="clear" w:color="auto" w:fill="FFFFFF"/>
        </w:rPr>
      </w:pPr>
      <w:r>
        <w:rPr>
          <w:rFonts w:hint="eastAsia" w:hAnsi="宋体" w:cs="宋体"/>
          <w:szCs w:val="21"/>
          <w:shd w:val="clear" w:color="auto" w:fill="FFFFFF"/>
        </w:rPr>
        <w:t>(x, y)</w:t>
      </w:r>
      <w:r>
        <w:rPr>
          <w:rFonts w:hint="eastAsia" w:hAnsi="宋体"/>
        </w:rPr>
        <w:t>——</w:t>
      </w:r>
      <w:r>
        <w:rPr>
          <w:rFonts w:hint="eastAsia" w:hAnsi="宋体" w:cs="宋体"/>
          <w:szCs w:val="21"/>
          <w:shd w:val="clear" w:color="auto" w:fill="FFFFFF"/>
        </w:rPr>
        <w:t>硅片坐标点；</w:t>
      </w:r>
    </w:p>
    <w:p>
      <w:pPr>
        <w:pStyle w:val="26"/>
        <w:spacing w:after="0"/>
        <w:ind w:firstLine="1050" w:firstLineChars="500"/>
        <w:rPr>
          <w:rFonts w:hint="eastAsia" w:hAnsi="宋体" w:cs="宋体"/>
          <w:szCs w:val="21"/>
          <w:shd w:val="clear" w:color="auto" w:fill="FFFFFF"/>
        </w:rPr>
      </w:pPr>
      <w:r>
        <w:rPr>
          <w:rFonts w:hint="eastAsia" w:hAnsi="宋体" w:cs="宋体"/>
          <w:szCs w:val="21"/>
          <w:shd w:val="clear" w:color="auto" w:fill="FFFFFF"/>
        </w:rPr>
        <w:t>Kernel(i,j)</w:t>
      </w:r>
      <w:r>
        <w:rPr>
          <w:rFonts w:hint="eastAsia" w:hAnsi="宋体"/>
        </w:rPr>
        <w:t>——</w:t>
      </w:r>
      <w:r>
        <w:rPr>
          <w:rFonts w:hint="eastAsia" w:hAnsi="宋体" w:cs="宋体"/>
          <w:szCs w:val="21"/>
          <w:shd w:val="clear" w:color="auto" w:fill="FFFFFF"/>
        </w:rPr>
        <w:t>高斯权重系数；</w:t>
      </w:r>
    </w:p>
    <w:p>
      <w:pPr>
        <w:pStyle w:val="26"/>
        <w:spacing w:after="0"/>
        <w:ind w:firstLine="1050" w:firstLineChars="500"/>
        <w:rPr>
          <w:rFonts w:hint="eastAsia" w:hAnsi="宋体" w:cs="宋体"/>
          <w:szCs w:val="21"/>
          <w:shd w:val="clear" w:color="auto" w:fill="FFFFFF"/>
        </w:rPr>
      </w:pPr>
      <w:r>
        <w:rPr>
          <w:rFonts w:hint="eastAsia" w:hAnsi="宋体" w:cs="宋体"/>
          <w:szCs w:val="21"/>
          <w:shd w:val="clear" w:color="auto" w:fill="FFFFFF"/>
        </w:rPr>
        <w:t>Height(x+i,y+j)</w:t>
      </w:r>
      <w:r>
        <w:rPr>
          <w:rFonts w:hint="eastAsia" w:hAnsi="宋体"/>
        </w:rPr>
        <w:t>——</w:t>
      </w:r>
      <w:r>
        <w:rPr>
          <w:rFonts w:hint="eastAsia" w:hAnsi="宋体" w:cs="宋体"/>
          <w:szCs w:val="21"/>
          <w:shd w:val="clear" w:color="auto" w:fill="FFFFFF"/>
        </w:rPr>
        <w:t>原始高度数据阵列，单位为纳米（nm）；</w:t>
      </w:r>
    </w:p>
    <w:p>
      <w:pPr>
        <w:pStyle w:val="26"/>
        <w:spacing w:after="0"/>
        <w:ind w:firstLine="1050" w:firstLineChars="500"/>
      </w:pPr>
      <w:r>
        <w:rPr>
          <w:rFonts w:hint="eastAsia" w:hAnsi="宋体" w:cs="宋体"/>
          <w:szCs w:val="21"/>
          <w:shd w:val="clear" w:color="auto" w:fill="FFFFFF"/>
        </w:rPr>
        <w:t>Σ[i,j]</w:t>
      </w:r>
      <w:r>
        <w:rPr>
          <w:rFonts w:hint="eastAsia" w:hAnsi="宋体"/>
        </w:rPr>
        <w:t>——</w:t>
      </w:r>
      <w:r>
        <w:rPr>
          <w:rFonts w:hint="eastAsia" w:hAnsi="宋体" w:cs="宋体"/>
          <w:szCs w:val="21"/>
          <w:shd w:val="clear" w:color="auto" w:fill="FFFFFF"/>
        </w:rPr>
        <w:t>加权求和；</w:t>
      </w:r>
    </w:p>
    <w:p>
      <w:pPr>
        <w:spacing w:before="156" w:beforeLines="50" w:after="156" w:afterLines="50"/>
        <w:rPr>
          <w:rFonts w:hint="eastAsia" w:ascii="黑体" w:hAnsi="黑体" w:eastAsia="黑体"/>
        </w:rPr>
      </w:pPr>
      <w:r>
        <w:rPr>
          <w:rFonts w:ascii="黑体" w:hAnsi="黑体" w:eastAsia="黑体"/>
        </w:rPr>
        <w:t xml:space="preserve">A.3  </w:t>
      </w:r>
      <w:r>
        <w:rPr>
          <w:rFonts w:hint="eastAsia" w:ascii="黑体" w:hAnsi="黑体" w:eastAsia="黑体"/>
        </w:rPr>
        <w:t>二维扩展</w:t>
      </w:r>
    </w:p>
    <w:p>
      <w:pPr>
        <w:pStyle w:val="26"/>
        <w:spacing w:after="0"/>
        <w:ind w:firstLine="0" w:firstLineChars="0"/>
        <w:rPr>
          <w:rFonts w:hint="eastAsia" w:hAnsi="宋体"/>
        </w:rPr>
      </w:pPr>
      <w:r>
        <w:rPr>
          <w:rFonts w:hint="eastAsia"/>
        </w:rPr>
        <w:t xml:space="preserve">    一维高斯滤波器，通过使用以下公式替换波长</w:t>
      </w:r>
      <w:r>
        <w:rPr>
          <w:rFonts w:hint="eastAsia" w:hAnsi="宋体"/>
        </w:rPr>
        <w:t>λ，可以扩展到二维图像处理：</w:t>
      </w:r>
    </w:p>
    <w:p>
      <w:pPr>
        <w:rPr>
          <w:rFonts w:hint="eastAsia" w:ascii="宋体" w:hAnsi="宋体"/>
        </w:rPr>
      </w:pPr>
      <w:r>
        <w:rPr>
          <w:rFonts w:hint="eastAsia"/>
        </w:rPr>
        <w:t xml:space="preserve">                                     </w:t>
      </w:r>
      <w:r>
        <w:rPr>
          <w:rFonts w:ascii="宋体" w:hAnsi="宋体"/>
        </w:rPr>
        <w:t xml:space="preserve">  </w:t>
      </w:r>
      <m:oMath>
        <m:r>
          <w:rPr>
            <w:rFonts w:ascii="Cambria Math" w:hAnsi="Cambria Math"/>
          </w:rPr>
          <m:t>λ=</m:t>
        </m:r>
        <m:rad>
          <m:radPr>
            <m:degHide m:val="1"/>
            <m:ctrlPr>
              <w:rPr>
                <w:rFonts w:ascii="Cambria Math" w:hAnsi="Cambria Math"/>
                <w:i/>
              </w:rPr>
            </m:ctrlPr>
          </m:radPr>
          <m:deg>
            <m:ctrlPr>
              <w:rPr>
                <w:rFonts w:ascii="Cambria Math" w:hAnsi="Cambria Math"/>
                <w:i/>
              </w:rPr>
            </m:ctrlPr>
          </m:deg>
          <m:e>
            <m:sSubSup>
              <m:sSubSupPr>
                <m:ctrlPr>
                  <w:rPr>
                    <w:rFonts w:ascii="Cambria Math" w:hAnsi="Cambria Math"/>
                    <w:i/>
                  </w:rPr>
                </m:ctrlPr>
              </m:sSubSupPr>
              <m:e>
                <m:r>
                  <w:rPr>
                    <w:rFonts w:ascii="Cambria Math" w:hAnsi="Cambria Math"/>
                  </w:rPr>
                  <m:t>λ</m:t>
                </m:r>
                <m:ctrlPr>
                  <w:rPr>
                    <w:rFonts w:ascii="Cambria Math" w:hAnsi="Cambria Math"/>
                    <w:i/>
                  </w:rPr>
                </m:ctrlPr>
              </m:e>
              <m:sub>
                <m:r>
                  <w:rPr>
                    <w:rFonts w:hint="eastAsia" w:ascii="Cambria Math" w:hAnsi="Cambria Math"/>
                  </w:rPr>
                  <m:t>x</m:t>
                </m:r>
                <m:ctrlPr>
                  <w:rPr>
                    <w:rFonts w:ascii="Cambria Math" w:hAnsi="Cambria Math"/>
                    <w:i/>
                  </w:rPr>
                </m:ctrlPr>
              </m:sub>
              <m:sup>
                <m:r>
                  <w:rPr>
                    <w:rFonts w:ascii="Cambria Math" w:hAnsi="Cambria Math"/>
                  </w:rPr>
                  <m:t>2</m:t>
                </m:r>
                <m:ctrlPr>
                  <w:rPr>
                    <w:rFonts w:ascii="Cambria Math" w:hAnsi="Cambria Math"/>
                    <w:i/>
                  </w:rPr>
                </m:ctrlPr>
              </m:sup>
            </m:sSubSup>
            <m:sSubSup>
              <m:sSubSupPr>
                <m:ctrlPr>
                  <w:rPr>
                    <w:rFonts w:ascii="Cambria Math" w:hAnsi="Cambria Math"/>
                    <w:i/>
                  </w:rPr>
                </m:ctrlPr>
              </m:sSubSupPr>
              <m:e>
                <m:r>
                  <w:rPr>
                    <w:rFonts w:ascii="Cambria Math" w:hAnsi="Cambria Math"/>
                  </w:rPr>
                  <m:t>+λ</m:t>
                </m:r>
                <m:ctrlPr>
                  <w:rPr>
                    <w:rFonts w:ascii="Cambria Math" w:hAnsi="Cambria Math"/>
                    <w:i/>
                  </w:rPr>
                </m:ctrlPr>
              </m:e>
              <m:sub>
                <m:r>
                  <w:rPr>
                    <w:rFonts w:hint="eastAsia" w:ascii="Cambria Math" w:hAnsi="Cambria Math"/>
                  </w:rPr>
                  <m:t>y</m:t>
                </m:r>
                <m:ctrlPr>
                  <w:rPr>
                    <w:rFonts w:ascii="Cambria Math" w:hAnsi="Cambria Math"/>
                    <w:i/>
                  </w:rPr>
                </m:ctrlPr>
              </m:sub>
              <m:sup>
                <m:r>
                  <w:rPr>
                    <w:rFonts w:ascii="Cambria Math" w:hAnsi="Cambria Math"/>
                  </w:rPr>
                  <m:t>2</m:t>
                </m:r>
                <m:ctrlPr>
                  <w:rPr>
                    <w:rFonts w:ascii="Cambria Math" w:hAnsi="Cambria Math"/>
                    <w:i/>
                  </w:rPr>
                </m:ctrlPr>
              </m:sup>
            </m:sSubSup>
            <m:ctrlPr>
              <w:rPr>
                <w:rFonts w:ascii="Cambria Math" w:hAnsi="Cambria Math"/>
                <w:i/>
              </w:rPr>
            </m:ctrlPr>
          </m:e>
        </m:rad>
      </m:oMath>
      <w:r>
        <w:rPr>
          <w:rFonts w:ascii="宋体" w:hAnsi="宋体"/>
        </w:rPr>
        <w:t xml:space="preserve"> ………………………………………(A.</w:t>
      </w:r>
      <w:r>
        <w:rPr>
          <w:rFonts w:hint="eastAsia" w:ascii="宋体" w:hAnsi="宋体"/>
        </w:rPr>
        <w:t>6)</w:t>
      </w:r>
    </w:p>
    <w:p>
      <w:pPr>
        <w:rPr>
          <w:rFonts w:hint="eastAsia" w:asciiTheme="minorEastAsia" w:hAnsiTheme="minorEastAsia" w:eastAsiaTheme="minorEastAsia"/>
        </w:rPr>
      </w:pPr>
      <m:oMath>
        <m:sSub>
          <m:sSubPr>
            <m:ctrlPr>
              <w:rPr>
                <w:rFonts w:ascii="Cambria Math" w:hAnsi="Cambria Math" w:eastAsiaTheme="minorEastAsia"/>
                <w:i/>
              </w:rPr>
            </m:ctrlPr>
          </m:sSubPr>
          <m:e>
            <m:r>
              <w:rPr>
                <w:rFonts w:ascii="Cambria Math" w:hAnsi="Cambria Math" w:eastAsiaTheme="minorEastAsia"/>
              </w:rPr>
              <m:t>λ</m:t>
            </m:r>
            <m:ctrlPr>
              <w:rPr>
                <w:rFonts w:ascii="Cambria Math" w:hAnsi="Cambria Math" w:eastAsiaTheme="minorEastAsia"/>
                <w:i/>
              </w:rPr>
            </m:ctrlPr>
          </m:e>
          <m:sub>
            <m:r>
              <w:rPr>
                <w:rFonts w:ascii="Cambria Math" w:hAnsi="Cambria Math" w:eastAsiaTheme="minorEastAsia"/>
              </w:rPr>
              <m:t>x</m:t>
            </m:r>
            <m:ctrlPr>
              <w:rPr>
                <w:rFonts w:ascii="Cambria Math" w:hAnsi="Cambria Math" w:eastAsiaTheme="minorEastAsia"/>
                <w:i/>
              </w:rPr>
            </m:ctrlPr>
          </m:sub>
        </m:sSub>
      </m:oMath>
      <w:r>
        <w:rPr>
          <w:rFonts w:hint="eastAsia" w:asciiTheme="minorEastAsia" w:hAnsiTheme="minorEastAsia" w:eastAsiaTheme="minorEastAsia"/>
        </w:rPr>
        <w:t>和</w:t>
      </w:r>
      <m:oMath>
        <m:sSub>
          <m:sSubPr>
            <m:ctrlPr>
              <w:rPr>
                <w:rFonts w:ascii="Cambria Math" w:hAnsi="Cambria Math" w:eastAsiaTheme="minorEastAsia"/>
                <w:i/>
              </w:rPr>
            </m:ctrlPr>
          </m:sSubPr>
          <m:e>
            <m:r>
              <w:rPr>
                <w:rFonts w:ascii="Cambria Math" w:hAnsi="Cambria Math" w:eastAsiaTheme="minorEastAsia"/>
              </w:rPr>
              <m:t>λ</m:t>
            </m:r>
            <m:ctrlPr>
              <w:rPr>
                <w:rFonts w:ascii="Cambria Math" w:hAnsi="Cambria Math" w:eastAsiaTheme="minorEastAsia"/>
                <w:i/>
              </w:rPr>
            </m:ctrlPr>
          </m:e>
          <m:sub>
            <m:r>
              <w:rPr>
                <w:rFonts w:ascii="Cambria Math" w:hAnsi="Cambria Math" w:eastAsiaTheme="minorEastAsia"/>
              </w:rPr>
              <m:t>y</m:t>
            </m:r>
            <m:ctrlPr>
              <w:rPr>
                <w:rFonts w:ascii="Cambria Math" w:hAnsi="Cambria Math" w:eastAsiaTheme="minorEastAsia"/>
                <w:i/>
              </w:rPr>
            </m:ctrlPr>
          </m:sub>
        </m:sSub>
      </m:oMath>
      <w:r>
        <w:rPr>
          <w:rFonts w:hint="eastAsia" w:asciiTheme="minorEastAsia" w:hAnsiTheme="minorEastAsia" w:eastAsiaTheme="minorEastAsia"/>
        </w:rPr>
        <w:t>分别是</w:t>
      </w:r>
      <w:r>
        <w:rPr>
          <w:rFonts w:asciiTheme="minorEastAsia" w:hAnsiTheme="minorEastAsia" w:eastAsiaTheme="minorEastAsia"/>
        </w:rPr>
        <w:t>x,y</w:t>
      </w:r>
      <w:r>
        <w:rPr>
          <w:rFonts w:hint="eastAsia" w:asciiTheme="minorEastAsia" w:hAnsiTheme="minorEastAsia" w:eastAsiaTheme="minorEastAsia"/>
        </w:rPr>
        <w:t>方向的波长。</w:t>
      </w:r>
    </w:p>
    <w:p>
      <w:pPr>
        <w:widowControl/>
        <w:spacing w:after="0" w:line="240" w:lineRule="auto"/>
        <w:jc w:val="left"/>
        <w:rPr>
          <w:rFonts w:ascii="宋体"/>
          <w:kern w:val="0"/>
          <w:szCs w:val="20"/>
        </w:rPr>
      </w:pPr>
      <w:r>
        <w:br w:type="page"/>
      </w:r>
    </w:p>
    <w:p>
      <w:pPr>
        <w:pStyle w:val="26"/>
        <w:spacing w:after="0" w:line="240" w:lineRule="auto"/>
        <w:ind w:firstLine="0" w:firstLineChars="0"/>
        <w:jc w:val="center"/>
        <w:rPr>
          <w:rFonts w:hint="eastAsia" w:ascii="黑体" w:hAnsi="黑体" w:eastAsia="黑体" w:cs="黑体"/>
        </w:rPr>
      </w:pPr>
      <w:r>
        <w:rPr>
          <w:rFonts w:hint="eastAsia" w:ascii="黑体" w:hAnsi="黑体" w:eastAsia="黑体" w:cs="黑体"/>
        </w:rPr>
        <w:t>附 录 B</w:t>
      </w:r>
    </w:p>
    <w:p>
      <w:pPr>
        <w:pStyle w:val="109"/>
        <w:numPr>
          <w:ilvl w:val="0"/>
          <w:numId w:val="0"/>
        </w:numPr>
        <w:spacing w:beforeLines="0" w:afterLines="0" w:line="240" w:lineRule="auto"/>
        <w:jc w:val="center"/>
        <w:rPr>
          <w:rFonts w:hint="eastAsia" w:hAnsi="黑体" w:cs="黑体"/>
        </w:rPr>
      </w:pPr>
      <w:r>
        <w:rPr>
          <w:rFonts w:hint="eastAsia" w:hAnsi="黑体" w:cs="黑体"/>
        </w:rPr>
        <w:t>（资料性）</w:t>
      </w:r>
    </w:p>
    <w:p>
      <w:pPr>
        <w:jc w:val="center"/>
        <w:rPr>
          <w:rFonts w:hint="eastAsia" w:ascii="黑体" w:hAnsi="黑体" w:eastAsia="黑体" w:cs="黑体"/>
        </w:rPr>
      </w:pPr>
      <w:r>
        <w:rPr>
          <w:rFonts w:hint="eastAsia" w:ascii="黑体" w:hAnsi="黑体" w:eastAsia="黑体" w:cs="黑体"/>
        </w:rPr>
        <w:t>偏差度量</w:t>
      </w:r>
    </w:p>
    <w:p>
      <w:pPr>
        <w:pStyle w:val="26"/>
        <w:spacing w:before="156" w:beforeLines="50" w:after="156" w:afterLines="50"/>
        <w:ind w:firstLine="0" w:firstLineChars="0"/>
        <w:rPr>
          <w:rFonts w:hint="eastAsia" w:ascii="黑体" w:hAnsi="黑体" w:eastAsia="黑体"/>
        </w:rPr>
      </w:pPr>
      <w:r>
        <w:rPr>
          <w:rFonts w:ascii="黑体" w:hAnsi="黑体" w:eastAsia="黑体"/>
        </w:rPr>
        <w:t>B.1</w:t>
      </w:r>
      <w:r>
        <w:rPr>
          <w:rFonts w:hint="eastAsia" w:ascii="黑体" w:hAnsi="黑体" w:eastAsia="黑体"/>
        </w:rPr>
        <w:t xml:space="preserve">  偏差度量的相关</w:t>
      </w:r>
    </w:p>
    <w:p>
      <w:pPr>
        <w:pStyle w:val="26"/>
        <w:spacing w:after="0"/>
        <w:ind w:firstLine="0" w:firstLineChars="0"/>
        <w:rPr>
          <w:rFonts w:hint="eastAsia" w:hAnsi="宋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 xml:space="preserve">B.1.1  </w:t>
      </w:r>
      <w:r>
        <w:rPr>
          <w:rFonts w:hint="eastAsia" w:hAnsi="宋体"/>
          <w:color w:val="000000" w:themeColor="text1"/>
          <w:szCs w:val="21"/>
          <w14:textFill>
            <w14:solidFill>
              <w14:schemeClr w14:val="tx1"/>
            </w14:solidFill>
          </w14:textFill>
        </w:rPr>
        <w:t>偏差度量不用于大批量生产。然而，对于某些特定应用，可能会用到偏差度量。指定偏差值的硅片表面坐标与该偏差相关的硅片位置相同，而在P-V度量中，精确的峰谷位置仅在分析区域的尺寸范围内与P-V值指定的坐标相关。</w:t>
      </w:r>
    </w:p>
    <w:p>
      <w:pPr>
        <w:spacing w:after="0"/>
        <w:rPr>
          <w:rFonts w:hint="eastAsia" w:asciiTheme="minorEastAsia" w:hAnsiTheme="minorEastAsia" w:eastAsiaTheme="minorEastAsia"/>
        </w:rPr>
      </w:pPr>
      <w:r>
        <w:rPr>
          <w:rFonts w:ascii="黑体" w:hAnsi="黑体" w:eastAsia="黑体"/>
        </w:rPr>
        <w:t xml:space="preserve">B.1.2  </w:t>
      </w:r>
      <w:r>
        <w:rPr>
          <w:rFonts w:hint="eastAsia" w:asciiTheme="minorEastAsia" w:hAnsiTheme="minorEastAsia" w:eastAsiaTheme="minorEastAsia"/>
        </w:rPr>
        <w:t>偏差度量是滤波之后高度图中分析区域内所有点相对于该分析区域中心点高度的最大高度偏差。</w:t>
      </w:r>
    </w:p>
    <w:p>
      <w:pPr>
        <w:pStyle w:val="26"/>
        <w:spacing w:after="0"/>
        <w:ind w:firstLine="0" w:firstLineChars="0"/>
        <w:rPr>
          <w:rFonts w:hint="eastAsia" w:ascii="黑体" w:hAnsi="黑体" w:eastAsia="黑体"/>
        </w:rPr>
      </w:pPr>
      <w:r>
        <w:rPr>
          <w:rFonts w:ascii="黑体" w:hAnsi="黑体" w:eastAsia="黑体"/>
        </w:rPr>
        <w:t xml:space="preserve">B.1.3 </w:t>
      </w:r>
      <w:r>
        <w:rPr>
          <w:rFonts w:hint="eastAsia" w:ascii="黑体" w:hAnsi="黑体" w:eastAsia="黑体"/>
        </w:rPr>
        <w:t xml:space="preserve"> </w:t>
      </w:r>
      <w:r>
        <w:rPr>
          <w:rFonts w:hint="eastAsia" w:hAnsi="宋体"/>
        </w:rPr>
        <w:t>为了探究P-V度量分析在长度尺度上的偏差，分析区域的尺寸必须加倍，即需要使用4</w:t>
      </w:r>
      <w:r>
        <w:rPr>
          <w:rFonts w:hAnsi="宋体"/>
          <w:vertAlign w:val="subscript"/>
        </w:rPr>
        <w:t xml:space="preserve"> </w:t>
      </w:r>
      <w:r>
        <w:rPr>
          <w:rFonts w:hint="eastAsia" w:hAnsi="宋体"/>
        </w:rPr>
        <w:t>mm和20</w:t>
      </w:r>
      <w:r>
        <w:rPr>
          <w:rFonts w:hAnsi="宋体"/>
          <w:vertAlign w:val="superscript"/>
        </w:rPr>
        <w:t xml:space="preserve"> </w:t>
      </w:r>
      <w:r>
        <w:rPr>
          <w:rFonts w:hint="eastAsia" w:hAnsi="宋体"/>
        </w:rPr>
        <w:t>mm的分析区域而不是2</w:t>
      </w:r>
      <w:r>
        <w:rPr>
          <w:rFonts w:hAnsi="宋体"/>
          <w:vertAlign w:val="subscript"/>
        </w:rPr>
        <w:t xml:space="preserve"> </w:t>
      </w:r>
      <w:r>
        <w:rPr>
          <w:rFonts w:hint="eastAsia" w:hAnsi="宋体"/>
        </w:rPr>
        <w:t>mm和10</w:t>
      </w:r>
      <w:r>
        <w:rPr>
          <w:rFonts w:hAnsi="宋体"/>
          <w:vertAlign w:val="subscript"/>
        </w:rPr>
        <w:t xml:space="preserve"> </w:t>
      </w:r>
      <w:r>
        <w:rPr>
          <w:rFonts w:hint="eastAsia" w:hAnsi="宋体"/>
        </w:rPr>
        <w:t>mm。</w:t>
      </w:r>
    </w:p>
    <w:p>
      <w:pPr>
        <w:spacing w:before="156" w:beforeLines="50" w:after="156" w:afterLines="50"/>
        <w:rPr>
          <w:rFonts w:hint="eastAsia" w:ascii="黑体" w:hAnsi="黑体" w:eastAsia="黑体"/>
        </w:rPr>
      </w:pPr>
      <w:r>
        <w:rPr>
          <w:rFonts w:hint="eastAsia" w:ascii="黑体" w:hAnsi="黑体" w:eastAsia="黑体"/>
        </w:rPr>
        <w:t>B.2  基于偏差度量生成纳米形貌数据</w:t>
      </w:r>
    </w:p>
    <w:p>
      <w:pPr>
        <w:pStyle w:val="26"/>
        <w:spacing w:after="0"/>
        <w:ind w:firstLine="0" w:firstLineChars="0"/>
        <w:rPr>
          <w:rFonts w:hint="eastAsia" w:hAnsi="宋体"/>
        </w:rPr>
      </w:pPr>
      <w:r>
        <w:rPr>
          <w:rFonts w:hint="eastAsia" w:ascii="黑体" w:hAnsi="黑体" w:eastAsia="黑体"/>
        </w:rPr>
        <w:t xml:space="preserve">B.2.1  </w:t>
      </w:r>
      <w:r>
        <w:rPr>
          <w:rFonts w:hint="eastAsia" w:hAnsi="宋体"/>
        </w:rPr>
        <w:t>基于硅片的偏差量对应于P-V度量生成纳米形貌数据的过程。</w:t>
      </w:r>
    </w:p>
    <w:p>
      <w:pPr>
        <w:spacing w:after="0"/>
        <w:rPr>
          <w:rFonts w:ascii="宋体" w:hAnsi="宋体"/>
        </w:rPr>
      </w:pPr>
      <w:r>
        <w:rPr>
          <w:rFonts w:ascii="黑体" w:hAnsi="黑体" w:eastAsia="黑体"/>
        </w:rPr>
        <w:t>B.2.2</w:t>
      </w:r>
      <w:r>
        <w:rPr>
          <w:rFonts w:hint="eastAsia" w:ascii="黑体" w:hAnsi="黑体" w:eastAsia="黑体"/>
        </w:rPr>
        <w:t xml:space="preserve">  </w:t>
      </w:r>
      <w:r>
        <w:rPr>
          <w:rFonts w:hint="eastAsia" w:ascii="宋体" w:hAnsi="宋体"/>
        </w:rPr>
        <w:t>对所有 4 mm 和 20 mm 分析区域（以滤波高度图的每个点为中心，且中心至少位于固定质量区 FQA内），计算该区域的最大高度偏差，并将此值分配给分析区域中心的坐标。</w:t>
      </w:r>
    </w:p>
    <w:p>
      <w:pPr>
        <w:spacing w:after="0"/>
        <w:rPr>
          <w:rFonts w:hint="eastAsia" w:ascii="黑体" w:hAnsi="黑体" w:eastAsia="黑体"/>
          <w:color w:val="000000" w:themeColor="text1"/>
          <w:sz w:val="18"/>
          <w:szCs w:val="18"/>
          <w14:textFill>
            <w14:solidFill>
              <w14:schemeClr w14:val="tx1"/>
            </w14:solidFill>
          </w14:textFill>
        </w:rPr>
      </w:pPr>
      <w:r>
        <w:rPr>
          <w:rFonts w:ascii="黑体" w:hAnsi="黑体" w:eastAsia="黑体"/>
          <w:color w:val="000000" w:themeColor="text1"/>
          <w:sz w:val="18"/>
          <w:szCs w:val="18"/>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1832610</wp:posOffset>
                </wp:positionH>
                <wp:positionV relativeFrom="paragraph">
                  <wp:posOffset>1219835</wp:posOffset>
                </wp:positionV>
                <wp:extent cx="2095500" cy="16510"/>
                <wp:effectExtent l="0" t="4445" r="0" b="7620"/>
                <wp:wrapNone/>
                <wp:docPr id="13" name="直接连接符 13"/>
                <wp:cNvGraphicFramePr/>
                <a:graphic xmlns:a="http://schemas.openxmlformats.org/drawingml/2006/main">
                  <a:graphicData uri="http://schemas.microsoft.com/office/word/2010/wordprocessingShape">
                    <wps:wsp>
                      <wps:cNvCnPr/>
                      <wps:spPr>
                        <a:xfrm flipV="1">
                          <a:off x="0" y="0"/>
                          <a:ext cx="2095500" cy="1651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flip:y;margin-left:144.3pt;margin-top:96.05pt;height:1.3pt;width:165pt;z-index:251658240;mso-width-relative:page;mso-height-relative:page;" filled="f" stroked="t" coordsize="21600,21600" o:gfxdata="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kG3Pk1gAAAAsBAAAPAAAAAAAAAAEAIAAAACIAAABk&#10;cnMvZG93bnJldi54bWxQSwECFAAUAAAACACHTuJATXsjWc8BAABqAwAADgAAAAAAAAABACAAAAAl&#10;AQAAZHJzL2Uyb0RvYy54bWxQSwUGAAAAAAYABgBZAQAAZgUAAAAA&#10;">
                <v:fill on="f" focussize="0,0"/>
                <v:stroke color="#000000" joinstyle="round"/>
                <v:imagedata o:title=""/>
                <o:lock v:ext="edit" aspectratio="f"/>
              </v:line>
            </w:pict>
          </mc:Fallback>
        </mc:AlternateContent>
      </w:r>
      <w:r>
        <w:rPr>
          <w:rFonts w:ascii="黑体" w:hAnsi="黑体" w:eastAsia="黑体"/>
        </w:rPr>
        <w:t xml:space="preserve">B.2.3 </w:t>
      </w:r>
      <w:r>
        <w:rPr>
          <w:rFonts w:asciiTheme="minorEastAsia" w:hAnsiTheme="minorEastAsia" w:eastAsiaTheme="minorEastAsia"/>
        </w:rPr>
        <w:t xml:space="preserve"> </w:t>
      </w:r>
      <w:r>
        <w:rPr>
          <w:rFonts w:hint="eastAsia" w:asciiTheme="minorEastAsia" w:hAnsiTheme="minorEastAsia" w:eastAsiaTheme="minorEastAsia"/>
        </w:rPr>
        <w:t>对于不完整局部区域，由于只能使用合格质量区内滤波之后高度图的数据，</w:t>
      </w:r>
      <w:r>
        <w:rPr>
          <w:rFonts w:asciiTheme="minorEastAsia" w:hAnsiTheme="minorEastAsia" w:eastAsiaTheme="minorEastAsia"/>
        </w:rPr>
        <w:t>参与</w:t>
      </w:r>
      <w:r>
        <w:rPr>
          <w:rFonts w:hint="eastAsia" w:asciiTheme="minorEastAsia" w:hAnsiTheme="minorEastAsia" w:eastAsiaTheme="minorEastAsia"/>
        </w:rPr>
        <w:t>纳米形貌</w:t>
      </w:r>
      <w:r>
        <w:rPr>
          <w:rFonts w:asciiTheme="minorEastAsia" w:hAnsiTheme="minorEastAsia" w:eastAsiaTheme="minorEastAsia"/>
        </w:rPr>
        <w:t>计算的高度</w:t>
      </w:r>
      <w:r>
        <w:rPr>
          <w:rFonts w:hint="eastAsia" w:asciiTheme="minorEastAsia" w:hAnsiTheme="minorEastAsia" w:eastAsiaTheme="minorEastAsia"/>
        </w:rPr>
        <w:t>数据量减少。</w:t>
      </w:r>
    </w:p>
    <w:sectPr>
      <w:headerReference r:id="rId3" w:type="default"/>
      <w:footerReference r:id="rId4" w:type="default"/>
      <w:pgSz w:w="11906" w:h="16838"/>
      <w:pgMar w:top="567" w:right="1134" w:bottom="1134" w:left="1418" w:header="1418" w:footer="1134" w:gutter="0"/>
      <w:pgNumType w:start="1"/>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B27+CAJ FNT04">
    <w:altName w:val="微软雅黑"/>
    <w:panose1 w:val="00000000000000000000"/>
    <w:charset w:val="86"/>
    <w:family w:val="auto"/>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 w:name="Malgun Gothic Semilight">
    <w:panose1 w:val="020B0502040204020203"/>
    <w:charset w:val="86"/>
    <w:family w:val="auto"/>
    <w:pitch w:val="default"/>
    <w:sig w:usb0="900002AF" w:usb1="01D77CFB" w:usb2="00000012" w:usb3="00000000" w:csb0="203E01BD" w:csb1="D7FF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pPr>
    <w:r>
      <w:fldChar w:fldCharType="begin"/>
    </w:r>
    <w:r>
      <w:instrText xml:space="preserve"> PAGE  \* MERGEFORMAT </w:instrText>
    </w:r>
    <w:r>
      <w:fldChar w:fldCharType="separate"/>
    </w:r>
    <w:r>
      <w:t>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t>GB/T XXXXX</w:t>
    </w:r>
    <w:r>
      <w:rPr>
        <w:rFonts w:hint="eastAsia" w:asciiTheme="minorEastAsia" w:hAnsiTheme="minorEastAsia" w:eastAsiaTheme="minorEastAsia"/>
      </w:rPr>
      <w:t>—</w:t>
    </w:r>
    <w:r>
      <w:t>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6BDAD2"/>
    <w:multiLevelType w:val="singleLevel"/>
    <w:tmpl w:val="C36BDAD2"/>
    <w:lvl w:ilvl="0" w:tentative="0">
      <w:start w:val="1"/>
      <w:numFmt w:val="lowerLetter"/>
      <w:suff w:val="space"/>
      <w:lvlText w:val="%1)"/>
      <w:lvlJc w:val="left"/>
    </w:lvl>
  </w:abstractNum>
  <w:abstractNum w:abstractNumId="1">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71"/>
      <w:suff w:val="nothing"/>
      <w:lvlText w:val="%1%2.%3　"/>
      <w:lvlJc w:val="left"/>
      <w:pPr>
        <w:ind w:left="0" w:firstLine="0"/>
      </w:pPr>
      <w:rPr>
        <w:rFonts w:hint="eastAsia" w:ascii="黑体" w:hAnsi="Times New Roman" w:eastAsia="黑体"/>
        <w:b w:val="0"/>
        <w:i w:val="0"/>
        <w:sz w:val="21"/>
      </w:rPr>
    </w:lvl>
    <w:lvl w:ilvl="3" w:tentative="0">
      <w:start w:val="1"/>
      <w:numFmt w:val="decimal"/>
      <w:pStyle w:val="167"/>
      <w:suff w:val="nothing"/>
      <w:lvlText w:val="%1%2.%3.%4　"/>
      <w:lvlJc w:val="left"/>
      <w:pPr>
        <w:ind w:left="0" w:firstLine="0"/>
      </w:pPr>
      <w:rPr>
        <w:rFonts w:hint="eastAsia" w:ascii="黑体" w:hAnsi="Times New Roman" w:eastAsia="黑体"/>
        <w:b w:val="0"/>
        <w:i w:val="0"/>
        <w:sz w:val="21"/>
      </w:rPr>
    </w:lvl>
    <w:lvl w:ilvl="4" w:tentative="0">
      <w:start w:val="1"/>
      <w:numFmt w:val="decimal"/>
      <w:pStyle w:val="168"/>
      <w:suff w:val="nothing"/>
      <w:lvlText w:val="%1%2.%3.%4.%5　"/>
      <w:lvlJc w:val="left"/>
      <w:pPr>
        <w:ind w:left="0" w:firstLine="0"/>
      </w:pPr>
      <w:rPr>
        <w:rFonts w:hint="eastAsia" w:ascii="黑体" w:hAnsi="Times New Roman" w:eastAsia="黑体"/>
        <w:b w:val="0"/>
        <w:i w:val="0"/>
        <w:sz w:val="21"/>
      </w:rPr>
    </w:lvl>
    <w:lvl w:ilvl="5" w:tentative="0">
      <w:start w:val="1"/>
      <w:numFmt w:val="decimal"/>
      <w:pStyle w:val="169"/>
      <w:suff w:val="nothing"/>
      <w:lvlText w:val="%1%2.%3.%4.%5.%6　"/>
      <w:lvlJc w:val="left"/>
      <w:pPr>
        <w:ind w:left="0" w:firstLine="0"/>
      </w:pPr>
      <w:rPr>
        <w:rFonts w:hint="eastAsia" w:ascii="黑体" w:hAnsi="Times New Roman" w:eastAsia="黑体"/>
        <w:b w:val="0"/>
        <w:i w:val="0"/>
        <w:sz w:val="21"/>
      </w:rPr>
    </w:lvl>
    <w:lvl w:ilvl="6" w:tentative="0">
      <w:start w:val="1"/>
      <w:numFmt w:val="decimal"/>
      <w:pStyle w:val="17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79102AD"/>
    <w:multiLevelType w:val="multilevel"/>
    <w:tmpl w:val="079102AD"/>
    <w:lvl w:ilvl="0" w:tentative="0">
      <w:start w:val="1"/>
      <w:numFmt w:val="decimal"/>
      <w:pStyle w:val="65"/>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93C6778"/>
    <w:multiLevelType w:val="multilevel"/>
    <w:tmpl w:val="093C6778"/>
    <w:lvl w:ilvl="0" w:tentative="0">
      <w:start w:val="1"/>
      <w:numFmt w:val="decimal"/>
      <w:pStyle w:val="123"/>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0AE367E9"/>
    <w:multiLevelType w:val="multilevel"/>
    <w:tmpl w:val="0AE367E9"/>
    <w:lvl w:ilvl="0" w:tentative="0">
      <w:start w:val="1"/>
      <w:numFmt w:val="none"/>
      <w:pStyle w:val="59"/>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DDE2B46"/>
    <w:multiLevelType w:val="multilevel"/>
    <w:tmpl w:val="0DDE2B46"/>
    <w:lvl w:ilvl="0" w:tentative="0">
      <w:start w:val="1"/>
      <w:numFmt w:val="lowerLetter"/>
      <w:pStyle w:val="128"/>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6">
    <w:nsid w:val="1DBF583A"/>
    <w:multiLevelType w:val="multilevel"/>
    <w:tmpl w:val="1DBF583A"/>
    <w:lvl w:ilvl="0" w:tentative="0">
      <w:start w:val="1"/>
      <w:numFmt w:val="decimal"/>
      <w:pStyle w:val="72"/>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7">
    <w:nsid w:val="2A8F7113"/>
    <w:multiLevelType w:val="multilevel"/>
    <w:tmpl w:val="2A8F7113"/>
    <w:lvl w:ilvl="0" w:tentative="0">
      <w:start w:val="1"/>
      <w:numFmt w:val="upperLetter"/>
      <w:pStyle w:val="105"/>
      <w:suff w:val="space"/>
      <w:lvlText w:val="%1"/>
      <w:lvlJc w:val="left"/>
      <w:pPr>
        <w:ind w:left="623" w:hanging="425"/>
      </w:pPr>
      <w:rPr>
        <w:rFonts w:hint="eastAsia"/>
      </w:rPr>
    </w:lvl>
    <w:lvl w:ilvl="1" w:tentative="0">
      <w:start w:val="1"/>
      <w:numFmt w:val="decimal"/>
      <w:pStyle w:val="106"/>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8">
    <w:nsid w:val="2C5917C3"/>
    <w:multiLevelType w:val="multilevel"/>
    <w:tmpl w:val="2C5917C3"/>
    <w:lvl w:ilvl="0" w:tentative="0">
      <w:start w:val="1"/>
      <w:numFmt w:val="none"/>
      <w:pStyle w:val="55"/>
      <w:suff w:val="nothing"/>
      <w:lvlText w:val="%1——"/>
      <w:lvlJc w:val="left"/>
      <w:pPr>
        <w:ind w:left="976" w:hanging="408"/>
      </w:pPr>
      <w:rPr>
        <w:rFonts w:hint="eastAsia"/>
        <w:lang w:val="en-US"/>
      </w:rPr>
    </w:lvl>
    <w:lvl w:ilvl="1" w:tentative="0">
      <w:start w:val="1"/>
      <w:numFmt w:val="bullet"/>
      <w:pStyle w:val="56"/>
      <w:lvlText w:val=""/>
      <w:lvlJc w:val="left"/>
      <w:pPr>
        <w:tabs>
          <w:tab w:val="left" w:pos="903"/>
        </w:tabs>
        <w:ind w:left="1407" w:hanging="413"/>
      </w:pPr>
      <w:rPr>
        <w:rFonts w:hint="default" w:ascii="Symbol" w:hAnsi="Symbol"/>
        <w:color w:val="auto"/>
      </w:rPr>
    </w:lvl>
    <w:lvl w:ilvl="2" w:tentative="0">
      <w:start w:val="1"/>
      <w:numFmt w:val="bullet"/>
      <w:pStyle w:val="67"/>
      <w:lvlText w:val=""/>
      <w:lvlJc w:val="left"/>
      <w:pPr>
        <w:tabs>
          <w:tab w:val="left" w:pos="1821"/>
        </w:tabs>
        <w:ind w:left="1821" w:hanging="414"/>
      </w:pPr>
      <w:rPr>
        <w:rFonts w:hint="default" w:ascii="Symbol" w:hAnsi="Symbol"/>
        <w:color w:val="auto"/>
      </w:rPr>
    </w:lvl>
    <w:lvl w:ilvl="3" w:tentative="0">
      <w:start w:val="1"/>
      <w:numFmt w:val="decimal"/>
      <w:lvlText w:val="%4."/>
      <w:lvlJc w:val="left"/>
      <w:pPr>
        <w:tabs>
          <w:tab w:val="left" w:pos="2214"/>
        </w:tabs>
        <w:ind w:left="2027" w:hanging="528"/>
      </w:pPr>
      <w:rPr>
        <w:rFonts w:hint="eastAsia"/>
      </w:rPr>
    </w:lvl>
    <w:lvl w:ilvl="4" w:tentative="0">
      <w:start w:val="1"/>
      <w:numFmt w:val="lowerLetter"/>
      <w:lvlText w:val="%5)"/>
      <w:lvlJc w:val="left"/>
      <w:pPr>
        <w:tabs>
          <w:tab w:val="left" w:pos="2526"/>
        </w:tabs>
        <w:ind w:left="2339" w:hanging="528"/>
      </w:pPr>
      <w:rPr>
        <w:rFonts w:hint="eastAsia"/>
      </w:rPr>
    </w:lvl>
    <w:lvl w:ilvl="5" w:tentative="0">
      <w:start w:val="1"/>
      <w:numFmt w:val="lowerRoman"/>
      <w:lvlText w:val="%6."/>
      <w:lvlJc w:val="right"/>
      <w:pPr>
        <w:tabs>
          <w:tab w:val="left" w:pos="2838"/>
        </w:tabs>
        <w:ind w:left="2651" w:hanging="528"/>
      </w:pPr>
      <w:rPr>
        <w:rFonts w:hint="eastAsia"/>
      </w:rPr>
    </w:lvl>
    <w:lvl w:ilvl="6" w:tentative="0">
      <w:start w:val="1"/>
      <w:numFmt w:val="decimal"/>
      <w:lvlText w:val="%7."/>
      <w:lvlJc w:val="left"/>
      <w:pPr>
        <w:tabs>
          <w:tab w:val="left" w:pos="3150"/>
        </w:tabs>
        <w:ind w:left="2963" w:hanging="528"/>
      </w:pPr>
      <w:rPr>
        <w:rFonts w:hint="eastAsia"/>
      </w:rPr>
    </w:lvl>
    <w:lvl w:ilvl="7" w:tentative="0">
      <w:start w:val="1"/>
      <w:numFmt w:val="lowerLetter"/>
      <w:lvlText w:val="%8)"/>
      <w:lvlJc w:val="left"/>
      <w:pPr>
        <w:tabs>
          <w:tab w:val="left" w:pos="3462"/>
        </w:tabs>
        <w:ind w:left="3275" w:hanging="528"/>
      </w:pPr>
      <w:rPr>
        <w:rFonts w:hint="eastAsia"/>
      </w:rPr>
    </w:lvl>
    <w:lvl w:ilvl="8" w:tentative="0">
      <w:start w:val="1"/>
      <w:numFmt w:val="lowerRoman"/>
      <w:lvlText w:val="%9."/>
      <w:lvlJc w:val="right"/>
      <w:pPr>
        <w:tabs>
          <w:tab w:val="left" w:pos="3774"/>
        </w:tabs>
        <w:ind w:left="3587" w:hanging="528"/>
      </w:pPr>
      <w:rPr>
        <w:rFonts w:hint="eastAsia"/>
      </w:rPr>
    </w:lvl>
  </w:abstractNum>
  <w:abstractNum w:abstractNumId="9">
    <w:nsid w:val="3D733618"/>
    <w:multiLevelType w:val="multilevel"/>
    <w:tmpl w:val="3D733618"/>
    <w:lvl w:ilvl="0" w:tentative="0">
      <w:start w:val="1"/>
      <w:numFmt w:val="decimal"/>
      <w:pStyle w:val="27"/>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0">
    <w:nsid w:val="44C50F90"/>
    <w:multiLevelType w:val="multilevel"/>
    <w:tmpl w:val="44C50F90"/>
    <w:lvl w:ilvl="0" w:tentative="0">
      <w:start w:val="1"/>
      <w:numFmt w:val="lowerLetter"/>
      <w:pStyle w:val="66"/>
      <w:lvlText w:val="%1)"/>
      <w:lvlJc w:val="left"/>
      <w:pPr>
        <w:tabs>
          <w:tab w:val="left" w:pos="840"/>
        </w:tabs>
        <w:ind w:left="839" w:hanging="419"/>
      </w:pPr>
      <w:rPr>
        <w:rFonts w:hint="eastAsia" w:ascii="宋体" w:eastAsia="宋体"/>
        <w:b w:val="0"/>
        <w:i w:val="0"/>
        <w:sz w:val="21"/>
        <w:szCs w:val="21"/>
      </w:rPr>
    </w:lvl>
    <w:lvl w:ilvl="1" w:tentative="0">
      <w:start w:val="1"/>
      <w:numFmt w:val="decimal"/>
      <w:pStyle w:val="61"/>
      <w:lvlText w:val="%2)"/>
      <w:lvlJc w:val="left"/>
      <w:pPr>
        <w:tabs>
          <w:tab w:val="left" w:pos="1260"/>
        </w:tabs>
        <w:ind w:left="1259" w:hanging="419"/>
      </w:pPr>
      <w:rPr>
        <w:rFonts w:hint="eastAsia"/>
      </w:rPr>
    </w:lvl>
    <w:lvl w:ilvl="2" w:tentative="0">
      <w:start w:val="1"/>
      <w:numFmt w:val="decimal"/>
      <w:pStyle w:val="68"/>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4B136420"/>
    <w:multiLevelType w:val="multilevel"/>
    <w:tmpl w:val="4B136420"/>
    <w:lvl w:ilvl="0" w:tentative="0">
      <w:start w:val="1"/>
      <w:numFmt w:val="decimal"/>
      <w:lvlText w:val="%1"/>
      <w:lvlJc w:val="left"/>
      <w:pPr>
        <w:ind w:left="420" w:hanging="420"/>
      </w:pPr>
      <w:rPr>
        <w:rFonts w:hint="eastAsia" w:ascii="黑体" w:hAnsi="黑体" w:eastAsia="黑体"/>
        <w:color w:val="auto"/>
      </w:rPr>
    </w:lvl>
    <w:lvl w:ilvl="1" w:tentative="0">
      <w:start w:val="2"/>
      <w:numFmt w:val="decimal"/>
      <w:isLgl/>
      <w:lvlText w:val="%1.%2"/>
      <w:lvlJc w:val="left"/>
      <w:pPr>
        <w:ind w:left="630" w:hanging="630"/>
      </w:pPr>
      <w:rPr>
        <w:rFonts w:hint="default" w:ascii="黑体" w:hAnsi="黑体" w:eastAsia="黑体"/>
      </w:rPr>
    </w:lvl>
    <w:lvl w:ilvl="2" w:tentative="0">
      <w:start w:val="1"/>
      <w:numFmt w:val="decimal"/>
      <w:isLgl/>
      <w:lvlText w:val="%1.%2.%3"/>
      <w:lvlJc w:val="left"/>
      <w:pPr>
        <w:ind w:left="720" w:hanging="720"/>
      </w:pPr>
      <w:rPr>
        <w:rFonts w:hint="default" w:ascii="黑体" w:hAnsi="黑体" w:eastAsia="黑体"/>
        <w:color w:val="000000" w:themeColor="text1"/>
        <w14:textFill>
          <w14:solidFill>
            <w14:schemeClr w14:val="tx1"/>
          </w14:solidFill>
        </w14:textFill>
      </w:rPr>
    </w:lvl>
    <w:lvl w:ilvl="3" w:tentative="0">
      <w:start w:val="1"/>
      <w:numFmt w:val="decimal"/>
      <w:isLgl/>
      <w:lvlText w:val="%1.%2.%3.%4"/>
      <w:lvlJc w:val="left"/>
      <w:pPr>
        <w:ind w:left="1080" w:hanging="1080"/>
      </w:pPr>
      <w:rPr>
        <w:rFonts w:hint="default" w:ascii="黑体" w:hAnsi="黑体" w:eastAsia="黑体"/>
      </w:rPr>
    </w:lvl>
    <w:lvl w:ilvl="4" w:tentative="0">
      <w:start w:val="1"/>
      <w:numFmt w:val="decimal"/>
      <w:isLgl/>
      <w:lvlText w:val="%1.%2.%3.%4.%5"/>
      <w:lvlJc w:val="left"/>
      <w:pPr>
        <w:ind w:left="1080" w:hanging="1080"/>
      </w:pPr>
      <w:rPr>
        <w:rFonts w:hint="default" w:ascii="黑体" w:hAnsi="黑体" w:eastAsia="黑体"/>
      </w:rPr>
    </w:lvl>
    <w:lvl w:ilvl="5" w:tentative="0">
      <w:start w:val="1"/>
      <w:numFmt w:val="decimal"/>
      <w:isLgl/>
      <w:lvlText w:val="%1.%2.%3.%4.%5.%6"/>
      <w:lvlJc w:val="left"/>
      <w:pPr>
        <w:ind w:left="1440" w:hanging="1440"/>
      </w:pPr>
      <w:rPr>
        <w:rFonts w:hint="default" w:ascii="黑体" w:hAnsi="黑体" w:eastAsia="黑体"/>
      </w:rPr>
    </w:lvl>
    <w:lvl w:ilvl="6" w:tentative="0">
      <w:start w:val="1"/>
      <w:numFmt w:val="decimal"/>
      <w:isLgl/>
      <w:lvlText w:val="%1.%2.%3.%4.%5.%6.%7"/>
      <w:lvlJc w:val="left"/>
      <w:pPr>
        <w:ind w:left="1440" w:hanging="1440"/>
      </w:pPr>
      <w:rPr>
        <w:rFonts w:hint="default" w:ascii="黑体" w:hAnsi="黑体" w:eastAsia="黑体"/>
      </w:rPr>
    </w:lvl>
    <w:lvl w:ilvl="7" w:tentative="0">
      <w:start w:val="1"/>
      <w:numFmt w:val="decimal"/>
      <w:isLgl/>
      <w:lvlText w:val="%1.%2.%3.%4.%5.%6.%7.%8"/>
      <w:lvlJc w:val="left"/>
      <w:pPr>
        <w:ind w:left="1800" w:hanging="1800"/>
      </w:pPr>
      <w:rPr>
        <w:rFonts w:hint="default" w:ascii="黑体" w:hAnsi="黑体" w:eastAsia="黑体"/>
      </w:rPr>
    </w:lvl>
    <w:lvl w:ilvl="8" w:tentative="0">
      <w:start w:val="1"/>
      <w:numFmt w:val="decimal"/>
      <w:isLgl/>
      <w:lvlText w:val="%1.%2.%3.%4.%5.%6.%7.%8.%9"/>
      <w:lvlJc w:val="left"/>
      <w:pPr>
        <w:ind w:left="1800" w:hanging="1800"/>
      </w:pPr>
      <w:rPr>
        <w:rFonts w:hint="default" w:ascii="黑体" w:hAnsi="黑体" w:eastAsia="黑体"/>
      </w:rPr>
    </w:lvl>
  </w:abstractNum>
  <w:abstractNum w:abstractNumId="12">
    <w:nsid w:val="4B733A5F"/>
    <w:multiLevelType w:val="multilevel"/>
    <w:tmpl w:val="4B733A5F"/>
    <w:lvl w:ilvl="0" w:tentative="0">
      <w:start w:val="1"/>
      <w:numFmt w:val="decimal"/>
      <w:pStyle w:val="69"/>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3">
    <w:nsid w:val="557C2AF5"/>
    <w:multiLevelType w:val="multilevel"/>
    <w:tmpl w:val="557C2AF5"/>
    <w:lvl w:ilvl="0" w:tentative="0">
      <w:start w:val="1"/>
      <w:numFmt w:val="decimal"/>
      <w:pStyle w:val="135"/>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4">
    <w:nsid w:val="60B55DC2"/>
    <w:multiLevelType w:val="multilevel"/>
    <w:tmpl w:val="60B55DC2"/>
    <w:lvl w:ilvl="0" w:tentative="0">
      <w:start w:val="1"/>
      <w:numFmt w:val="upperLetter"/>
      <w:pStyle w:val="93"/>
      <w:lvlText w:val="%1"/>
      <w:lvlJc w:val="left"/>
      <w:pPr>
        <w:tabs>
          <w:tab w:val="left" w:pos="0"/>
        </w:tabs>
        <w:ind w:left="0" w:hanging="425"/>
      </w:pPr>
      <w:rPr>
        <w:rFonts w:hint="eastAsia"/>
      </w:rPr>
    </w:lvl>
    <w:lvl w:ilvl="1" w:tentative="0">
      <w:start w:val="1"/>
      <w:numFmt w:val="decimal"/>
      <w:pStyle w:val="94"/>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5">
    <w:nsid w:val="657D3FBC"/>
    <w:multiLevelType w:val="multilevel"/>
    <w:tmpl w:val="657D3FBC"/>
    <w:lvl w:ilvl="0" w:tentative="0">
      <w:start w:val="1"/>
      <w:numFmt w:val="upperLetter"/>
      <w:pStyle w:val="91"/>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10"/>
      <w:suff w:val="nothing"/>
      <w:lvlText w:val="%1.%2.%3　"/>
      <w:lvlJc w:val="left"/>
      <w:pPr>
        <w:ind w:left="0" w:firstLine="0"/>
      </w:pPr>
      <w:rPr>
        <w:rFonts w:hint="eastAsia" w:ascii="黑体" w:hAnsi="Times New Roman" w:eastAsia="黑体"/>
        <w:b w:val="0"/>
        <w:i w:val="0"/>
        <w:sz w:val="21"/>
      </w:rPr>
    </w:lvl>
    <w:lvl w:ilvl="3" w:tentative="0">
      <w:start w:val="1"/>
      <w:numFmt w:val="decimal"/>
      <w:pStyle w:val="95"/>
      <w:suff w:val="nothing"/>
      <w:lvlText w:val="%1.%2.%3.%4　"/>
      <w:lvlJc w:val="left"/>
      <w:pPr>
        <w:ind w:left="0" w:firstLine="0"/>
      </w:pPr>
      <w:rPr>
        <w:rFonts w:hint="eastAsia" w:ascii="黑体" w:hAnsi="Times New Roman" w:eastAsia="黑体"/>
        <w:b w:val="0"/>
        <w:i w:val="0"/>
        <w:sz w:val="21"/>
      </w:rPr>
    </w:lvl>
    <w:lvl w:ilvl="4" w:tentative="0">
      <w:start w:val="1"/>
      <w:numFmt w:val="decimal"/>
      <w:pStyle w:val="100"/>
      <w:suff w:val="nothing"/>
      <w:lvlText w:val="%1.%2.%3.%4.%5　"/>
      <w:lvlJc w:val="left"/>
      <w:pPr>
        <w:ind w:left="0" w:firstLine="0"/>
      </w:pPr>
      <w:rPr>
        <w:rFonts w:hint="eastAsia" w:ascii="黑体" w:hAnsi="Times New Roman" w:eastAsia="黑体"/>
        <w:b w:val="0"/>
        <w:i w:val="0"/>
        <w:sz w:val="21"/>
      </w:rPr>
    </w:lvl>
    <w:lvl w:ilvl="5" w:tentative="0">
      <w:start w:val="1"/>
      <w:numFmt w:val="decimal"/>
      <w:pStyle w:val="103"/>
      <w:suff w:val="nothing"/>
      <w:lvlText w:val="%1.%2.%3.%4.%5.%6　"/>
      <w:lvlJc w:val="left"/>
      <w:pPr>
        <w:ind w:left="0" w:firstLine="0"/>
      </w:pPr>
      <w:rPr>
        <w:rFonts w:hint="eastAsia" w:ascii="黑体" w:hAnsi="Times New Roman" w:eastAsia="黑体"/>
        <w:b w:val="0"/>
        <w:i w:val="0"/>
        <w:sz w:val="21"/>
      </w:rPr>
    </w:lvl>
    <w:lvl w:ilvl="6" w:tentative="0">
      <w:start w:val="1"/>
      <w:numFmt w:val="decimal"/>
      <w:pStyle w:val="10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D6C07CD"/>
    <w:multiLevelType w:val="multilevel"/>
    <w:tmpl w:val="6D6C07CD"/>
    <w:lvl w:ilvl="0" w:tentative="0">
      <w:start w:val="1"/>
      <w:numFmt w:val="lowerLetter"/>
      <w:pStyle w:val="112"/>
      <w:lvlText w:val="%1)"/>
      <w:lvlJc w:val="left"/>
      <w:pPr>
        <w:tabs>
          <w:tab w:val="left" w:pos="839"/>
        </w:tabs>
        <w:ind w:left="839" w:hanging="419"/>
      </w:pPr>
      <w:rPr>
        <w:rFonts w:hint="eastAsia" w:ascii="宋体" w:eastAsia="宋体"/>
        <w:b w:val="0"/>
        <w:i w:val="0"/>
        <w:sz w:val="21"/>
      </w:rPr>
    </w:lvl>
    <w:lvl w:ilvl="1" w:tentative="0">
      <w:start w:val="1"/>
      <w:numFmt w:val="decimal"/>
      <w:pStyle w:val="102"/>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7">
    <w:nsid w:val="6DBF04F4"/>
    <w:multiLevelType w:val="multilevel"/>
    <w:tmpl w:val="6DBF04F4"/>
    <w:lvl w:ilvl="0" w:tentative="0">
      <w:start w:val="1"/>
      <w:numFmt w:val="none"/>
      <w:pStyle w:val="64"/>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8">
    <w:nsid w:val="6FEB54F0"/>
    <w:multiLevelType w:val="multilevel"/>
    <w:tmpl w:val="6FEB54F0"/>
    <w:lvl w:ilvl="0" w:tentative="0">
      <w:start w:val="1"/>
      <w:numFmt w:val="lowerLetter"/>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pStyle w:val="34"/>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76A039C8"/>
    <w:multiLevelType w:val="singleLevel"/>
    <w:tmpl w:val="76A039C8"/>
    <w:lvl w:ilvl="0" w:tentative="0">
      <w:start w:val="1"/>
      <w:numFmt w:val="lowerLetter"/>
      <w:suff w:val="space"/>
      <w:lvlText w:val="%1)"/>
      <w:lvlJc w:val="left"/>
      <w:rPr>
        <w:rFonts w:hint="default"/>
        <w:color w:val="auto"/>
      </w:rPr>
    </w:lvl>
  </w:abstractNum>
  <w:num w:numId="1">
    <w:abstractNumId w:val="9"/>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10"/>
  </w:num>
  <w:num w:numId="6">
    <w:abstractNumId w:val="17"/>
  </w:num>
  <w:num w:numId="7">
    <w:abstractNumId w:val="2"/>
  </w:num>
  <w:num w:numId="8">
    <w:abstractNumId w:val="12"/>
  </w:num>
  <w:num w:numId="9">
    <w:abstractNumId w:val="6"/>
  </w:num>
  <w:num w:numId="10">
    <w:abstractNumId w:val="15"/>
  </w:num>
  <w:num w:numId="11">
    <w:abstractNumId w:val="14"/>
  </w:num>
  <w:num w:numId="12">
    <w:abstractNumId w:val="16"/>
  </w:num>
  <w:num w:numId="13">
    <w:abstractNumId w:val="7"/>
  </w:num>
  <w:num w:numId="14">
    <w:abstractNumId w:val="3"/>
  </w:num>
  <w:num w:numId="15">
    <w:abstractNumId w:val="5"/>
  </w:num>
  <w:num w:numId="16">
    <w:abstractNumId w:val="13"/>
  </w:num>
  <w:num w:numId="17">
    <w:abstractNumId w:val="1"/>
  </w:num>
  <w:num w:numId="18">
    <w:abstractNumId w:val="11"/>
  </w:num>
  <w:num w:numId="19">
    <w:abstractNumId w:val="1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xNDk3ZWFkNmRhNWE5ODMzNzE5OTQxMTA3M2NjZDkifQ=="/>
  </w:docVars>
  <w:rsids>
    <w:rsidRoot w:val="008E3BB5"/>
    <w:rsid w:val="00000244"/>
    <w:rsid w:val="000017B1"/>
    <w:rsid w:val="0000185F"/>
    <w:rsid w:val="00002D2F"/>
    <w:rsid w:val="00003429"/>
    <w:rsid w:val="00004813"/>
    <w:rsid w:val="0000586F"/>
    <w:rsid w:val="00005CB0"/>
    <w:rsid w:val="00011107"/>
    <w:rsid w:val="0001176F"/>
    <w:rsid w:val="00012C34"/>
    <w:rsid w:val="00013D86"/>
    <w:rsid w:val="00013E02"/>
    <w:rsid w:val="0001492A"/>
    <w:rsid w:val="00015633"/>
    <w:rsid w:val="00015AD6"/>
    <w:rsid w:val="0002143C"/>
    <w:rsid w:val="00021F4A"/>
    <w:rsid w:val="0002386A"/>
    <w:rsid w:val="00025A65"/>
    <w:rsid w:val="00026C31"/>
    <w:rsid w:val="00027280"/>
    <w:rsid w:val="00027646"/>
    <w:rsid w:val="00027EED"/>
    <w:rsid w:val="00030264"/>
    <w:rsid w:val="000305BA"/>
    <w:rsid w:val="00031BDE"/>
    <w:rsid w:val="00031E2C"/>
    <w:rsid w:val="000320A7"/>
    <w:rsid w:val="00032B64"/>
    <w:rsid w:val="00033398"/>
    <w:rsid w:val="00033EAC"/>
    <w:rsid w:val="00034125"/>
    <w:rsid w:val="000342F2"/>
    <w:rsid w:val="00035925"/>
    <w:rsid w:val="00035EA5"/>
    <w:rsid w:val="00036A42"/>
    <w:rsid w:val="000406F0"/>
    <w:rsid w:val="00045AEA"/>
    <w:rsid w:val="00047DEC"/>
    <w:rsid w:val="000515F5"/>
    <w:rsid w:val="00053890"/>
    <w:rsid w:val="00057C16"/>
    <w:rsid w:val="000640DC"/>
    <w:rsid w:val="00067B30"/>
    <w:rsid w:val="00067CDF"/>
    <w:rsid w:val="00070232"/>
    <w:rsid w:val="00072A37"/>
    <w:rsid w:val="000733D2"/>
    <w:rsid w:val="000735D3"/>
    <w:rsid w:val="00073ACD"/>
    <w:rsid w:val="00074193"/>
    <w:rsid w:val="0007465A"/>
    <w:rsid w:val="00074FBE"/>
    <w:rsid w:val="000767B4"/>
    <w:rsid w:val="00081D8C"/>
    <w:rsid w:val="00082335"/>
    <w:rsid w:val="00082CCA"/>
    <w:rsid w:val="00083A09"/>
    <w:rsid w:val="000855E8"/>
    <w:rsid w:val="0009005E"/>
    <w:rsid w:val="000911B0"/>
    <w:rsid w:val="00092857"/>
    <w:rsid w:val="0009402B"/>
    <w:rsid w:val="00096CF9"/>
    <w:rsid w:val="000973C3"/>
    <w:rsid w:val="000973DA"/>
    <w:rsid w:val="000976FF"/>
    <w:rsid w:val="0009789D"/>
    <w:rsid w:val="00097AEE"/>
    <w:rsid w:val="000A0483"/>
    <w:rsid w:val="000A0922"/>
    <w:rsid w:val="000A1443"/>
    <w:rsid w:val="000A1B6D"/>
    <w:rsid w:val="000A20A9"/>
    <w:rsid w:val="000A39DD"/>
    <w:rsid w:val="000A4854"/>
    <w:rsid w:val="000A48B1"/>
    <w:rsid w:val="000A5C39"/>
    <w:rsid w:val="000A78AB"/>
    <w:rsid w:val="000B2103"/>
    <w:rsid w:val="000B3143"/>
    <w:rsid w:val="000B4F17"/>
    <w:rsid w:val="000B5D17"/>
    <w:rsid w:val="000C0D33"/>
    <w:rsid w:val="000C0E4C"/>
    <w:rsid w:val="000C0F5E"/>
    <w:rsid w:val="000C4665"/>
    <w:rsid w:val="000C581B"/>
    <w:rsid w:val="000C677C"/>
    <w:rsid w:val="000C6B05"/>
    <w:rsid w:val="000C6DD6"/>
    <w:rsid w:val="000C73D4"/>
    <w:rsid w:val="000D00A4"/>
    <w:rsid w:val="000D0D83"/>
    <w:rsid w:val="000D35C0"/>
    <w:rsid w:val="000D3D4C"/>
    <w:rsid w:val="000D3E09"/>
    <w:rsid w:val="000D4F51"/>
    <w:rsid w:val="000D5D3F"/>
    <w:rsid w:val="000D703C"/>
    <w:rsid w:val="000D718B"/>
    <w:rsid w:val="000E03F2"/>
    <w:rsid w:val="000E0447"/>
    <w:rsid w:val="000E0C46"/>
    <w:rsid w:val="000E108A"/>
    <w:rsid w:val="000E1DA1"/>
    <w:rsid w:val="000E3708"/>
    <w:rsid w:val="000E3CE2"/>
    <w:rsid w:val="000E3CFA"/>
    <w:rsid w:val="000E43EC"/>
    <w:rsid w:val="000E44FB"/>
    <w:rsid w:val="000E5EE3"/>
    <w:rsid w:val="000E6489"/>
    <w:rsid w:val="000E6F73"/>
    <w:rsid w:val="000F030C"/>
    <w:rsid w:val="000F129C"/>
    <w:rsid w:val="000F15D6"/>
    <w:rsid w:val="000F1ABD"/>
    <w:rsid w:val="000F1D48"/>
    <w:rsid w:val="000F5E7C"/>
    <w:rsid w:val="000F6B60"/>
    <w:rsid w:val="00102B74"/>
    <w:rsid w:val="00102B7C"/>
    <w:rsid w:val="00102C88"/>
    <w:rsid w:val="001056DE"/>
    <w:rsid w:val="00106AF3"/>
    <w:rsid w:val="00107847"/>
    <w:rsid w:val="00107C50"/>
    <w:rsid w:val="00110524"/>
    <w:rsid w:val="0011083C"/>
    <w:rsid w:val="001124C0"/>
    <w:rsid w:val="00113192"/>
    <w:rsid w:val="0011339F"/>
    <w:rsid w:val="0011531B"/>
    <w:rsid w:val="00116795"/>
    <w:rsid w:val="001176B7"/>
    <w:rsid w:val="0011780B"/>
    <w:rsid w:val="00120857"/>
    <w:rsid w:val="00121315"/>
    <w:rsid w:val="0012333B"/>
    <w:rsid w:val="00123A94"/>
    <w:rsid w:val="00130DE6"/>
    <w:rsid w:val="0013175F"/>
    <w:rsid w:val="00131BEE"/>
    <w:rsid w:val="00132536"/>
    <w:rsid w:val="00133CF4"/>
    <w:rsid w:val="00133FCD"/>
    <w:rsid w:val="00143370"/>
    <w:rsid w:val="00150E08"/>
    <w:rsid w:val="001511E1"/>
    <w:rsid w:val="001512B4"/>
    <w:rsid w:val="00152062"/>
    <w:rsid w:val="00155E91"/>
    <w:rsid w:val="001563FA"/>
    <w:rsid w:val="00160964"/>
    <w:rsid w:val="00161F55"/>
    <w:rsid w:val="001620A5"/>
    <w:rsid w:val="0016225F"/>
    <w:rsid w:val="0016230A"/>
    <w:rsid w:val="0016254C"/>
    <w:rsid w:val="00162CCE"/>
    <w:rsid w:val="0016370D"/>
    <w:rsid w:val="00164B49"/>
    <w:rsid w:val="00164E53"/>
    <w:rsid w:val="00165172"/>
    <w:rsid w:val="0016535C"/>
    <w:rsid w:val="0016699D"/>
    <w:rsid w:val="0016775F"/>
    <w:rsid w:val="001677B2"/>
    <w:rsid w:val="001678BB"/>
    <w:rsid w:val="001723B3"/>
    <w:rsid w:val="00173C48"/>
    <w:rsid w:val="0017495C"/>
    <w:rsid w:val="00175159"/>
    <w:rsid w:val="00175F02"/>
    <w:rsid w:val="00176208"/>
    <w:rsid w:val="00177569"/>
    <w:rsid w:val="0018166E"/>
    <w:rsid w:val="0018211B"/>
    <w:rsid w:val="0018274A"/>
    <w:rsid w:val="00182878"/>
    <w:rsid w:val="001832D8"/>
    <w:rsid w:val="001840D3"/>
    <w:rsid w:val="001855C6"/>
    <w:rsid w:val="00185784"/>
    <w:rsid w:val="00185C8C"/>
    <w:rsid w:val="00186866"/>
    <w:rsid w:val="001900F8"/>
    <w:rsid w:val="001902AE"/>
    <w:rsid w:val="00190E0E"/>
    <w:rsid w:val="00191258"/>
    <w:rsid w:val="00191CE2"/>
    <w:rsid w:val="001922DF"/>
    <w:rsid w:val="00192680"/>
    <w:rsid w:val="00193037"/>
    <w:rsid w:val="001933A1"/>
    <w:rsid w:val="00193A2C"/>
    <w:rsid w:val="001942FC"/>
    <w:rsid w:val="00194508"/>
    <w:rsid w:val="00195886"/>
    <w:rsid w:val="001959CC"/>
    <w:rsid w:val="0019662F"/>
    <w:rsid w:val="001A288E"/>
    <w:rsid w:val="001A662F"/>
    <w:rsid w:val="001A7936"/>
    <w:rsid w:val="001B11C3"/>
    <w:rsid w:val="001B1E3B"/>
    <w:rsid w:val="001B1E9B"/>
    <w:rsid w:val="001B3456"/>
    <w:rsid w:val="001B6DC2"/>
    <w:rsid w:val="001B79DA"/>
    <w:rsid w:val="001C0D55"/>
    <w:rsid w:val="001C149C"/>
    <w:rsid w:val="001C21AC"/>
    <w:rsid w:val="001C2B54"/>
    <w:rsid w:val="001C2B85"/>
    <w:rsid w:val="001C47BA"/>
    <w:rsid w:val="001C59EA"/>
    <w:rsid w:val="001C6CCE"/>
    <w:rsid w:val="001D0DAB"/>
    <w:rsid w:val="001D10DF"/>
    <w:rsid w:val="001D3D9B"/>
    <w:rsid w:val="001D406C"/>
    <w:rsid w:val="001D41EE"/>
    <w:rsid w:val="001D4FE4"/>
    <w:rsid w:val="001D5EE2"/>
    <w:rsid w:val="001E0380"/>
    <w:rsid w:val="001E13B1"/>
    <w:rsid w:val="001E229D"/>
    <w:rsid w:val="001E2F7E"/>
    <w:rsid w:val="001E4BE3"/>
    <w:rsid w:val="001F04C8"/>
    <w:rsid w:val="001F2E61"/>
    <w:rsid w:val="001F3A19"/>
    <w:rsid w:val="001F4178"/>
    <w:rsid w:val="001F45BB"/>
    <w:rsid w:val="00203EFF"/>
    <w:rsid w:val="00204F5C"/>
    <w:rsid w:val="00204F91"/>
    <w:rsid w:val="00211473"/>
    <w:rsid w:val="00213EFD"/>
    <w:rsid w:val="002153AE"/>
    <w:rsid w:val="00216036"/>
    <w:rsid w:val="00216646"/>
    <w:rsid w:val="00216D2A"/>
    <w:rsid w:val="002178BD"/>
    <w:rsid w:val="00221113"/>
    <w:rsid w:val="0022369F"/>
    <w:rsid w:val="0022467B"/>
    <w:rsid w:val="00224859"/>
    <w:rsid w:val="0022537D"/>
    <w:rsid w:val="0023018F"/>
    <w:rsid w:val="002308EE"/>
    <w:rsid w:val="002330B7"/>
    <w:rsid w:val="00234467"/>
    <w:rsid w:val="00236519"/>
    <w:rsid w:val="00237768"/>
    <w:rsid w:val="00237D8D"/>
    <w:rsid w:val="00240E6B"/>
    <w:rsid w:val="00241DA2"/>
    <w:rsid w:val="00244D3C"/>
    <w:rsid w:val="00247673"/>
    <w:rsid w:val="00247875"/>
    <w:rsid w:val="00247FEE"/>
    <w:rsid w:val="002503A7"/>
    <w:rsid w:val="00250E7D"/>
    <w:rsid w:val="00251012"/>
    <w:rsid w:val="002543FA"/>
    <w:rsid w:val="002565D5"/>
    <w:rsid w:val="00260B83"/>
    <w:rsid w:val="00260BCB"/>
    <w:rsid w:val="0026104C"/>
    <w:rsid w:val="002617AD"/>
    <w:rsid w:val="00262232"/>
    <w:rsid w:val="002622C0"/>
    <w:rsid w:val="002623C6"/>
    <w:rsid w:val="0026272A"/>
    <w:rsid w:val="002629A1"/>
    <w:rsid w:val="00262E7B"/>
    <w:rsid w:val="00263ECE"/>
    <w:rsid w:val="002653C7"/>
    <w:rsid w:val="00265494"/>
    <w:rsid w:val="00265A83"/>
    <w:rsid w:val="002674DC"/>
    <w:rsid w:val="002679EA"/>
    <w:rsid w:val="00270570"/>
    <w:rsid w:val="00270637"/>
    <w:rsid w:val="00271090"/>
    <w:rsid w:val="002720FB"/>
    <w:rsid w:val="00273653"/>
    <w:rsid w:val="00275362"/>
    <w:rsid w:val="00276A5B"/>
    <w:rsid w:val="0027717D"/>
    <w:rsid w:val="002778AE"/>
    <w:rsid w:val="00277AA4"/>
    <w:rsid w:val="00277D2B"/>
    <w:rsid w:val="00280A52"/>
    <w:rsid w:val="0028269A"/>
    <w:rsid w:val="00283590"/>
    <w:rsid w:val="002838FB"/>
    <w:rsid w:val="002847B5"/>
    <w:rsid w:val="00284D2E"/>
    <w:rsid w:val="00285270"/>
    <w:rsid w:val="002857B0"/>
    <w:rsid w:val="00285A5F"/>
    <w:rsid w:val="0028655B"/>
    <w:rsid w:val="0028660E"/>
    <w:rsid w:val="00286973"/>
    <w:rsid w:val="002871E0"/>
    <w:rsid w:val="0029228D"/>
    <w:rsid w:val="00292DA0"/>
    <w:rsid w:val="00294E70"/>
    <w:rsid w:val="002A07FA"/>
    <w:rsid w:val="002A1528"/>
    <w:rsid w:val="002A1924"/>
    <w:rsid w:val="002A3BEC"/>
    <w:rsid w:val="002A4475"/>
    <w:rsid w:val="002A47E2"/>
    <w:rsid w:val="002A6D5E"/>
    <w:rsid w:val="002A7420"/>
    <w:rsid w:val="002B003B"/>
    <w:rsid w:val="002B023D"/>
    <w:rsid w:val="002B04B1"/>
    <w:rsid w:val="002B0F12"/>
    <w:rsid w:val="002B1308"/>
    <w:rsid w:val="002B2CD3"/>
    <w:rsid w:val="002B3BF9"/>
    <w:rsid w:val="002B44BB"/>
    <w:rsid w:val="002B4554"/>
    <w:rsid w:val="002B48FB"/>
    <w:rsid w:val="002B4EEE"/>
    <w:rsid w:val="002B5A91"/>
    <w:rsid w:val="002B70F9"/>
    <w:rsid w:val="002C1D71"/>
    <w:rsid w:val="002C2C9A"/>
    <w:rsid w:val="002C3891"/>
    <w:rsid w:val="002C5773"/>
    <w:rsid w:val="002C5D9D"/>
    <w:rsid w:val="002C6F1A"/>
    <w:rsid w:val="002C70F9"/>
    <w:rsid w:val="002C7146"/>
    <w:rsid w:val="002C72D8"/>
    <w:rsid w:val="002D11FA"/>
    <w:rsid w:val="002D174D"/>
    <w:rsid w:val="002D4067"/>
    <w:rsid w:val="002D424E"/>
    <w:rsid w:val="002D427B"/>
    <w:rsid w:val="002D6351"/>
    <w:rsid w:val="002D67C9"/>
    <w:rsid w:val="002D6A44"/>
    <w:rsid w:val="002D7CCB"/>
    <w:rsid w:val="002E0DDF"/>
    <w:rsid w:val="002E19AC"/>
    <w:rsid w:val="002E2906"/>
    <w:rsid w:val="002E2BCD"/>
    <w:rsid w:val="002E5635"/>
    <w:rsid w:val="002E6015"/>
    <w:rsid w:val="002E63E9"/>
    <w:rsid w:val="002E64C3"/>
    <w:rsid w:val="002E6A2C"/>
    <w:rsid w:val="002E6E82"/>
    <w:rsid w:val="002E788C"/>
    <w:rsid w:val="002F019F"/>
    <w:rsid w:val="002F11BC"/>
    <w:rsid w:val="002F1D8C"/>
    <w:rsid w:val="002F21DA"/>
    <w:rsid w:val="002F2668"/>
    <w:rsid w:val="002F2789"/>
    <w:rsid w:val="002F3DF0"/>
    <w:rsid w:val="002F45A5"/>
    <w:rsid w:val="002F4B8A"/>
    <w:rsid w:val="002F4C0A"/>
    <w:rsid w:val="00300982"/>
    <w:rsid w:val="00301B5D"/>
    <w:rsid w:val="00301F39"/>
    <w:rsid w:val="0030283B"/>
    <w:rsid w:val="00303CB5"/>
    <w:rsid w:val="00304992"/>
    <w:rsid w:val="00306AAD"/>
    <w:rsid w:val="00313C56"/>
    <w:rsid w:val="00313C8E"/>
    <w:rsid w:val="00313CF9"/>
    <w:rsid w:val="003143F4"/>
    <w:rsid w:val="00314768"/>
    <w:rsid w:val="00316218"/>
    <w:rsid w:val="003209AE"/>
    <w:rsid w:val="0032253C"/>
    <w:rsid w:val="00322785"/>
    <w:rsid w:val="00323162"/>
    <w:rsid w:val="00325926"/>
    <w:rsid w:val="00327A8A"/>
    <w:rsid w:val="00330483"/>
    <w:rsid w:val="00333B21"/>
    <w:rsid w:val="00336610"/>
    <w:rsid w:val="003375CD"/>
    <w:rsid w:val="00337E34"/>
    <w:rsid w:val="0034187D"/>
    <w:rsid w:val="00343B71"/>
    <w:rsid w:val="00343F73"/>
    <w:rsid w:val="00344571"/>
    <w:rsid w:val="00345060"/>
    <w:rsid w:val="00345212"/>
    <w:rsid w:val="00345355"/>
    <w:rsid w:val="00345846"/>
    <w:rsid w:val="003458B4"/>
    <w:rsid w:val="00346E36"/>
    <w:rsid w:val="00347F82"/>
    <w:rsid w:val="00350E7F"/>
    <w:rsid w:val="00350EBA"/>
    <w:rsid w:val="0035249B"/>
    <w:rsid w:val="0035323B"/>
    <w:rsid w:val="00353FA6"/>
    <w:rsid w:val="0035590C"/>
    <w:rsid w:val="003561FC"/>
    <w:rsid w:val="00357EDC"/>
    <w:rsid w:val="003609D2"/>
    <w:rsid w:val="003632BA"/>
    <w:rsid w:val="00363F22"/>
    <w:rsid w:val="00366375"/>
    <w:rsid w:val="003672EF"/>
    <w:rsid w:val="00374656"/>
    <w:rsid w:val="00375564"/>
    <w:rsid w:val="00375CB2"/>
    <w:rsid w:val="00376DA0"/>
    <w:rsid w:val="003778CC"/>
    <w:rsid w:val="00381344"/>
    <w:rsid w:val="00383191"/>
    <w:rsid w:val="00383D33"/>
    <w:rsid w:val="00384A68"/>
    <w:rsid w:val="00385510"/>
    <w:rsid w:val="00386A90"/>
    <w:rsid w:val="00386DED"/>
    <w:rsid w:val="0038798C"/>
    <w:rsid w:val="00387F48"/>
    <w:rsid w:val="00390828"/>
    <w:rsid w:val="00390F30"/>
    <w:rsid w:val="00391068"/>
    <w:rsid w:val="003912E7"/>
    <w:rsid w:val="003929A9"/>
    <w:rsid w:val="0039344F"/>
    <w:rsid w:val="00393947"/>
    <w:rsid w:val="003956B2"/>
    <w:rsid w:val="00395854"/>
    <w:rsid w:val="00395EF3"/>
    <w:rsid w:val="003974AE"/>
    <w:rsid w:val="003A12FB"/>
    <w:rsid w:val="003A19BA"/>
    <w:rsid w:val="003A20A7"/>
    <w:rsid w:val="003A2275"/>
    <w:rsid w:val="003A6A4F"/>
    <w:rsid w:val="003A7088"/>
    <w:rsid w:val="003A744F"/>
    <w:rsid w:val="003A770D"/>
    <w:rsid w:val="003B00DF"/>
    <w:rsid w:val="003B060B"/>
    <w:rsid w:val="003B0E42"/>
    <w:rsid w:val="003B1275"/>
    <w:rsid w:val="003B1778"/>
    <w:rsid w:val="003B385B"/>
    <w:rsid w:val="003B3E8D"/>
    <w:rsid w:val="003C11CB"/>
    <w:rsid w:val="003C1404"/>
    <w:rsid w:val="003C519A"/>
    <w:rsid w:val="003C75F3"/>
    <w:rsid w:val="003C78A3"/>
    <w:rsid w:val="003D0C53"/>
    <w:rsid w:val="003D2C36"/>
    <w:rsid w:val="003D5E89"/>
    <w:rsid w:val="003D6148"/>
    <w:rsid w:val="003E113C"/>
    <w:rsid w:val="003E1867"/>
    <w:rsid w:val="003E2CFE"/>
    <w:rsid w:val="003E361A"/>
    <w:rsid w:val="003E5729"/>
    <w:rsid w:val="003E65A5"/>
    <w:rsid w:val="003E6B50"/>
    <w:rsid w:val="003F4EA1"/>
    <w:rsid w:val="003F4EE0"/>
    <w:rsid w:val="003F5295"/>
    <w:rsid w:val="003F62BA"/>
    <w:rsid w:val="003F7E0D"/>
    <w:rsid w:val="00400350"/>
    <w:rsid w:val="004016EA"/>
    <w:rsid w:val="00402153"/>
    <w:rsid w:val="00402E90"/>
    <w:rsid w:val="00402FC1"/>
    <w:rsid w:val="00403AB2"/>
    <w:rsid w:val="004058EB"/>
    <w:rsid w:val="0040701D"/>
    <w:rsid w:val="00407859"/>
    <w:rsid w:val="0041210B"/>
    <w:rsid w:val="004123FB"/>
    <w:rsid w:val="00414AEA"/>
    <w:rsid w:val="0041798A"/>
    <w:rsid w:val="004211A6"/>
    <w:rsid w:val="00421988"/>
    <w:rsid w:val="00421E34"/>
    <w:rsid w:val="004225D2"/>
    <w:rsid w:val="00422A11"/>
    <w:rsid w:val="00423DFA"/>
    <w:rsid w:val="004240F5"/>
    <w:rsid w:val="004245F4"/>
    <w:rsid w:val="00425082"/>
    <w:rsid w:val="00425360"/>
    <w:rsid w:val="00426814"/>
    <w:rsid w:val="00426BD6"/>
    <w:rsid w:val="00431DEB"/>
    <w:rsid w:val="00432BB9"/>
    <w:rsid w:val="00433BD3"/>
    <w:rsid w:val="00434213"/>
    <w:rsid w:val="004356AF"/>
    <w:rsid w:val="00435F74"/>
    <w:rsid w:val="004416B9"/>
    <w:rsid w:val="00441961"/>
    <w:rsid w:val="004423D7"/>
    <w:rsid w:val="0044399D"/>
    <w:rsid w:val="00443AE6"/>
    <w:rsid w:val="0044522B"/>
    <w:rsid w:val="0044584E"/>
    <w:rsid w:val="00446B29"/>
    <w:rsid w:val="00450B0B"/>
    <w:rsid w:val="004511B3"/>
    <w:rsid w:val="00451865"/>
    <w:rsid w:val="0045213A"/>
    <w:rsid w:val="00452A3D"/>
    <w:rsid w:val="00453F9A"/>
    <w:rsid w:val="00454928"/>
    <w:rsid w:val="00454AF1"/>
    <w:rsid w:val="00455125"/>
    <w:rsid w:val="004558D6"/>
    <w:rsid w:val="00456F18"/>
    <w:rsid w:val="00460F35"/>
    <w:rsid w:val="00461002"/>
    <w:rsid w:val="00462CAA"/>
    <w:rsid w:val="00463B94"/>
    <w:rsid w:val="004649AB"/>
    <w:rsid w:val="00467C55"/>
    <w:rsid w:val="00467D07"/>
    <w:rsid w:val="00467D09"/>
    <w:rsid w:val="00470549"/>
    <w:rsid w:val="00471E91"/>
    <w:rsid w:val="00471F35"/>
    <w:rsid w:val="00474675"/>
    <w:rsid w:val="0047470C"/>
    <w:rsid w:val="00474D32"/>
    <w:rsid w:val="0047618C"/>
    <w:rsid w:val="00477052"/>
    <w:rsid w:val="00483E82"/>
    <w:rsid w:val="00485C11"/>
    <w:rsid w:val="0049019A"/>
    <w:rsid w:val="004909CA"/>
    <w:rsid w:val="00491C18"/>
    <w:rsid w:val="00495C02"/>
    <w:rsid w:val="00495D61"/>
    <w:rsid w:val="004963E4"/>
    <w:rsid w:val="00496BD1"/>
    <w:rsid w:val="00496E5D"/>
    <w:rsid w:val="004974C4"/>
    <w:rsid w:val="004A35F9"/>
    <w:rsid w:val="004A5953"/>
    <w:rsid w:val="004A705F"/>
    <w:rsid w:val="004B24C1"/>
    <w:rsid w:val="004B6191"/>
    <w:rsid w:val="004B7C3D"/>
    <w:rsid w:val="004B7C77"/>
    <w:rsid w:val="004C0154"/>
    <w:rsid w:val="004C1B03"/>
    <w:rsid w:val="004C1F96"/>
    <w:rsid w:val="004C292F"/>
    <w:rsid w:val="004C2A39"/>
    <w:rsid w:val="004C33D1"/>
    <w:rsid w:val="004C36D4"/>
    <w:rsid w:val="004C3C59"/>
    <w:rsid w:val="004C3D9A"/>
    <w:rsid w:val="004C5612"/>
    <w:rsid w:val="004C5980"/>
    <w:rsid w:val="004D3A26"/>
    <w:rsid w:val="004D3ACC"/>
    <w:rsid w:val="004D45DF"/>
    <w:rsid w:val="004D4CBA"/>
    <w:rsid w:val="004D53F7"/>
    <w:rsid w:val="004D645E"/>
    <w:rsid w:val="004D71F0"/>
    <w:rsid w:val="004D79BF"/>
    <w:rsid w:val="004E045B"/>
    <w:rsid w:val="004E3F0E"/>
    <w:rsid w:val="004E4773"/>
    <w:rsid w:val="004E490D"/>
    <w:rsid w:val="004E568C"/>
    <w:rsid w:val="004E56AA"/>
    <w:rsid w:val="004E5AB3"/>
    <w:rsid w:val="004E5CE3"/>
    <w:rsid w:val="004F13E4"/>
    <w:rsid w:val="004F283B"/>
    <w:rsid w:val="004F3083"/>
    <w:rsid w:val="004F346D"/>
    <w:rsid w:val="004F4201"/>
    <w:rsid w:val="004F5A5E"/>
    <w:rsid w:val="004F7FEA"/>
    <w:rsid w:val="00505019"/>
    <w:rsid w:val="00506CC5"/>
    <w:rsid w:val="00510280"/>
    <w:rsid w:val="00511118"/>
    <w:rsid w:val="00511BA9"/>
    <w:rsid w:val="005125A0"/>
    <w:rsid w:val="00513D73"/>
    <w:rsid w:val="00513E54"/>
    <w:rsid w:val="005143D6"/>
    <w:rsid w:val="00514A43"/>
    <w:rsid w:val="0051543B"/>
    <w:rsid w:val="005174E5"/>
    <w:rsid w:val="00521E4F"/>
    <w:rsid w:val="00522346"/>
    <w:rsid w:val="00522393"/>
    <w:rsid w:val="005224E8"/>
    <w:rsid w:val="00522620"/>
    <w:rsid w:val="00525656"/>
    <w:rsid w:val="00527388"/>
    <w:rsid w:val="00527A35"/>
    <w:rsid w:val="005306E3"/>
    <w:rsid w:val="005308C6"/>
    <w:rsid w:val="00530B6D"/>
    <w:rsid w:val="00532307"/>
    <w:rsid w:val="00532758"/>
    <w:rsid w:val="00534A1B"/>
    <w:rsid w:val="00534C02"/>
    <w:rsid w:val="005408A7"/>
    <w:rsid w:val="00540B55"/>
    <w:rsid w:val="0054264B"/>
    <w:rsid w:val="00542B40"/>
    <w:rsid w:val="00543786"/>
    <w:rsid w:val="0054565E"/>
    <w:rsid w:val="00545BAA"/>
    <w:rsid w:val="005474BB"/>
    <w:rsid w:val="00547603"/>
    <w:rsid w:val="00550B20"/>
    <w:rsid w:val="00551CF0"/>
    <w:rsid w:val="00551DBD"/>
    <w:rsid w:val="0055319C"/>
    <w:rsid w:val="005533D7"/>
    <w:rsid w:val="00556CF5"/>
    <w:rsid w:val="00556DFB"/>
    <w:rsid w:val="00557B4A"/>
    <w:rsid w:val="005624A8"/>
    <w:rsid w:val="005632FC"/>
    <w:rsid w:val="00563BFD"/>
    <w:rsid w:val="00565EF0"/>
    <w:rsid w:val="0056738D"/>
    <w:rsid w:val="00567C14"/>
    <w:rsid w:val="00567FF3"/>
    <w:rsid w:val="005703DE"/>
    <w:rsid w:val="00574D87"/>
    <w:rsid w:val="00575208"/>
    <w:rsid w:val="00576508"/>
    <w:rsid w:val="0057762F"/>
    <w:rsid w:val="00580079"/>
    <w:rsid w:val="00582165"/>
    <w:rsid w:val="005823BA"/>
    <w:rsid w:val="00582C2C"/>
    <w:rsid w:val="0058435E"/>
    <w:rsid w:val="0058464E"/>
    <w:rsid w:val="005862BE"/>
    <w:rsid w:val="00586726"/>
    <w:rsid w:val="00587C8D"/>
    <w:rsid w:val="0059071A"/>
    <w:rsid w:val="00597122"/>
    <w:rsid w:val="005A01CB"/>
    <w:rsid w:val="005A158A"/>
    <w:rsid w:val="005A28F3"/>
    <w:rsid w:val="005A36DC"/>
    <w:rsid w:val="005A3B3F"/>
    <w:rsid w:val="005A54C0"/>
    <w:rsid w:val="005A58FF"/>
    <w:rsid w:val="005A5EAF"/>
    <w:rsid w:val="005A604B"/>
    <w:rsid w:val="005A64C0"/>
    <w:rsid w:val="005A6A41"/>
    <w:rsid w:val="005A73B2"/>
    <w:rsid w:val="005A7D86"/>
    <w:rsid w:val="005A7F2C"/>
    <w:rsid w:val="005B1D03"/>
    <w:rsid w:val="005B2C7B"/>
    <w:rsid w:val="005B3A29"/>
    <w:rsid w:val="005B3A76"/>
    <w:rsid w:val="005B3C11"/>
    <w:rsid w:val="005B65AC"/>
    <w:rsid w:val="005B76A7"/>
    <w:rsid w:val="005C177F"/>
    <w:rsid w:val="005C18EE"/>
    <w:rsid w:val="005C1C28"/>
    <w:rsid w:val="005C25F5"/>
    <w:rsid w:val="005C27B9"/>
    <w:rsid w:val="005C37A7"/>
    <w:rsid w:val="005C4220"/>
    <w:rsid w:val="005C6C95"/>
    <w:rsid w:val="005C6DB5"/>
    <w:rsid w:val="005D0F7E"/>
    <w:rsid w:val="005D29D2"/>
    <w:rsid w:val="005D677A"/>
    <w:rsid w:val="005D6B6D"/>
    <w:rsid w:val="005D7A00"/>
    <w:rsid w:val="005E19E7"/>
    <w:rsid w:val="005E1DA2"/>
    <w:rsid w:val="005E2690"/>
    <w:rsid w:val="005E2FB3"/>
    <w:rsid w:val="005E4DF5"/>
    <w:rsid w:val="005E5D12"/>
    <w:rsid w:val="005E7704"/>
    <w:rsid w:val="005F068F"/>
    <w:rsid w:val="005F281E"/>
    <w:rsid w:val="005F50B9"/>
    <w:rsid w:val="005F545B"/>
    <w:rsid w:val="005F5573"/>
    <w:rsid w:val="005F74CD"/>
    <w:rsid w:val="005F7580"/>
    <w:rsid w:val="006008DA"/>
    <w:rsid w:val="006013C9"/>
    <w:rsid w:val="00602840"/>
    <w:rsid w:val="0060303F"/>
    <w:rsid w:val="00604F20"/>
    <w:rsid w:val="00606289"/>
    <w:rsid w:val="00606CA4"/>
    <w:rsid w:val="006073A6"/>
    <w:rsid w:val="0061571C"/>
    <w:rsid w:val="0061716C"/>
    <w:rsid w:val="00617C5E"/>
    <w:rsid w:val="00617D98"/>
    <w:rsid w:val="006225FE"/>
    <w:rsid w:val="006230EA"/>
    <w:rsid w:val="006239DF"/>
    <w:rsid w:val="00623C93"/>
    <w:rsid w:val="006243A1"/>
    <w:rsid w:val="00625301"/>
    <w:rsid w:val="006255C0"/>
    <w:rsid w:val="006317B6"/>
    <w:rsid w:val="00632E56"/>
    <w:rsid w:val="0063315E"/>
    <w:rsid w:val="00635CBA"/>
    <w:rsid w:val="00636E40"/>
    <w:rsid w:val="00637A59"/>
    <w:rsid w:val="00642ACE"/>
    <w:rsid w:val="0064338B"/>
    <w:rsid w:val="00644252"/>
    <w:rsid w:val="0064533D"/>
    <w:rsid w:val="00645C38"/>
    <w:rsid w:val="00646542"/>
    <w:rsid w:val="0064719F"/>
    <w:rsid w:val="00650384"/>
    <w:rsid w:val="006504F4"/>
    <w:rsid w:val="00650C79"/>
    <w:rsid w:val="00651E3C"/>
    <w:rsid w:val="006536B0"/>
    <w:rsid w:val="006536F6"/>
    <w:rsid w:val="00654BC9"/>
    <w:rsid w:val="006552FD"/>
    <w:rsid w:val="00655652"/>
    <w:rsid w:val="006562E4"/>
    <w:rsid w:val="00656D9E"/>
    <w:rsid w:val="00657E3F"/>
    <w:rsid w:val="006601B3"/>
    <w:rsid w:val="00660BCE"/>
    <w:rsid w:val="00661749"/>
    <w:rsid w:val="00663AF3"/>
    <w:rsid w:val="00664C35"/>
    <w:rsid w:val="00665669"/>
    <w:rsid w:val="00665975"/>
    <w:rsid w:val="00666B6C"/>
    <w:rsid w:val="00667A82"/>
    <w:rsid w:val="00667E90"/>
    <w:rsid w:val="006701B7"/>
    <w:rsid w:val="006704D9"/>
    <w:rsid w:val="00671F31"/>
    <w:rsid w:val="00672CFB"/>
    <w:rsid w:val="006737CC"/>
    <w:rsid w:val="00674527"/>
    <w:rsid w:val="006758A3"/>
    <w:rsid w:val="006802F3"/>
    <w:rsid w:val="00680302"/>
    <w:rsid w:val="0068237B"/>
    <w:rsid w:val="00682682"/>
    <w:rsid w:val="00682702"/>
    <w:rsid w:val="006914EA"/>
    <w:rsid w:val="00691741"/>
    <w:rsid w:val="00691E21"/>
    <w:rsid w:val="00692368"/>
    <w:rsid w:val="006924B9"/>
    <w:rsid w:val="006945FB"/>
    <w:rsid w:val="006947B1"/>
    <w:rsid w:val="006A06C9"/>
    <w:rsid w:val="006A1824"/>
    <w:rsid w:val="006A1EE7"/>
    <w:rsid w:val="006A2EBC"/>
    <w:rsid w:val="006A52A9"/>
    <w:rsid w:val="006A5EA0"/>
    <w:rsid w:val="006A6F64"/>
    <w:rsid w:val="006A783B"/>
    <w:rsid w:val="006A78C1"/>
    <w:rsid w:val="006A7B33"/>
    <w:rsid w:val="006B04A4"/>
    <w:rsid w:val="006B1F39"/>
    <w:rsid w:val="006B2398"/>
    <w:rsid w:val="006B4BE6"/>
    <w:rsid w:val="006B4BE7"/>
    <w:rsid w:val="006B4E13"/>
    <w:rsid w:val="006B6C77"/>
    <w:rsid w:val="006B7260"/>
    <w:rsid w:val="006B75DD"/>
    <w:rsid w:val="006C149F"/>
    <w:rsid w:val="006C5056"/>
    <w:rsid w:val="006C5187"/>
    <w:rsid w:val="006C67E0"/>
    <w:rsid w:val="006C6C47"/>
    <w:rsid w:val="006C7ABA"/>
    <w:rsid w:val="006C7C94"/>
    <w:rsid w:val="006C7D7F"/>
    <w:rsid w:val="006D0578"/>
    <w:rsid w:val="006D0D60"/>
    <w:rsid w:val="006D1122"/>
    <w:rsid w:val="006D15AE"/>
    <w:rsid w:val="006D1808"/>
    <w:rsid w:val="006D1933"/>
    <w:rsid w:val="006D2B37"/>
    <w:rsid w:val="006D3C00"/>
    <w:rsid w:val="006D53CB"/>
    <w:rsid w:val="006D634B"/>
    <w:rsid w:val="006D66C6"/>
    <w:rsid w:val="006D719D"/>
    <w:rsid w:val="006D7A67"/>
    <w:rsid w:val="006D7FE7"/>
    <w:rsid w:val="006E0F9A"/>
    <w:rsid w:val="006E2508"/>
    <w:rsid w:val="006E3675"/>
    <w:rsid w:val="006E4A7F"/>
    <w:rsid w:val="006F11CC"/>
    <w:rsid w:val="006F11DE"/>
    <w:rsid w:val="006F2A4C"/>
    <w:rsid w:val="006F3B58"/>
    <w:rsid w:val="006F44D6"/>
    <w:rsid w:val="006F453D"/>
    <w:rsid w:val="0070045B"/>
    <w:rsid w:val="00700E9C"/>
    <w:rsid w:val="0070145C"/>
    <w:rsid w:val="00701A2A"/>
    <w:rsid w:val="00701ED7"/>
    <w:rsid w:val="007028BF"/>
    <w:rsid w:val="007030DC"/>
    <w:rsid w:val="007038E3"/>
    <w:rsid w:val="00704DF6"/>
    <w:rsid w:val="00705356"/>
    <w:rsid w:val="0070651C"/>
    <w:rsid w:val="00706CE7"/>
    <w:rsid w:val="00712EA8"/>
    <w:rsid w:val="007132A3"/>
    <w:rsid w:val="0071546E"/>
    <w:rsid w:val="00716421"/>
    <w:rsid w:val="00716657"/>
    <w:rsid w:val="00722A7F"/>
    <w:rsid w:val="007238BF"/>
    <w:rsid w:val="00724EFB"/>
    <w:rsid w:val="00725DA1"/>
    <w:rsid w:val="0072604B"/>
    <w:rsid w:val="007268BE"/>
    <w:rsid w:val="00726BF2"/>
    <w:rsid w:val="00727F77"/>
    <w:rsid w:val="00731DA3"/>
    <w:rsid w:val="00733C0F"/>
    <w:rsid w:val="00733F39"/>
    <w:rsid w:val="007370B1"/>
    <w:rsid w:val="007419C3"/>
    <w:rsid w:val="00742010"/>
    <w:rsid w:val="00743F1C"/>
    <w:rsid w:val="007467A7"/>
    <w:rsid w:val="007469DD"/>
    <w:rsid w:val="0074741B"/>
    <w:rsid w:val="0074759E"/>
    <w:rsid w:val="007478EA"/>
    <w:rsid w:val="00752FFC"/>
    <w:rsid w:val="0075415C"/>
    <w:rsid w:val="007572B2"/>
    <w:rsid w:val="007602FD"/>
    <w:rsid w:val="00761F04"/>
    <w:rsid w:val="00761F71"/>
    <w:rsid w:val="007625E4"/>
    <w:rsid w:val="007626BC"/>
    <w:rsid w:val="00762AAA"/>
    <w:rsid w:val="00763502"/>
    <w:rsid w:val="007658EF"/>
    <w:rsid w:val="007665DE"/>
    <w:rsid w:val="007669C1"/>
    <w:rsid w:val="0076794A"/>
    <w:rsid w:val="00770435"/>
    <w:rsid w:val="00770C0D"/>
    <w:rsid w:val="007717A9"/>
    <w:rsid w:val="00771A43"/>
    <w:rsid w:val="00774FB3"/>
    <w:rsid w:val="007759C1"/>
    <w:rsid w:val="00777BCC"/>
    <w:rsid w:val="00781056"/>
    <w:rsid w:val="00782287"/>
    <w:rsid w:val="007826C9"/>
    <w:rsid w:val="00784BD7"/>
    <w:rsid w:val="00785C4B"/>
    <w:rsid w:val="0078639F"/>
    <w:rsid w:val="00790447"/>
    <w:rsid w:val="007913AB"/>
    <w:rsid w:val="007914F7"/>
    <w:rsid w:val="007916F9"/>
    <w:rsid w:val="00791AF1"/>
    <w:rsid w:val="00792BE8"/>
    <w:rsid w:val="007947A4"/>
    <w:rsid w:val="007964D0"/>
    <w:rsid w:val="007965B0"/>
    <w:rsid w:val="007A1EFF"/>
    <w:rsid w:val="007A2E10"/>
    <w:rsid w:val="007A3233"/>
    <w:rsid w:val="007A5A87"/>
    <w:rsid w:val="007A6016"/>
    <w:rsid w:val="007A670E"/>
    <w:rsid w:val="007A6E42"/>
    <w:rsid w:val="007A73E4"/>
    <w:rsid w:val="007B1625"/>
    <w:rsid w:val="007B1640"/>
    <w:rsid w:val="007B4137"/>
    <w:rsid w:val="007B4D35"/>
    <w:rsid w:val="007B530A"/>
    <w:rsid w:val="007B584C"/>
    <w:rsid w:val="007B6129"/>
    <w:rsid w:val="007B706E"/>
    <w:rsid w:val="007B71EB"/>
    <w:rsid w:val="007C1AA7"/>
    <w:rsid w:val="007C4FFE"/>
    <w:rsid w:val="007C506B"/>
    <w:rsid w:val="007C57BD"/>
    <w:rsid w:val="007C61DA"/>
    <w:rsid w:val="007C6205"/>
    <w:rsid w:val="007C686A"/>
    <w:rsid w:val="007C728E"/>
    <w:rsid w:val="007C7563"/>
    <w:rsid w:val="007C78DB"/>
    <w:rsid w:val="007D0325"/>
    <w:rsid w:val="007D07D4"/>
    <w:rsid w:val="007D1009"/>
    <w:rsid w:val="007D23E4"/>
    <w:rsid w:val="007D2888"/>
    <w:rsid w:val="007D2C53"/>
    <w:rsid w:val="007D3082"/>
    <w:rsid w:val="007D3D60"/>
    <w:rsid w:val="007D4A44"/>
    <w:rsid w:val="007D5176"/>
    <w:rsid w:val="007D5356"/>
    <w:rsid w:val="007D72C7"/>
    <w:rsid w:val="007E030A"/>
    <w:rsid w:val="007E09CE"/>
    <w:rsid w:val="007E1980"/>
    <w:rsid w:val="007E2D71"/>
    <w:rsid w:val="007E37DE"/>
    <w:rsid w:val="007E4B76"/>
    <w:rsid w:val="007E4CF1"/>
    <w:rsid w:val="007E512A"/>
    <w:rsid w:val="007E5EA8"/>
    <w:rsid w:val="007E68D6"/>
    <w:rsid w:val="007E6CBA"/>
    <w:rsid w:val="007E7FE4"/>
    <w:rsid w:val="007F0514"/>
    <w:rsid w:val="007F09FC"/>
    <w:rsid w:val="007F0BB9"/>
    <w:rsid w:val="007F0CF1"/>
    <w:rsid w:val="007F12A5"/>
    <w:rsid w:val="007F2367"/>
    <w:rsid w:val="007F25D7"/>
    <w:rsid w:val="007F2EEB"/>
    <w:rsid w:val="007F3B1F"/>
    <w:rsid w:val="007F4CF1"/>
    <w:rsid w:val="007F4CFB"/>
    <w:rsid w:val="007F5AF3"/>
    <w:rsid w:val="007F758D"/>
    <w:rsid w:val="007F7D52"/>
    <w:rsid w:val="00800530"/>
    <w:rsid w:val="00801602"/>
    <w:rsid w:val="00803416"/>
    <w:rsid w:val="0080399C"/>
    <w:rsid w:val="008039D1"/>
    <w:rsid w:val="0080486C"/>
    <w:rsid w:val="00805D44"/>
    <w:rsid w:val="0080654C"/>
    <w:rsid w:val="008071C6"/>
    <w:rsid w:val="008073FA"/>
    <w:rsid w:val="00812AC7"/>
    <w:rsid w:val="0081304B"/>
    <w:rsid w:val="0081581C"/>
    <w:rsid w:val="00815E45"/>
    <w:rsid w:val="0081610E"/>
    <w:rsid w:val="00817645"/>
    <w:rsid w:val="00817A00"/>
    <w:rsid w:val="008205A9"/>
    <w:rsid w:val="00821CBF"/>
    <w:rsid w:val="00821F44"/>
    <w:rsid w:val="00822149"/>
    <w:rsid w:val="0082323D"/>
    <w:rsid w:val="0082332B"/>
    <w:rsid w:val="008236EF"/>
    <w:rsid w:val="00824001"/>
    <w:rsid w:val="00824CBB"/>
    <w:rsid w:val="00825099"/>
    <w:rsid w:val="00827E79"/>
    <w:rsid w:val="00830F44"/>
    <w:rsid w:val="0083173C"/>
    <w:rsid w:val="00834B87"/>
    <w:rsid w:val="00835DB3"/>
    <w:rsid w:val="00835DE7"/>
    <w:rsid w:val="0083617B"/>
    <w:rsid w:val="00836568"/>
    <w:rsid w:val="008371BD"/>
    <w:rsid w:val="00846CF7"/>
    <w:rsid w:val="008504A8"/>
    <w:rsid w:val="0085282E"/>
    <w:rsid w:val="00852C65"/>
    <w:rsid w:val="0085565E"/>
    <w:rsid w:val="00855FAF"/>
    <w:rsid w:val="0085640F"/>
    <w:rsid w:val="008575D8"/>
    <w:rsid w:val="00857DF4"/>
    <w:rsid w:val="00862612"/>
    <w:rsid w:val="00863982"/>
    <w:rsid w:val="00864F47"/>
    <w:rsid w:val="008655D5"/>
    <w:rsid w:val="0087198C"/>
    <w:rsid w:val="008724BA"/>
    <w:rsid w:val="0087273B"/>
    <w:rsid w:val="008727B3"/>
    <w:rsid w:val="00872C1F"/>
    <w:rsid w:val="00873B42"/>
    <w:rsid w:val="008749E4"/>
    <w:rsid w:val="00875F57"/>
    <w:rsid w:val="00877D2E"/>
    <w:rsid w:val="0088015D"/>
    <w:rsid w:val="008856D8"/>
    <w:rsid w:val="00885D20"/>
    <w:rsid w:val="00886462"/>
    <w:rsid w:val="00887CF7"/>
    <w:rsid w:val="00887EEA"/>
    <w:rsid w:val="00892E82"/>
    <w:rsid w:val="00896E5D"/>
    <w:rsid w:val="008A0920"/>
    <w:rsid w:val="008A478E"/>
    <w:rsid w:val="008A4800"/>
    <w:rsid w:val="008A4BE6"/>
    <w:rsid w:val="008A62C1"/>
    <w:rsid w:val="008A70E1"/>
    <w:rsid w:val="008B0C42"/>
    <w:rsid w:val="008B4B50"/>
    <w:rsid w:val="008B5DC2"/>
    <w:rsid w:val="008B7AE0"/>
    <w:rsid w:val="008C0FFC"/>
    <w:rsid w:val="008C1B58"/>
    <w:rsid w:val="008C1D10"/>
    <w:rsid w:val="008C29CC"/>
    <w:rsid w:val="008C35F6"/>
    <w:rsid w:val="008C39AE"/>
    <w:rsid w:val="008C590D"/>
    <w:rsid w:val="008C6C29"/>
    <w:rsid w:val="008C719E"/>
    <w:rsid w:val="008C7F1C"/>
    <w:rsid w:val="008D2F9B"/>
    <w:rsid w:val="008D30ED"/>
    <w:rsid w:val="008D31EA"/>
    <w:rsid w:val="008D4010"/>
    <w:rsid w:val="008D4940"/>
    <w:rsid w:val="008E031B"/>
    <w:rsid w:val="008E0BD7"/>
    <w:rsid w:val="008E3BB5"/>
    <w:rsid w:val="008E4440"/>
    <w:rsid w:val="008E7029"/>
    <w:rsid w:val="008E7EF6"/>
    <w:rsid w:val="008F0E16"/>
    <w:rsid w:val="008F12CE"/>
    <w:rsid w:val="008F1F98"/>
    <w:rsid w:val="008F24FA"/>
    <w:rsid w:val="008F2D68"/>
    <w:rsid w:val="008F4E48"/>
    <w:rsid w:val="008F53DE"/>
    <w:rsid w:val="008F586A"/>
    <w:rsid w:val="008F5CC9"/>
    <w:rsid w:val="008F6758"/>
    <w:rsid w:val="008F7587"/>
    <w:rsid w:val="00901823"/>
    <w:rsid w:val="00902994"/>
    <w:rsid w:val="009040DD"/>
    <w:rsid w:val="0090431A"/>
    <w:rsid w:val="00905B47"/>
    <w:rsid w:val="0091221B"/>
    <w:rsid w:val="0091331C"/>
    <w:rsid w:val="0091433A"/>
    <w:rsid w:val="009144EC"/>
    <w:rsid w:val="00915ADC"/>
    <w:rsid w:val="0091631F"/>
    <w:rsid w:val="00917CB5"/>
    <w:rsid w:val="00921C40"/>
    <w:rsid w:val="00923750"/>
    <w:rsid w:val="00926BD8"/>
    <w:rsid w:val="009279DE"/>
    <w:rsid w:val="00930112"/>
    <w:rsid w:val="00930116"/>
    <w:rsid w:val="009323C7"/>
    <w:rsid w:val="0093240A"/>
    <w:rsid w:val="009335B9"/>
    <w:rsid w:val="00933DEC"/>
    <w:rsid w:val="0093436D"/>
    <w:rsid w:val="00934548"/>
    <w:rsid w:val="0093473B"/>
    <w:rsid w:val="00935479"/>
    <w:rsid w:val="00935789"/>
    <w:rsid w:val="00936969"/>
    <w:rsid w:val="00937650"/>
    <w:rsid w:val="00941979"/>
    <w:rsid w:val="00941E47"/>
    <w:rsid w:val="0094212C"/>
    <w:rsid w:val="009437F7"/>
    <w:rsid w:val="00943F38"/>
    <w:rsid w:val="009453F8"/>
    <w:rsid w:val="00947508"/>
    <w:rsid w:val="0095053A"/>
    <w:rsid w:val="00950A7A"/>
    <w:rsid w:val="0095244D"/>
    <w:rsid w:val="00953360"/>
    <w:rsid w:val="009534A5"/>
    <w:rsid w:val="00953B13"/>
    <w:rsid w:val="00954689"/>
    <w:rsid w:val="00955B6F"/>
    <w:rsid w:val="009569CB"/>
    <w:rsid w:val="00956A4D"/>
    <w:rsid w:val="00957C8C"/>
    <w:rsid w:val="0096046B"/>
    <w:rsid w:val="0096046E"/>
    <w:rsid w:val="009617C9"/>
    <w:rsid w:val="00961C93"/>
    <w:rsid w:val="00962BD3"/>
    <w:rsid w:val="00962F7A"/>
    <w:rsid w:val="009634D1"/>
    <w:rsid w:val="00965324"/>
    <w:rsid w:val="00966C6E"/>
    <w:rsid w:val="00966ECF"/>
    <w:rsid w:val="0097091E"/>
    <w:rsid w:val="00971D0F"/>
    <w:rsid w:val="009748A6"/>
    <w:rsid w:val="00974AF6"/>
    <w:rsid w:val="009760D3"/>
    <w:rsid w:val="00977132"/>
    <w:rsid w:val="00977B6B"/>
    <w:rsid w:val="0098067D"/>
    <w:rsid w:val="00981A4B"/>
    <w:rsid w:val="00982501"/>
    <w:rsid w:val="009835CD"/>
    <w:rsid w:val="009850C3"/>
    <w:rsid w:val="009855A4"/>
    <w:rsid w:val="00985FD4"/>
    <w:rsid w:val="0098633E"/>
    <w:rsid w:val="009877D3"/>
    <w:rsid w:val="00987B50"/>
    <w:rsid w:val="00987CF6"/>
    <w:rsid w:val="00990A46"/>
    <w:rsid w:val="00990C80"/>
    <w:rsid w:val="00994615"/>
    <w:rsid w:val="00994E8F"/>
    <w:rsid w:val="009951DC"/>
    <w:rsid w:val="009952AB"/>
    <w:rsid w:val="009959BB"/>
    <w:rsid w:val="00997158"/>
    <w:rsid w:val="009976E4"/>
    <w:rsid w:val="009A062C"/>
    <w:rsid w:val="009A0785"/>
    <w:rsid w:val="009A1176"/>
    <w:rsid w:val="009A3A7C"/>
    <w:rsid w:val="009A43A6"/>
    <w:rsid w:val="009A5112"/>
    <w:rsid w:val="009A5E2C"/>
    <w:rsid w:val="009B2ADB"/>
    <w:rsid w:val="009B2DFC"/>
    <w:rsid w:val="009B3515"/>
    <w:rsid w:val="009B3A05"/>
    <w:rsid w:val="009B432E"/>
    <w:rsid w:val="009B5867"/>
    <w:rsid w:val="009B603A"/>
    <w:rsid w:val="009C0A29"/>
    <w:rsid w:val="009C116A"/>
    <w:rsid w:val="009C25DD"/>
    <w:rsid w:val="009C2AE0"/>
    <w:rsid w:val="009C2D0E"/>
    <w:rsid w:val="009C3DAC"/>
    <w:rsid w:val="009C4138"/>
    <w:rsid w:val="009C42E0"/>
    <w:rsid w:val="009C669B"/>
    <w:rsid w:val="009C7192"/>
    <w:rsid w:val="009C72D5"/>
    <w:rsid w:val="009D31DC"/>
    <w:rsid w:val="009D44A2"/>
    <w:rsid w:val="009D5362"/>
    <w:rsid w:val="009D66FB"/>
    <w:rsid w:val="009D680C"/>
    <w:rsid w:val="009D6A7C"/>
    <w:rsid w:val="009D6D8D"/>
    <w:rsid w:val="009E06ED"/>
    <w:rsid w:val="009E1415"/>
    <w:rsid w:val="009E2CE0"/>
    <w:rsid w:val="009E6116"/>
    <w:rsid w:val="009E764B"/>
    <w:rsid w:val="009F005D"/>
    <w:rsid w:val="009F1D28"/>
    <w:rsid w:val="009F1D44"/>
    <w:rsid w:val="009F2264"/>
    <w:rsid w:val="009F5C4A"/>
    <w:rsid w:val="009F677F"/>
    <w:rsid w:val="009F7592"/>
    <w:rsid w:val="009F7AF9"/>
    <w:rsid w:val="00A00055"/>
    <w:rsid w:val="00A01CB0"/>
    <w:rsid w:val="00A02E43"/>
    <w:rsid w:val="00A03DA6"/>
    <w:rsid w:val="00A0431C"/>
    <w:rsid w:val="00A05D03"/>
    <w:rsid w:val="00A064B8"/>
    <w:rsid w:val="00A065F9"/>
    <w:rsid w:val="00A069CB"/>
    <w:rsid w:val="00A072ED"/>
    <w:rsid w:val="00A074C8"/>
    <w:rsid w:val="00A07A07"/>
    <w:rsid w:val="00A07F34"/>
    <w:rsid w:val="00A156E5"/>
    <w:rsid w:val="00A17814"/>
    <w:rsid w:val="00A20071"/>
    <w:rsid w:val="00A22154"/>
    <w:rsid w:val="00A23012"/>
    <w:rsid w:val="00A23847"/>
    <w:rsid w:val="00A23A75"/>
    <w:rsid w:val="00A257A4"/>
    <w:rsid w:val="00A2585F"/>
    <w:rsid w:val="00A25C38"/>
    <w:rsid w:val="00A27527"/>
    <w:rsid w:val="00A31629"/>
    <w:rsid w:val="00A31D76"/>
    <w:rsid w:val="00A334D6"/>
    <w:rsid w:val="00A33EC7"/>
    <w:rsid w:val="00A35125"/>
    <w:rsid w:val="00A35532"/>
    <w:rsid w:val="00A3607E"/>
    <w:rsid w:val="00A36BBE"/>
    <w:rsid w:val="00A37512"/>
    <w:rsid w:val="00A376E9"/>
    <w:rsid w:val="00A377EA"/>
    <w:rsid w:val="00A405EB"/>
    <w:rsid w:val="00A418DD"/>
    <w:rsid w:val="00A42EFB"/>
    <w:rsid w:val="00A4307A"/>
    <w:rsid w:val="00A43806"/>
    <w:rsid w:val="00A444AE"/>
    <w:rsid w:val="00A4470A"/>
    <w:rsid w:val="00A47EBB"/>
    <w:rsid w:val="00A50599"/>
    <w:rsid w:val="00A510B5"/>
    <w:rsid w:val="00A51CDD"/>
    <w:rsid w:val="00A525C7"/>
    <w:rsid w:val="00A52D42"/>
    <w:rsid w:val="00A53329"/>
    <w:rsid w:val="00A53765"/>
    <w:rsid w:val="00A57F83"/>
    <w:rsid w:val="00A600B2"/>
    <w:rsid w:val="00A60D68"/>
    <w:rsid w:val="00A62C5F"/>
    <w:rsid w:val="00A638CD"/>
    <w:rsid w:val="00A6502B"/>
    <w:rsid w:val="00A66D1C"/>
    <w:rsid w:val="00A6730D"/>
    <w:rsid w:val="00A71625"/>
    <w:rsid w:val="00A71659"/>
    <w:rsid w:val="00A71B9B"/>
    <w:rsid w:val="00A7282A"/>
    <w:rsid w:val="00A73CDE"/>
    <w:rsid w:val="00A73CF0"/>
    <w:rsid w:val="00A751C7"/>
    <w:rsid w:val="00A75422"/>
    <w:rsid w:val="00A7543C"/>
    <w:rsid w:val="00A759E3"/>
    <w:rsid w:val="00A76D12"/>
    <w:rsid w:val="00A80DF5"/>
    <w:rsid w:val="00A819FD"/>
    <w:rsid w:val="00A81E4B"/>
    <w:rsid w:val="00A838F8"/>
    <w:rsid w:val="00A86286"/>
    <w:rsid w:val="00A87844"/>
    <w:rsid w:val="00A92259"/>
    <w:rsid w:val="00A9443E"/>
    <w:rsid w:val="00A967CA"/>
    <w:rsid w:val="00A96CDA"/>
    <w:rsid w:val="00A9796E"/>
    <w:rsid w:val="00AA038C"/>
    <w:rsid w:val="00AA19BB"/>
    <w:rsid w:val="00AA2B34"/>
    <w:rsid w:val="00AA2F7D"/>
    <w:rsid w:val="00AA3849"/>
    <w:rsid w:val="00AA57BC"/>
    <w:rsid w:val="00AA5C52"/>
    <w:rsid w:val="00AA7A09"/>
    <w:rsid w:val="00AB0858"/>
    <w:rsid w:val="00AB1DF9"/>
    <w:rsid w:val="00AB3B50"/>
    <w:rsid w:val="00AB4277"/>
    <w:rsid w:val="00AB4644"/>
    <w:rsid w:val="00AB5386"/>
    <w:rsid w:val="00AB67DD"/>
    <w:rsid w:val="00AC05B1"/>
    <w:rsid w:val="00AC105D"/>
    <w:rsid w:val="00AC253D"/>
    <w:rsid w:val="00AC36DF"/>
    <w:rsid w:val="00AC4A68"/>
    <w:rsid w:val="00AD2EE3"/>
    <w:rsid w:val="00AD356C"/>
    <w:rsid w:val="00AD495A"/>
    <w:rsid w:val="00AD5EFF"/>
    <w:rsid w:val="00AE09E2"/>
    <w:rsid w:val="00AE2914"/>
    <w:rsid w:val="00AE2F02"/>
    <w:rsid w:val="00AE362B"/>
    <w:rsid w:val="00AE4656"/>
    <w:rsid w:val="00AE4B6A"/>
    <w:rsid w:val="00AE6D15"/>
    <w:rsid w:val="00AF0794"/>
    <w:rsid w:val="00AF13E2"/>
    <w:rsid w:val="00AF173E"/>
    <w:rsid w:val="00AF1DDA"/>
    <w:rsid w:val="00AF2115"/>
    <w:rsid w:val="00AF2B3B"/>
    <w:rsid w:val="00AF2C1B"/>
    <w:rsid w:val="00AF4FA7"/>
    <w:rsid w:val="00AF5E26"/>
    <w:rsid w:val="00AF6580"/>
    <w:rsid w:val="00AF70C4"/>
    <w:rsid w:val="00B01302"/>
    <w:rsid w:val="00B013F3"/>
    <w:rsid w:val="00B015B9"/>
    <w:rsid w:val="00B04182"/>
    <w:rsid w:val="00B06054"/>
    <w:rsid w:val="00B06779"/>
    <w:rsid w:val="00B07729"/>
    <w:rsid w:val="00B07AE3"/>
    <w:rsid w:val="00B11430"/>
    <w:rsid w:val="00B13659"/>
    <w:rsid w:val="00B143F9"/>
    <w:rsid w:val="00B14C0A"/>
    <w:rsid w:val="00B16328"/>
    <w:rsid w:val="00B1643B"/>
    <w:rsid w:val="00B2030A"/>
    <w:rsid w:val="00B23851"/>
    <w:rsid w:val="00B2474C"/>
    <w:rsid w:val="00B253D3"/>
    <w:rsid w:val="00B27AB5"/>
    <w:rsid w:val="00B27E6A"/>
    <w:rsid w:val="00B316E0"/>
    <w:rsid w:val="00B350E1"/>
    <w:rsid w:val="00B3515F"/>
    <w:rsid w:val="00B353EB"/>
    <w:rsid w:val="00B3780B"/>
    <w:rsid w:val="00B40FB2"/>
    <w:rsid w:val="00B416AA"/>
    <w:rsid w:val="00B418FC"/>
    <w:rsid w:val="00B41B9D"/>
    <w:rsid w:val="00B41E72"/>
    <w:rsid w:val="00B4324D"/>
    <w:rsid w:val="00B43948"/>
    <w:rsid w:val="00B439C4"/>
    <w:rsid w:val="00B43EB6"/>
    <w:rsid w:val="00B4420A"/>
    <w:rsid w:val="00B44272"/>
    <w:rsid w:val="00B442D3"/>
    <w:rsid w:val="00B44869"/>
    <w:rsid w:val="00B449F1"/>
    <w:rsid w:val="00B44BD0"/>
    <w:rsid w:val="00B45200"/>
    <w:rsid w:val="00B4535E"/>
    <w:rsid w:val="00B46BD6"/>
    <w:rsid w:val="00B47BF0"/>
    <w:rsid w:val="00B518FA"/>
    <w:rsid w:val="00B51C97"/>
    <w:rsid w:val="00B52A8C"/>
    <w:rsid w:val="00B53868"/>
    <w:rsid w:val="00B636A8"/>
    <w:rsid w:val="00B665C6"/>
    <w:rsid w:val="00B70F8A"/>
    <w:rsid w:val="00B7113D"/>
    <w:rsid w:val="00B72951"/>
    <w:rsid w:val="00B734B2"/>
    <w:rsid w:val="00B73889"/>
    <w:rsid w:val="00B74B41"/>
    <w:rsid w:val="00B75823"/>
    <w:rsid w:val="00B76494"/>
    <w:rsid w:val="00B7659C"/>
    <w:rsid w:val="00B76D97"/>
    <w:rsid w:val="00B77497"/>
    <w:rsid w:val="00B8027F"/>
    <w:rsid w:val="00B805AF"/>
    <w:rsid w:val="00B80F3B"/>
    <w:rsid w:val="00B81093"/>
    <w:rsid w:val="00B81B76"/>
    <w:rsid w:val="00B81C7B"/>
    <w:rsid w:val="00B821DB"/>
    <w:rsid w:val="00B828D7"/>
    <w:rsid w:val="00B84DE8"/>
    <w:rsid w:val="00B859CD"/>
    <w:rsid w:val="00B869EC"/>
    <w:rsid w:val="00B86B32"/>
    <w:rsid w:val="00B918C1"/>
    <w:rsid w:val="00B9287E"/>
    <w:rsid w:val="00B92BAD"/>
    <w:rsid w:val="00B9397A"/>
    <w:rsid w:val="00B9633D"/>
    <w:rsid w:val="00BA0433"/>
    <w:rsid w:val="00BA0E72"/>
    <w:rsid w:val="00BA135E"/>
    <w:rsid w:val="00BA1CA0"/>
    <w:rsid w:val="00BA25ED"/>
    <w:rsid w:val="00BA2CDD"/>
    <w:rsid w:val="00BA2EBE"/>
    <w:rsid w:val="00BA38E8"/>
    <w:rsid w:val="00BA4BA3"/>
    <w:rsid w:val="00BA5AEB"/>
    <w:rsid w:val="00BA7745"/>
    <w:rsid w:val="00BB0D86"/>
    <w:rsid w:val="00BB0F28"/>
    <w:rsid w:val="00BB291D"/>
    <w:rsid w:val="00BB458A"/>
    <w:rsid w:val="00BB4591"/>
    <w:rsid w:val="00BB49D5"/>
    <w:rsid w:val="00BB4C8D"/>
    <w:rsid w:val="00BB799B"/>
    <w:rsid w:val="00BB7DBA"/>
    <w:rsid w:val="00BC094F"/>
    <w:rsid w:val="00BC09EE"/>
    <w:rsid w:val="00BC2C54"/>
    <w:rsid w:val="00BC2F32"/>
    <w:rsid w:val="00BC3490"/>
    <w:rsid w:val="00BC5BAC"/>
    <w:rsid w:val="00BC6133"/>
    <w:rsid w:val="00BC64F8"/>
    <w:rsid w:val="00BC6BF0"/>
    <w:rsid w:val="00BC6DA0"/>
    <w:rsid w:val="00BD00D3"/>
    <w:rsid w:val="00BD039F"/>
    <w:rsid w:val="00BD1659"/>
    <w:rsid w:val="00BD1DEB"/>
    <w:rsid w:val="00BD23E7"/>
    <w:rsid w:val="00BD3AA9"/>
    <w:rsid w:val="00BD4A18"/>
    <w:rsid w:val="00BD50DA"/>
    <w:rsid w:val="00BD57F4"/>
    <w:rsid w:val="00BD6DB2"/>
    <w:rsid w:val="00BE00CC"/>
    <w:rsid w:val="00BE11CF"/>
    <w:rsid w:val="00BE1266"/>
    <w:rsid w:val="00BE21AB"/>
    <w:rsid w:val="00BE3F71"/>
    <w:rsid w:val="00BE442B"/>
    <w:rsid w:val="00BE4AF2"/>
    <w:rsid w:val="00BE55CB"/>
    <w:rsid w:val="00BE7105"/>
    <w:rsid w:val="00BF17E6"/>
    <w:rsid w:val="00BF2CD1"/>
    <w:rsid w:val="00BF617A"/>
    <w:rsid w:val="00BF7DBD"/>
    <w:rsid w:val="00BF7FB3"/>
    <w:rsid w:val="00C02136"/>
    <w:rsid w:val="00C02915"/>
    <w:rsid w:val="00C0379D"/>
    <w:rsid w:val="00C03931"/>
    <w:rsid w:val="00C05C8E"/>
    <w:rsid w:val="00C05FE3"/>
    <w:rsid w:val="00C060AC"/>
    <w:rsid w:val="00C06105"/>
    <w:rsid w:val="00C075C3"/>
    <w:rsid w:val="00C1014A"/>
    <w:rsid w:val="00C108F8"/>
    <w:rsid w:val="00C10D29"/>
    <w:rsid w:val="00C12999"/>
    <w:rsid w:val="00C129EE"/>
    <w:rsid w:val="00C17BC8"/>
    <w:rsid w:val="00C17BD6"/>
    <w:rsid w:val="00C2136D"/>
    <w:rsid w:val="00C214EE"/>
    <w:rsid w:val="00C220BA"/>
    <w:rsid w:val="00C2262D"/>
    <w:rsid w:val="00C22F32"/>
    <w:rsid w:val="00C2314B"/>
    <w:rsid w:val="00C23674"/>
    <w:rsid w:val="00C23BBF"/>
    <w:rsid w:val="00C23EE4"/>
    <w:rsid w:val="00C24553"/>
    <w:rsid w:val="00C24971"/>
    <w:rsid w:val="00C25E43"/>
    <w:rsid w:val="00C267D5"/>
    <w:rsid w:val="00C26B37"/>
    <w:rsid w:val="00C26BE5"/>
    <w:rsid w:val="00C26E4D"/>
    <w:rsid w:val="00C272B8"/>
    <w:rsid w:val="00C27909"/>
    <w:rsid w:val="00C27B03"/>
    <w:rsid w:val="00C30F22"/>
    <w:rsid w:val="00C314CD"/>
    <w:rsid w:val="00C314E1"/>
    <w:rsid w:val="00C32936"/>
    <w:rsid w:val="00C332D6"/>
    <w:rsid w:val="00C34011"/>
    <w:rsid w:val="00C34397"/>
    <w:rsid w:val="00C34578"/>
    <w:rsid w:val="00C34DBB"/>
    <w:rsid w:val="00C35203"/>
    <w:rsid w:val="00C35341"/>
    <w:rsid w:val="00C36506"/>
    <w:rsid w:val="00C37D9D"/>
    <w:rsid w:val="00C4095D"/>
    <w:rsid w:val="00C40CA1"/>
    <w:rsid w:val="00C4236C"/>
    <w:rsid w:val="00C437E0"/>
    <w:rsid w:val="00C43BB8"/>
    <w:rsid w:val="00C443B3"/>
    <w:rsid w:val="00C448D0"/>
    <w:rsid w:val="00C46360"/>
    <w:rsid w:val="00C47C7F"/>
    <w:rsid w:val="00C51358"/>
    <w:rsid w:val="00C52689"/>
    <w:rsid w:val="00C53DC5"/>
    <w:rsid w:val="00C5411F"/>
    <w:rsid w:val="00C54883"/>
    <w:rsid w:val="00C54C8A"/>
    <w:rsid w:val="00C554F3"/>
    <w:rsid w:val="00C5625C"/>
    <w:rsid w:val="00C573BB"/>
    <w:rsid w:val="00C601D2"/>
    <w:rsid w:val="00C61525"/>
    <w:rsid w:val="00C619DC"/>
    <w:rsid w:val="00C61CEB"/>
    <w:rsid w:val="00C6275B"/>
    <w:rsid w:val="00C62D14"/>
    <w:rsid w:val="00C652E5"/>
    <w:rsid w:val="00C654FC"/>
    <w:rsid w:val="00C657AB"/>
    <w:rsid w:val="00C65BCC"/>
    <w:rsid w:val="00C66970"/>
    <w:rsid w:val="00C72A95"/>
    <w:rsid w:val="00C7312C"/>
    <w:rsid w:val="00C73ECE"/>
    <w:rsid w:val="00C7478F"/>
    <w:rsid w:val="00C75385"/>
    <w:rsid w:val="00C7563B"/>
    <w:rsid w:val="00C8691C"/>
    <w:rsid w:val="00C9297E"/>
    <w:rsid w:val="00C94300"/>
    <w:rsid w:val="00C9754B"/>
    <w:rsid w:val="00CA112C"/>
    <w:rsid w:val="00CA168A"/>
    <w:rsid w:val="00CA171E"/>
    <w:rsid w:val="00CA1B4F"/>
    <w:rsid w:val="00CA357E"/>
    <w:rsid w:val="00CA3C44"/>
    <w:rsid w:val="00CA3FEB"/>
    <w:rsid w:val="00CA41A0"/>
    <w:rsid w:val="00CA44F9"/>
    <w:rsid w:val="00CA4A69"/>
    <w:rsid w:val="00CA4E0D"/>
    <w:rsid w:val="00CA4EE6"/>
    <w:rsid w:val="00CA577B"/>
    <w:rsid w:val="00CA603C"/>
    <w:rsid w:val="00CA6D0D"/>
    <w:rsid w:val="00CB0AFE"/>
    <w:rsid w:val="00CB3617"/>
    <w:rsid w:val="00CB6135"/>
    <w:rsid w:val="00CB6FA8"/>
    <w:rsid w:val="00CC01C4"/>
    <w:rsid w:val="00CC16F2"/>
    <w:rsid w:val="00CC3E0C"/>
    <w:rsid w:val="00CC58D3"/>
    <w:rsid w:val="00CC65AD"/>
    <w:rsid w:val="00CC6614"/>
    <w:rsid w:val="00CC6C94"/>
    <w:rsid w:val="00CC6FF8"/>
    <w:rsid w:val="00CC784D"/>
    <w:rsid w:val="00CD1531"/>
    <w:rsid w:val="00CD2167"/>
    <w:rsid w:val="00CD3514"/>
    <w:rsid w:val="00CD3D97"/>
    <w:rsid w:val="00CD5806"/>
    <w:rsid w:val="00CD5FD8"/>
    <w:rsid w:val="00CD6300"/>
    <w:rsid w:val="00CD7136"/>
    <w:rsid w:val="00CD7B6C"/>
    <w:rsid w:val="00CE1E98"/>
    <w:rsid w:val="00CE2137"/>
    <w:rsid w:val="00CE3A7B"/>
    <w:rsid w:val="00CE5C20"/>
    <w:rsid w:val="00CE5ED9"/>
    <w:rsid w:val="00CE6B9D"/>
    <w:rsid w:val="00CE752D"/>
    <w:rsid w:val="00CF156A"/>
    <w:rsid w:val="00CF1D1D"/>
    <w:rsid w:val="00CF22C1"/>
    <w:rsid w:val="00CF2C01"/>
    <w:rsid w:val="00CF3AD4"/>
    <w:rsid w:val="00CF4952"/>
    <w:rsid w:val="00CF6022"/>
    <w:rsid w:val="00CF78DB"/>
    <w:rsid w:val="00D00529"/>
    <w:rsid w:val="00D01928"/>
    <w:rsid w:val="00D01971"/>
    <w:rsid w:val="00D021E6"/>
    <w:rsid w:val="00D0337B"/>
    <w:rsid w:val="00D05A34"/>
    <w:rsid w:val="00D079B2"/>
    <w:rsid w:val="00D07F20"/>
    <w:rsid w:val="00D10AB1"/>
    <w:rsid w:val="00D11478"/>
    <w:rsid w:val="00D114E9"/>
    <w:rsid w:val="00D1291A"/>
    <w:rsid w:val="00D13F4F"/>
    <w:rsid w:val="00D155A2"/>
    <w:rsid w:val="00D160ED"/>
    <w:rsid w:val="00D172C7"/>
    <w:rsid w:val="00D2037D"/>
    <w:rsid w:val="00D20398"/>
    <w:rsid w:val="00D20699"/>
    <w:rsid w:val="00D22141"/>
    <w:rsid w:val="00D22845"/>
    <w:rsid w:val="00D23393"/>
    <w:rsid w:val="00D24F68"/>
    <w:rsid w:val="00D255BA"/>
    <w:rsid w:val="00D25D1B"/>
    <w:rsid w:val="00D3252C"/>
    <w:rsid w:val="00D33A65"/>
    <w:rsid w:val="00D35860"/>
    <w:rsid w:val="00D37CFF"/>
    <w:rsid w:val="00D40DFF"/>
    <w:rsid w:val="00D429C6"/>
    <w:rsid w:val="00D43721"/>
    <w:rsid w:val="00D45B96"/>
    <w:rsid w:val="00D46547"/>
    <w:rsid w:val="00D47748"/>
    <w:rsid w:val="00D4778B"/>
    <w:rsid w:val="00D47F36"/>
    <w:rsid w:val="00D50FA2"/>
    <w:rsid w:val="00D51AF0"/>
    <w:rsid w:val="00D5311A"/>
    <w:rsid w:val="00D54CC3"/>
    <w:rsid w:val="00D5606C"/>
    <w:rsid w:val="00D562AA"/>
    <w:rsid w:val="00D5678B"/>
    <w:rsid w:val="00D6041A"/>
    <w:rsid w:val="00D61A3E"/>
    <w:rsid w:val="00D62005"/>
    <w:rsid w:val="00D633EB"/>
    <w:rsid w:val="00D64B25"/>
    <w:rsid w:val="00D64F3E"/>
    <w:rsid w:val="00D67DA6"/>
    <w:rsid w:val="00D725BA"/>
    <w:rsid w:val="00D72BB1"/>
    <w:rsid w:val="00D72BF8"/>
    <w:rsid w:val="00D80133"/>
    <w:rsid w:val="00D8037E"/>
    <w:rsid w:val="00D82D60"/>
    <w:rsid w:val="00D82FF7"/>
    <w:rsid w:val="00D83072"/>
    <w:rsid w:val="00D846E3"/>
    <w:rsid w:val="00D847FE"/>
    <w:rsid w:val="00D84BC6"/>
    <w:rsid w:val="00D8513B"/>
    <w:rsid w:val="00D855FF"/>
    <w:rsid w:val="00D8663A"/>
    <w:rsid w:val="00D92BB6"/>
    <w:rsid w:val="00D95CEF"/>
    <w:rsid w:val="00D964EA"/>
    <w:rsid w:val="00D966D0"/>
    <w:rsid w:val="00D973CC"/>
    <w:rsid w:val="00DA0C59"/>
    <w:rsid w:val="00DA19EE"/>
    <w:rsid w:val="00DA3991"/>
    <w:rsid w:val="00DB05C7"/>
    <w:rsid w:val="00DB690A"/>
    <w:rsid w:val="00DB6E34"/>
    <w:rsid w:val="00DB7D15"/>
    <w:rsid w:val="00DB7E6C"/>
    <w:rsid w:val="00DC224E"/>
    <w:rsid w:val="00DC3E5B"/>
    <w:rsid w:val="00DC4A05"/>
    <w:rsid w:val="00DC4B0D"/>
    <w:rsid w:val="00DC5AAD"/>
    <w:rsid w:val="00DC7A5C"/>
    <w:rsid w:val="00DD237D"/>
    <w:rsid w:val="00DD37EB"/>
    <w:rsid w:val="00DD447A"/>
    <w:rsid w:val="00DD5A29"/>
    <w:rsid w:val="00DD5D9D"/>
    <w:rsid w:val="00DD5E73"/>
    <w:rsid w:val="00DE07BE"/>
    <w:rsid w:val="00DE0A15"/>
    <w:rsid w:val="00DE1CF1"/>
    <w:rsid w:val="00DE23AD"/>
    <w:rsid w:val="00DE2C79"/>
    <w:rsid w:val="00DE35CB"/>
    <w:rsid w:val="00DE5878"/>
    <w:rsid w:val="00DF06A8"/>
    <w:rsid w:val="00DF13E9"/>
    <w:rsid w:val="00DF1CF6"/>
    <w:rsid w:val="00DF1E24"/>
    <w:rsid w:val="00DF21E9"/>
    <w:rsid w:val="00DF4669"/>
    <w:rsid w:val="00DF6822"/>
    <w:rsid w:val="00DF6C59"/>
    <w:rsid w:val="00E00896"/>
    <w:rsid w:val="00E00F14"/>
    <w:rsid w:val="00E01F68"/>
    <w:rsid w:val="00E03059"/>
    <w:rsid w:val="00E03E4C"/>
    <w:rsid w:val="00E04AAF"/>
    <w:rsid w:val="00E05026"/>
    <w:rsid w:val="00E05F4D"/>
    <w:rsid w:val="00E06386"/>
    <w:rsid w:val="00E0728D"/>
    <w:rsid w:val="00E07C31"/>
    <w:rsid w:val="00E11248"/>
    <w:rsid w:val="00E13476"/>
    <w:rsid w:val="00E20F1D"/>
    <w:rsid w:val="00E21DF8"/>
    <w:rsid w:val="00E2294D"/>
    <w:rsid w:val="00E2398E"/>
    <w:rsid w:val="00E24EB4"/>
    <w:rsid w:val="00E25194"/>
    <w:rsid w:val="00E260F4"/>
    <w:rsid w:val="00E272C9"/>
    <w:rsid w:val="00E27494"/>
    <w:rsid w:val="00E302F7"/>
    <w:rsid w:val="00E320ED"/>
    <w:rsid w:val="00E3270E"/>
    <w:rsid w:val="00E329A2"/>
    <w:rsid w:val="00E33650"/>
    <w:rsid w:val="00E33AFB"/>
    <w:rsid w:val="00E33F12"/>
    <w:rsid w:val="00E34218"/>
    <w:rsid w:val="00E35F8A"/>
    <w:rsid w:val="00E361EC"/>
    <w:rsid w:val="00E40025"/>
    <w:rsid w:val="00E40867"/>
    <w:rsid w:val="00E41E71"/>
    <w:rsid w:val="00E43F3A"/>
    <w:rsid w:val="00E45228"/>
    <w:rsid w:val="00E46282"/>
    <w:rsid w:val="00E5216E"/>
    <w:rsid w:val="00E5280D"/>
    <w:rsid w:val="00E5456A"/>
    <w:rsid w:val="00E56B74"/>
    <w:rsid w:val="00E5724B"/>
    <w:rsid w:val="00E601EF"/>
    <w:rsid w:val="00E60D6B"/>
    <w:rsid w:val="00E6480F"/>
    <w:rsid w:val="00E64BEE"/>
    <w:rsid w:val="00E65F91"/>
    <w:rsid w:val="00E66526"/>
    <w:rsid w:val="00E6771D"/>
    <w:rsid w:val="00E6786C"/>
    <w:rsid w:val="00E678FD"/>
    <w:rsid w:val="00E7041C"/>
    <w:rsid w:val="00E70B51"/>
    <w:rsid w:val="00E71512"/>
    <w:rsid w:val="00E72E7E"/>
    <w:rsid w:val="00E73DAD"/>
    <w:rsid w:val="00E73F30"/>
    <w:rsid w:val="00E7583F"/>
    <w:rsid w:val="00E75C6B"/>
    <w:rsid w:val="00E77066"/>
    <w:rsid w:val="00E82344"/>
    <w:rsid w:val="00E84C82"/>
    <w:rsid w:val="00E84D64"/>
    <w:rsid w:val="00E87408"/>
    <w:rsid w:val="00E879F9"/>
    <w:rsid w:val="00E914C4"/>
    <w:rsid w:val="00E91CD2"/>
    <w:rsid w:val="00E934F5"/>
    <w:rsid w:val="00E95246"/>
    <w:rsid w:val="00E9581B"/>
    <w:rsid w:val="00E95CAC"/>
    <w:rsid w:val="00E96961"/>
    <w:rsid w:val="00EA092A"/>
    <w:rsid w:val="00EA146C"/>
    <w:rsid w:val="00EA235C"/>
    <w:rsid w:val="00EA27C9"/>
    <w:rsid w:val="00EA329B"/>
    <w:rsid w:val="00EA34F1"/>
    <w:rsid w:val="00EA3F57"/>
    <w:rsid w:val="00EA5285"/>
    <w:rsid w:val="00EA593E"/>
    <w:rsid w:val="00EA5F83"/>
    <w:rsid w:val="00EA65F8"/>
    <w:rsid w:val="00EA72EC"/>
    <w:rsid w:val="00EB11CB"/>
    <w:rsid w:val="00EB13D9"/>
    <w:rsid w:val="00EB275A"/>
    <w:rsid w:val="00EB6E41"/>
    <w:rsid w:val="00EB786A"/>
    <w:rsid w:val="00EC0C41"/>
    <w:rsid w:val="00EC1578"/>
    <w:rsid w:val="00EC17B5"/>
    <w:rsid w:val="00EC1C72"/>
    <w:rsid w:val="00EC22D9"/>
    <w:rsid w:val="00EC3CC9"/>
    <w:rsid w:val="00EC59BE"/>
    <w:rsid w:val="00EC680A"/>
    <w:rsid w:val="00EC70EE"/>
    <w:rsid w:val="00EC7657"/>
    <w:rsid w:val="00EC7A8A"/>
    <w:rsid w:val="00EC7FD1"/>
    <w:rsid w:val="00ED2242"/>
    <w:rsid w:val="00ED31F0"/>
    <w:rsid w:val="00ED794E"/>
    <w:rsid w:val="00ED7A53"/>
    <w:rsid w:val="00ED7DAC"/>
    <w:rsid w:val="00EE0A6A"/>
    <w:rsid w:val="00EE1DF3"/>
    <w:rsid w:val="00EE2819"/>
    <w:rsid w:val="00EE2BED"/>
    <w:rsid w:val="00EE374B"/>
    <w:rsid w:val="00EE5177"/>
    <w:rsid w:val="00EE5294"/>
    <w:rsid w:val="00EE5A7F"/>
    <w:rsid w:val="00EE6922"/>
    <w:rsid w:val="00EE7133"/>
    <w:rsid w:val="00EE7636"/>
    <w:rsid w:val="00EF0AD7"/>
    <w:rsid w:val="00EF1DFC"/>
    <w:rsid w:val="00EF2097"/>
    <w:rsid w:val="00EF26C7"/>
    <w:rsid w:val="00EF2DD3"/>
    <w:rsid w:val="00EF2FAD"/>
    <w:rsid w:val="00EF33C1"/>
    <w:rsid w:val="00EF768F"/>
    <w:rsid w:val="00EF7DCE"/>
    <w:rsid w:val="00F00033"/>
    <w:rsid w:val="00F0124A"/>
    <w:rsid w:val="00F0457B"/>
    <w:rsid w:val="00F05F0B"/>
    <w:rsid w:val="00F06FC1"/>
    <w:rsid w:val="00F07840"/>
    <w:rsid w:val="00F10419"/>
    <w:rsid w:val="00F106CE"/>
    <w:rsid w:val="00F1075A"/>
    <w:rsid w:val="00F109DC"/>
    <w:rsid w:val="00F10C4D"/>
    <w:rsid w:val="00F11BB5"/>
    <w:rsid w:val="00F11F9F"/>
    <w:rsid w:val="00F13D05"/>
    <w:rsid w:val="00F1417B"/>
    <w:rsid w:val="00F14790"/>
    <w:rsid w:val="00F1769C"/>
    <w:rsid w:val="00F20323"/>
    <w:rsid w:val="00F228DC"/>
    <w:rsid w:val="00F25139"/>
    <w:rsid w:val="00F25B0C"/>
    <w:rsid w:val="00F25DD0"/>
    <w:rsid w:val="00F26ACA"/>
    <w:rsid w:val="00F306CC"/>
    <w:rsid w:val="00F31B08"/>
    <w:rsid w:val="00F33816"/>
    <w:rsid w:val="00F34B99"/>
    <w:rsid w:val="00F353A4"/>
    <w:rsid w:val="00F35670"/>
    <w:rsid w:val="00F40269"/>
    <w:rsid w:val="00F408F1"/>
    <w:rsid w:val="00F4096E"/>
    <w:rsid w:val="00F41709"/>
    <w:rsid w:val="00F43600"/>
    <w:rsid w:val="00F43B3D"/>
    <w:rsid w:val="00F43BA1"/>
    <w:rsid w:val="00F46FDC"/>
    <w:rsid w:val="00F52B3C"/>
    <w:rsid w:val="00F52DAB"/>
    <w:rsid w:val="00F543F0"/>
    <w:rsid w:val="00F55284"/>
    <w:rsid w:val="00F56680"/>
    <w:rsid w:val="00F612C4"/>
    <w:rsid w:val="00F64441"/>
    <w:rsid w:val="00F651C0"/>
    <w:rsid w:val="00F660E6"/>
    <w:rsid w:val="00F67BA5"/>
    <w:rsid w:val="00F70996"/>
    <w:rsid w:val="00F72B89"/>
    <w:rsid w:val="00F72BD1"/>
    <w:rsid w:val="00F737BC"/>
    <w:rsid w:val="00F73BBC"/>
    <w:rsid w:val="00F74443"/>
    <w:rsid w:val="00F74608"/>
    <w:rsid w:val="00F7572E"/>
    <w:rsid w:val="00F81D29"/>
    <w:rsid w:val="00F871AD"/>
    <w:rsid w:val="00F90169"/>
    <w:rsid w:val="00F91C4D"/>
    <w:rsid w:val="00F92272"/>
    <w:rsid w:val="00F9255D"/>
    <w:rsid w:val="00F92FD9"/>
    <w:rsid w:val="00F934B5"/>
    <w:rsid w:val="00F936EC"/>
    <w:rsid w:val="00F94735"/>
    <w:rsid w:val="00F97021"/>
    <w:rsid w:val="00FA0C73"/>
    <w:rsid w:val="00FA3021"/>
    <w:rsid w:val="00FA500F"/>
    <w:rsid w:val="00FA5401"/>
    <w:rsid w:val="00FA5EF1"/>
    <w:rsid w:val="00FA611B"/>
    <w:rsid w:val="00FA6684"/>
    <w:rsid w:val="00FA731E"/>
    <w:rsid w:val="00FB1091"/>
    <w:rsid w:val="00FB2B38"/>
    <w:rsid w:val="00FB2C8B"/>
    <w:rsid w:val="00FB2F7C"/>
    <w:rsid w:val="00FB302D"/>
    <w:rsid w:val="00FB4C41"/>
    <w:rsid w:val="00FB5AAD"/>
    <w:rsid w:val="00FB5B9C"/>
    <w:rsid w:val="00FB76B0"/>
    <w:rsid w:val="00FB7885"/>
    <w:rsid w:val="00FC1921"/>
    <w:rsid w:val="00FC1948"/>
    <w:rsid w:val="00FC21EC"/>
    <w:rsid w:val="00FC5166"/>
    <w:rsid w:val="00FC5CF6"/>
    <w:rsid w:val="00FC6358"/>
    <w:rsid w:val="00FC7220"/>
    <w:rsid w:val="00FC7E22"/>
    <w:rsid w:val="00FD1FED"/>
    <w:rsid w:val="00FD253B"/>
    <w:rsid w:val="00FD2E56"/>
    <w:rsid w:val="00FD320D"/>
    <w:rsid w:val="00FD3D44"/>
    <w:rsid w:val="00FD6BF8"/>
    <w:rsid w:val="00FD6C20"/>
    <w:rsid w:val="00FD730B"/>
    <w:rsid w:val="00FD7959"/>
    <w:rsid w:val="00FE043D"/>
    <w:rsid w:val="00FE08E6"/>
    <w:rsid w:val="00FE10CE"/>
    <w:rsid w:val="00FE23DE"/>
    <w:rsid w:val="00FE531F"/>
    <w:rsid w:val="00FE79A0"/>
    <w:rsid w:val="00FF002D"/>
    <w:rsid w:val="00FF38A3"/>
    <w:rsid w:val="00FF3CB5"/>
    <w:rsid w:val="00FF4892"/>
    <w:rsid w:val="00FF4AC8"/>
    <w:rsid w:val="00FF6FCB"/>
    <w:rsid w:val="00FF7C07"/>
    <w:rsid w:val="01AE3F4B"/>
    <w:rsid w:val="02BE2D32"/>
    <w:rsid w:val="03041B36"/>
    <w:rsid w:val="04336CE1"/>
    <w:rsid w:val="04686B6E"/>
    <w:rsid w:val="051855BE"/>
    <w:rsid w:val="053325DA"/>
    <w:rsid w:val="061F76EF"/>
    <w:rsid w:val="07177CE7"/>
    <w:rsid w:val="07592CD3"/>
    <w:rsid w:val="07996CC0"/>
    <w:rsid w:val="080E07DA"/>
    <w:rsid w:val="08327B3F"/>
    <w:rsid w:val="090B21E3"/>
    <w:rsid w:val="0A501AC1"/>
    <w:rsid w:val="0ACE24C3"/>
    <w:rsid w:val="0CB63E4C"/>
    <w:rsid w:val="0D1557B5"/>
    <w:rsid w:val="0ED2028C"/>
    <w:rsid w:val="0F325C78"/>
    <w:rsid w:val="102D12DF"/>
    <w:rsid w:val="10582711"/>
    <w:rsid w:val="10FF35FC"/>
    <w:rsid w:val="11F327AB"/>
    <w:rsid w:val="11FE1624"/>
    <w:rsid w:val="138E5905"/>
    <w:rsid w:val="146D7BFA"/>
    <w:rsid w:val="15092449"/>
    <w:rsid w:val="15141C1D"/>
    <w:rsid w:val="15B47794"/>
    <w:rsid w:val="15C9134E"/>
    <w:rsid w:val="15F032A4"/>
    <w:rsid w:val="16304F26"/>
    <w:rsid w:val="170C4B88"/>
    <w:rsid w:val="17A04D49"/>
    <w:rsid w:val="17E10AAB"/>
    <w:rsid w:val="185710C6"/>
    <w:rsid w:val="18F06F8C"/>
    <w:rsid w:val="196F783C"/>
    <w:rsid w:val="19F97096"/>
    <w:rsid w:val="1A161216"/>
    <w:rsid w:val="1BDB1F59"/>
    <w:rsid w:val="1D9C5D7C"/>
    <w:rsid w:val="1DA47297"/>
    <w:rsid w:val="1E416D93"/>
    <w:rsid w:val="1E6217DB"/>
    <w:rsid w:val="1F79747A"/>
    <w:rsid w:val="1FA17C07"/>
    <w:rsid w:val="1FDC318D"/>
    <w:rsid w:val="201958AC"/>
    <w:rsid w:val="20316891"/>
    <w:rsid w:val="205D0A03"/>
    <w:rsid w:val="20892188"/>
    <w:rsid w:val="21A957DF"/>
    <w:rsid w:val="223C6EEA"/>
    <w:rsid w:val="23CF30BA"/>
    <w:rsid w:val="2481542F"/>
    <w:rsid w:val="248E151E"/>
    <w:rsid w:val="25CF26D0"/>
    <w:rsid w:val="26D957F1"/>
    <w:rsid w:val="276E2CEF"/>
    <w:rsid w:val="2893765F"/>
    <w:rsid w:val="28A0292E"/>
    <w:rsid w:val="2AB30A04"/>
    <w:rsid w:val="2ADE6B66"/>
    <w:rsid w:val="2B531D1D"/>
    <w:rsid w:val="2D6B52B9"/>
    <w:rsid w:val="2D7359DA"/>
    <w:rsid w:val="2D8A1DB5"/>
    <w:rsid w:val="2DCD1A4B"/>
    <w:rsid w:val="2EA020EF"/>
    <w:rsid w:val="2EB806FE"/>
    <w:rsid w:val="2F107E14"/>
    <w:rsid w:val="2F50510B"/>
    <w:rsid w:val="2FCD3C23"/>
    <w:rsid w:val="30421313"/>
    <w:rsid w:val="307E639E"/>
    <w:rsid w:val="30B3546C"/>
    <w:rsid w:val="315F1938"/>
    <w:rsid w:val="31940196"/>
    <w:rsid w:val="31A324A5"/>
    <w:rsid w:val="31E3715C"/>
    <w:rsid w:val="328A441C"/>
    <w:rsid w:val="339B5C62"/>
    <w:rsid w:val="345111CE"/>
    <w:rsid w:val="35056D3B"/>
    <w:rsid w:val="352E0ADD"/>
    <w:rsid w:val="35907EDF"/>
    <w:rsid w:val="359B4A8C"/>
    <w:rsid w:val="36A714DE"/>
    <w:rsid w:val="36D45382"/>
    <w:rsid w:val="37035659"/>
    <w:rsid w:val="37AB035F"/>
    <w:rsid w:val="38FE19BC"/>
    <w:rsid w:val="39982C74"/>
    <w:rsid w:val="3D84570A"/>
    <w:rsid w:val="3DB4622E"/>
    <w:rsid w:val="3DF51336"/>
    <w:rsid w:val="3E1A5C11"/>
    <w:rsid w:val="3E9864AD"/>
    <w:rsid w:val="40394A35"/>
    <w:rsid w:val="40B95E51"/>
    <w:rsid w:val="41174D81"/>
    <w:rsid w:val="41BD0049"/>
    <w:rsid w:val="41F07089"/>
    <w:rsid w:val="42BB77B7"/>
    <w:rsid w:val="435D0F3C"/>
    <w:rsid w:val="44411C85"/>
    <w:rsid w:val="44E75D00"/>
    <w:rsid w:val="45BB068A"/>
    <w:rsid w:val="461F65C7"/>
    <w:rsid w:val="46B211F0"/>
    <w:rsid w:val="46E86DDD"/>
    <w:rsid w:val="47F05C8F"/>
    <w:rsid w:val="491B2F71"/>
    <w:rsid w:val="495C3B1A"/>
    <w:rsid w:val="49610824"/>
    <w:rsid w:val="4990245E"/>
    <w:rsid w:val="49BA1676"/>
    <w:rsid w:val="49EA2DF9"/>
    <w:rsid w:val="4A1667A9"/>
    <w:rsid w:val="4AAF5D6F"/>
    <w:rsid w:val="4AB95547"/>
    <w:rsid w:val="4AC649E4"/>
    <w:rsid w:val="4AE828CC"/>
    <w:rsid w:val="4B0D54F4"/>
    <w:rsid w:val="4B2176C5"/>
    <w:rsid w:val="4CF922BE"/>
    <w:rsid w:val="4EF93716"/>
    <w:rsid w:val="4F2C252D"/>
    <w:rsid w:val="50590301"/>
    <w:rsid w:val="50D9132B"/>
    <w:rsid w:val="50EE381B"/>
    <w:rsid w:val="51E05156"/>
    <w:rsid w:val="51E34E9B"/>
    <w:rsid w:val="5265261A"/>
    <w:rsid w:val="53A02994"/>
    <w:rsid w:val="558804B8"/>
    <w:rsid w:val="558B2D6D"/>
    <w:rsid w:val="55A622B6"/>
    <w:rsid w:val="564254CC"/>
    <w:rsid w:val="571132F2"/>
    <w:rsid w:val="57F84927"/>
    <w:rsid w:val="57FF1188"/>
    <w:rsid w:val="580366F9"/>
    <w:rsid w:val="58182E54"/>
    <w:rsid w:val="59B86883"/>
    <w:rsid w:val="5AA521EF"/>
    <w:rsid w:val="5AD04D13"/>
    <w:rsid w:val="5C97686B"/>
    <w:rsid w:val="5CC64CBC"/>
    <w:rsid w:val="5D453A88"/>
    <w:rsid w:val="5DC10E7F"/>
    <w:rsid w:val="5DC41B6B"/>
    <w:rsid w:val="5E3C4101"/>
    <w:rsid w:val="5EBB63DE"/>
    <w:rsid w:val="5F6572D6"/>
    <w:rsid w:val="5FB85CF2"/>
    <w:rsid w:val="62F045CA"/>
    <w:rsid w:val="62F82220"/>
    <w:rsid w:val="656311D0"/>
    <w:rsid w:val="668C0E5C"/>
    <w:rsid w:val="69EF50D0"/>
    <w:rsid w:val="6B343638"/>
    <w:rsid w:val="6C691082"/>
    <w:rsid w:val="6CC93A2D"/>
    <w:rsid w:val="6F0F7F80"/>
    <w:rsid w:val="6F4679B8"/>
    <w:rsid w:val="70740782"/>
    <w:rsid w:val="71871E3D"/>
    <w:rsid w:val="71C4023C"/>
    <w:rsid w:val="745B793D"/>
    <w:rsid w:val="76566F16"/>
    <w:rsid w:val="76887C42"/>
    <w:rsid w:val="76896125"/>
    <w:rsid w:val="76A10C62"/>
    <w:rsid w:val="76CB32B9"/>
    <w:rsid w:val="7727378A"/>
    <w:rsid w:val="78A67D48"/>
    <w:rsid w:val="799F4135"/>
    <w:rsid w:val="7A991373"/>
    <w:rsid w:val="7AA76088"/>
    <w:rsid w:val="7B0C074C"/>
    <w:rsid w:val="7B723DB1"/>
    <w:rsid w:val="7BC705A8"/>
    <w:rsid w:val="7CD94A20"/>
    <w:rsid w:val="7D537F8D"/>
    <w:rsid w:val="7DE73C3B"/>
    <w:rsid w:val="7EDB0647"/>
    <w:rsid w:val="7F977FF4"/>
    <w:rsid w:val="7FC401AC"/>
    <w:rsid w:val="7FDD0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uiPriority="0" w:name="Normal (Web)"/>
    <w:lsdException w:qFormat="1" w:unhideWhenUsed="0" w:uiPriority="0" w:name="HTML Acronym"/>
    <w:lsdException w:uiPriority="0" w:name="HTML Address"/>
    <w:lsdException w:qFormat="1" w:unhideWhenUsed="0" w:uiPriority="0" w:name="HTML Cite"/>
    <w:lsdException w:qFormat="1" w:unhideWhenUsed="0"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35">
    <w:name w:val="Default Paragraph Font"/>
    <w:unhideWhenUsed/>
    <w:qFormat/>
    <w:uiPriority w:val="1"/>
  </w:style>
  <w:style w:type="table" w:default="1" w:styleId="4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link w:val="178"/>
    <w:qFormat/>
    <w:uiPriority w:val="0"/>
    <w:pPr>
      <w:ind w:firstLine="420" w:firstLineChars="100"/>
    </w:pPr>
  </w:style>
  <w:style w:type="paragraph" w:styleId="3">
    <w:name w:val="Body Text"/>
    <w:basedOn w:val="1"/>
    <w:next w:val="4"/>
    <w:link w:val="177"/>
    <w:semiHidden/>
    <w:unhideWhenUsed/>
    <w:qFormat/>
    <w:uiPriority w:val="0"/>
    <w:pPr>
      <w:spacing w:after="120"/>
    </w:pPr>
  </w:style>
  <w:style w:type="paragraph" w:customStyle="1" w:styleId="4">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styleId="5">
    <w:name w:val="annotation subject"/>
    <w:basedOn w:val="6"/>
    <w:next w:val="6"/>
    <w:link w:val="145"/>
    <w:qFormat/>
    <w:uiPriority w:val="0"/>
    <w:rPr>
      <w:b/>
      <w:bCs/>
    </w:rPr>
  </w:style>
  <w:style w:type="paragraph" w:styleId="6">
    <w:name w:val="annotation text"/>
    <w:basedOn w:val="1"/>
    <w:link w:val="144"/>
    <w:qFormat/>
    <w:uiPriority w:val="0"/>
    <w:pPr>
      <w:jc w:val="left"/>
    </w:pPr>
  </w:style>
  <w:style w:type="paragraph" w:styleId="7">
    <w:name w:val="toc 7"/>
    <w:basedOn w:val="1"/>
    <w:next w:val="1"/>
    <w:semiHidden/>
    <w:qFormat/>
    <w:uiPriority w:val="0"/>
    <w:pPr>
      <w:tabs>
        <w:tab w:val="right" w:leader="dot" w:pos="9241"/>
      </w:tabs>
      <w:ind w:firstLine="500" w:firstLineChars="500"/>
      <w:jc w:val="left"/>
    </w:pPr>
    <w:rPr>
      <w:rFonts w:ascii="宋体"/>
      <w:szCs w:val="21"/>
    </w:rPr>
  </w:style>
  <w:style w:type="paragraph" w:styleId="8">
    <w:name w:val="index 8"/>
    <w:basedOn w:val="1"/>
    <w:next w:val="1"/>
    <w:qFormat/>
    <w:uiPriority w:val="0"/>
    <w:pPr>
      <w:ind w:left="1680" w:hanging="210"/>
      <w:jc w:val="left"/>
    </w:pPr>
    <w:rPr>
      <w:rFonts w:ascii="Calibri" w:hAnsi="Calibri"/>
      <w:sz w:val="20"/>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index 5"/>
    <w:basedOn w:val="1"/>
    <w:next w:val="1"/>
    <w:qFormat/>
    <w:uiPriority w:val="0"/>
    <w:pPr>
      <w:ind w:left="1050" w:hanging="210"/>
      <w:jc w:val="left"/>
    </w:pPr>
    <w:rPr>
      <w:rFonts w:ascii="Calibri" w:hAnsi="Calibri"/>
      <w:sz w:val="20"/>
      <w:szCs w:val="20"/>
    </w:rPr>
  </w:style>
  <w:style w:type="paragraph" w:styleId="11">
    <w:name w:val="Document Map"/>
    <w:basedOn w:val="1"/>
    <w:semiHidden/>
    <w:qFormat/>
    <w:uiPriority w:val="0"/>
    <w:pPr>
      <w:shd w:val="clear" w:color="auto" w:fill="000080"/>
    </w:pPr>
  </w:style>
  <w:style w:type="paragraph" w:styleId="12">
    <w:name w:val="index 6"/>
    <w:basedOn w:val="1"/>
    <w:next w:val="1"/>
    <w:qFormat/>
    <w:uiPriority w:val="0"/>
    <w:pPr>
      <w:ind w:left="1260" w:hanging="210"/>
      <w:jc w:val="left"/>
    </w:pPr>
    <w:rPr>
      <w:rFonts w:ascii="Calibri" w:hAnsi="Calibri"/>
      <w:sz w:val="20"/>
      <w:szCs w:val="20"/>
    </w:rPr>
  </w:style>
  <w:style w:type="paragraph" w:styleId="13">
    <w:name w:val="index 4"/>
    <w:basedOn w:val="1"/>
    <w:next w:val="1"/>
    <w:qFormat/>
    <w:uiPriority w:val="0"/>
    <w:pPr>
      <w:ind w:left="840" w:hanging="210"/>
      <w:jc w:val="left"/>
    </w:pPr>
    <w:rPr>
      <w:rFonts w:ascii="Calibri" w:hAnsi="Calibri"/>
      <w:sz w:val="20"/>
      <w:szCs w:val="20"/>
    </w:rPr>
  </w:style>
  <w:style w:type="paragraph" w:styleId="14">
    <w:name w:val="toc 5"/>
    <w:basedOn w:val="1"/>
    <w:next w:val="1"/>
    <w:semiHidden/>
    <w:qFormat/>
    <w:uiPriority w:val="0"/>
    <w:pPr>
      <w:tabs>
        <w:tab w:val="right" w:leader="dot" w:pos="9241"/>
      </w:tabs>
      <w:ind w:firstLine="300" w:firstLineChars="300"/>
      <w:jc w:val="left"/>
    </w:pPr>
    <w:rPr>
      <w:rFonts w:ascii="宋体"/>
      <w:szCs w:val="21"/>
    </w:rPr>
  </w:style>
  <w:style w:type="paragraph" w:styleId="15">
    <w:name w:val="toc 3"/>
    <w:basedOn w:val="1"/>
    <w:next w:val="1"/>
    <w:semiHidden/>
    <w:qFormat/>
    <w:uiPriority w:val="0"/>
    <w:pPr>
      <w:tabs>
        <w:tab w:val="right" w:leader="dot" w:pos="9241"/>
      </w:tabs>
      <w:ind w:firstLine="100" w:firstLineChars="100"/>
      <w:jc w:val="left"/>
    </w:pPr>
    <w:rPr>
      <w:rFonts w:ascii="宋体"/>
      <w:szCs w:val="21"/>
    </w:rPr>
  </w:style>
  <w:style w:type="paragraph" w:styleId="16">
    <w:name w:val="toc 8"/>
    <w:basedOn w:val="1"/>
    <w:next w:val="1"/>
    <w:semiHidden/>
    <w:qFormat/>
    <w:uiPriority w:val="0"/>
    <w:pPr>
      <w:tabs>
        <w:tab w:val="right" w:leader="dot" w:pos="9241"/>
      </w:tabs>
      <w:ind w:firstLine="607" w:firstLineChars="600"/>
      <w:jc w:val="left"/>
    </w:pPr>
    <w:rPr>
      <w:rFonts w:ascii="宋体"/>
      <w:szCs w:val="21"/>
    </w:rPr>
  </w:style>
  <w:style w:type="paragraph" w:styleId="17">
    <w:name w:val="index 3"/>
    <w:basedOn w:val="1"/>
    <w:next w:val="1"/>
    <w:qFormat/>
    <w:uiPriority w:val="0"/>
    <w:pPr>
      <w:ind w:left="630" w:hanging="210"/>
      <w:jc w:val="left"/>
    </w:pPr>
    <w:rPr>
      <w:rFonts w:ascii="Calibri" w:hAnsi="Calibri"/>
      <w:sz w:val="20"/>
      <w:szCs w:val="20"/>
    </w:rPr>
  </w:style>
  <w:style w:type="paragraph" w:styleId="18">
    <w:name w:val="endnote text"/>
    <w:basedOn w:val="1"/>
    <w:semiHidden/>
    <w:qFormat/>
    <w:uiPriority w:val="0"/>
    <w:pPr>
      <w:snapToGrid w:val="0"/>
      <w:jc w:val="left"/>
    </w:pPr>
  </w:style>
  <w:style w:type="paragraph" w:styleId="19">
    <w:name w:val="Balloon Text"/>
    <w:basedOn w:val="1"/>
    <w:link w:val="146"/>
    <w:qFormat/>
    <w:uiPriority w:val="0"/>
    <w:rPr>
      <w:sz w:val="18"/>
      <w:szCs w:val="18"/>
    </w:rPr>
  </w:style>
  <w:style w:type="paragraph" w:styleId="20">
    <w:name w:val="footer"/>
    <w:basedOn w:val="1"/>
    <w:qFormat/>
    <w:uiPriority w:val="0"/>
    <w:pPr>
      <w:snapToGrid w:val="0"/>
      <w:ind w:right="210" w:rightChars="100"/>
      <w:jc w:val="right"/>
    </w:pPr>
    <w:rPr>
      <w:sz w:val="18"/>
      <w:szCs w:val="18"/>
    </w:rPr>
  </w:style>
  <w:style w:type="paragraph" w:styleId="21">
    <w:name w:val="header"/>
    <w:basedOn w:val="1"/>
    <w:qFormat/>
    <w:uiPriority w:val="0"/>
    <w:pPr>
      <w:snapToGrid w:val="0"/>
      <w:jc w:val="left"/>
    </w:pPr>
    <w:rPr>
      <w:sz w:val="18"/>
      <w:szCs w:val="18"/>
    </w:rPr>
  </w:style>
  <w:style w:type="paragraph" w:styleId="22">
    <w:name w:val="toc 1"/>
    <w:basedOn w:val="1"/>
    <w:next w:val="1"/>
    <w:semiHidden/>
    <w:qFormat/>
    <w:uiPriority w:val="0"/>
    <w:pPr>
      <w:tabs>
        <w:tab w:val="right" w:leader="dot" w:pos="9242"/>
      </w:tabs>
      <w:spacing w:beforeLines="25" w:afterLines="25"/>
      <w:jc w:val="left"/>
    </w:pPr>
    <w:rPr>
      <w:rFonts w:ascii="宋体"/>
      <w:szCs w:val="21"/>
    </w:rPr>
  </w:style>
  <w:style w:type="paragraph" w:styleId="23">
    <w:name w:val="toc 4"/>
    <w:basedOn w:val="1"/>
    <w:next w:val="1"/>
    <w:semiHidden/>
    <w:qFormat/>
    <w:uiPriority w:val="0"/>
    <w:pPr>
      <w:tabs>
        <w:tab w:val="right" w:leader="dot" w:pos="9241"/>
      </w:tabs>
      <w:ind w:firstLine="200" w:firstLineChars="200"/>
      <w:jc w:val="left"/>
    </w:pPr>
    <w:rPr>
      <w:rFonts w:ascii="宋体"/>
      <w:szCs w:val="21"/>
    </w:rPr>
  </w:style>
  <w:style w:type="paragraph" w:styleId="24">
    <w:name w:val="index heading"/>
    <w:basedOn w:val="1"/>
    <w:next w:val="25"/>
    <w:qFormat/>
    <w:uiPriority w:val="0"/>
    <w:pPr>
      <w:spacing w:before="120" w:after="120"/>
      <w:jc w:val="center"/>
    </w:pPr>
    <w:rPr>
      <w:rFonts w:ascii="Calibri" w:hAnsi="Calibri"/>
      <w:b/>
      <w:bCs/>
      <w:iCs/>
      <w:szCs w:val="20"/>
    </w:rPr>
  </w:style>
  <w:style w:type="paragraph" w:styleId="25">
    <w:name w:val="index 1"/>
    <w:basedOn w:val="1"/>
    <w:next w:val="26"/>
    <w:qFormat/>
    <w:uiPriority w:val="0"/>
    <w:pPr>
      <w:tabs>
        <w:tab w:val="right" w:leader="dot" w:pos="9299"/>
      </w:tabs>
      <w:jc w:val="left"/>
    </w:pPr>
    <w:rPr>
      <w:rFonts w:ascii="宋体"/>
      <w:szCs w:val="21"/>
    </w:rPr>
  </w:style>
  <w:style w:type="paragraph" w:customStyle="1" w:styleId="26">
    <w:name w:val="段"/>
    <w:next w:val="1"/>
    <w:link w:val="48"/>
    <w:qFormat/>
    <w:uiPriority w:val="0"/>
    <w:pPr>
      <w:tabs>
        <w:tab w:val="center" w:pos="4201"/>
        <w:tab w:val="right" w:leader="dot" w:pos="9298"/>
      </w:tabs>
      <w:autoSpaceDE w:val="0"/>
      <w:autoSpaceDN w:val="0"/>
      <w:spacing w:after="200" w:line="276" w:lineRule="auto"/>
      <w:ind w:firstLine="420" w:firstLineChars="200"/>
      <w:jc w:val="both"/>
    </w:pPr>
    <w:rPr>
      <w:rFonts w:ascii="宋体" w:hAnsi="Times New Roman" w:eastAsia="宋体" w:cs="Times New Roman"/>
      <w:sz w:val="21"/>
      <w:lang w:val="en-US" w:eastAsia="zh-CN" w:bidi="ar-SA"/>
    </w:rPr>
  </w:style>
  <w:style w:type="paragraph" w:styleId="27">
    <w:name w:val="footnote text"/>
    <w:basedOn w:val="1"/>
    <w:qFormat/>
    <w:uiPriority w:val="0"/>
    <w:pPr>
      <w:numPr>
        <w:ilvl w:val="0"/>
        <w:numId w:val="1"/>
      </w:numPr>
      <w:snapToGrid w:val="0"/>
      <w:jc w:val="left"/>
    </w:pPr>
    <w:rPr>
      <w:rFonts w:ascii="宋体"/>
      <w:sz w:val="18"/>
      <w:szCs w:val="18"/>
    </w:rPr>
  </w:style>
  <w:style w:type="paragraph" w:styleId="28">
    <w:name w:val="toc 6"/>
    <w:basedOn w:val="1"/>
    <w:next w:val="1"/>
    <w:semiHidden/>
    <w:qFormat/>
    <w:uiPriority w:val="0"/>
    <w:pPr>
      <w:tabs>
        <w:tab w:val="right" w:leader="dot" w:pos="9241"/>
      </w:tabs>
      <w:ind w:firstLine="400" w:firstLineChars="400"/>
      <w:jc w:val="left"/>
    </w:pPr>
    <w:rPr>
      <w:rFonts w:ascii="宋体"/>
      <w:szCs w:val="21"/>
    </w:rPr>
  </w:style>
  <w:style w:type="paragraph" w:styleId="29">
    <w:name w:val="index 7"/>
    <w:basedOn w:val="1"/>
    <w:next w:val="1"/>
    <w:qFormat/>
    <w:uiPriority w:val="0"/>
    <w:pPr>
      <w:ind w:left="1470" w:hanging="210"/>
      <w:jc w:val="left"/>
    </w:pPr>
    <w:rPr>
      <w:rFonts w:ascii="Calibri" w:hAnsi="Calibri"/>
      <w:sz w:val="20"/>
      <w:szCs w:val="20"/>
    </w:rPr>
  </w:style>
  <w:style w:type="paragraph" w:styleId="30">
    <w:name w:val="index 9"/>
    <w:basedOn w:val="1"/>
    <w:next w:val="1"/>
    <w:qFormat/>
    <w:uiPriority w:val="0"/>
    <w:pPr>
      <w:ind w:left="1890" w:hanging="210"/>
      <w:jc w:val="left"/>
    </w:pPr>
    <w:rPr>
      <w:rFonts w:ascii="Calibri" w:hAnsi="Calibri"/>
      <w:sz w:val="20"/>
      <w:szCs w:val="20"/>
    </w:rPr>
  </w:style>
  <w:style w:type="paragraph" w:styleId="31">
    <w:name w:val="toc 2"/>
    <w:basedOn w:val="1"/>
    <w:next w:val="1"/>
    <w:semiHidden/>
    <w:qFormat/>
    <w:uiPriority w:val="0"/>
    <w:pPr>
      <w:tabs>
        <w:tab w:val="right" w:leader="dot" w:pos="9242"/>
      </w:tabs>
    </w:pPr>
    <w:rPr>
      <w:rFonts w:ascii="宋体"/>
      <w:szCs w:val="21"/>
    </w:rPr>
  </w:style>
  <w:style w:type="paragraph" w:styleId="32">
    <w:name w:val="toc 9"/>
    <w:basedOn w:val="1"/>
    <w:next w:val="1"/>
    <w:semiHidden/>
    <w:qFormat/>
    <w:uiPriority w:val="0"/>
    <w:pPr>
      <w:ind w:left="1470"/>
      <w:jc w:val="left"/>
    </w:pPr>
    <w:rPr>
      <w:sz w:val="20"/>
      <w:szCs w:val="20"/>
    </w:rPr>
  </w:style>
  <w:style w:type="paragraph" w:styleId="33">
    <w:name w:val="index 2"/>
    <w:basedOn w:val="1"/>
    <w:next w:val="1"/>
    <w:qFormat/>
    <w:uiPriority w:val="0"/>
    <w:pPr>
      <w:ind w:left="420" w:hanging="210"/>
      <w:jc w:val="left"/>
    </w:pPr>
    <w:rPr>
      <w:rFonts w:ascii="Calibri" w:hAnsi="Calibri"/>
      <w:sz w:val="20"/>
      <w:szCs w:val="20"/>
    </w:rPr>
  </w:style>
  <w:style w:type="paragraph" w:styleId="34">
    <w:name w:val="Title"/>
    <w:basedOn w:val="1"/>
    <w:link w:val="172"/>
    <w:qFormat/>
    <w:uiPriority w:val="0"/>
    <w:pPr>
      <w:numPr>
        <w:ilvl w:val="2"/>
        <w:numId w:val="2"/>
      </w:numPr>
      <w:tabs>
        <w:tab w:val="clear" w:pos="0"/>
      </w:tabs>
      <w:spacing w:before="240" w:after="60"/>
      <w:ind w:left="0" w:firstLine="0"/>
      <w:jc w:val="center"/>
      <w:outlineLvl w:val="0"/>
    </w:pPr>
    <w:rPr>
      <w:rFonts w:ascii="Arial" w:hAnsi="Arial" w:cs="Arial"/>
      <w:b/>
      <w:bCs/>
      <w:sz w:val="32"/>
      <w:szCs w:val="32"/>
    </w:rPr>
  </w:style>
  <w:style w:type="character" w:styleId="36">
    <w:name w:val="Strong"/>
    <w:basedOn w:val="35"/>
    <w:qFormat/>
    <w:uiPriority w:val="0"/>
    <w:rPr>
      <w:b/>
    </w:rPr>
  </w:style>
  <w:style w:type="character" w:styleId="37">
    <w:name w:val="endnote reference"/>
    <w:semiHidden/>
    <w:qFormat/>
    <w:uiPriority w:val="0"/>
    <w:rPr>
      <w:vertAlign w:val="superscript"/>
    </w:rPr>
  </w:style>
  <w:style w:type="character" w:styleId="38">
    <w:name w:val="page number"/>
    <w:qFormat/>
    <w:uiPriority w:val="0"/>
    <w:rPr>
      <w:rFonts w:ascii="Times New Roman" w:hAnsi="Times New Roman" w:eastAsia="宋体"/>
      <w:sz w:val="18"/>
    </w:rPr>
  </w:style>
  <w:style w:type="character" w:styleId="39">
    <w:name w:val="FollowedHyperlink"/>
    <w:qFormat/>
    <w:uiPriority w:val="0"/>
    <w:rPr>
      <w:color w:val="800080"/>
      <w:u w:val="single"/>
    </w:rPr>
  </w:style>
  <w:style w:type="character" w:styleId="40">
    <w:name w:val="HTML Acronym"/>
    <w:basedOn w:val="35"/>
    <w:semiHidden/>
    <w:qFormat/>
    <w:uiPriority w:val="0"/>
  </w:style>
  <w:style w:type="character" w:styleId="41">
    <w:name w:val="Hyperlink"/>
    <w:qFormat/>
    <w:uiPriority w:val="0"/>
    <w:rPr>
      <w:color w:val="0000FF"/>
      <w:spacing w:val="0"/>
      <w:w w:val="100"/>
      <w:szCs w:val="21"/>
      <w:u w:val="single"/>
    </w:rPr>
  </w:style>
  <w:style w:type="character" w:styleId="42">
    <w:name w:val="HTML Code"/>
    <w:semiHidden/>
    <w:qFormat/>
    <w:uiPriority w:val="0"/>
    <w:rPr>
      <w:rFonts w:ascii="Courier New" w:hAnsi="Courier New"/>
      <w:sz w:val="20"/>
      <w:szCs w:val="20"/>
    </w:rPr>
  </w:style>
  <w:style w:type="character" w:styleId="43">
    <w:name w:val="annotation reference"/>
    <w:qFormat/>
    <w:uiPriority w:val="0"/>
    <w:rPr>
      <w:sz w:val="21"/>
      <w:szCs w:val="21"/>
    </w:rPr>
  </w:style>
  <w:style w:type="character" w:styleId="44">
    <w:name w:val="HTML Cite"/>
    <w:semiHidden/>
    <w:qFormat/>
    <w:uiPriority w:val="0"/>
    <w:rPr>
      <w:i/>
      <w:iCs/>
    </w:rPr>
  </w:style>
  <w:style w:type="character" w:styleId="45">
    <w:name w:val="footnote reference"/>
    <w:semiHidden/>
    <w:qFormat/>
    <w:uiPriority w:val="0"/>
    <w:rPr>
      <w:vertAlign w:val="superscript"/>
    </w:rPr>
  </w:style>
  <w:style w:type="table" w:styleId="47">
    <w:name w:val="Table Grid"/>
    <w:basedOn w:val="46"/>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customStyle="1" w:styleId="48">
    <w:name w:val="段 Char"/>
    <w:link w:val="26"/>
    <w:qFormat/>
    <w:uiPriority w:val="0"/>
    <w:rPr>
      <w:rFonts w:ascii="宋体"/>
      <w:sz w:val="21"/>
      <w:lang w:val="en-US" w:eastAsia="zh-CN" w:bidi="ar-SA"/>
    </w:rPr>
  </w:style>
  <w:style w:type="paragraph" w:customStyle="1" w:styleId="49">
    <w:name w:val="一级条标题"/>
    <w:next w:val="26"/>
    <w:qFormat/>
    <w:uiPriority w:val="0"/>
    <w:pPr>
      <w:spacing w:beforeLines="50" w:after="160" w:afterLines="50" w:line="276" w:lineRule="auto"/>
      <w:outlineLvl w:val="2"/>
    </w:pPr>
    <w:rPr>
      <w:rFonts w:ascii="黑体" w:hAnsi="Times New Roman" w:eastAsia="黑体" w:cs="Times New Roman"/>
      <w:sz w:val="21"/>
      <w:szCs w:val="21"/>
      <w:lang w:val="en-US" w:eastAsia="zh-CN" w:bidi="ar-SA"/>
    </w:rPr>
  </w:style>
  <w:style w:type="paragraph" w:customStyle="1" w:styleId="50">
    <w:name w:val="标准书脚_奇数页"/>
    <w:qFormat/>
    <w:uiPriority w:val="0"/>
    <w:pPr>
      <w:spacing w:before="120" w:after="200" w:line="276" w:lineRule="auto"/>
      <w:ind w:right="198"/>
      <w:jc w:val="right"/>
    </w:pPr>
    <w:rPr>
      <w:rFonts w:ascii="宋体" w:hAnsi="Times New Roman" w:eastAsia="宋体" w:cs="Times New Roman"/>
      <w:sz w:val="18"/>
      <w:szCs w:val="18"/>
      <w:lang w:val="en-US" w:eastAsia="zh-CN" w:bidi="ar-SA"/>
    </w:rPr>
  </w:style>
  <w:style w:type="paragraph" w:customStyle="1" w:styleId="51">
    <w:name w:val="标准书眉_奇数页"/>
    <w:next w:val="1"/>
    <w:qFormat/>
    <w:uiPriority w:val="0"/>
    <w:pPr>
      <w:tabs>
        <w:tab w:val="center" w:pos="4154"/>
        <w:tab w:val="right" w:pos="8306"/>
      </w:tabs>
      <w:spacing w:after="220" w:line="276" w:lineRule="auto"/>
      <w:jc w:val="right"/>
    </w:pPr>
    <w:rPr>
      <w:rFonts w:ascii="黑体" w:hAnsi="Times New Roman" w:eastAsia="黑体" w:cs="Times New Roman"/>
      <w:sz w:val="21"/>
      <w:szCs w:val="21"/>
      <w:lang w:val="en-US" w:eastAsia="zh-CN" w:bidi="ar-SA"/>
    </w:rPr>
  </w:style>
  <w:style w:type="paragraph" w:customStyle="1" w:styleId="52">
    <w:name w:val="章标题"/>
    <w:next w:val="26"/>
    <w:qFormat/>
    <w:uiPriority w:val="0"/>
    <w:pPr>
      <w:spacing w:beforeLines="100" w:after="160" w:afterLines="100" w:line="276" w:lineRule="auto"/>
      <w:jc w:val="both"/>
      <w:outlineLvl w:val="1"/>
    </w:pPr>
    <w:rPr>
      <w:rFonts w:ascii="黑体" w:hAnsi="Times New Roman" w:eastAsia="黑体" w:cs="Times New Roman"/>
      <w:sz w:val="21"/>
      <w:lang w:val="en-US" w:eastAsia="zh-CN" w:bidi="ar-SA"/>
    </w:rPr>
  </w:style>
  <w:style w:type="paragraph" w:customStyle="1" w:styleId="53">
    <w:name w:val="二级条标题"/>
    <w:basedOn w:val="49"/>
    <w:next w:val="26"/>
    <w:qFormat/>
    <w:uiPriority w:val="0"/>
    <w:pPr>
      <w:spacing w:before="50" w:after="50"/>
      <w:outlineLvl w:val="3"/>
    </w:pPr>
  </w:style>
  <w:style w:type="paragraph" w:customStyle="1" w:styleId="54">
    <w:name w:val="封面标准号2"/>
    <w:qFormat/>
    <w:uiPriority w:val="0"/>
    <w:pPr>
      <w:framePr w:w="9140" w:h="1242" w:hRule="exact" w:hSpace="284" w:wrap="around" w:vAnchor="page" w:hAnchor="page" w:x="1645" w:y="2910" w:anchorLock="1"/>
      <w:spacing w:before="357" w:after="200" w:line="280" w:lineRule="exact"/>
      <w:jc w:val="right"/>
    </w:pPr>
    <w:rPr>
      <w:rFonts w:ascii="黑体" w:hAnsi="Times New Roman" w:eastAsia="黑体" w:cs="Times New Roman"/>
      <w:sz w:val="28"/>
      <w:szCs w:val="28"/>
      <w:lang w:val="en-US" w:eastAsia="zh-CN" w:bidi="ar-SA"/>
    </w:rPr>
  </w:style>
  <w:style w:type="paragraph" w:customStyle="1" w:styleId="55">
    <w:name w:val="列项——（一级）"/>
    <w:qFormat/>
    <w:uiPriority w:val="0"/>
    <w:pPr>
      <w:widowControl w:val="0"/>
      <w:numPr>
        <w:ilvl w:val="0"/>
        <w:numId w:val="3"/>
      </w:numPr>
      <w:spacing w:after="200" w:line="276" w:lineRule="auto"/>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3"/>
      </w:numPr>
      <w:tabs>
        <w:tab w:val="left" w:pos="840"/>
      </w:tabs>
      <w:spacing w:after="200" w:line="276" w:lineRule="auto"/>
      <w:jc w:val="both"/>
    </w:pPr>
    <w:rPr>
      <w:rFonts w:ascii="宋体" w:hAnsi="Times New Roman" w:eastAsia="宋体" w:cs="Times New Roman"/>
      <w:sz w:val="21"/>
      <w:lang w:val="en-US" w:eastAsia="zh-CN" w:bidi="ar-SA"/>
    </w:rPr>
  </w:style>
  <w:style w:type="paragraph" w:customStyle="1" w:styleId="57">
    <w:name w:val="目次、标准名称标题"/>
    <w:basedOn w:val="1"/>
    <w:next w:val="26"/>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8">
    <w:name w:val="三级条标题"/>
    <w:basedOn w:val="53"/>
    <w:next w:val="26"/>
    <w:qFormat/>
    <w:uiPriority w:val="0"/>
    <w:pPr>
      <w:outlineLvl w:val="4"/>
    </w:pPr>
  </w:style>
  <w:style w:type="paragraph" w:customStyle="1" w:styleId="59">
    <w:name w:val="示例"/>
    <w:next w:val="60"/>
    <w:qFormat/>
    <w:uiPriority w:val="0"/>
    <w:pPr>
      <w:widowControl w:val="0"/>
      <w:numPr>
        <w:ilvl w:val="0"/>
        <w:numId w:val="4"/>
      </w:numPr>
      <w:spacing w:after="200" w:line="276" w:lineRule="auto"/>
      <w:jc w:val="both"/>
    </w:pPr>
    <w:rPr>
      <w:rFonts w:ascii="宋体" w:hAnsi="Times New Roman" w:eastAsia="宋体" w:cs="Times New Roman"/>
      <w:sz w:val="18"/>
      <w:szCs w:val="18"/>
      <w:lang w:val="en-US" w:eastAsia="zh-CN" w:bidi="ar-SA"/>
    </w:rPr>
  </w:style>
  <w:style w:type="paragraph" w:customStyle="1" w:styleId="60">
    <w:name w:val="示例内容"/>
    <w:qFormat/>
    <w:uiPriority w:val="0"/>
    <w:pPr>
      <w:spacing w:after="200" w:line="276" w:lineRule="auto"/>
      <w:ind w:firstLine="200" w:firstLineChars="200"/>
    </w:pPr>
    <w:rPr>
      <w:rFonts w:ascii="宋体" w:hAnsi="Times New Roman" w:eastAsia="宋体" w:cs="Times New Roman"/>
      <w:sz w:val="18"/>
      <w:szCs w:val="18"/>
      <w:lang w:val="en-US" w:eastAsia="zh-CN" w:bidi="ar-SA"/>
    </w:rPr>
  </w:style>
  <w:style w:type="paragraph" w:customStyle="1" w:styleId="61">
    <w:name w:val="数字编号列项（二级）"/>
    <w:qFormat/>
    <w:uiPriority w:val="0"/>
    <w:pPr>
      <w:numPr>
        <w:ilvl w:val="1"/>
        <w:numId w:val="5"/>
      </w:numPr>
      <w:spacing w:after="200" w:line="276" w:lineRule="auto"/>
      <w:jc w:val="both"/>
    </w:pPr>
    <w:rPr>
      <w:rFonts w:ascii="宋体" w:hAnsi="Times New Roman" w:eastAsia="宋体" w:cs="Times New Roman"/>
      <w:sz w:val="21"/>
      <w:lang w:val="en-US" w:eastAsia="zh-CN" w:bidi="ar-SA"/>
    </w:rPr>
  </w:style>
  <w:style w:type="paragraph" w:customStyle="1" w:styleId="62">
    <w:name w:val="四级条标题"/>
    <w:basedOn w:val="58"/>
    <w:next w:val="26"/>
    <w:qFormat/>
    <w:uiPriority w:val="0"/>
    <w:pPr>
      <w:outlineLvl w:val="5"/>
    </w:pPr>
  </w:style>
  <w:style w:type="paragraph" w:customStyle="1" w:styleId="63">
    <w:name w:val="五级条标题"/>
    <w:basedOn w:val="62"/>
    <w:next w:val="26"/>
    <w:qFormat/>
    <w:uiPriority w:val="0"/>
    <w:pPr>
      <w:outlineLvl w:val="6"/>
    </w:pPr>
  </w:style>
  <w:style w:type="paragraph" w:customStyle="1" w:styleId="64">
    <w:name w:val="注："/>
    <w:next w:val="26"/>
    <w:qFormat/>
    <w:uiPriority w:val="0"/>
    <w:pPr>
      <w:widowControl w:val="0"/>
      <w:numPr>
        <w:ilvl w:val="0"/>
        <w:numId w:val="6"/>
      </w:numPr>
      <w:autoSpaceDE w:val="0"/>
      <w:autoSpaceDN w:val="0"/>
      <w:spacing w:after="200" w:line="276" w:lineRule="auto"/>
      <w:jc w:val="both"/>
    </w:pPr>
    <w:rPr>
      <w:rFonts w:ascii="宋体" w:hAnsi="Times New Roman" w:eastAsia="宋体" w:cs="Times New Roman"/>
      <w:sz w:val="18"/>
      <w:szCs w:val="18"/>
      <w:lang w:val="en-US" w:eastAsia="zh-CN" w:bidi="ar-SA"/>
    </w:rPr>
  </w:style>
  <w:style w:type="paragraph" w:customStyle="1" w:styleId="65">
    <w:name w:val="注×："/>
    <w:qFormat/>
    <w:uiPriority w:val="0"/>
    <w:pPr>
      <w:widowControl w:val="0"/>
      <w:numPr>
        <w:ilvl w:val="0"/>
        <w:numId w:val="7"/>
      </w:numPr>
      <w:autoSpaceDE w:val="0"/>
      <w:autoSpaceDN w:val="0"/>
      <w:spacing w:after="200" w:line="276" w:lineRule="auto"/>
      <w:jc w:val="both"/>
    </w:pPr>
    <w:rPr>
      <w:rFonts w:ascii="宋体" w:hAnsi="Times New Roman" w:eastAsia="宋体" w:cs="Times New Roman"/>
      <w:sz w:val="18"/>
      <w:szCs w:val="18"/>
      <w:lang w:val="en-US" w:eastAsia="zh-CN" w:bidi="ar-SA"/>
    </w:rPr>
  </w:style>
  <w:style w:type="paragraph" w:customStyle="1" w:styleId="66">
    <w:name w:val="字母编号列项（一级）"/>
    <w:qFormat/>
    <w:uiPriority w:val="0"/>
    <w:pPr>
      <w:numPr>
        <w:ilvl w:val="0"/>
        <w:numId w:val="5"/>
      </w:numPr>
      <w:spacing w:after="200" w:line="276" w:lineRule="auto"/>
      <w:jc w:val="both"/>
    </w:pPr>
    <w:rPr>
      <w:rFonts w:ascii="宋体" w:hAnsi="Times New Roman" w:eastAsia="宋体" w:cs="Times New Roman"/>
      <w:sz w:val="21"/>
      <w:lang w:val="en-US" w:eastAsia="zh-CN" w:bidi="ar-SA"/>
    </w:rPr>
  </w:style>
  <w:style w:type="paragraph" w:customStyle="1" w:styleId="67">
    <w:name w:val="列项◆（三级）"/>
    <w:basedOn w:val="1"/>
    <w:qFormat/>
    <w:uiPriority w:val="0"/>
    <w:pPr>
      <w:numPr>
        <w:ilvl w:val="2"/>
        <w:numId w:val="3"/>
      </w:numPr>
    </w:pPr>
    <w:rPr>
      <w:rFonts w:ascii="宋体"/>
      <w:szCs w:val="21"/>
    </w:rPr>
  </w:style>
  <w:style w:type="paragraph" w:customStyle="1" w:styleId="68">
    <w:name w:val="编号列项（三级）"/>
    <w:qFormat/>
    <w:uiPriority w:val="0"/>
    <w:pPr>
      <w:numPr>
        <w:ilvl w:val="2"/>
        <w:numId w:val="5"/>
      </w:numPr>
      <w:spacing w:after="200" w:line="276" w:lineRule="auto"/>
    </w:pPr>
    <w:rPr>
      <w:rFonts w:ascii="宋体" w:hAnsi="Times New Roman" w:eastAsia="宋体" w:cs="Times New Roman"/>
      <w:sz w:val="21"/>
      <w:lang w:val="en-US" w:eastAsia="zh-CN" w:bidi="ar-SA"/>
    </w:rPr>
  </w:style>
  <w:style w:type="paragraph" w:customStyle="1" w:styleId="69">
    <w:name w:val="示例×："/>
    <w:basedOn w:val="52"/>
    <w:qFormat/>
    <w:uiPriority w:val="0"/>
    <w:pPr>
      <w:numPr>
        <w:ilvl w:val="0"/>
        <w:numId w:val="8"/>
      </w:numPr>
      <w:spacing w:beforeLines="0" w:afterLines="0"/>
      <w:outlineLvl w:val="9"/>
    </w:pPr>
    <w:rPr>
      <w:rFonts w:ascii="宋体" w:eastAsia="宋体"/>
      <w:sz w:val="18"/>
      <w:szCs w:val="18"/>
    </w:rPr>
  </w:style>
  <w:style w:type="paragraph" w:customStyle="1" w:styleId="70">
    <w:name w:val="二级无"/>
    <w:basedOn w:val="53"/>
    <w:qFormat/>
    <w:uiPriority w:val="0"/>
    <w:pPr>
      <w:spacing w:beforeLines="0" w:afterLines="0"/>
    </w:pPr>
    <w:rPr>
      <w:rFonts w:ascii="宋体" w:eastAsia="宋体"/>
    </w:rPr>
  </w:style>
  <w:style w:type="paragraph" w:customStyle="1" w:styleId="71">
    <w:name w:val="注：（正文）"/>
    <w:basedOn w:val="64"/>
    <w:next w:val="26"/>
    <w:qFormat/>
    <w:uiPriority w:val="0"/>
  </w:style>
  <w:style w:type="paragraph" w:customStyle="1" w:styleId="72">
    <w:name w:val="注×：（正文）"/>
    <w:qFormat/>
    <w:uiPriority w:val="0"/>
    <w:pPr>
      <w:numPr>
        <w:ilvl w:val="0"/>
        <w:numId w:val="9"/>
      </w:numPr>
      <w:spacing w:after="200" w:line="276" w:lineRule="auto"/>
      <w:jc w:val="both"/>
    </w:pPr>
    <w:rPr>
      <w:rFonts w:ascii="宋体" w:hAnsi="Times New Roman" w:eastAsia="宋体" w:cs="Times New Roman"/>
      <w:sz w:val="18"/>
      <w:szCs w:val="18"/>
      <w:lang w:val="en-US" w:eastAsia="zh-CN" w:bidi="ar-SA"/>
    </w:rPr>
  </w:style>
  <w:style w:type="paragraph" w:customStyle="1" w:styleId="73">
    <w:name w:val="标准标志"/>
    <w:next w:val="1"/>
    <w:qFormat/>
    <w:uiPriority w:val="0"/>
    <w:pPr>
      <w:framePr w:w="2546" w:h="1389" w:hRule="exact" w:hSpace="181" w:vSpace="181" w:wrap="around" w:vAnchor="margin" w:hAnchor="margin" w:x="6522" w:y="398" w:anchorLock="1"/>
      <w:shd w:val="solid" w:color="FFFFFF" w:fill="FFFFFF"/>
      <w:spacing w:after="200" w:line="0" w:lineRule="atLeast"/>
      <w:jc w:val="right"/>
    </w:pPr>
    <w:rPr>
      <w:rFonts w:ascii="Times New Roman" w:hAnsi="Times New Roman" w:eastAsia="宋体" w:cs="Times New Roman"/>
      <w:b/>
      <w:w w:val="170"/>
      <w:sz w:val="96"/>
      <w:szCs w:val="96"/>
      <w:lang w:val="en-US" w:eastAsia="zh-CN" w:bidi="ar-SA"/>
    </w:rPr>
  </w:style>
  <w:style w:type="paragraph" w:customStyle="1" w:styleId="74">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after="200" w:line="0" w:lineRule="atLeast"/>
      <w:jc w:val="distribute"/>
    </w:pPr>
    <w:rPr>
      <w:rFonts w:ascii="宋体" w:hAnsi="Times New Roman" w:eastAsia="宋体" w:cs="Times New Roman"/>
      <w:b/>
      <w:bCs/>
      <w:spacing w:val="20"/>
      <w:w w:val="148"/>
      <w:sz w:val="48"/>
      <w:lang w:val="en-US" w:eastAsia="zh-CN" w:bidi="ar-SA"/>
    </w:rPr>
  </w:style>
  <w:style w:type="paragraph" w:customStyle="1" w:styleId="75">
    <w:name w:val="标准书脚_偶数页"/>
    <w:qFormat/>
    <w:uiPriority w:val="0"/>
    <w:pPr>
      <w:spacing w:before="120" w:after="200" w:line="276" w:lineRule="auto"/>
      <w:ind w:left="221"/>
    </w:pPr>
    <w:rPr>
      <w:rFonts w:ascii="宋体" w:hAnsi="Times New Roman" w:eastAsia="宋体" w:cs="Times New Roman"/>
      <w:sz w:val="18"/>
      <w:szCs w:val="18"/>
      <w:lang w:val="en-US" w:eastAsia="zh-CN" w:bidi="ar-SA"/>
    </w:rPr>
  </w:style>
  <w:style w:type="paragraph" w:customStyle="1" w:styleId="76">
    <w:name w:val="标准书眉_偶数页"/>
    <w:basedOn w:val="51"/>
    <w:next w:val="1"/>
    <w:qFormat/>
    <w:uiPriority w:val="0"/>
    <w:pPr>
      <w:jc w:val="left"/>
    </w:pPr>
  </w:style>
  <w:style w:type="paragraph" w:customStyle="1" w:styleId="77">
    <w:name w:val="标准书眉一"/>
    <w:qFormat/>
    <w:uiPriority w:val="0"/>
    <w:pPr>
      <w:spacing w:after="200" w:line="276" w:lineRule="auto"/>
      <w:jc w:val="both"/>
    </w:pPr>
    <w:rPr>
      <w:rFonts w:ascii="Times New Roman" w:hAnsi="Times New Roman" w:eastAsia="宋体" w:cs="Times New Roman"/>
      <w:lang w:val="en-US" w:eastAsia="zh-CN" w:bidi="ar-SA"/>
    </w:rPr>
  </w:style>
  <w:style w:type="paragraph" w:customStyle="1" w:styleId="78">
    <w:name w:val="参考文献"/>
    <w:basedOn w:val="1"/>
    <w:next w:val="26"/>
    <w:qFormat/>
    <w:uiPriority w:val="0"/>
    <w:pPr>
      <w:keepNext/>
      <w:pageBreakBefore/>
      <w:widowControl/>
      <w:shd w:val="clear" w:color="FFFFFF" w:fill="FFFFFF"/>
      <w:spacing w:before="640"/>
      <w:jc w:val="center"/>
      <w:outlineLvl w:val="0"/>
    </w:pPr>
    <w:rPr>
      <w:rFonts w:ascii="黑体" w:eastAsia="黑体"/>
      <w:kern w:val="0"/>
      <w:szCs w:val="20"/>
    </w:rPr>
  </w:style>
  <w:style w:type="paragraph" w:customStyle="1" w:styleId="79">
    <w:name w:val="参考文献、索引标题"/>
    <w:basedOn w:val="1"/>
    <w:next w:val="26"/>
    <w:qFormat/>
    <w:uiPriority w:val="0"/>
    <w:pPr>
      <w:keepNext/>
      <w:pageBreakBefore/>
      <w:widowControl/>
      <w:shd w:val="clear" w:color="FFFFFF" w:fill="FFFFFF"/>
      <w:spacing w:before="640"/>
      <w:jc w:val="center"/>
      <w:outlineLvl w:val="0"/>
    </w:pPr>
    <w:rPr>
      <w:rFonts w:ascii="黑体" w:eastAsia="黑体"/>
      <w:kern w:val="0"/>
      <w:szCs w:val="20"/>
    </w:rPr>
  </w:style>
  <w:style w:type="character" w:customStyle="1" w:styleId="80">
    <w:name w:val="发布"/>
    <w:qFormat/>
    <w:uiPriority w:val="0"/>
    <w:rPr>
      <w:rFonts w:ascii="黑体" w:eastAsia="黑体"/>
      <w:spacing w:val="85"/>
      <w:w w:val="100"/>
      <w:position w:val="3"/>
      <w:sz w:val="28"/>
      <w:szCs w:val="28"/>
    </w:rPr>
  </w:style>
  <w:style w:type="paragraph" w:customStyle="1" w:styleId="81">
    <w:name w:val="发布部门"/>
    <w:next w:val="26"/>
    <w:qFormat/>
    <w:uiPriority w:val="0"/>
    <w:pPr>
      <w:framePr w:w="7938" w:h="1134" w:hRule="exact" w:hSpace="125" w:vSpace="181" w:wrap="around" w:vAnchor="page" w:hAnchor="page" w:x="2150" w:y="14630" w:anchorLock="1"/>
      <w:spacing w:after="200" w:line="276" w:lineRule="auto"/>
      <w:jc w:val="center"/>
    </w:pPr>
    <w:rPr>
      <w:rFonts w:ascii="宋体" w:hAnsi="Times New Roman" w:eastAsia="宋体" w:cs="Times New Roman"/>
      <w:b/>
      <w:spacing w:val="20"/>
      <w:w w:val="135"/>
      <w:sz w:val="28"/>
      <w:lang w:val="en-US" w:eastAsia="zh-CN" w:bidi="ar-SA"/>
    </w:rPr>
  </w:style>
  <w:style w:type="paragraph" w:customStyle="1" w:styleId="82">
    <w:name w:val="发布日期"/>
    <w:qFormat/>
    <w:uiPriority w:val="0"/>
    <w:pPr>
      <w:framePr w:w="3997" w:h="471" w:hRule="exact" w:vSpace="181" w:wrap="around" w:vAnchor="margin" w:hAnchor="page" w:x="7089" w:y="14097" w:anchorLock="1"/>
      <w:spacing w:after="200" w:line="276" w:lineRule="auto"/>
    </w:pPr>
    <w:rPr>
      <w:rFonts w:ascii="Times New Roman" w:hAnsi="Times New Roman" w:eastAsia="黑体" w:cs="Times New Roman"/>
      <w:sz w:val="28"/>
      <w:lang w:val="en-US" w:eastAsia="zh-CN" w:bidi="ar-SA"/>
    </w:rPr>
  </w:style>
  <w:style w:type="paragraph" w:customStyle="1" w:styleId="83">
    <w:name w:val="封面标准代替信息"/>
    <w:qFormat/>
    <w:uiPriority w:val="0"/>
    <w:pPr>
      <w:framePr w:w="9140" w:h="1242" w:hRule="exact" w:hSpace="284" w:wrap="around" w:vAnchor="page" w:hAnchor="page" w:x="1645" w:y="2910" w:anchorLock="1"/>
      <w:spacing w:before="57" w:after="200" w:line="280" w:lineRule="exact"/>
      <w:jc w:val="right"/>
    </w:pPr>
    <w:rPr>
      <w:rFonts w:ascii="宋体" w:hAnsi="Times New Roman" w:eastAsia="宋体" w:cs="Times New Roman"/>
      <w:sz w:val="21"/>
      <w:szCs w:val="21"/>
      <w:lang w:val="en-US" w:eastAsia="zh-CN" w:bidi="ar-SA"/>
    </w:rPr>
  </w:style>
  <w:style w:type="paragraph" w:customStyle="1" w:styleId="84">
    <w:name w:val="封面标准号1"/>
    <w:qFormat/>
    <w:uiPriority w:val="0"/>
    <w:pPr>
      <w:widowControl w:val="0"/>
      <w:kinsoku w:val="0"/>
      <w:overflowPunct w:val="0"/>
      <w:autoSpaceDE w:val="0"/>
      <w:autoSpaceDN w:val="0"/>
      <w:spacing w:before="308" w:after="200" w:line="276" w:lineRule="auto"/>
      <w:jc w:val="right"/>
      <w:textAlignment w:val="center"/>
    </w:pPr>
    <w:rPr>
      <w:rFonts w:ascii="Times New Roman" w:hAnsi="Times New Roman" w:eastAsia="宋体" w:cs="Times New Roman"/>
      <w:sz w:val="28"/>
      <w:lang w:val="en-US" w:eastAsia="zh-CN" w:bidi="ar-SA"/>
    </w:rPr>
  </w:style>
  <w:style w:type="paragraph" w:customStyle="1" w:styleId="85">
    <w:name w:val="封面标准名称"/>
    <w:qFormat/>
    <w:uiPriority w:val="0"/>
    <w:pPr>
      <w:framePr w:w="9639" w:h="6917" w:hRule="exact" w:wrap="around" w:vAnchor="page" w:hAnchor="page" w:xAlign="center" w:y="6408" w:anchorLock="1"/>
      <w:widowControl w:val="0"/>
      <w:spacing w:after="200" w:line="680" w:lineRule="exact"/>
      <w:jc w:val="center"/>
      <w:textAlignment w:val="center"/>
    </w:pPr>
    <w:rPr>
      <w:rFonts w:ascii="黑体" w:hAnsi="Times New Roman" w:eastAsia="黑体" w:cs="Times New Roman"/>
      <w:sz w:val="52"/>
      <w:lang w:val="en-US" w:eastAsia="zh-CN" w:bidi="ar-SA"/>
    </w:rPr>
  </w:style>
  <w:style w:type="paragraph" w:customStyle="1" w:styleId="86">
    <w:name w:val="封面标准英文名称"/>
    <w:basedOn w:val="85"/>
    <w:qFormat/>
    <w:uiPriority w:val="0"/>
    <w:pPr>
      <w:spacing w:before="370" w:line="400" w:lineRule="exact"/>
    </w:pPr>
    <w:rPr>
      <w:rFonts w:ascii="Times New Roman"/>
      <w:sz w:val="28"/>
      <w:szCs w:val="28"/>
    </w:rPr>
  </w:style>
  <w:style w:type="paragraph" w:customStyle="1" w:styleId="87">
    <w:name w:val="封面一致性程度标识"/>
    <w:basedOn w:val="86"/>
    <w:qFormat/>
    <w:uiPriority w:val="0"/>
    <w:pPr>
      <w:spacing w:before="440"/>
    </w:pPr>
    <w:rPr>
      <w:rFonts w:ascii="宋体" w:eastAsia="宋体"/>
    </w:rPr>
  </w:style>
  <w:style w:type="paragraph" w:customStyle="1" w:styleId="88">
    <w:name w:val="封面标准文稿类别"/>
    <w:basedOn w:val="87"/>
    <w:qFormat/>
    <w:uiPriority w:val="0"/>
    <w:pPr>
      <w:spacing w:after="160" w:line="240" w:lineRule="auto"/>
    </w:pPr>
    <w:rPr>
      <w:sz w:val="24"/>
    </w:rPr>
  </w:style>
  <w:style w:type="paragraph" w:customStyle="1" w:styleId="89">
    <w:name w:val="封面标准文稿编辑信息"/>
    <w:basedOn w:val="88"/>
    <w:qFormat/>
    <w:uiPriority w:val="0"/>
    <w:pPr>
      <w:spacing w:before="180" w:line="180" w:lineRule="exact"/>
    </w:pPr>
    <w:rPr>
      <w:sz w:val="21"/>
    </w:rPr>
  </w:style>
  <w:style w:type="paragraph" w:customStyle="1" w:styleId="90">
    <w:name w:val="封面正文"/>
    <w:qFormat/>
    <w:uiPriority w:val="0"/>
    <w:pPr>
      <w:spacing w:after="200" w:line="276" w:lineRule="auto"/>
      <w:jc w:val="both"/>
    </w:pPr>
    <w:rPr>
      <w:rFonts w:ascii="Times New Roman" w:hAnsi="Times New Roman" w:eastAsia="宋体" w:cs="Times New Roman"/>
      <w:lang w:val="en-US" w:eastAsia="zh-CN" w:bidi="ar-SA"/>
    </w:rPr>
  </w:style>
  <w:style w:type="paragraph" w:customStyle="1" w:styleId="91">
    <w:name w:val="附录标识"/>
    <w:basedOn w:val="1"/>
    <w:next w:val="26"/>
    <w:qFormat/>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92">
    <w:name w:val="附录标题"/>
    <w:basedOn w:val="26"/>
    <w:next w:val="26"/>
    <w:qFormat/>
    <w:uiPriority w:val="0"/>
    <w:pPr>
      <w:ind w:firstLine="0" w:firstLineChars="0"/>
      <w:jc w:val="center"/>
    </w:pPr>
    <w:rPr>
      <w:rFonts w:ascii="黑体" w:eastAsia="黑体"/>
    </w:rPr>
  </w:style>
  <w:style w:type="paragraph" w:customStyle="1" w:styleId="93">
    <w:name w:val="附录表标号"/>
    <w:basedOn w:val="1"/>
    <w:next w:val="26"/>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94">
    <w:name w:val="附录表标题"/>
    <w:basedOn w:val="1"/>
    <w:next w:val="26"/>
    <w:qFormat/>
    <w:uiPriority w:val="0"/>
    <w:pPr>
      <w:numPr>
        <w:ilvl w:val="1"/>
        <w:numId w:val="11"/>
      </w:numPr>
      <w:tabs>
        <w:tab w:val="left" w:pos="180"/>
      </w:tabs>
      <w:spacing w:beforeLines="50" w:afterLines="50"/>
      <w:ind w:left="0" w:firstLine="0"/>
      <w:jc w:val="center"/>
    </w:pPr>
    <w:rPr>
      <w:rFonts w:ascii="黑体" w:eastAsia="黑体"/>
      <w:szCs w:val="21"/>
    </w:rPr>
  </w:style>
  <w:style w:type="paragraph" w:customStyle="1" w:styleId="95">
    <w:name w:val="附录二级条标题"/>
    <w:basedOn w:val="1"/>
    <w:next w:val="26"/>
    <w:qFormat/>
    <w:uiPriority w:val="0"/>
    <w:pPr>
      <w:widowControl/>
      <w:numPr>
        <w:ilvl w:val="3"/>
        <w:numId w:val="10"/>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96">
    <w:name w:val="附录二级无"/>
    <w:basedOn w:val="95"/>
    <w:qFormat/>
    <w:uiPriority w:val="0"/>
    <w:pPr>
      <w:tabs>
        <w:tab w:val="clear" w:pos="360"/>
      </w:tabs>
      <w:spacing w:beforeLines="0" w:afterLines="0"/>
    </w:pPr>
    <w:rPr>
      <w:rFonts w:ascii="宋体" w:eastAsia="宋体"/>
      <w:szCs w:val="21"/>
    </w:rPr>
  </w:style>
  <w:style w:type="paragraph" w:customStyle="1" w:styleId="97">
    <w:name w:val="附录公式"/>
    <w:basedOn w:val="26"/>
    <w:next w:val="26"/>
    <w:link w:val="98"/>
    <w:qFormat/>
    <w:uiPriority w:val="0"/>
  </w:style>
  <w:style w:type="character" w:customStyle="1" w:styleId="98">
    <w:name w:val="附录公式 Char"/>
    <w:basedOn w:val="48"/>
    <w:link w:val="97"/>
    <w:qFormat/>
    <w:uiPriority w:val="0"/>
    <w:rPr>
      <w:rFonts w:ascii="宋体"/>
      <w:sz w:val="21"/>
      <w:lang w:val="en-US" w:eastAsia="zh-CN" w:bidi="ar-SA"/>
    </w:rPr>
  </w:style>
  <w:style w:type="paragraph" w:customStyle="1" w:styleId="99">
    <w:name w:val="附录公式编号制表符"/>
    <w:basedOn w:val="1"/>
    <w:next w:val="26"/>
    <w:qFormat/>
    <w:uiPriority w:val="0"/>
    <w:pPr>
      <w:widowControl/>
      <w:tabs>
        <w:tab w:val="center" w:pos="4201"/>
        <w:tab w:val="right" w:leader="dot" w:pos="9298"/>
      </w:tabs>
      <w:autoSpaceDE w:val="0"/>
      <w:autoSpaceDN w:val="0"/>
    </w:pPr>
    <w:rPr>
      <w:rFonts w:ascii="宋体"/>
      <w:kern w:val="0"/>
      <w:szCs w:val="20"/>
    </w:rPr>
  </w:style>
  <w:style w:type="paragraph" w:customStyle="1" w:styleId="100">
    <w:name w:val="附录三级条标题"/>
    <w:basedOn w:val="95"/>
    <w:next w:val="26"/>
    <w:qFormat/>
    <w:uiPriority w:val="0"/>
    <w:pPr>
      <w:numPr>
        <w:ilvl w:val="4"/>
      </w:numPr>
      <w:outlineLvl w:val="4"/>
    </w:pPr>
  </w:style>
  <w:style w:type="paragraph" w:customStyle="1" w:styleId="101">
    <w:name w:val="附录三级无"/>
    <w:basedOn w:val="100"/>
    <w:qFormat/>
    <w:uiPriority w:val="0"/>
    <w:pPr>
      <w:tabs>
        <w:tab w:val="clear" w:pos="360"/>
      </w:tabs>
      <w:spacing w:beforeLines="0" w:afterLines="0"/>
    </w:pPr>
    <w:rPr>
      <w:rFonts w:ascii="宋体" w:eastAsia="宋体"/>
      <w:szCs w:val="21"/>
    </w:rPr>
  </w:style>
  <w:style w:type="paragraph" w:customStyle="1" w:styleId="102">
    <w:name w:val="附录数字编号列项（二级）"/>
    <w:qFormat/>
    <w:uiPriority w:val="0"/>
    <w:pPr>
      <w:numPr>
        <w:ilvl w:val="1"/>
        <w:numId w:val="12"/>
      </w:numPr>
      <w:spacing w:after="200" w:line="276" w:lineRule="auto"/>
    </w:pPr>
    <w:rPr>
      <w:rFonts w:ascii="宋体" w:hAnsi="Times New Roman" w:eastAsia="宋体" w:cs="Times New Roman"/>
      <w:sz w:val="21"/>
      <w:lang w:val="en-US" w:eastAsia="zh-CN" w:bidi="ar-SA"/>
    </w:rPr>
  </w:style>
  <w:style w:type="paragraph" w:customStyle="1" w:styleId="103">
    <w:name w:val="附录四级条标题"/>
    <w:basedOn w:val="100"/>
    <w:next w:val="26"/>
    <w:qFormat/>
    <w:uiPriority w:val="0"/>
    <w:pPr>
      <w:numPr>
        <w:ilvl w:val="5"/>
      </w:numPr>
      <w:outlineLvl w:val="5"/>
    </w:pPr>
  </w:style>
  <w:style w:type="paragraph" w:customStyle="1" w:styleId="104">
    <w:name w:val="附录四级无"/>
    <w:basedOn w:val="103"/>
    <w:qFormat/>
    <w:uiPriority w:val="0"/>
    <w:pPr>
      <w:tabs>
        <w:tab w:val="clear" w:pos="360"/>
      </w:tabs>
      <w:spacing w:beforeLines="0" w:afterLines="0"/>
    </w:pPr>
    <w:rPr>
      <w:rFonts w:ascii="宋体" w:eastAsia="宋体"/>
      <w:szCs w:val="21"/>
    </w:rPr>
  </w:style>
  <w:style w:type="paragraph" w:customStyle="1" w:styleId="105">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106">
    <w:name w:val="附录图标题"/>
    <w:basedOn w:val="1"/>
    <w:next w:val="26"/>
    <w:qFormat/>
    <w:uiPriority w:val="0"/>
    <w:pPr>
      <w:numPr>
        <w:ilvl w:val="1"/>
        <w:numId w:val="13"/>
      </w:numPr>
      <w:tabs>
        <w:tab w:val="left" w:pos="363"/>
      </w:tabs>
      <w:spacing w:beforeLines="50" w:afterLines="50"/>
      <w:ind w:left="0" w:firstLine="0"/>
      <w:jc w:val="center"/>
    </w:pPr>
    <w:rPr>
      <w:rFonts w:ascii="黑体" w:eastAsia="黑体"/>
      <w:szCs w:val="21"/>
    </w:rPr>
  </w:style>
  <w:style w:type="paragraph" w:customStyle="1" w:styleId="107">
    <w:name w:val="附录五级条标题"/>
    <w:basedOn w:val="103"/>
    <w:next w:val="26"/>
    <w:qFormat/>
    <w:uiPriority w:val="0"/>
    <w:pPr>
      <w:numPr>
        <w:ilvl w:val="6"/>
      </w:numPr>
      <w:outlineLvl w:val="6"/>
    </w:pPr>
  </w:style>
  <w:style w:type="paragraph" w:customStyle="1" w:styleId="108">
    <w:name w:val="附录五级无"/>
    <w:basedOn w:val="107"/>
    <w:qFormat/>
    <w:uiPriority w:val="0"/>
    <w:pPr>
      <w:tabs>
        <w:tab w:val="clear" w:pos="360"/>
      </w:tabs>
      <w:spacing w:beforeLines="0" w:afterLines="0"/>
    </w:pPr>
    <w:rPr>
      <w:rFonts w:ascii="宋体" w:eastAsia="宋体"/>
      <w:szCs w:val="21"/>
    </w:rPr>
  </w:style>
  <w:style w:type="paragraph" w:customStyle="1" w:styleId="109">
    <w:name w:val="附录章标题"/>
    <w:next w:val="26"/>
    <w:qFormat/>
    <w:uiPriority w:val="0"/>
    <w:pPr>
      <w:numPr>
        <w:ilvl w:val="1"/>
        <w:numId w:val="10"/>
      </w:numPr>
      <w:tabs>
        <w:tab w:val="left" w:pos="360"/>
      </w:tabs>
      <w:wordWrap w:val="0"/>
      <w:overflowPunct w:val="0"/>
      <w:autoSpaceDE w:val="0"/>
      <w:spacing w:beforeLines="100" w:after="160" w:afterLines="100" w:line="276" w:lineRule="auto"/>
      <w:jc w:val="both"/>
      <w:textAlignment w:val="baseline"/>
      <w:outlineLvl w:val="1"/>
    </w:pPr>
    <w:rPr>
      <w:rFonts w:ascii="黑体" w:hAnsi="Times New Roman" w:eastAsia="黑体" w:cs="Times New Roman"/>
      <w:kern w:val="21"/>
      <w:sz w:val="21"/>
      <w:lang w:val="en-US" w:eastAsia="zh-CN" w:bidi="ar-SA"/>
    </w:rPr>
  </w:style>
  <w:style w:type="paragraph" w:customStyle="1" w:styleId="110">
    <w:name w:val="附录一级条标题"/>
    <w:basedOn w:val="109"/>
    <w:next w:val="26"/>
    <w:qFormat/>
    <w:uiPriority w:val="0"/>
    <w:pPr>
      <w:numPr>
        <w:ilvl w:val="2"/>
      </w:numPr>
      <w:autoSpaceDN w:val="0"/>
      <w:spacing w:beforeLines="50" w:afterLines="50"/>
      <w:outlineLvl w:val="2"/>
    </w:pPr>
  </w:style>
  <w:style w:type="paragraph" w:customStyle="1" w:styleId="111">
    <w:name w:val="附录一级无"/>
    <w:basedOn w:val="110"/>
    <w:qFormat/>
    <w:uiPriority w:val="0"/>
    <w:pPr>
      <w:tabs>
        <w:tab w:val="clear" w:pos="360"/>
      </w:tabs>
      <w:spacing w:beforeLines="0" w:afterLines="0"/>
    </w:pPr>
    <w:rPr>
      <w:rFonts w:ascii="宋体" w:eastAsia="宋体"/>
      <w:szCs w:val="21"/>
    </w:rPr>
  </w:style>
  <w:style w:type="paragraph" w:customStyle="1" w:styleId="112">
    <w:name w:val="附录字母编号列项（一级）"/>
    <w:qFormat/>
    <w:uiPriority w:val="0"/>
    <w:pPr>
      <w:numPr>
        <w:ilvl w:val="0"/>
        <w:numId w:val="12"/>
      </w:numPr>
      <w:spacing w:after="200" w:line="276" w:lineRule="auto"/>
    </w:pPr>
    <w:rPr>
      <w:rFonts w:ascii="宋体" w:hAnsi="Times New Roman" w:eastAsia="宋体" w:cs="Times New Roman"/>
      <w:sz w:val="21"/>
      <w:lang w:val="en-US" w:eastAsia="zh-CN" w:bidi="ar-SA"/>
    </w:rPr>
  </w:style>
  <w:style w:type="paragraph" w:customStyle="1" w:styleId="113">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4">
    <w:name w:val="列项说明数字编号"/>
    <w:qFormat/>
    <w:uiPriority w:val="0"/>
    <w:pPr>
      <w:spacing w:after="200" w:line="276" w:lineRule="auto"/>
      <w:ind w:left="600" w:leftChars="400" w:hanging="200" w:hangingChars="200"/>
    </w:pPr>
    <w:rPr>
      <w:rFonts w:ascii="宋体" w:hAnsi="Times New Roman" w:eastAsia="宋体" w:cs="Times New Roman"/>
      <w:sz w:val="21"/>
      <w:lang w:val="en-US" w:eastAsia="zh-CN" w:bidi="ar-SA"/>
    </w:rPr>
  </w:style>
  <w:style w:type="paragraph" w:customStyle="1" w:styleId="115">
    <w:name w:val="目次、索引正文"/>
    <w:qFormat/>
    <w:uiPriority w:val="0"/>
    <w:pPr>
      <w:spacing w:after="200" w:line="320" w:lineRule="exact"/>
      <w:jc w:val="both"/>
    </w:pPr>
    <w:rPr>
      <w:rFonts w:ascii="宋体" w:hAnsi="Times New Roman" w:eastAsia="宋体" w:cs="Times New Roman"/>
      <w:sz w:val="21"/>
      <w:lang w:val="en-US" w:eastAsia="zh-CN" w:bidi="ar-SA"/>
    </w:rPr>
  </w:style>
  <w:style w:type="paragraph" w:customStyle="1" w:styleId="116">
    <w:name w:val="其他标准标志"/>
    <w:basedOn w:val="73"/>
    <w:qFormat/>
    <w:uiPriority w:val="0"/>
    <w:pPr>
      <w:framePr w:w="6101" w:vAnchor="page" w:hAnchor="page" w:x="4673" w:y="942"/>
    </w:pPr>
    <w:rPr>
      <w:w w:val="130"/>
    </w:rPr>
  </w:style>
  <w:style w:type="paragraph" w:customStyle="1" w:styleId="117">
    <w:name w:val="其他标准称谓"/>
    <w:next w:val="1"/>
    <w:qFormat/>
    <w:uiPriority w:val="0"/>
    <w:pPr>
      <w:framePr w:hSpace="181" w:vSpace="181" w:wrap="around" w:vAnchor="page" w:hAnchor="page" w:x="1419" w:y="2286" w:anchorLock="1"/>
      <w:spacing w:after="200" w:line="0" w:lineRule="atLeast"/>
      <w:jc w:val="distribute"/>
    </w:pPr>
    <w:rPr>
      <w:rFonts w:ascii="黑体" w:hAnsi="宋体" w:eastAsia="黑体" w:cs="Times New Roman"/>
      <w:spacing w:val="-40"/>
      <w:sz w:val="48"/>
      <w:szCs w:val="52"/>
      <w:lang w:val="en-US" w:eastAsia="zh-CN" w:bidi="ar-SA"/>
    </w:rPr>
  </w:style>
  <w:style w:type="paragraph" w:customStyle="1" w:styleId="118">
    <w:name w:val="其他发布部门"/>
    <w:basedOn w:val="81"/>
    <w:qFormat/>
    <w:uiPriority w:val="0"/>
    <w:pPr>
      <w:framePr w:y="15310"/>
      <w:spacing w:line="0" w:lineRule="atLeast"/>
    </w:pPr>
    <w:rPr>
      <w:rFonts w:ascii="黑体" w:eastAsia="黑体"/>
      <w:b w:val="0"/>
    </w:rPr>
  </w:style>
  <w:style w:type="paragraph" w:customStyle="1" w:styleId="119">
    <w:name w:val="前言、引言标题"/>
    <w:next w:val="26"/>
    <w:qFormat/>
    <w:uiPriority w:val="0"/>
    <w:pPr>
      <w:keepNext/>
      <w:pageBreakBefore/>
      <w:shd w:val="clear" w:color="FFFFFF" w:fill="FFFFFF"/>
      <w:spacing w:before="640" w:after="560" w:line="276" w:lineRule="auto"/>
      <w:jc w:val="center"/>
      <w:outlineLvl w:val="0"/>
    </w:pPr>
    <w:rPr>
      <w:rFonts w:ascii="黑体" w:hAnsi="Times New Roman" w:eastAsia="黑体" w:cs="Times New Roman"/>
      <w:sz w:val="32"/>
      <w:lang w:val="en-US" w:eastAsia="zh-CN" w:bidi="ar-SA"/>
    </w:rPr>
  </w:style>
  <w:style w:type="paragraph" w:customStyle="1" w:styleId="120">
    <w:name w:val="三级无"/>
    <w:basedOn w:val="58"/>
    <w:qFormat/>
    <w:uiPriority w:val="0"/>
    <w:pPr>
      <w:spacing w:beforeLines="0" w:afterLines="0"/>
    </w:pPr>
    <w:rPr>
      <w:rFonts w:ascii="宋体" w:eastAsia="宋体"/>
    </w:rPr>
  </w:style>
  <w:style w:type="paragraph" w:customStyle="1" w:styleId="121">
    <w:name w:val="实施日期"/>
    <w:basedOn w:val="82"/>
    <w:qFormat/>
    <w:uiPriority w:val="0"/>
    <w:pPr>
      <w:framePr w:vAnchor="page" w:hAnchor="text"/>
      <w:jc w:val="right"/>
    </w:pPr>
  </w:style>
  <w:style w:type="paragraph" w:customStyle="1" w:styleId="122">
    <w:name w:val="示例后文字"/>
    <w:basedOn w:val="26"/>
    <w:next w:val="26"/>
    <w:qFormat/>
    <w:uiPriority w:val="0"/>
    <w:pPr>
      <w:ind w:firstLine="360"/>
    </w:pPr>
    <w:rPr>
      <w:sz w:val="18"/>
    </w:rPr>
  </w:style>
  <w:style w:type="paragraph" w:customStyle="1" w:styleId="123">
    <w:name w:val="首示例"/>
    <w:next w:val="26"/>
    <w:link w:val="124"/>
    <w:qFormat/>
    <w:uiPriority w:val="0"/>
    <w:pPr>
      <w:numPr>
        <w:ilvl w:val="0"/>
        <w:numId w:val="14"/>
      </w:numPr>
      <w:tabs>
        <w:tab w:val="left" w:pos="360"/>
      </w:tabs>
      <w:spacing w:after="200" w:line="276" w:lineRule="auto"/>
      <w:ind w:firstLine="0"/>
    </w:pPr>
    <w:rPr>
      <w:rFonts w:ascii="宋体" w:hAnsi="宋体" w:eastAsia="宋体" w:cs="Times New Roman"/>
      <w:kern w:val="2"/>
      <w:sz w:val="18"/>
      <w:szCs w:val="18"/>
      <w:lang w:val="en-US" w:eastAsia="zh-CN" w:bidi="ar-SA"/>
    </w:rPr>
  </w:style>
  <w:style w:type="character" w:customStyle="1" w:styleId="124">
    <w:name w:val="首示例 Char"/>
    <w:link w:val="123"/>
    <w:qFormat/>
    <w:uiPriority w:val="0"/>
    <w:rPr>
      <w:rFonts w:ascii="宋体" w:hAnsi="宋体"/>
      <w:kern w:val="2"/>
      <w:sz w:val="18"/>
      <w:szCs w:val="18"/>
    </w:rPr>
  </w:style>
  <w:style w:type="paragraph" w:customStyle="1" w:styleId="125">
    <w:name w:val="四级无"/>
    <w:basedOn w:val="62"/>
    <w:qFormat/>
    <w:uiPriority w:val="0"/>
    <w:pPr>
      <w:spacing w:beforeLines="0" w:afterLines="0"/>
    </w:pPr>
    <w:rPr>
      <w:rFonts w:ascii="宋体" w:eastAsia="宋体"/>
    </w:rPr>
  </w:style>
  <w:style w:type="paragraph" w:customStyle="1" w:styleId="126">
    <w:name w:val="条文脚注"/>
    <w:basedOn w:val="27"/>
    <w:qFormat/>
    <w:uiPriority w:val="0"/>
    <w:pPr>
      <w:numPr>
        <w:numId w:val="0"/>
      </w:numPr>
      <w:jc w:val="both"/>
    </w:pPr>
  </w:style>
  <w:style w:type="paragraph" w:customStyle="1" w:styleId="127">
    <w:name w:val="图标脚注说明"/>
    <w:basedOn w:val="26"/>
    <w:qFormat/>
    <w:uiPriority w:val="0"/>
    <w:pPr>
      <w:ind w:left="840" w:hanging="420" w:firstLineChars="0"/>
    </w:pPr>
    <w:rPr>
      <w:sz w:val="18"/>
      <w:szCs w:val="18"/>
    </w:rPr>
  </w:style>
  <w:style w:type="paragraph" w:customStyle="1" w:styleId="128">
    <w:name w:val="图表脚注说明"/>
    <w:basedOn w:val="1"/>
    <w:qFormat/>
    <w:uiPriority w:val="0"/>
    <w:pPr>
      <w:numPr>
        <w:ilvl w:val="0"/>
        <w:numId w:val="15"/>
      </w:numPr>
    </w:pPr>
    <w:rPr>
      <w:rFonts w:ascii="宋体"/>
      <w:sz w:val="18"/>
      <w:szCs w:val="18"/>
    </w:rPr>
  </w:style>
  <w:style w:type="paragraph" w:customStyle="1" w:styleId="129">
    <w:name w:val="图的脚注"/>
    <w:next w:val="26"/>
    <w:qFormat/>
    <w:uiPriority w:val="0"/>
    <w:pPr>
      <w:widowControl w:val="0"/>
      <w:spacing w:after="200" w:line="276" w:lineRule="auto"/>
      <w:ind w:left="840" w:leftChars="200" w:hanging="420" w:hangingChars="200"/>
      <w:jc w:val="both"/>
    </w:pPr>
    <w:rPr>
      <w:rFonts w:ascii="宋体" w:hAnsi="Times New Roman" w:eastAsia="宋体" w:cs="Times New Roman"/>
      <w:sz w:val="18"/>
      <w:lang w:val="en-US" w:eastAsia="zh-CN" w:bidi="ar-SA"/>
    </w:rPr>
  </w:style>
  <w:style w:type="paragraph" w:customStyle="1" w:styleId="130">
    <w:name w:val="文献分类号"/>
    <w:qFormat/>
    <w:uiPriority w:val="0"/>
    <w:pPr>
      <w:framePr w:hSpace="180" w:vSpace="180" w:wrap="around" w:vAnchor="margin" w:hAnchor="margin" w:y="1" w:anchorLock="1"/>
      <w:widowControl w:val="0"/>
      <w:spacing w:after="200" w:line="276" w:lineRule="auto"/>
      <w:textAlignment w:val="center"/>
    </w:pPr>
    <w:rPr>
      <w:rFonts w:ascii="黑体" w:hAnsi="Times New Roman" w:eastAsia="黑体" w:cs="Times New Roman"/>
      <w:sz w:val="21"/>
      <w:szCs w:val="21"/>
      <w:lang w:val="en-US" w:eastAsia="zh-CN" w:bidi="ar-SA"/>
    </w:rPr>
  </w:style>
  <w:style w:type="paragraph" w:customStyle="1" w:styleId="131">
    <w:name w:val="五级无"/>
    <w:basedOn w:val="63"/>
    <w:qFormat/>
    <w:uiPriority w:val="0"/>
    <w:pPr>
      <w:spacing w:beforeLines="0" w:afterLines="0"/>
    </w:pPr>
    <w:rPr>
      <w:rFonts w:ascii="宋体" w:eastAsia="宋体"/>
    </w:rPr>
  </w:style>
  <w:style w:type="paragraph" w:customStyle="1" w:styleId="132">
    <w:name w:val="一级无"/>
    <w:basedOn w:val="49"/>
    <w:qFormat/>
    <w:uiPriority w:val="0"/>
    <w:pPr>
      <w:spacing w:beforeLines="0" w:afterLines="0"/>
    </w:pPr>
    <w:rPr>
      <w:rFonts w:ascii="宋体" w:eastAsia="宋体"/>
    </w:rPr>
  </w:style>
  <w:style w:type="paragraph" w:customStyle="1" w:styleId="133">
    <w:name w:val="正文表标题"/>
    <w:next w:val="26"/>
    <w:qFormat/>
    <w:uiPriority w:val="0"/>
    <w:pPr>
      <w:spacing w:beforeLines="50" w:after="160" w:afterLines="50" w:line="276" w:lineRule="auto"/>
      <w:jc w:val="center"/>
    </w:pPr>
    <w:rPr>
      <w:rFonts w:ascii="黑体" w:hAnsi="Times New Roman" w:eastAsia="黑体" w:cs="Times New Roman"/>
      <w:sz w:val="21"/>
      <w:lang w:val="en-US" w:eastAsia="zh-CN" w:bidi="ar-SA"/>
    </w:rPr>
  </w:style>
  <w:style w:type="paragraph" w:customStyle="1" w:styleId="134">
    <w:name w:val="正文公式编号制表符"/>
    <w:basedOn w:val="26"/>
    <w:next w:val="26"/>
    <w:qFormat/>
    <w:uiPriority w:val="0"/>
    <w:pPr>
      <w:ind w:firstLine="0" w:firstLineChars="0"/>
    </w:pPr>
  </w:style>
  <w:style w:type="paragraph" w:customStyle="1" w:styleId="135">
    <w:name w:val="正文图标题"/>
    <w:next w:val="26"/>
    <w:qFormat/>
    <w:uiPriority w:val="0"/>
    <w:pPr>
      <w:numPr>
        <w:ilvl w:val="0"/>
        <w:numId w:val="16"/>
      </w:numPr>
      <w:tabs>
        <w:tab w:val="left" w:pos="360"/>
      </w:tabs>
      <w:spacing w:beforeLines="50" w:after="160" w:afterLines="50" w:line="276" w:lineRule="auto"/>
      <w:jc w:val="center"/>
    </w:pPr>
    <w:rPr>
      <w:rFonts w:ascii="黑体" w:hAnsi="Times New Roman" w:eastAsia="黑体" w:cs="Times New Roman"/>
      <w:sz w:val="21"/>
      <w:lang w:val="en-US" w:eastAsia="zh-CN" w:bidi="ar-SA"/>
    </w:rPr>
  </w:style>
  <w:style w:type="paragraph" w:customStyle="1" w:styleId="136">
    <w:name w:val="终结线"/>
    <w:basedOn w:val="1"/>
    <w:qFormat/>
    <w:uiPriority w:val="0"/>
    <w:pPr>
      <w:framePr w:hSpace="181" w:vSpace="181" w:wrap="around" w:vAnchor="text" w:hAnchor="margin" w:xAlign="center" w:y="285"/>
    </w:pPr>
  </w:style>
  <w:style w:type="paragraph" w:customStyle="1" w:styleId="137">
    <w:name w:val="其他发布日期"/>
    <w:basedOn w:val="82"/>
    <w:qFormat/>
    <w:uiPriority w:val="0"/>
    <w:pPr>
      <w:framePr w:vAnchor="page" w:hAnchor="text" w:x="1419"/>
    </w:pPr>
  </w:style>
  <w:style w:type="paragraph" w:customStyle="1" w:styleId="138">
    <w:name w:val="其他实施日期"/>
    <w:basedOn w:val="121"/>
    <w:qFormat/>
    <w:uiPriority w:val="0"/>
  </w:style>
  <w:style w:type="paragraph" w:customStyle="1" w:styleId="139">
    <w:name w:val="封面标准名称2"/>
    <w:basedOn w:val="85"/>
    <w:qFormat/>
    <w:uiPriority w:val="0"/>
    <w:pPr>
      <w:framePr w:y="4469"/>
      <w:spacing w:beforeLines="630"/>
    </w:pPr>
  </w:style>
  <w:style w:type="paragraph" w:customStyle="1" w:styleId="140">
    <w:name w:val="封面标准英文名称2"/>
    <w:basedOn w:val="86"/>
    <w:qFormat/>
    <w:uiPriority w:val="0"/>
    <w:pPr>
      <w:framePr w:y="4469"/>
    </w:pPr>
  </w:style>
  <w:style w:type="paragraph" w:customStyle="1" w:styleId="141">
    <w:name w:val="封面一致性程度标识2"/>
    <w:basedOn w:val="87"/>
    <w:qFormat/>
    <w:uiPriority w:val="0"/>
    <w:pPr>
      <w:framePr w:y="4469"/>
    </w:pPr>
  </w:style>
  <w:style w:type="paragraph" w:customStyle="1" w:styleId="142">
    <w:name w:val="封面标准文稿类别2"/>
    <w:basedOn w:val="88"/>
    <w:qFormat/>
    <w:uiPriority w:val="0"/>
    <w:pPr>
      <w:framePr w:y="4469"/>
    </w:pPr>
  </w:style>
  <w:style w:type="paragraph" w:customStyle="1" w:styleId="143">
    <w:name w:val="封面标准文稿编辑信息2"/>
    <w:basedOn w:val="89"/>
    <w:qFormat/>
    <w:uiPriority w:val="0"/>
    <w:pPr>
      <w:framePr w:y="4469"/>
    </w:pPr>
  </w:style>
  <w:style w:type="character" w:customStyle="1" w:styleId="144">
    <w:name w:val="批注文字 字符"/>
    <w:link w:val="6"/>
    <w:qFormat/>
    <w:uiPriority w:val="0"/>
    <w:rPr>
      <w:kern w:val="2"/>
      <w:sz w:val="21"/>
      <w:szCs w:val="24"/>
    </w:rPr>
  </w:style>
  <w:style w:type="character" w:customStyle="1" w:styleId="145">
    <w:name w:val="批注主题 字符"/>
    <w:link w:val="5"/>
    <w:qFormat/>
    <w:uiPriority w:val="0"/>
    <w:rPr>
      <w:b/>
      <w:bCs/>
      <w:kern w:val="2"/>
      <w:sz w:val="21"/>
      <w:szCs w:val="24"/>
    </w:rPr>
  </w:style>
  <w:style w:type="character" w:customStyle="1" w:styleId="146">
    <w:name w:val="批注框文本 字符"/>
    <w:link w:val="19"/>
    <w:qFormat/>
    <w:uiPriority w:val="0"/>
    <w:rPr>
      <w:kern w:val="2"/>
      <w:sz w:val="18"/>
      <w:szCs w:val="18"/>
    </w:rPr>
  </w:style>
  <w:style w:type="paragraph" w:customStyle="1" w:styleId="147">
    <w:name w:val="StdsHead3"/>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48">
    <w:name w:val="StdsHead1"/>
    <w:qFormat/>
    <w:uiPriority w:val="0"/>
    <w:pPr>
      <w:keepNext/>
      <w:spacing w:before="180" w:after="60" w:line="276" w:lineRule="auto"/>
    </w:pPr>
    <w:rPr>
      <w:rFonts w:ascii="Arial" w:hAnsi="Arial" w:eastAsia="Arial Unicode MS" w:cs="Times New Roman"/>
      <w:b/>
      <w:lang w:val="en-US" w:eastAsia="ja-JP" w:bidi="ar-SA"/>
    </w:rPr>
  </w:style>
  <w:style w:type="paragraph" w:customStyle="1" w:styleId="149">
    <w:name w:val="StdsHead2"/>
    <w:link w:val="165"/>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0">
    <w:name w:val="StdsHead4"/>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1">
    <w:name w:val="StdsHead5"/>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2">
    <w:name w:val="StdsHead6"/>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3">
    <w:name w:val="StdsHead7"/>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4">
    <w:name w:val="StdsHead8"/>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5">
    <w:name w:val="Stds H1"/>
    <w:qFormat/>
    <w:uiPriority w:val="0"/>
    <w:pPr>
      <w:keepNext/>
      <w:spacing w:before="180" w:after="60" w:line="276" w:lineRule="auto"/>
    </w:pPr>
    <w:rPr>
      <w:rFonts w:ascii="Arial" w:hAnsi="Arial" w:eastAsia="Arial Unicode MS" w:cs="Times New Roman"/>
      <w:b/>
      <w:lang w:val="en-US" w:eastAsia="ja-JP" w:bidi="ar-SA"/>
    </w:rPr>
  </w:style>
  <w:style w:type="paragraph" w:customStyle="1" w:styleId="156">
    <w:name w:val="Stds H2"/>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7">
    <w:name w:val="Stds H3"/>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8">
    <w:name w:val="Stds H4"/>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59">
    <w:name w:val="Stds H5"/>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60">
    <w:name w:val="Stds H6"/>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61">
    <w:name w:val="Stds H7"/>
    <w:qFormat/>
    <w:uiPriority w:val="0"/>
    <w:pPr>
      <w:spacing w:before="120" w:after="120" w:line="276" w:lineRule="auto"/>
      <w:jc w:val="both"/>
    </w:pPr>
    <w:rPr>
      <w:rFonts w:ascii="Times New Roman" w:hAnsi="Times New Roman" w:eastAsia="MS Mincho" w:cs="Times New Roman"/>
      <w:lang w:val="en-US" w:eastAsia="ja-JP" w:bidi="ar-SA"/>
    </w:rPr>
  </w:style>
  <w:style w:type="paragraph" w:customStyle="1" w:styleId="162">
    <w:name w:val="Stds H8"/>
    <w:qFormat/>
    <w:uiPriority w:val="0"/>
    <w:pPr>
      <w:spacing w:before="120" w:after="120" w:line="276" w:lineRule="auto"/>
      <w:jc w:val="both"/>
    </w:pPr>
    <w:rPr>
      <w:rFonts w:ascii="Times New Roman" w:hAnsi="Times New Roman" w:eastAsia="MS Mincho" w:cs="Times New Roman"/>
      <w:lang w:val="en-US" w:eastAsia="ja-JP" w:bidi="ar-SA"/>
    </w:rPr>
  </w:style>
  <w:style w:type="character" w:customStyle="1" w:styleId="163">
    <w:name w:val="StdsText Char"/>
    <w:link w:val="164"/>
    <w:qFormat/>
    <w:locked/>
    <w:uiPriority w:val="0"/>
    <w:rPr>
      <w:lang w:eastAsia="ja-JP"/>
    </w:rPr>
  </w:style>
  <w:style w:type="paragraph" w:customStyle="1" w:styleId="164">
    <w:name w:val="StdsText"/>
    <w:link w:val="163"/>
    <w:qFormat/>
    <w:uiPriority w:val="0"/>
    <w:pPr>
      <w:spacing w:before="120" w:after="120" w:line="276" w:lineRule="auto"/>
      <w:jc w:val="both"/>
    </w:pPr>
    <w:rPr>
      <w:rFonts w:ascii="Times New Roman" w:hAnsi="Times New Roman" w:eastAsia="宋体" w:cs="Times New Roman"/>
      <w:lang w:val="en-US" w:eastAsia="ja-JP" w:bidi="ar-SA"/>
    </w:rPr>
  </w:style>
  <w:style w:type="character" w:customStyle="1" w:styleId="165">
    <w:name w:val="StdsHead2 Char"/>
    <w:link w:val="149"/>
    <w:qFormat/>
    <w:locked/>
    <w:uiPriority w:val="0"/>
    <w:rPr>
      <w:rFonts w:eastAsia="MS Mincho"/>
      <w:lang w:eastAsia="ja-JP"/>
    </w:rPr>
  </w:style>
  <w:style w:type="paragraph" w:styleId="166">
    <w:name w:val="List Paragraph"/>
    <w:basedOn w:val="1"/>
    <w:qFormat/>
    <w:uiPriority w:val="34"/>
    <w:pPr>
      <w:ind w:firstLine="420" w:firstLineChars="200"/>
    </w:pPr>
  </w:style>
  <w:style w:type="paragraph" w:customStyle="1" w:styleId="167">
    <w:name w:val="二级无标题条"/>
    <w:basedOn w:val="1"/>
    <w:qFormat/>
    <w:uiPriority w:val="0"/>
    <w:pPr>
      <w:numPr>
        <w:ilvl w:val="3"/>
        <w:numId w:val="17"/>
      </w:numPr>
    </w:pPr>
  </w:style>
  <w:style w:type="paragraph" w:customStyle="1" w:styleId="168">
    <w:name w:val="三级无标题条"/>
    <w:basedOn w:val="1"/>
    <w:qFormat/>
    <w:uiPriority w:val="0"/>
    <w:pPr>
      <w:numPr>
        <w:ilvl w:val="4"/>
        <w:numId w:val="17"/>
      </w:numPr>
    </w:pPr>
  </w:style>
  <w:style w:type="paragraph" w:customStyle="1" w:styleId="169">
    <w:name w:val="四级无标题条"/>
    <w:basedOn w:val="1"/>
    <w:qFormat/>
    <w:uiPriority w:val="0"/>
    <w:pPr>
      <w:numPr>
        <w:ilvl w:val="5"/>
        <w:numId w:val="17"/>
      </w:numPr>
    </w:pPr>
  </w:style>
  <w:style w:type="paragraph" w:customStyle="1" w:styleId="170">
    <w:name w:val="五级无标题条"/>
    <w:basedOn w:val="1"/>
    <w:qFormat/>
    <w:uiPriority w:val="0"/>
    <w:pPr>
      <w:numPr>
        <w:ilvl w:val="6"/>
        <w:numId w:val="17"/>
      </w:numPr>
    </w:pPr>
  </w:style>
  <w:style w:type="paragraph" w:customStyle="1" w:styleId="171">
    <w:name w:val="一级无标题条"/>
    <w:basedOn w:val="1"/>
    <w:qFormat/>
    <w:uiPriority w:val="0"/>
    <w:pPr>
      <w:numPr>
        <w:ilvl w:val="2"/>
        <w:numId w:val="17"/>
      </w:numPr>
    </w:pPr>
  </w:style>
  <w:style w:type="character" w:customStyle="1" w:styleId="172">
    <w:name w:val="标题 字符"/>
    <w:basedOn w:val="35"/>
    <w:link w:val="34"/>
    <w:qFormat/>
    <w:uiPriority w:val="0"/>
    <w:rPr>
      <w:rFonts w:ascii="Arial" w:hAnsi="Arial" w:cs="Arial"/>
      <w:b/>
      <w:bCs/>
      <w:kern w:val="2"/>
      <w:sz w:val="32"/>
      <w:szCs w:val="32"/>
    </w:rPr>
  </w:style>
  <w:style w:type="character" w:customStyle="1" w:styleId="173">
    <w:name w:val="fontstyle01"/>
    <w:qFormat/>
    <w:uiPriority w:val="0"/>
    <w:rPr>
      <w:color w:val="242021"/>
      <w:sz w:val="22"/>
      <w:szCs w:val="22"/>
    </w:rPr>
  </w:style>
  <w:style w:type="character" w:styleId="174">
    <w:name w:val="Placeholder Text"/>
    <w:basedOn w:val="35"/>
    <w:semiHidden/>
    <w:qFormat/>
    <w:uiPriority w:val="99"/>
    <w:rPr>
      <w:color w:val="808080"/>
    </w:rPr>
  </w:style>
  <w:style w:type="paragraph" w:customStyle="1" w:styleId="175">
    <w:name w:val="修订1"/>
    <w:hidden/>
    <w:semiHidden/>
    <w:qFormat/>
    <w:uiPriority w:val="99"/>
    <w:pPr>
      <w:spacing w:after="200" w:line="276" w:lineRule="auto"/>
    </w:pPr>
    <w:rPr>
      <w:rFonts w:ascii="Times New Roman" w:hAnsi="Times New Roman" w:eastAsia="宋体" w:cs="Times New Roman"/>
      <w:kern w:val="2"/>
      <w:sz w:val="21"/>
      <w:szCs w:val="24"/>
      <w:lang w:val="en-US" w:eastAsia="zh-CN" w:bidi="ar-SA"/>
    </w:rPr>
  </w:style>
  <w:style w:type="paragraph" w:customStyle="1" w:styleId="176">
    <w:name w:val="_Style 203"/>
    <w:basedOn w:val="3"/>
    <w:next w:val="2"/>
    <w:qFormat/>
    <w:uiPriority w:val="0"/>
    <w:pPr>
      <w:adjustRightInd w:val="0"/>
      <w:spacing w:after="0" w:line="240" w:lineRule="atLeast"/>
      <w:jc w:val="left"/>
      <w:textAlignment w:val="baseline"/>
    </w:pPr>
    <w:rPr>
      <w:rFonts w:ascii="宋体" w:hAnsi="宋体"/>
      <w:color w:val="000000"/>
      <w:kern w:val="0"/>
      <w:szCs w:val="20"/>
    </w:rPr>
  </w:style>
  <w:style w:type="character" w:customStyle="1" w:styleId="177">
    <w:name w:val="正文文本 字符"/>
    <w:basedOn w:val="35"/>
    <w:link w:val="3"/>
    <w:semiHidden/>
    <w:qFormat/>
    <w:uiPriority w:val="0"/>
    <w:rPr>
      <w:kern w:val="2"/>
      <w:sz w:val="21"/>
      <w:szCs w:val="24"/>
    </w:rPr>
  </w:style>
  <w:style w:type="character" w:customStyle="1" w:styleId="178">
    <w:name w:val="正文文本首行缩进 字符"/>
    <w:basedOn w:val="177"/>
    <w:link w:val="2"/>
    <w:qFormat/>
    <w:uiPriority w:val="0"/>
    <w:rPr>
      <w:kern w:val="2"/>
      <w:sz w:val="21"/>
      <w:szCs w:val="24"/>
    </w:rPr>
  </w:style>
  <w:style w:type="paragraph" w:customStyle="1" w:styleId="179">
    <w:name w:val="修订2"/>
    <w:hidden/>
    <w:semiHidden/>
    <w:qFormat/>
    <w:uiPriority w:val="99"/>
    <w:pPr>
      <w:spacing w:after="200" w:line="276" w:lineRule="auto"/>
    </w:pPr>
    <w:rPr>
      <w:rFonts w:ascii="Times New Roman" w:hAnsi="Times New Roman" w:eastAsia="宋体" w:cs="Times New Roman"/>
      <w:kern w:val="2"/>
      <w:sz w:val="21"/>
      <w:szCs w:val="24"/>
      <w:lang w:val="en-US" w:eastAsia="zh-CN" w:bidi="ar-SA"/>
    </w:rPr>
  </w:style>
  <w:style w:type="paragraph" w:customStyle="1" w:styleId="180">
    <w:name w:val="tgt"/>
    <w:basedOn w:val="1"/>
    <w:qFormat/>
    <w:uiPriority w:val="0"/>
    <w:pPr>
      <w:widowControl/>
      <w:spacing w:before="100" w:beforeAutospacing="1" w:after="100" w:afterAutospacing="1" w:line="240" w:lineRule="auto"/>
      <w:jc w:val="left"/>
    </w:pPr>
    <w:rPr>
      <w:rFonts w:eastAsia="Times New Roman"/>
      <w:kern w:val="0"/>
      <w:sz w:val="24"/>
    </w:rPr>
  </w:style>
  <w:style w:type="character" w:customStyle="1" w:styleId="181">
    <w:name w:val="tgt1"/>
    <w:basedOn w:val="35"/>
    <w:qFormat/>
    <w:uiPriority w:val="0"/>
  </w:style>
  <w:style w:type="paragraph" w:customStyle="1" w:styleId="182">
    <w:name w:val="修订3"/>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83">
    <w:name w:val="修订4"/>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84">
    <w:name w:val="正文段落"/>
    <w:basedOn w:val="26"/>
    <w:qFormat/>
    <w:uiPriority w:val="0"/>
    <w:pPr>
      <w:spacing w:after="0" w:line="240" w:lineRule="auto"/>
    </w:pPr>
    <w:rPr>
      <w:color w:val="000000"/>
      <w:szCs w:val="21"/>
    </w:rPr>
  </w:style>
  <w:style w:type="paragraph" w:customStyle="1" w:styleId="185">
    <w:name w:val="修订5"/>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microsoft.com/office/2006/relationships/keyMapCustomizations" Target="customizations.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wmf"/><Relationship Id="rId10" Type="http://schemas.openxmlformats.org/officeDocument/2006/relationships/oleObject" Target="embeddings/oleObject1.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22826;&#38451;&#33021;&#30005;&#27744;&#29992;&#22810;&#26230;&#30789;&#29255;&#33609;&#2669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8E0C96-51BD-4437-82FE-EBC26732F7A6}">
  <ds:schemaRefs/>
</ds:datastoreItem>
</file>

<file path=docProps/app.xml><?xml version="1.0" encoding="utf-8"?>
<Properties xmlns="http://schemas.openxmlformats.org/officeDocument/2006/extended-properties" xmlns:vt="http://schemas.openxmlformats.org/officeDocument/2006/docPropsVTypes">
  <Template>太阳能电池用多晶硅片草案</Template>
  <Pages>9</Pages>
  <Words>2345</Words>
  <Characters>2863</Characters>
  <Lines>130</Lines>
  <Paragraphs>179</Paragraphs>
  <TotalTime>17</TotalTime>
  <ScaleCrop>false</ScaleCrop>
  <LinksUpToDate>false</LinksUpToDate>
  <CharactersWithSpaces>5029</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2025-07-14T14:01:00Z</dcterms:created>
  <dc:creator>Administrator</dc:creator>
  <cp:lastModifiedBy>待暴富人士</cp:lastModifiedBy>
  <cp:lastPrinted>2025-07-14T14:06:00Z</cp:lastPrinted>
  <dcterms:modified xsi:type="dcterms:W3CDTF">2025-09-18T03:11:41Z</dcterms:modified>
  <dc:title>标准名称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085EE3D2ABF34E2E8FC5A35276270EF2_13</vt:lpwstr>
  </property>
  <property fmtid="{D5CDD505-2E9C-101B-9397-08002B2CF9AE}" pid="4" name="KSOTemplateDocerSaveRecord">
    <vt:lpwstr>eyJoZGlkIjoiYWMyYWQ0NzZmNWRiYzliMmEzNTcxNDNkYThhYjNiYTUiLCJ1c2VySWQiOiI2ODA3NzQwMzgifQ==</vt:lpwstr>
  </property>
</Properties>
</file>