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43407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245408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2" w:afterLines="50"/>
        <w:jc w:val="center"/>
        <w:textAlignment w:val="auto"/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低碳标准工作组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审定和预审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的标准项目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827"/>
        <w:gridCol w:w="2981"/>
        <w:gridCol w:w="6499"/>
        <w:gridCol w:w="1311"/>
      </w:tblGrid>
      <w:tr w14:paraId="66FF3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12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919D153">
            <w:pPr>
              <w:keepNext w:val="0"/>
              <w:keepLines w:val="0"/>
              <w:pageBreakBefore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994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79CA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标准项目名称</w:t>
            </w:r>
          </w:p>
        </w:tc>
        <w:tc>
          <w:tcPr>
            <w:tcW w:w="104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500E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项目计划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文号及编号</w:t>
            </w:r>
          </w:p>
        </w:tc>
        <w:tc>
          <w:tcPr>
            <w:tcW w:w="228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2647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起草单位及相关单位</w:t>
            </w:r>
          </w:p>
        </w:tc>
        <w:tc>
          <w:tcPr>
            <w:tcW w:w="459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6829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4C79A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4904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全体会议</w:t>
            </w:r>
          </w:p>
        </w:tc>
      </w:tr>
      <w:tr w14:paraId="3832E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12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676B901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4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131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有色金属行业企业环境、社会及治理（ESG）表现评价导则</w:t>
            </w:r>
          </w:p>
        </w:tc>
        <w:tc>
          <w:tcPr>
            <w:tcW w:w="104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C6EC51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中色协科字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24号</w:t>
            </w:r>
          </w:p>
          <w:p w14:paraId="0ED7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2025-027-T/CNIA</w:t>
            </w:r>
          </w:p>
        </w:tc>
        <w:tc>
          <w:tcPr>
            <w:tcW w:w="228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131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中国有色金属工业协会环境、社会及治理研究中心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有色金属技术经济研究院有限责任公司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中国环境科学研究院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浙江华友钴业股份有限公司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天齐锂业股份有限公司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四川雅化实业集团股份有限公司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北京航空航天大学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浙江大学</w:t>
            </w:r>
          </w:p>
        </w:tc>
        <w:tc>
          <w:tcPr>
            <w:tcW w:w="459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274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446D6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17FAE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第一组</w:t>
            </w:r>
          </w:p>
        </w:tc>
      </w:tr>
      <w:tr w14:paraId="61728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764155B1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4" w:type="pct"/>
            <w:vAlign w:val="center"/>
          </w:tcPr>
          <w:p w14:paraId="33F6B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铜加工企业温室气体排放核算与报告要求</w:t>
            </w:r>
          </w:p>
        </w:tc>
        <w:tc>
          <w:tcPr>
            <w:tcW w:w="1048" w:type="pct"/>
            <w:vAlign w:val="center"/>
          </w:tcPr>
          <w:p w14:paraId="44D85BDA">
            <w:pPr>
              <w:pStyle w:val="6"/>
              <w:keepNext w:val="0"/>
              <w:keepLines w:val="0"/>
              <w:widowControl/>
              <w:suppressLineNumbers w:val="0"/>
              <w:spacing w:before="101" w:beforeAutospacing="0" w:after="0" w:afterAutospacing="0" w:line="182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中色协科字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23号2025-021-T/CNIA</w:t>
            </w:r>
          </w:p>
        </w:tc>
        <w:tc>
          <w:tcPr>
            <w:tcW w:w="2285" w:type="pct"/>
            <w:vAlign w:val="center"/>
          </w:tcPr>
          <w:p w14:paraId="5DC38BB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8" w:beforeAutospacing="0" w:after="0" w:afterAutospacing="0" w:line="290" w:lineRule="exact"/>
              <w:ind w:left="0" w:leftChars="0" w:right="120" w:right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中铝洛阳铜加工有限公司、浙江海亮股份有限公司、宁波兴业盛泰集团有限公司、中铜华中铜业有限公司、宁波金田铜业有限公司、广东龙丰精密铜管有限公司、福建紫金铜业有限公司、广东精艺金属股份有限公司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、重庆龙煜精密铜管有限公司</w:t>
            </w:r>
          </w:p>
        </w:tc>
        <w:tc>
          <w:tcPr>
            <w:tcW w:w="459" w:type="pct"/>
            <w:vAlign w:val="center"/>
          </w:tcPr>
          <w:p w14:paraId="335430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16CD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21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D2BDD74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4" w:type="pct"/>
            <w:tcBorders>
              <w:bottom w:val="single" w:color="auto" w:sz="12" w:space="0"/>
            </w:tcBorders>
            <w:vAlign w:val="center"/>
          </w:tcPr>
          <w:p w14:paraId="4054A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温室气体 产品碳足迹量化方法与要求 铜加工产品</w:t>
            </w:r>
          </w:p>
        </w:tc>
        <w:tc>
          <w:tcPr>
            <w:tcW w:w="1048" w:type="pct"/>
            <w:tcBorders>
              <w:bottom w:val="single" w:color="auto" w:sz="12" w:space="0"/>
            </w:tcBorders>
            <w:vAlign w:val="center"/>
          </w:tcPr>
          <w:p w14:paraId="249F3075">
            <w:pPr>
              <w:pStyle w:val="6"/>
              <w:keepNext w:val="0"/>
              <w:keepLines w:val="0"/>
              <w:widowControl/>
              <w:suppressLineNumbers w:val="0"/>
              <w:spacing w:before="96" w:beforeAutospacing="0" w:after="0" w:afterAutospacing="0" w:line="182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中色协科字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23号2025-022-T/CNIA</w:t>
            </w:r>
          </w:p>
        </w:tc>
        <w:tc>
          <w:tcPr>
            <w:tcW w:w="2285" w:type="pct"/>
            <w:tcBorders>
              <w:bottom w:val="single" w:color="auto" w:sz="12" w:space="0"/>
            </w:tcBorders>
            <w:vAlign w:val="center"/>
          </w:tcPr>
          <w:p w14:paraId="5203D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宁波金田铜业（集团）股份有限公司、宁波博威合金材料股份有限公司、宁波长振铜业有限公司、浙江海亮股份有限公司、中铝洛阳铜加工有限公司、广东龙丰精密铜管有限公司、江西金品铜业科技有限公司、安徽鑫科新材料股份有限公司、中南大学、上海易碳数字科技有限公司、江西耐乐铜业有限公司、广东精艺金属股份有限公司、江西铜业股份有限公司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重庆龙煜精密铜管有限公司、宁波兴业盛泰集团有限公司</w:t>
            </w:r>
          </w:p>
        </w:tc>
        <w:tc>
          <w:tcPr>
            <w:tcW w:w="459" w:type="pct"/>
            <w:tcBorders>
              <w:bottom w:val="single" w:color="auto" w:sz="12" w:space="0"/>
            </w:tcBorders>
            <w:vAlign w:val="center"/>
          </w:tcPr>
          <w:p w14:paraId="59336E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9627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212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9DCEC01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4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E61E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温室气体 产品碳足迹量化方法与要求 电解铜箔</w:t>
            </w:r>
          </w:p>
        </w:tc>
        <w:tc>
          <w:tcPr>
            <w:tcW w:w="104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0C8AA8E">
            <w:pPr>
              <w:pStyle w:val="6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exact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中色协科字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23号2025-023-T/CNIA</w:t>
            </w:r>
          </w:p>
        </w:tc>
        <w:tc>
          <w:tcPr>
            <w:tcW w:w="228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18122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江西省江铜铜箔科技有限公司、铜陵有色金属集团股份有限公司、江西省鑫铂锐科技有限公司</w:t>
            </w:r>
          </w:p>
        </w:tc>
        <w:tc>
          <w:tcPr>
            <w:tcW w:w="459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06AA9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20ED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212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第二组</w:t>
            </w:r>
          </w:p>
        </w:tc>
      </w:tr>
      <w:tr w14:paraId="7092B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2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C359AE9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7D09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铜冶炼炉渣中有价金属回收技术规范</w:t>
            </w:r>
          </w:p>
        </w:tc>
        <w:tc>
          <w:tcPr>
            <w:tcW w:w="1048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37CB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12" w:leftChars="0" w:hanging="412" w:hangingChars="200"/>
              <w:jc w:val="center"/>
              <w:rPr>
                <w:rFonts w:hint="default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  <w:t>工信厅科函〔2024〕18</w:t>
            </w:r>
            <w:r>
              <w:rPr>
                <w:rFonts w:hint="eastAsia" w:ascii="宋体" w:hAnsi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  <w:t>号</w:t>
            </w:r>
          </w:p>
          <w:p w14:paraId="44082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12" w:leftChars="0" w:hanging="412" w:hangingChars="200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  <w:instrText xml:space="preserve"> HYPERLINK "http://219.239.107.155:8080/TaskBook.aspx?id=20240311TYS" </w:instrTex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  <w:t>2024-0311T-YS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285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07E3F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云南铜业股份有限公司、江西铜业股份有限公司、铜陵有色金属集团控股有限公司、金川集团股份有限公司、矿冶科技集团有限公司、大冶有色金属有限责任公司</w:t>
            </w:r>
          </w:p>
        </w:tc>
        <w:tc>
          <w:tcPr>
            <w:tcW w:w="459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4A9E99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审定</w:t>
            </w:r>
          </w:p>
        </w:tc>
      </w:tr>
      <w:tr w14:paraId="6D395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4190403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04E8E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铜矿山酸性废水综合处理规范</w:t>
            </w:r>
          </w:p>
        </w:tc>
        <w:tc>
          <w:tcPr>
            <w:tcW w:w="104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89479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2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  <w:t>国标委发〔2024〕44 号20242843-T-610</w:t>
            </w:r>
          </w:p>
        </w:tc>
        <w:tc>
          <w:tcPr>
            <w:tcW w:w="228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5F7D8B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矿冶科技集团有限公司、江西铜业股份有限公司、中国水电基础局有限公司、紫金矿业集团股份有限公司、铜陵有色金属集团控股有限公司、广东省大宝山矿业有限公司、北方矿业有限责任公司、云南铜业股份有限公司、中条山有色金属集团有限公司</w:t>
            </w:r>
          </w:p>
        </w:tc>
        <w:tc>
          <w:tcPr>
            <w:tcW w:w="45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95F40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审定</w:t>
            </w:r>
          </w:p>
        </w:tc>
      </w:tr>
      <w:tr w14:paraId="7C1E0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2E260846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05231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回收镍及镍合金原料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4171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〔2024〕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44号20243046-T-610</w:t>
            </w:r>
          </w:p>
        </w:tc>
        <w:tc>
          <w:tcPr>
            <w:tcW w:w="2285" w:type="pct"/>
            <w:shd w:val="clear" w:color="auto" w:fill="auto"/>
            <w:vAlign w:val="center"/>
          </w:tcPr>
          <w:p w14:paraId="6CFEDA8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56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川集团股份有限公司、广东邦普循环科技有限公司、宝钛集团有限公司、衢州华友钴新材料有限公司、格林美股份有限公司、中铝沈阳有色金加工有限公司、衢州华友资源再生科技有限公司、中冶瑞木新能源科技有限公司、深圳市祺鑫环保科技有限公司、江西江锐新材料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ACBB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0D034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132379FB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758A5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回收钴及钴合金原料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1D98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国标委发〔2025〕43号20253801-T-610</w:t>
            </w:r>
          </w:p>
        </w:tc>
        <w:tc>
          <w:tcPr>
            <w:tcW w:w="2285" w:type="pct"/>
            <w:shd w:val="clear" w:color="auto" w:fill="auto"/>
            <w:vAlign w:val="center"/>
          </w:tcPr>
          <w:p w14:paraId="0925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格林美股份有限公司、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有色金属技术经济研究院有限责任公司、衢州华友钴新材料有限公司、金川集团股份有限公司、荆门市格林美新材料有限公司、湖北绿钨资源循环有限公司、浙江德威硬质合金制造有限公司、国标（北京）检验认证有限公司、云南驰宏锌锗股份有限公司、衢州华友资源再生科技有限公司等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DCC5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076EA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2F46985E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0BCD4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回收锡及锡合金原料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04217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112" w:leftChars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待下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达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计划</w:t>
            </w:r>
          </w:p>
        </w:tc>
        <w:tc>
          <w:tcPr>
            <w:tcW w:w="2285" w:type="pct"/>
            <w:shd w:val="clear" w:color="auto" w:fill="auto"/>
            <w:vAlign w:val="center"/>
          </w:tcPr>
          <w:p w14:paraId="49ED6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南锡业股份有限公司锡业分公司、广西华锡有色金属股份有限公司、云南乘风有色金属股份有限公司、有色金属技术经济研究院有限责任公司、河南豫光金铅股份有限公司、湖南柿竹园有色金属有限责任公司、湖南柿竹园有色金属有限责任公司郴州钨制品分公司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3BF0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4EC06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614422C7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03CA8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锂离子电池正极材料前驱体单位产品能源消耗限额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7AEF3D16">
            <w:pPr>
              <w:pStyle w:val="6"/>
              <w:spacing w:before="96" w:line="184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工信厅科函〔2024〕191号</w:t>
            </w:r>
          </w:p>
          <w:p w14:paraId="50880EEC">
            <w:pPr>
              <w:pStyle w:val="6"/>
              <w:spacing w:before="96" w:line="184" w:lineRule="auto"/>
              <w:ind w:left="11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2024-0735T-YS</w:t>
            </w:r>
          </w:p>
        </w:tc>
        <w:tc>
          <w:tcPr>
            <w:tcW w:w="2285" w:type="pct"/>
            <w:shd w:val="clear" w:color="auto" w:fill="auto"/>
            <w:vAlign w:val="center"/>
          </w:tcPr>
          <w:p w14:paraId="3DE9DBD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广东邦普循环科技有限公司、格林美股份有限公司、浙江华友钴业股份有限公司、中伟新材料股份有限公司、金川集团股份有限公司、北京当升材料科技股份有限公司、广东佳纳能源科技有限公司、金驰能源材料有限公司、湖南邦普循环科技有限公司、兰州金通储能动力新材料有限公司、华友新能源科技（衢州）有限公司、湖南杉杉能源科技股份有限公司、中信国安盟固利电源技术有限公司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A581E1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208D6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5E776C12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37A0F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温室气体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产品碳足迹量化方法与要求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电解镍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3E84FC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中色协科字〔2025〕24 号2025-023-T/CNIA</w:t>
            </w:r>
          </w:p>
        </w:tc>
        <w:tc>
          <w:tcPr>
            <w:tcW w:w="2285" w:type="pct"/>
            <w:shd w:val="clear" w:color="auto" w:fill="auto"/>
            <w:vAlign w:val="center"/>
          </w:tcPr>
          <w:p w14:paraId="0220E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金川集团股份有限公司、中国恩菲工程技术有限公司、衢州华友钴新材料有限公司、金川集团镍钴有限公司、格林美股份有限公司、中伟新材料股份有限公司、新疆新鑫矿业股份有限公司、吉林吉恩镍业股份有限公司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E428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FA3D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0AFBD5E6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71AAE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温室气体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产品碳足迹量化方法与要求 电积钴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2621C8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中色协科字〔2025〕25 号2025-023-T/CNIA</w:t>
            </w:r>
          </w:p>
        </w:tc>
        <w:tc>
          <w:tcPr>
            <w:tcW w:w="2285" w:type="pct"/>
            <w:shd w:val="clear" w:color="auto" w:fill="auto"/>
            <w:vAlign w:val="center"/>
          </w:tcPr>
          <w:p w14:paraId="77BC4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衢州华友钴新材料有限公司、金川集团股份有限公司、格林美股份有限公司、中伟新材料股份有限公司、金川集团镍钴有限公司、兰州金川新材料科技股份有限公司、南京寒锐钴业有限公司、赣州腾远钴业新材料股份有限公司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4852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4976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5FA1337E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1AF49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温室气体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产品碳足迹量化方法与要求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锡锭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502305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中色协科字〔2025〕26 号2025-023-T/CNIA</w:t>
            </w:r>
          </w:p>
        </w:tc>
        <w:tc>
          <w:tcPr>
            <w:tcW w:w="2285" w:type="pct"/>
            <w:shd w:val="clear" w:color="auto" w:fill="auto"/>
            <w:vAlign w:val="center"/>
          </w:tcPr>
          <w:p w14:paraId="540EA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广西华锡有色金属股份有限公司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云南锡业股份有限公司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、矿冶科技集团有限公司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8550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</w:tbl>
    <w:p w14:paraId="48D62D41">
      <w:pPr>
        <w:jc w:val="left"/>
        <w:rPr>
          <w:rFonts w:hint="eastAsia" w:ascii="宋体" w:hAnsi="宋体" w:eastAsia="宋体" w:cs="宋体"/>
          <w:sz w:val="32"/>
          <w:szCs w:val="32"/>
        </w:rPr>
      </w:pPr>
    </w:p>
    <w:p w14:paraId="1F087A0D">
      <w:pPr>
        <w:jc w:val="left"/>
        <w:rPr>
          <w:rFonts w:hint="eastAsia" w:ascii="宋体" w:hAnsi="宋体" w:eastAsia="宋体" w:cs="宋体"/>
          <w:sz w:val="32"/>
          <w:szCs w:val="32"/>
        </w:rPr>
      </w:pPr>
    </w:p>
    <w:p w14:paraId="79AA7931">
      <w:pPr>
        <w:jc w:val="left"/>
        <w:rPr>
          <w:rFonts w:hint="eastAsia" w:ascii="宋体" w:hAnsi="宋体" w:eastAsia="宋体" w:cs="宋体"/>
          <w:sz w:val="32"/>
          <w:szCs w:val="32"/>
        </w:rPr>
      </w:pPr>
    </w:p>
    <w:p w14:paraId="4EEC0BDC">
      <w:pPr>
        <w:jc w:val="left"/>
        <w:rPr>
          <w:rFonts w:hint="eastAsia" w:ascii="宋体" w:hAnsi="宋体" w:eastAsia="宋体" w:cs="宋体"/>
          <w:sz w:val="32"/>
          <w:szCs w:val="32"/>
        </w:rPr>
      </w:pPr>
    </w:p>
    <w:p w14:paraId="3E2A24A7"/>
    <w:p w14:paraId="085E8E09">
      <w:bookmarkStart w:id="0" w:name="_GoBack"/>
      <w:bookmarkEnd w:id="0"/>
    </w:p>
    <w:sectPr>
      <w:pgSz w:w="16838" w:h="11905" w:orient="landscape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AD0DDC"/>
    <w:multiLevelType w:val="singleLevel"/>
    <w:tmpl w:val="DAAD0DD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6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99"/>
    <w:pPr>
      <w:adjustRightInd w:val="0"/>
      <w:snapToGrid w:val="0"/>
      <w:jc w:val="left"/>
      <w:textAlignment w:val="baseline"/>
    </w:pPr>
    <w:rPr>
      <w:rFonts w:eastAsia="Times New Roman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Table Text"/>
    <w:basedOn w:val="1"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2025-09-16T08:33:20Z</dcterms:created>
  <dc:creator>10699</dc:creator>
  <cp:lastModifiedBy>ECHO</cp:lastModifiedBy>
  <dcterms:modified xsi:type="dcterms:W3CDTF">2025-09-16T08:33:36Z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E1451FAC58044BA1AF76AA26ED9C2858_12</vt:lpwstr>
  </property>
</Properties>
</file>