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6B6B24">
      <w:pPr>
        <w:pStyle w:val="30"/>
        <w:framePr w:wrap="around"/>
        <w:jc w:val="both"/>
        <w:rPr>
          <w:rFonts w:ascii="Times New Roman" w:eastAsia="宋体"/>
        </w:rPr>
      </w:pPr>
      <w:r>
        <w:rPr>
          <w:rFonts w:ascii="Times New Roman" w:eastAsia="宋体"/>
        </w:rPr>
        <w:t>3333333</w:t>
      </w:r>
    </w:p>
    <w:p w14:paraId="136EEDCB">
      <w:pPr>
        <w:pStyle w:val="31"/>
        <w:sectPr>
          <w:headerReference r:id="rId5" w:type="first"/>
          <w:headerReference r:id="rId3" w:type="default"/>
          <w:footerReference r:id="rId6" w:type="default"/>
          <w:headerReference r:id="rId4" w:type="even"/>
          <w:footerReference r:id="rId7" w:type="even"/>
          <w:pgSz w:w="11907" w:h="16839"/>
          <w:pgMar w:top="567" w:right="851" w:bottom="1361" w:left="1418" w:header="0" w:footer="0" w:gutter="0"/>
          <w:pgNumType w:start="1"/>
          <w:cols w:space="720" w:num="1"/>
          <w:titlePg/>
          <w:docGrid w:type="lines" w:linePitch="312" w:charSpace="0"/>
        </w:sectPr>
      </w:pPr>
      <w:bookmarkStart w:id="0" w:name="SectionMark0"/>
      <w:r>
        <mc:AlternateContent>
          <mc:Choice Requires="wps">
            <w:drawing>
              <wp:anchor distT="0" distB="0" distL="114300" distR="114300" simplePos="0" relativeHeight="251668480" behindDoc="0" locked="0" layoutInCell="1" allowOverlap="1">
                <wp:simplePos x="0" y="0"/>
                <wp:positionH relativeFrom="column">
                  <wp:posOffset>5013960</wp:posOffset>
                </wp:positionH>
                <wp:positionV relativeFrom="paragraph">
                  <wp:posOffset>8931275</wp:posOffset>
                </wp:positionV>
                <wp:extent cx="800100" cy="396240"/>
                <wp:effectExtent l="0" t="4445" r="635" b="0"/>
                <wp:wrapNone/>
                <wp:docPr id="1878658984" name="文本框 29"/>
                <wp:cNvGraphicFramePr/>
                <a:graphic xmlns:a="http://schemas.openxmlformats.org/drawingml/2006/main">
                  <a:graphicData uri="http://schemas.microsoft.com/office/word/2010/wordprocessingShape">
                    <wps:wsp>
                      <wps:cNvSpPr txBox="1">
                        <a:spLocks noChangeArrowheads="1"/>
                      </wps:cNvSpPr>
                      <wps:spPr bwMode="auto">
                        <a:xfrm>
                          <a:off x="0" y="0"/>
                          <a:ext cx="800100" cy="396240"/>
                        </a:xfrm>
                        <a:prstGeom prst="rect">
                          <a:avLst/>
                        </a:prstGeom>
                        <a:solidFill>
                          <a:srgbClr val="FFFFFF"/>
                        </a:solidFill>
                        <a:ln>
                          <a:noFill/>
                        </a:ln>
                      </wps:spPr>
                      <wps:txbx>
                        <w:txbxContent>
                          <w:p w14:paraId="5204E0D9">
                            <w:pPr>
                              <w:rPr>
                                <w:rFonts w:eastAsia="黑体"/>
                                <w:sz w:val="28"/>
                              </w:rPr>
                            </w:pPr>
                            <w:r>
                              <w:rPr>
                                <w:rFonts w:hint="eastAsia" w:eastAsia="黑体"/>
                                <w:sz w:val="28"/>
                              </w:rPr>
                              <w:t>发 布</w:t>
                            </w:r>
                          </w:p>
                        </w:txbxContent>
                      </wps:txbx>
                      <wps:bodyPr rot="0" vert="horz" wrap="square" lIns="91440" tIns="45720" rIns="91440" bIns="45720" anchor="t" anchorCtr="0" upright="1">
                        <a:noAutofit/>
                      </wps:bodyPr>
                    </wps:wsp>
                  </a:graphicData>
                </a:graphic>
              </wp:anchor>
            </w:drawing>
          </mc:Choice>
          <mc:Fallback>
            <w:pict>
              <v:shape id="文本框 29" o:spid="_x0000_s1026" o:spt="202" type="#_x0000_t202" style="position:absolute;left:0pt;margin-left:394.8pt;margin-top:703.25pt;height:31.2pt;width:63pt;z-index:251668480;mso-width-relative:page;mso-height-relative:page;" fillcolor="#FFFFFF" filled="t" stroked="f" coordsize="21600,21600" o:gfxdata="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GxoZz2QAAAA0BAAAPAAAAAAAAAAEAIAAAACIAAABkcnMvZG93bnJldi54&#10;bWxQSwECFAAUAAAACACHTuJA2aLzjTICAABHBAAADgAAAAAAAAABACAAAAAoAQAAZHJzL2Uyb0Rv&#10;Yy54bWxQSwUGAAAAAAYABgBZAQAAzAUAAAAA&#10;">
                <v:fill on="t" focussize="0,0"/>
                <v:stroke on="f"/>
                <v:imagedata o:title=""/>
                <o:lock v:ext="edit" aspectratio="f"/>
                <v:textbox>
                  <w:txbxContent>
                    <w:p w14:paraId="5204E0D9">
                      <w:pPr>
                        <w:rPr>
                          <w:rFonts w:eastAsia="黑体"/>
                          <w:sz w:val="28"/>
                        </w:rPr>
                      </w:pPr>
                      <w:r>
                        <w:rPr>
                          <w:rFonts w:hint="eastAsia" w:eastAsia="黑体"/>
                          <w:sz w:val="28"/>
                        </w:rPr>
                        <w:t>发 布</w:t>
                      </w:r>
                    </w:p>
                  </w:txbxContent>
                </v:textbox>
              </v:shape>
            </w:pict>
          </mc:Fallback>
        </mc:AlternateContent>
      </w:r>
      <w:r>
        <mc:AlternateContent>
          <mc:Choice Requires="wps">
            <w:drawing>
              <wp:anchor distT="0" distB="0" distL="114300" distR="114300" simplePos="0" relativeHeight="251667456" behindDoc="0" locked="1" layoutInCell="1" allowOverlap="1">
                <wp:simplePos x="0" y="0"/>
                <wp:positionH relativeFrom="margin">
                  <wp:posOffset>2549525</wp:posOffset>
                </wp:positionH>
                <wp:positionV relativeFrom="margin">
                  <wp:posOffset>107315</wp:posOffset>
                </wp:positionV>
                <wp:extent cx="3175000" cy="720090"/>
                <wp:effectExtent l="1905" t="635" r="4445" b="3175"/>
                <wp:wrapNone/>
                <wp:docPr id="683177651" name="fmFrame8"/>
                <wp:cNvGraphicFramePr/>
                <a:graphic xmlns:a="http://schemas.openxmlformats.org/drawingml/2006/main">
                  <a:graphicData uri="http://schemas.microsoft.com/office/word/2010/wordprocessingShape">
                    <wps:wsp>
                      <wps:cNvSpPr txBox="1">
                        <a:spLocks noChangeArrowheads="1"/>
                      </wps:cNvSpPr>
                      <wps:spPr bwMode="auto">
                        <a:xfrm>
                          <a:off x="0" y="0"/>
                          <a:ext cx="3175000" cy="720090"/>
                        </a:xfrm>
                        <a:prstGeom prst="rect">
                          <a:avLst/>
                        </a:prstGeom>
                        <a:solidFill>
                          <a:srgbClr val="FFFFFF"/>
                        </a:solidFill>
                        <a:ln>
                          <a:noFill/>
                        </a:ln>
                      </wps:spPr>
                      <wps:txbx>
                        <w:txbxContent>
                          <w:p w14:paraId="24B757E8">
                            <w:pPr>
                              <w:pStyle w:val="75"/>
                            </w:pPr>
                            <w:r>
                              <w:rPr>
                                <w:rFonts w:hint="eastAsia"/>
                              </w:rPr>
                              <w:t>YS</w:t>
                            </w:r>
                          </w:p>
                        </w:txbxContent>
                      </wps:txbx>
                      <wps:bodyPr rot="0" vert="horz" wrap="square" lIns="0" tIns="0" rIns="0" bIns="0" anchor="t" anchorCtr="0" upright="1">
                        <a:noAutofit/>
                      </wps:bodyPr>
                    </wps:wsp>
                  </a:graphicData>
                </a:graphic>
              </wp:anchor>
            </w:drawing>
          </mc:Choice>
          <mc:Fallback>
            <w:pict>
              <v:shape id="fmFrame8" o:spid="_x0000_s1026" o:spt="202" type="#_x0000_t202" style="position:absolute;left:0pt;margin-left:200.75pt;margin-top:8.45pt;height:56.7pt;width:250pt;mso-position-horizontal-relative:margin;mso-position-vertical-relative:margin;z-index:251667456;mso-width-relative:page;mso-height-relative:page;" fillcolor="#FFFFFF" filled="t" stroked="f" coordsize="21600,21600" o:gfxdata="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JWTs82AAAAAoBAAAPAAAA&#10;AAAAAAEAIAAAACIAAABkcnMvZG93bnJldi54bWxQSwECFAAUAAAACACHTuJAWGeH3BUCAAAzBAAA&#10;DgAAAAAAAAABACAAAAAnAQAAZHJzL2Uyb0RvYy54bWxQSwUGAAAAAAYABgBZAQAArgUAAAAA&#10;">
                <v:fill on="t" focussize="0,0"/>
                <v:stroke on="f"/>
                <v:imagedata o:title=""/>
                <o:lock v:ext="edit" aspectratio="f"/>
                <v:textbox inset="0mm,0mm,0mm,0mm">
                  <w:txbxContent>
                    <w:p w14:paraId="24B757E8">
                      <w:pPr>
                        <w:pStyle w:val="75"/>
                      </w:pPr>
                      <w:r>
                        <w:rPr>
                          <w:rFonts w:hint="eastAsia"/>
                        </w:rPr>
                        <w:t>YS</w:t>
                      </w:r>
                    </w:p>
                  </w:txbxContent>
                </v:textbox>
                <w10:anchorlock/>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8890000</wp:posOffset>
                </wp:positionV>
                <wp:extent cx="6121400" cy="0"/>
                <wp:effectExtent l="14605" t="10795" r="7620" b="8255"/>
                <wp:wrapNone/>
                <wp:docPr id="866390772" name="直线 27"/>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cmpd="sng">
                          <a:solidFill>
                            <a:srgbClr val="800008"/>
                          </a:solidFill>
                          <a:round/>
                        </a:ln>
                      </wps:spPr>
                      <wps:bodyPr/>
                    </wps:wsp>
                  </a:graphicData>
                </a:graphic>
              </wp:anchor>
            </w:drawing>
          </mc:Choice>
          <mc:Fallback>
            <w:pict>
              <v:line id="直线 27" o:spid="_x0000_s1026" o:spt="20" style="position:absolute;left:0pt;margin-left:0pt;margin-top:700pt;height:0pt;width:482pt;z-index:251666432;mso-width-relative:page;mso-height-relative:page;" filled="f" stroked="t" coordsize="21600,21600" o:gfxdata="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MsS+VjSAAAACgEA&#10;AA8AAAAAAAAAAQAgAAAAIgAAAGRycy9kb3ducmV2LnhtbFBLAQIUABQAAAAIAIdO4kCijLvX5wEA&#10;ALYDAAAOAAAAAAAAAAEAIAAAACEBAABkcnMvZTJvRG9jLnhtbFBLBQYAAAAABgAGAFkBAAB6BQAA&#10;AAA=&#10;">
                <v:fill on="f" focussize="0,0"/>
                <v:stroke weight="1pt" color="#800008" joinstyle="round"/>
                <v:imagedata o:title=""/>
                <o:lock v:ext="edit" aspectratio="f"/>
              </v:lin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2273300</wp:posOffset>
                </wp:positionV>
                <wp:extent cx="6121400" cy="0"/>
                <wp:effectExtent l="14605" t="13970" r="7620" b="14605"/>
                <wp:wrapNone/>
                <wp:docPr id="1887900243" name="直线 26"/>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cmpd="sng">
                          <a:solidFill>
                            <a:srgbClr val="800008"/>
                          </a:solidFill>
                          <a:round/>
                        </a:ln>
                      </wps:spPr>
                      <wps:bodyPr/>
                    </wps:wsp>
                  </a:graphicData>
                </a:graphic>
              </wp:anchor>
            </w:drawing>
          </mc:Choice>
          <mc:Fallback>
            <w:pict>
              <v:line id="直线 26" o:spid="_x0000_s1026" o:spt="20" style="position:absolute;left:0pt;margin-left:0pt;margin-top:179pt;height:0pt;width:482pt;z-index:251665408;mso-width-relative:page;mso-height-relative:page;" filled="f" stroked="t" coordsize="21600,21600" o:gfxdata="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T8SivtQAAAAI&#10;AQAADwAAAAAAAAABACAAAAAiAAAAZHJzL2Rvd25yZXYueG1sUEsBAhQAFAAAAAgAh07iQFJ37BXn&#10;AQAAtwMAAA4AAAAAAAAAAQAgAAAAIwEAAGRycy9lMm9Eb2MueG1sUEsFBgAAAAAGAAYAWQEAAHwF&#10;AAAAAA==&#10;">
                <v:fill on="f" focussize="0,0"/>
                <v:stroke weight="1pt" color="#800008" joinstyle="round"/>
                <v:imagedata o:title=""/>
                <o:lock v:ext="edit" aspectratio="f"/>
              </v:line>
            </w:pict>
          </mc:Fallback>
        </mc:AlternateContent>
      </w:r>
      <w:r>
        <mc:AlternateContent>
          <mc:Choice Requires="wps">
            <w:drawing>
              <wp:anchor distT="0" distB="0" distL="114300" distR="114300" simplePos="0" relativeHeight="251664384" behindDoc="0" locked="1" layoutInCell="1" allowOverlap="1">
                <wp:simplePos x="0" y="0"/>
                <wp:positionH relativeFrom="margin">
                  <wp:posOffset>0</wp:posOffset>
                </wp:positionH>
                <wp:positionV relativeFrom="margin">
                  <wp:posOffset>9014460</wp:posOffset>
                </wp:positionV>
                <wp:extent cx="5257800" cy="540385"/>
                <wp:effectExtent l="0" t="1905" r="4445" b="635"/>
                <wp:wrapNone/>
                <wp:docPr id="1082983794" name="fmFrame7"/>
                <wp:cNvGraphicFramePr/>
                <a:graphic xmlns:a="http://schemas.openxmlformats.org/drawingml/2006/main">
                  <a:graphicData uri="http://schemas.microsoft.com/office/word/2010/wordprocessingShape">
                    <wps:wsp>
                      <wps:cNvSpPr txBox="1">
                        <a:spLocks noChangeArrowheads="1"/>
                      </wps:cNvSpPr>
                      <wps:spPr bwMode="auto">
                        <a:xfrm>
                          <a:off x="0" y="0"/>
                          <a:ext cx="5257800" cy="540385"/>
                        </a:xfrm>
                        <a:prstGeom prst="rect">
                          <a:avLst/>
                        </a:prstGeom>
                        <a:solidFill>
                          <a:srgbClr val="FFFFFF"/>
                        </a:solidFill>
                        <a:ln>
                          <a:noFill/>
                        </a:ln>
                      </wps:spPr>
                      <wps:txbx>
                        <w:txbxContent>
                          <w:p w14:paraId="5F453048">
                            <w:pPr>
                              <w:pStyle w:val="73"/>
                              <w:framePr w:w="0" w:hRule="auto" w:hSpace="0" w:vSpace="0" w:wrap="auto" w:vAnchor="margin" w:hAnchor="text" w:xAlign="left" w:yAlign="inline"/>
                              <w:ind w:firstLine="1052" w:firstLineChars="200"/>
                              <w:jc w:val="left"/>
                            </w:pPr>
                            <w:r>
                              <w:rPr>
                                <w:rFonts w:hint="eastAsia"/>
                              </w:rPr>
                              <w:t>中华人民共和工业和信息化部</w:t>
                            </w:r>
                          </w:p>
                        </w:txbxContent>
                      </wps:txbx>
                      <wps:bodyPr rot="0" vert="horz" wrap="square" lIns="0" tIns="0" rIns="0" bIns="0" anchor="t" anchorCtr="0" upright="1">
                        <a:noAutofit/>
                      </wps:bodyPr>
                    </wps:wsp>
                  </a:graphicData>
                </a:graphic>
              </wp:anchor>
            </w:drawing>
          </mc:Choice>
          <mc:Fallback>
            <w:pict>
              <v:shape id="fmFrame7" o:spid="_x0000_s1026" o:spt="202" type="#_x0000_t202" style="position:absolute;left:0pt;margin-left:0pt;margin-top:709.8pt;height:42.55pt;width:414pt;mso-position-horizontal-relative:margin;mso-position-vertical-relative:margin;z-index:251664384;mso-width-relative:page;mso-height-relative:page;" fillcolor="#FFFFFF" filled="t" stroked="f" coordsize="21600,21600" o:gfxdata="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G79R2AAAAAoBAAAP&#10;AAAAAAAAAAEAIAAAACIAAABkcnMvZG93bnJldi54bWxQSwECFAAUAAAACACHTuJAX+k2oxgCAAA0&#10;BAAADgAAAAAAAAABACAAAAAnAQAAZHJzL2Uyb0RvYy54bWxQSwUGAAAAAAYABgBZAQAAsQUAAAAA&#10;">
                <v:fill on="t" focussize="0,0"/>
                <v:stroke on="f"/>
                <v:imagedata o:title=""/>
                <o:lock v:ext="edit" aspectratio="f"/>
                <v:textbox inset="0mm,0mm,0mm,0mm">
                  <w:txbxContent>
                    <w:p w14:paraId="5F453048">
                      <w:pPr>
                        <w:pStyle w:val="73"/>
                        <w:framePr w:w="0" w:hRule="auto" w:hSpace="0" w:vSpace="0" w:wrap="auto" w:vAnchor="margin" w:hAnchor="text" w:xAlign="left" w:yAlign="inline"/>
                        <w:ind w:firstLine="1052" w:firstLineChars="200"/>
                        <w:jc w:val="left"/>
                      </w:pPr>
                      <w:r>
                        <w:rPr>
                          <w:rFonts w:hint="eastAsia"/>
                        </w:rPr>
                        <w:t>中华人民共和工业和信息化部</w:t>
                      </w:r>
                    </w:p>
                  </w:txbxContent>
                </v:textbox>
                <w10:anchorlock/>
              </v:shape>
            </w:pict>
          </mc:Fallback>
        </mc:AlternateContent>
      </w:r>
      <w:r>
        <mc:AlternateContent>
          <mc:Choice Requires="wps">
            <w:drawing>
              <wp:anchor distT="0" distB="0" distL="114300" distR="114300" simplePos="0" relativeHeight="251664384" behindDoc="0" locked="1" layoutInCell="1" allowOverlap="1">
                <wp:simplePos x="0" y="0"/>
                <wp:positionH relativeFrom="margin">
                  <wp:posOffset>4100830</wp:posOffset>
                </wp:positionH>
                <wp:positionV relativeFrom="margin">
                  <wp:posOffset>8563610</wp:posOffset>
                </wp:positionV>
                <wp:extent cx="2019300" cy="312420"/>
                <wp:effectExtent l="635" t="0" r="0" b="3175"/>
                <wp:wrapNone/>
                <wp:docPr id="1387636257" name="fmFrame6"/>
                <wp:cNvGraphicFramePr/>
                <a:graphic xmlns:a="http://schemas.openxmlformats.org/drawingml/2006/main">
                  <a:graphicData uri="http://schemas.microsoft.com/office/word/2010/wordprocessingShape">
                    <wps:wsp>
                      <wps:cNvSpPr txBox="1">
                        <a:spLocks noChangeArrowheads="1"/>
                      </wps:cNvSpPr>
                      <wps:spPr bwMode="auto">
                        <a:xfrm>
                          <a:off x="0" y="0"/>
                          <a:ext cx="2019300" cy="312420"/>
                        </a:xfrm>
                        <a:prstGeom prst="rect">
                          <a:avLst/>
                        </a:prstGeom>
                        <a:solidFill>
                          <a:srgbClr val="FFFFFF"/>
                        </a:solidFill>
                        <a:ln>
                          <a:noFill/>
                        </a:ln>
                      </wps:spPr>
                      <wps:txbx>
                        <w:txbxContent>
                          <w:p w14:paraId="245DA3E2">
                            <w:pPr>
                              <w:pStyle w:val="40"/>
                            </w:pPr>
                            <w:r>
                              <w:rPr>
                                <w:rFonts w:hint="eastAsia"/>
                              </w:rPr>
                              <w:t>××××-××-××实施</w:t>
                            </w:r>
                          </w:p>
                        </w:txbxContent>
                      </wps:txbx>
                      <wps:bodyPr rot="0" vert="horz" wrap="square" lIns="0" tIns="0" rIns="0" bIns="0" anchor="t" anchorCtr="0" upright="1">
                        <a:noAutofit/>
                      </wps:bodyPr>
                    </wps:wsp>
                  </a:graphicData>
                </a:graphic>
              </wp:anchor>
            </w:drawing>
          </mc:Choice>
          <mc:Fallback>
            <w:pict>
              <v:shape id="fmFrame6" o:spid="_x0000_s1026" o:spt="202" type="#_x0000_t202" style="position:absolute;left:0pt;margin-left:322.9pt;margin-top:674.3pt;height:24.6pt;width:159pt;mso-position-horizontal-relative:margin;mso-position-vertical-relative:margin;z-index:251664384;mso-width-relative:page;mso-height-relative:page;" fillcolor="#FFFFFF" filled="t" stroked="f" coordsize="21600,21600" o:gfxdata="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Qv2q19oAAAANAQAA&#10;DwAAAAAAAAABACAAAAAiAAAAZHJzL2Rvd25yZXYueG1sUEsBAhQAFAAAAAgAh07iQOUfujsXAgAA&#10;NAQAAA4AAAAAAAAAAQAgAAAAKQEAAGRycy9lMm9Eb2MueG1sUEsFBgAAAAAGAAYAWQEAALIFAAAA&#10;AA==&#10;">
                <v:fill on="t" focussize="0,0"/>
                <v:stroke on="f"/>
                <v:imagedata o:title=""/>
                <o:lock v:ext="edit" aspectratio="f"/>
                <v:textbox inset="0mm,0mm,0mm,0mm">
                  <w:txbxContent>
                    <w:p w14:paraId="245DA3E2">
                      <w:pPr>
                        <w:pStyle w:val="40"/>
                      </w:pPr>
                      <w:r>
                        <w:rPr>
                          <w:rFonts w:hint="eastAsia"/>
                        </w:rPr>
                        <w:t>××××-××-××实施</w:t>
                      </w:r>
                    </w:p>
                  </w:txbxContent>
                </v:textbox>
                <w10:anchorlock/>
              </v:shape>
            </w:pict>
          </mc:Fallback>
        </mc:AlternateContent>
      </w:r>
      <w:r>
        <mc:AlternateContent>
          <mc:Choice Requires="wps">
            <w:drawing>
              <wp:anchor distT="0" distB="0" distL="114300" distR="114300" simplePos="0" relativeHeight="251663360" behindDoc="0" locked="1" layoutInCell="1" allowOverlap="1">
                <wp:simplePos x="0" y="0"/>
                <wp:positionH relativeFrom="margin">
                  <wp:posOffset>0</wp:posOffset>
                </wp:positionH>
                <wp:positionV relativeFrom="margin">
                  <wp:posOffset>8563610</wp:posOffset>
                </wp:positionV>
                <wp:extent cx="2019300" cy="312420"/>
                <wp:effectExtent l="0" t="0" r="4445" b="3175"/>
                <wp:wrapNone/>
                <wp:docPr id="1829802801" name="fmFrame5"/>
                <wp:cNvGraphicFramePr/>
                <a:graphic xmlns:a="http://schemas.openxmlformats.org/drawingml/2006/main">
                  <a:graphicData uri="http://schemas.microsoft.com/office/word/2010/wordprocessingShape">
                    <wps:wsp>
                      <wps:cNvSpPr txBox="1">
                        <a:spLocks noChangeArrowheads="1"/>
                      </wps:cNvSpPr>
                      <wps:spPr bwMode="auto">
                        <a:xfrm>
                          <a:off x="0" y="0"/>
                          <a:ext cx="2019300" cy="312420"/>
                        </a:xfrm>
                        <a:prstGeom prst="rect">
                          <a:avLst/>
                        </a:prstGeom>
                        <a:solidFill>
                          <a:srgbClr val="FFFFFF"/>
                        </a:solidFill>
                        <a:ln>
                          <a:noFill/>
                        </a:ln>
                      </wps:spPr>
                      <wps:txbx>
                        <w:txbxContent>
                          <w:p w14:paraId="74616C50">
                            <w:pPr>
                              <w:pStyle w:val="41"/>
                            </w:pPr>
                            <w:r>
                              <w:rPr>
                                <w:rFonts w:hint="eastAsia"/>
                              </w:rPr>
                              <w:t>××××-××-××发布</w:t>
                            </w:r>
                          </w:p>
                        </w:txbxContent>
                      </wps:txbx>
                      <wps:bodyPr rot="0" vert="horz" wrap="square" lIns="0" tIns="0" rIns="0" bIns="0" anchor="t" anchorCtr="0" upright="1">
                        <a:noAutofit/>
                      </wps:bodyPr>
                    </wps:wsp>
                  </a:graphicData>
                </a:graphic>
              </wp:anchor>
            </w:drawing>
          </mc:Choice>
          <mc:Fallback>
            <w:pict>
              <v:shape id="fmFrame5" o:spid="_x0000_s1026" o:spt="202" type="#_x0000_t202" style="position:absolute;left:0pt;margin-left:0pt;margin-top:674.3pt;height:24.6pt;width:159pt;mso-position-horizontal-relative:margin;mso-position-vertical-relative:margin;z-index:251663360;mso-width-relative:page;mso-height-relative:page;" fillcolor="#FFFFFF" filled="t" stroked="f" coordsize="21600,21600" o:gfxdata="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XzbKiNgAAAAKAQAADwAA&#10;AAAAAAABACAAAAAiAAAAZHJzL2Rvd25yZXYueG1sUEsBAhQAFAAAAAgAh07iQEzpiUYWAgAANAQA&#10;AA4AAAAAAAAAAQAgAAAAJwEAAGRycy9lMm9Eb2MueG1sUEsFBgAAAAAGAAYAWQEAAK8FAAAAAA==&#10;">
                <v:fill on="t" focussize="0,0"/>
                <v:stroke on="f"/>
                <v:imagedata o:title=""/>
                <o:lock v:ext="edit" aspectratio="f"/>
                <v:textbox inset="0mm,0mm,0mm,0mm">
                  <w:txbxContent>
                    <w:p w14:paraId="74616C50">
                      <w:pPr>
                        <w:pStyle w:val="41"/>
                      </w:pPr>
                      <w:r>
                        <w:rPr>
                          <w:rFonts w:hint="eastAsia"/>
                        </w:rPr>
                        <w:t>××××-××-××发布</w:t>
                      </w:r>
                    </w:p>
                  </w:txbxContent>
                </v:textbox>
                <w10:anchorlock/>
              </v:shape>
            </w:pict>
          </mc:Fallback>
        </mc:AlternateContent>
      </w:r>
      <w:r>
        <mc:AlternateContent>
          <mc:Choice Requires="wps">
            <w:drawing>
              <wp:anchor distT="0" distB="0" distL="114300" distR="114300" simplePos="0" relativeHeight="251662336" behindDoc="0" locked="1" layoutInCell="1" allowOverlap="1">
                <wp:simplePos x="0" y="0"/>
                <wp:positionH relativeFrom="margin">
                  <wp:posOffset>0</wp:posOffset>
                </wp:positionH>
                <wp:positionV relativeFrom="margin">
                  <wp:posOffset>3635375</wp:posOffset>
                </wp:positionV>
                <wp:extent cx="5969000" cy="4681220"/>
                <wp:effectExtent l="0" t="4445" r="0" b="635"/>
                <wp:wrapNone/>
                <wp:docPr id="848910491" name="fmFrame4"/>
                <wp:cNvGraphicFramePr/>
                <a:graphic xmlns:a="http://schemas.openxmlformats.org/drawingml/2006/main">
                  <a:graphicData uri="http://schemas.microsoft.com/office/word/2010/wordprocessingShape">
                    <wps:wsp>
                      <wps:cNvSpPr txBox="1">
                        <a:spLocks noChangeArrowheads="1"/>
                      </wps:cNvSpPr>
                      <wps:spPr bwMode="auto">
                        <a:xfrm>
                          <a:off x="0" y="0"/>
                          <a:ext cx="5969000" cy="4681220"/>
                        </a:xfrm>
                        <a:prstGeom prst="rect">
                          <a:avLst/>
                        </a:prstGeom>
                        <a:solidFill>
                          <a:srgbClr val="FFFFFF"/>
                        </a:solidFill>
                        <a:ln>
                          <a:noFill/>
                        </a:ln>
                      </wps:spPr>
                      <wps:txbx>
                        <w:txbxContent>
                          <w:p w14:paraId="57D1FF2F">
                            <w:pPr>
                              <w:pStyle w:val="32"/>
                              <w:spacing w:before="0"/>
                              <w:rPr>
                                <w:b/>
                                <w:sz w:val="44"/>
                                <w:szCs w:val="44"/>
                              </w:rPr>
                            </w:pPr>
                            <w:r>
                              <w:rPr>
                                <w:rFonts w:hint="eastAsia"/>
                                <w:b/>
                                <w:sz w:val="44"/>
                                <w:szCs w:val="44"/>
                              </w:rPr>
                              <w:t>镍钴锰三元前驱体化学分析方法</w:t>
                            </w:r>
                          </w:p>
                          <w:p w14:paraId="59F7D522">
                            <w:pPr>
                              <w:pStyle w:val="32"/>
                              <w:spacing w:before="0"/>
                              <w:rPr>
                                <w:b/>
                                <w:sz w:val="44"/>
                                <w:szCs w:val="44"/>
                              </w:rPr>
                            </w:pPr>
                            <w:r>
                              <w:rPr>
                                <w:rFonts w:hint="eastAsia"/>
                                <w:b/>
                                <w:sz w:val="44"/>
                                <w:szCs w:val="44"/>
                              </w:rPr>
                              <w:t>第8部分：镍、钴、锰含量的测定</w:t>
                            </w:r>
                          </w:p>
                          <w:p w14:paraId="1F5563B5">
                            <w:pPr>
                              <w:pStyle w:val="32"/>
                              <w:spacing w:before="0"/>
                              <w:rPr>
                                <w:b/>
                                <w:sz w:val="44"/>
                                <w:szCs w:val="44"/>
                              </w:rPr>
                            </w:pPr>
                            <w:r>
                              <w:rPr>
                                <w:rFonts w:hint="eastAsia"/>
                                <w:b/>
                                <w:sz w:val="44"/>
                                <w:szCs w:val="44"/>
                              </w:rPr>
                              <w:t xml:space="preserve"> X射线荧光光谱法</w:t>
                            </w:r>
                          </w:p>
                          <w:p w14:paraId="3606EE7B">
                            <w:pPr>
                              <w:pStyle w:val="30"/>
                              <w:jc w:val="both"/>
                            </w:pPr>
                          </w:p>
                          <w:p w14:paraId="73362143">
                            <w:pPr>
                              <w:ind w:firstLine="560" w:firstLineChars="200"/>
                              <w:jc w:val="center"/>
                              <w:rPr>
                                <w:rFonts w:eastAsia="黑体"/>
                                <w:bCs/>
                                <w:color w:val="000000"/>
                                <w:sz w:val="28"/>
                                <w:szCs w:val="28"/>
                              </w:rPr>
                            </w:pPr>
                            <w:r>
                              <w:rPr>
                                <w:rFonts w:hint="eastAsia" w:eastAsia="黑体"/>
                                <w:bCs/>
                                <w:color w:val="000000"/>
                                <w:sz w:val="28"/>
                                <w:szCs w:val="28"/>
                              </w:rPr>
                              <w:t xml:space="preserve">Methods for </w:t>
                            </w:r>
                            <w:r>
                              <w:rPr>
                                <w:rFonts w:eastAsia="黑体"/>
                                <w:bCs/>
                                <w:color w:val="000000"/>
                                <w:sz w:val="28"/>
                                <w:szCs w:val="28"/>
                              </w:rPr>
                              <w:t>chemical</w:t>
                            </w:r>
                            <w:r>
                              <w:rPr>
                                <w:rFonts w:hint="eastAsia" w:eastAsia="黑体"/>
                                <w:bCs/>
                                <w:color w:val="000000"/>
                                <w:sz w:val="28"/>
                                <w:szCs w:val="28"/>
                              </w:rPr>
                              <w:t xml:space="preserve"> analysis of n</w:t>
                            </w:r>
                            <w:r>
                              <w:rPr>
                                <w:rFonts w:eastAsia="黑体"/>
                                <w:bCs/>
                                <w:color w:val="000000"/>
                                <w:sz w:val="28"/>
                                <w:szCs w:val="28"/>
                              </w:rPr>
                              <w:t xml:space="preserve">ickel </w:t>
                            </w:r>
                            <w:r>
                              <w:rPr>
                                <w:rFonts w:hint="eastAsia" w:eastAsia="黑体"/>
                                <w:bCs/>
                                <w:color w:val="000000"/>
                                <w:sz w:val="28"/>
                                <w:szCs w:val="28"/>
                              </w:rPr>
                              <w:t>c</w:t>
                            </w:r>
                            <w:r>
                              <w:rPr>
                                <w:rFonts w:eastAsia="黑体"/>
                                <w:bCs/>
                                <w:color w:val="000000"/>
                                <w:sz w:val="28"/>
                                <w:szCs w:val="28"/>
                              </w:rPr>
                              <w:t xml:space="preserve">obalt </w:t>
                            </w:r>
                            <w:r>
                              <w:rPr>
                                <w:rFonts w:hint="eastAsia" w:eastAsia="黑体"/>
                                <w:bCs/>
                                <w:color w:val="000000"/>
                                <w:sz w:val="28"/>
                                <w:szCs w:val="28"/>
                              </w:rPr>
                              <w:t>m</w:t>
                            </w:r>
                            <w:r>
                              <w:rPr>
                                <w:rFonts w:eastAsia="黑体"/>
                                <w:bCs/>
                                <w:color w:val="000000"/>
                                <w:sz w:val="28"/>
                                <w:szCs w:val="28"/>
                              </w:rPr>
                              <w:t xml:space="preserve">anganese </w:t>
                            </w:r>
                            <w:r>
                              <w:rPr>
                                <w:rFonts w:hint="eastAsia" w:eastAsia="黑体"/>
                                <w:bCs/>
                                <w:color w:val="000000"/>
                                <w:sz w:val="28"/>
                                <w:szCs w:val="28"/>
                              </w:rPr>
                              <w:t>t</w:t>
                            </w:r>
                            <w:r>
                              <w:rPr>
                                <w:rFonts w:eastAsia="黑体"/>
                                <w:bCs/>
                                <w:color w:val="000000"/>
                                <w:sz w:val="28"/>
                                <w:szCs w:val="28"/>
                              </w:rPr>
                              <w:t xml:space="preserve">ernary </w:t>
                            </w:r>
                            <w:r>
                              <w:rPr>
                                <w:rFonts w:hint="eastAsia" w:eastAsia="黑体"/>
                                <w:bCs/>
                                <w:color w:val="000000"/>
                                <w:sz w:val="28"/>
                                <w:szCs w:val="28"/>
                              </w:rPr>
                              <w:t>p</w:t>
                            </w:r>
                            <w:r>
                              <w:rPr>
                                <w:rFonts w:eastAsia="黑体"/>
                                <w:bCs/>
                                <w:color w:val="000000"/>
                                <w:sz w:val="28"/>
                                <w:szCs w:val="28"/>
                              </w:rPr>
                              <w:t>recursor</w:t>
                            </w:r>
                            <w:r>
                              <w:rPr>
                                <w:rFonts w:hint="eastAsia" w:eastAsia="黑体"/>
                                <w:bCs/>
                                <w:color w:val="000000"/>
                                <w:sz w:val="28"/>
                                <w:szCs w:val="28"/>
                              </w:rPr>
                              <w:t>—</w:t>
                            </w:r>
                          </w:p>
                          <w:p w14:paraId="4BC95F39">
                            <w:pPr>
                              <w:ind w:firstLine="560" w:firstLineChars="200"/>
                              <w:jc w:val="center"/>
                              <w:rPr>
                                <w:rFonts w:eastAsia="黑体"/>
                                <w:bCs/>
                                <w:color w:val="000000"/>
                                <w:sz w:val="28"/>
                                <w:szCs w:val="28"/>
                              </w:rPr>
                            </w:pPr>
                            <w:r>
                              <w:rPr>
                                <w:rFonts w:hint="eastAsia" w:eastAsia="黑体"/>
                                <w:bCs/>
                                <w:color w:val="000000"/>
                                <w:sz w:val="28"/>
                                <w:szCs w:val="28"/>
                              </w:rPr>
                              <w:t xml:space="preserve">Part 8：Determination of nickel, cobalt, </w:t>
                            </w:r>
                            <w:r>
                              <w:rPr>
                                <w:rFonts w:eastAsia="黑体"/>
                                <w:bCs/>
                                <w:color w:val="000000"/>
                                <w:sz w:val="28"/>
                                <w:szCs w:val="28"/>
                              </w:rPr>
                              <w:t>manganese</w:t>
                            </w:r>
                            <w:r>
                              <w:rPr>
                                <w:rFonts w:hint="eastAsia" w:eastAsia="黑体"/>
                                <w:bCs/>
                                <w:color w:val="000000"/>
                                <w:sz w:val="28"/>
                                <w:szCs w:val="28"/>
                              </w:rPr>
                              <w:t xml:space="preserve"> content—</w:t>
                            </w:r>
                          </w:p>
                          <w:p w14:paraId="5E1018ED">
                            <w:pPr>
                              <w:ind w:left="1708" w:hanging="1708" w:hangingChars="610"/>
                              <w:jc w:val="center"/>
                              <w:rPr>
                                <w:bCs/>
                                <w:color w:val="000000"/>
                                <w:sz w:val="28"/>
                                <w:szCs w:val="28"/>
                                <w:lang w:val="en-GB"/>
                              </w:rPr>
                            </w:pPr>
                            <w:r>
                              <w:rPr>
                                <w:rFonts w:hint="eastAsia" w:eastAsia="黑体"/>
                                <w:bCs/>
                                <w:color w:val="000000"/>
                                <w:sz w:val="28"/>
                                <w:szCs w:val="28"/>
                              </w:rPr>
                              <w:t>X-ray fluorescence spectrometric method</w:t>
                            </w:r>
                          </w:p>
                          <w:p w14:paraId="160CC498">
                            <w:pPr>
                              <w:pStyle w:val="43"/>
                            </w:pPr>
                          </w:p>
                          <w:p w14:paraId="572B8F5E">
                            <w:pPr>
                              <w:pStyle w:val="45"/>
                            </w:pPr>
                            <w:r>
                              <w:rPr>
                                <w:rFonts w:hint="eastAsia" w:eastAsia="黑体"/>
                                <w:sz w:val="28"/>
                              </w:rPr>
                              <w:t>（</w:t>
                            </w:r>
                            <w:r>
                              <w:rPr>
                                <w:rFonts w:hint="eastAsia" w:eastAsia="黑体"/>
                                <w:color w:val="FF0000"/>
                                <w:sz w:val="28"/>
                              </w:rPr>
                              <w:t>草案</w:t>
                            </w:r>
                            <w:r>
                              <w:rPr>
                                <w:rFonts w:hint="eastAsia" w:eastAsia="黑体"/>
                                <w:sz w:val="28"/>
                              </w:rPr>
                              <w:t>）</w:t>
                            </w:r>
                          </w:p>
                        </w:txbxContent>
                      </wps:txbx>
                      <wps:bodyPr rot="0" vert="horz" wrap="square" lIns="0" tIns="0" rIns="0" bIns="0" anchor="t" anchorCtr="0" upright="1">
                        <a:noAutofit/>
                      </wps:bodyPr>
                    </wps:wsp>
                  </a:graphicData>
                </a:graphic>
              </wp:anchor>
            </w:drawing>
          </mc:Choice>
          <mc:Fallback>
            <w:pict>
              <v:shape id="fmFrame4" o:spid="_x0000_s1026" o:spt="202" type="#_x0000_t202" style="position:absolute;left:0pt;margin-left:0pt;margin-top:286.25pt;height:368.6pt;width:470pt;mso-position-horizontal-relative:margin;mso-position-vertical-relative:margin;z-index:251662336;mso-width-relative:page;mso-height-relative:page;" fillcolor="#FFFFFF" filled="t" stroked="f" coordsize="21600,21600" o:gfxdata="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FRXn3HYAAAACQEAAA8A&#10;AAAAAAAAAQAgAAAAIgAAAGRycy9kb3ducmV2LnhtbFBLAQIUABQAAAAIAIdO4kDyW6i5FwIAADQE&#10;AAAOAAAAAAAAAAEAIAAAACcBAABkcnMvZTJvRG9jLnhtbFBLBQYAAAAABgAGAFkBAACwBQAAAAA=&#10;">
                <v:fill on="t" focussize="0,0"/>
                <v:stroke on="f"/>
                <v:imagedata o:title=""/>
                <o:lock v:ext="edit" aspectratio="f"/>
                <v:textbox inset="0mm,0mm,0mm,0mm">
                  <w:txbxContent>
                    <w:p w14:paraId="57D1FF2F">
                      <w:pPr>
                        <w:pStyle w:val="32"/>
                        <w:spacing w:before="0"/>
                        <w:rPr>
                          <w:b/>
                          <w:sz w:val="44"/>
                          <w:szCs w:val="44"/>
                        </w:rPr>
                      </w:pPr>
                      <w:r>
                        <w:rPr>
                          <w:rFonts w:hint="eastAsia"/>
                          <w:b/>
                          <w:sz w:val="44"/>
                          <w:szCs w:val="44"/>
                        </w:rPr>
                        <w:t>镍钴锰三元前驱体化学分析方法</w:t>
                      </w:r>
                    </w:p>
                    <w:p w14:paraId="59F7D522">
                      <w:pPr>
                        <w:pStyle w:val="32"/>
                        <w:spacing w:before="0"/>
                        <w:rPr>
                          <w:b/>
                          <w:sz w:val="44"/>
                          <w:szCs w:val="44"/>
                        </w:rPr>
                      </w:pPr>
                      <w:r>
                        <w:rPr>
                          <w:rFonts w:hint="eastAsia"/>
                          <w:b/>
                          <w:sz w:val="44"/>
                          <w:szCs w:val="44"/>
                        </w:rPr>
                        <w:t>第8部分：镍、钴、锰含量的测定</w:t>
                      </w:r>
                    </w:p>
                    <w:p w14:paraId="1F5563B5">
                      <w:pPr>
                        <w:pStyle w:val="32"/>
                        <w:spacing w:before="0"/>
                        <w:rPr>
                          <w:b/>
                          <w:sz w:val="44"/>
                          <w:szCs w:val="44"/>
                        </w:rPr>
                      </w:pPr>
                      <w:r>
                        <w:rPr>
                          <w:rFonts w:hint="eastAsia"/>
                          <w:b/>
                          <w:sz w:val="44"/>
                          <w:szCs w:val="44"/>
                        </w:rPr>
                        <w:t xml:space="preserve"> X射线荧光光谱法</w:t>
                      </w:r>
                    </w:p>
                    <w:p w14:paraId="3606EE7B">
                      <w:pPr>
                        <w:pStyle w:val="30"/>
                        <w:jc w:val="both"/>
                      </w:pPr>
                    </w:p>
                    <w:p w14:paraId="73362143">
                      <w:pPr>
                        <w:ind w:firstLine="560" w:firstLineChars="200"/>
                        <w:jc w:val="center"/>
                        <w:rPr>
                          <w:rFonts w:eastAsia="黑体"/>
                          <w:bCs/>
                          <w:color w:val="000000"/>
                          <w:sz w:val="28"/>
                          <w:szCs w:val="28"/>
                        </w:rPr>
                      </w:pPr>
                      <w:r>
                        <w:rPr>
                          <w:rFonts w:hint="eastAsia" w:eastAsia="黑体"/>
                          <w:bCs/>
                          <w:color w:val="000000"/>
                          <w:sz w:val="28"/>
                          <w:szCs w:val="28"/>
                        </w:rPr>
                        <w:t xml:space="preserve">Methods for </w:t>
                      </w:r>
                      <w:r>
                        <w:rPr>
                          <w:rFonts w:eastAsia="黑体"/>
                          <w:bCs/>
                          <w:color w:val="000000"/>
                          <w:sz w:val="28"/>
                          <w:szCs w:val="28"/>
                        </w:rPr>
                        <w:t>chemical</w:t>
                      </w:r>
                      <w:r>
                        <w:rPr>
                          <w:rFonts w:hint="eastAsia" w:eastAsia="黑体"/>
                          <w:bCs/>
                          <w:color w:val="000000"/>
                          <w:sz w:val="28"/>
                          <w:szCs w:val="28"/>
                        </w:rPr>
                        <w:t xml:space="preserve"> analysis of n</w:t>
                      </w:r>
                      <w:r>
                        <w:rPr>
                          <w:rFonts w:eastAsia="黑体"/>
                          <w:bCs/>
                          <w:color w:val="000000"/>
                          <w:sz w:val="28"/>
                          <w:szCs w:val="28"/>
                        </w:rPr>
                        <w:t xml:space="preserve">ickel </w:t>
                      </w:r>
                      <w:r>
                        <w:rPr>
                          <w:rFonts w:hint="eastAsia" w:eastAsia="黑体"/>
                          <w:bCs/>
                          <w:color w:val="000000"/>
                          <w:sz w:val="28"/>
                          <w:szCs w:val="28"/>
                        </w:rPr>
                        <w:t>c</w:t>
                      </w:r>
                      <w:r>
                        <w:rPr>
                          <w:rFonts w:eastAsia="黑体"/>
                          <w:bCs/>
                          <w:color w:val="000000"/>
                          <w:sz w:val="28"/>
                          <w:szCs w:val="28"/>
                        </w:rPr>
                        <w:t xml:space="preserve">obalt </w:t>
                      </w:r>
                      <w:r>
                        <w:rPr>
                          <w:rFonts w:hint="eastAsia" w:eastAsia="黑体"/>
                          <w:bCs/>
                          <w:color w:val="000000"/>
                          <w:sz w:val="28"/>
                          <w:szCs w:val="28"/>
                        </w:rPr>
                        <w:t>m</w:t>
                      </w:r>
                      <w:r>
                        <w:rPr>
                          <w:rFonts w:eastAsia="黑体"/>
                          <w:bCs/>
                          <w:color w:val="000000"/>
                          <w:sz w:val="28"/>
                          <w:szCs w:val="28"/>
                        </w:rPr>
                        <w:t xml:space="preserve">anganese </w:t>
                      </w:r>
                      <w:r>
                        <w:rPr>
                          <w:rFonts w:hint="eastAsia" w:eastAsia="黑体"/>
                          <w:bCs/>
                          <w:color w:val="000000"/>
                          <w:sz w:val="28"/>
                          <w:szCs w:val="28"/>
                        </w:rPr>
                        <w:t>t</w:t>
                      </w:r>
                      <w:r>
                        <w:rPr>
                          <w:rFonts w:eastAsia="黑体"/>
                          <w:bCs/>
                          <w:color w:val="000000"/>
                          <w:sz w:val="28"/>
                          <w:szCs w:val="28"/>
                        </w:rPr>
                        <w:t xml:space="preserve">ernary </w:t>
                      </w:r>
                      <w:r>
                        <w:rPr>
                          <w:rFonts w:hint="eastAsia" w:eastAsia="黑体"/>
                          <w:bCs/>
                          <w:color w:val="000000"/>
                          <w:sz w:val="28"/>
                          <w:szCs w:val="28"/>
                        </w:rPr>
                        <w:t>p</w:t>
                      </w:r>
                      <w:r>
                        <w:rPr>
                          <w:rFonts w:eastAsia="黑体"/>
                          <w:bCs/>
                          <w:color w:val="000000"/>
                          <w:sz w:val="28"/>
                          <w:szCs w:val="28"/>
                        </w:rPr>
                        <w:t>recursor</w:t>
                      </w:r>
                      <w:r>
                        <w:rPr>
                          <w:rFonts w:hint="eastAsia" w:eastAsia="黑体"/>
                          <w:bCs/>
                          <w:color w:val="000000"/>
                          <w:sz w:val="28"/>
                          <w:szCs w:val="28"/>
                        </w:rPr>
                        <w:t>—</w:t>
                      </w:r>
                    </w:p>
                    <w:p w14:paraId="4BC95F39">
                      <w:pPr>
                        <w:ind w:firstLine="560" w:firstLineChars="200"/>
                        <w:jc w:val="center"/>
                        <w:rPr>
                          <w:rFonts w:eastAsia="黑体"/>
                          <w:bCs/>
                          <w:color w:val="000000"/>
                          <w:sz w:val="28"/>
                          <w:szCs w:val="28"/>
                        </w:rPr>
                      </w:pPr>
                      <w:r>
                        <w:rPr>
                          <w:rFonts w:hint="eastAsia" w:eastAsia="黑体"/>
                          <w:bCs/>
                          <w:color w:val="000000"/>
                          <w:sz w:val="28"/>
                          <w:szCs w:val="28"/>
                        </w:rPr>
                        <w:t xml:space="preserve">Part 8：Determination of nickel, cobalt, </w:t>
                      </w:r>
                      <w:r>
                        <w:rPr>
                          <w:rFonts w:eastAsia="黑体"/>
                          <w:bCs/>
                          <w:color w:val="000000"/>
                          <w:sz w:val="28"/>
                          <w:szCs w:val="28"/>
                        </w:rPr>
                        <w:t>manganese</w:t>
                      </w:r>
                      <w:r>
                        <w:rPr>
                          <w:rFonts w:hint="eastAsia" w:eastAsia="黑体"/>
                          <w:bCs/>
                          <w:color w:val="000000"/>
                          <w:sz w:val="28"/>
                          <w:szCs w:val="28"/>
                        </w:rPr>
                        <w:t xml:space="preserve"> content—</w:t>
                      </w:r>
                    </w:p>
                    <w:p w14:paraId="5E1018ED">
                      <w:pPr>
                        <w:ind w:left="1708" w:hanging="1708" w:hangingChars="610"/>
                        <w:jc w:val="center"/>
                        <w:rPr>
                          <w:bCs/>
                          <w:color w:val="000000"/>
                          <w:sz w:val="28"/>
                          <w:szCs w:val="28"/>
                          <w:lang w:val="en-GB"/>
                        </w:rPr>
                      </w:pPr>
                      <w:r>
                        <w:rPr>
                          <w:rFonts w:hint="eastAsia" w:eastAsia="黑体"/>
                          <w:bCs/>
                          <w:color w:val="000000"/>
                          <w:sz w:val="28"/>
                          <w:szCs w:val="28"/>
                        </w:rPr>
                        <w:t>X-ray fluorescence spectrometric method</w:t>
                      </w:r>
                    </w:p>
                    <w:p w14:paraId="160CC498">
                      <w:pPr>
                        <w:pStyle w:val="43"/>
                      </w:pPr>
                    </w:p>
                    <w:p w14:paraId="572B8F5E">
                      <w:pPr>
                        <w:pStyle w:val="45"/>
                      </w:pPr>
                      <w:r>
                        <w:rPr>
                          <w:rFonts w:hint="eastAsia" w:eastAsia="黑体"/>
                          <w:sz w:val="28"/>
                        </w:rPr>
                        <w:t>（</w:t>
                      </w:r>
                      <w:r>
                        <w:rPr>
                          <w:rFonts w:hint="eastAsia" w:eastAsia="黑体"/>
                          <w:color w:val="FF0000"/>
                          <w:sz w:val="28"/>
                        </w:rPr>
                        <w:t>草案</w:t>
                      </w:r>
                      <w:r>
                        <w:rPr>
                          <w:rFonts w:hint="eastAsia" w:eastAsia="黑体"/>
                          <w:sz w:val="28"/>
                        </w:rPr>
                        <w:t>）</w:t>
                      </w:r>
                    </w:p>
                  </w:txbxContent>
                </v:textbox>
                <w10:anchorlock/>
              </v:shape>
            </w:pict>
          </mc:Fallback>
        </mc:AlternateContent>
      </w:r>
      <w:r>
        <mc:AlternateContent>
          <mc:Choice Requires="wps">
            <w:drawing>
              <wp:anchor distT="0" distB="0" distL="114300" distR="114300" simplePos="0" relativeHeight="251661312" behindDoc="0" locked="1" layoutInCell="1" allowOverlap="1">
                <wp:simplePos x="0" y="0"/>
                <wp:positionH relativeFrom="margin">
                  <wp:posOffset>0</wp:posOffset>
                </wp:positionH>
                <wp:positionV relativeFrom="margin">
                  <wp:posOffset>1401445</wp:posOffset>
                </wp:positionV>
                <wp:extent cx="5802630" cy="860425"/>
                <wp:effectExtent l="0" t="0" r="2540" b="0"/>
                <wp:wrapNone/>
                <wp:docPr id="1923356238" name="fmFrame3"/>
                <wp:cNvGraphicFramePr/>
                <a:graphic xmlns:a="http://schemas.openxmlformats.org/drawingml/2006/main">
                  <a:graphicData uri="http://schemas.microsoft.com/office/word/2010/wordprocessingShape">
                    <wps:wsp>
                      <wps:cNvSpPr txBox="1">
                        <a:spLocks noChangeArrowheads="1"/>
                      </wps:cNvSpPr>
                      <wps:spPr bwMode="auto">
                        <a:xfrm>
                          <a:off x="0" y="0"/>
                          <a:ext cx="5802630" cy="860425"/>
                        </a:xfrm>
                        <a:prstGeom prst="rect">
                          <a:avLst/>
                        </a:prstGeom>
                        <a:solidFill>
                          <a:srgbClr val="FFFFFF"/>
                        </a:solidFill>
                        <a:ln>
                          <a:noFill/>
                        </a:ln>
                      </wps:spPr>
                      <wps:txbx>
                        <w:txbxContent>
                          <w:p w14:paraId="0139DEB9">
                            <w:pPr>
                              <w:pStyle w:val="76"/>
                            </w:pPr>
                            <w:r>
                              <w:rPr>
                                <w:rFonts w:hint="eastAsia"/>
                              </w:rPr>
                              <w:t>YS</w:t>
                            </w:r>
                            <w:r>
                              <w:t>/T</w:t>
                            </w:r>
                            <w:r>
                              <w:rPr>
                                <w:rFonts w:hint="eastAsia"/>
                              </w:rPr>
                              <w:t xml:space="preserve"> </w:t>
                            </w:r>
                            <w:r>
                              <w:t>××××—××××</w:t>
                            </w:r>
                          </w:p>
                        </w:txbxContent>
                      </wps:txbx>
                      <wps:bodyPr rot="0" vert="horz" wrap="square" lIns="0" tIns="0" rIns="0" bIns="0" anchor="t" anchorCtr="0" upright="1">
                        <a:noAutofit/>
                      </wps:bodyPr>
                    </wps:wsp>
                  </a:graphicData>
                </a:graphic>
              </wp:anchor>
            </w:drawing>
          </mc:Choice>
          <mc:Fallback>
            <w:pict>
              <v:shape id="fmFrame3" o:spid="_x0000_s1026" o:spt="202" type="#_x0000_t202" style="position:absolute;left:0pt;margin-left:0pt;margin-top:110.35pt;height:67.75pt;width:456.9pt;mso-position-horizontal-relative:margin;mso-position-vertical-relative:margin;z-index:251661312;mso-width-relative:page;mso-height-relative:page;" fillcolor="#FFFFFF" filled="t" stroked="f" coordsize="21600,21600" o:gfxdata="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AUBpPvYAAAACAEAAA8A&#10;AAAAAAAAAQAgAAAAIgAAAGRycy9kb3ducmV2LnhtbFBLAQIUABQAAAAIAIdO4kCHavqOFwIAADQE&#10;AAAOAAAAAAAAAAEAIAAAACcBAABkcnMvZTJvRG9jLnhtbFBLBQYAAAAABgAGAFkBAACwBQAAAAA=&#10;">
                <v:fill on="t" focussize="0,0"/>
                <v:stroke on="f"/>
                <v:imagedata o:title=""/>
                <o:lock v:ext="edit" aspectratio="f"/>
                <v:textbox inset="0mm,0mm,0mm,0mm">
                  <w:txbxContent>
                    <w:p w14:paraId="0139DEB9">
                      <w:pPr>
                        <w:pStyle w:val="76"/>
                      </w:pPr>
                      <w:r>
                        <w:rPr>
                          <w:rFonts w:hint="eastAsia"/>
                        </w:rPr>
                        <w:t>YS</w:t>
                      </w:r>
                      <w:r>
                        <w:t>/T</w:t>
                      </w:r>
                      <w:r>
                        <w:rPr>
                          <w:rFonts w:hint="eastAsia"/>
                        </w:rPr>
                        <w:t xml:space="preserve"> </w:t>
                      </w:r>
                      <w:r>
                        <w:t>××××—××××</w:t>
                      </w:r>
                    </w:p>
                  </w:txbxContent>
                </v:textbox>
                <w10:anchorlock/>
              </v:shape>
            </w:pict>
          </mc:Fallback>
        </mc:AlternateContent>
      </w:r>
      <w:r>
        <mc:AlternateContent>
          <mc:Choice Requires="wps">
            <w:drawing>
              <wp:anchor distT="0" distB="0" distL="114300" distR="114300" simplePos="0" relativeHeight="251660288" behindDoc="0" locked="1" layoutInCell="1" allowOverlap="1">
                <wp:simplePos x="0" y="0"/>
                <wp:positionH relativeFrom="margin">
                  <wp:posOffset>0</wp:posOffset>
                </wp:positionH>
                <wp:positionV relativeFrom="margin">
                  <wp:posOffset>1010920</wp:posOffset>
                </wp:positionV>
                <wp:extent cx="6120130" cy="391160"/>
                <wp:effectExtent l="0" t="0" r="0" b="0"/>
                <wp:wrapNone/>
                <wp:docPr id="98538577" name="fmFrame2"/>
                <wp:cNvGraphicFramePr/>
                <a:graphic xmlns:a="http://schemas.openxmlformats.org/drawingml/2006/main">
                  <a:graphicData uri="http://schemas.microsoft.com/office/word/2010/wordprocessingShape">
                    <wps:wsp>
                      <wps:cNvSpPr txBox="1">
                        <a:spLocks noChangeArrowheads="1"/>
                      </wps:cNvSpPr>
                      <wps:spPr bwMode="auto">
                        <a:xfrm>
                          <a:off x="0" y="0"/>
                          <a:ext cx="6120130" cy="391160"/>
                        </a:xfrm>
                        <a:prstGeom prst="rect">
                          <a:avLst/>
                        </a:prstGeom>
                        <a:solidFill>
                          <a:srgbClr val="FFFFFF"/>
                        </a:solidFill>
                        <a:ln>
                          <a:noFill/>
                        </a:ln>
                      </wps:spPr>
                      <wps:txbx>
                        <w:txbxContent>
                          <w:p w14:paraId="30D1D173">
                            <w:pPr>
                              <w:pStyle w:val="74"/>
                              <w:rPr>
                                <w:rFonts w:hint="eastAsia"/>
                              </w:rPr>
                            </w:pPr>
                            <w:r>
                              <w:rPr>
                                <w:rFonts w:hint="eastAsia"/>
                              </w:rPr>
                              <w:t>中华人民共和国有色金属行业标准</w:t>
                            </w:r>
                          </w:p>
                        </w:txbxContent>
                      </wps:txbx>
                      <wps:bodyPr rot="0" vert="horz" wrap="square" lIns="0" tIns="0" rIns="0" bIns="0" anchor="t" anchorCtr="0" upright="1">
                        <a:noAutofit/>
                      </wps:bodyPr>
                    </wps:wsp>
                  </a:graphicData>
                </a:graphic>
              </wp:anchor>
            </w:drawing>
          </mc:Choice>
          <mc:Fallback>
            <w:pict>
              <v:shape id="fmFrame2" o:spid="_x0000_s1026" o:spt="202" type="#_x0000_t202" style="position:absolute;left:0pt;margin-left:0pt;margin-top:79.6pt;height:30.8pt;width:481.9pt;mso-position-horizontal-relative:margin;mso-position-vertical-relative:margin;z-index:251660288;mso-width-relative:page;mso-height-relative:page;" fillcolor="#FFFFFF" filled="t" stroked="f" coordsize="21600,21600" o:gfxdata="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GDkcF1wAAAAgBAAAPAAAA&#10;AAAAAAEAIAAAACIAAABkcnMvZG93bnJldi54bWxQSwECFAAUAAAACACHTuJAnFgGZxYCAAAyBAAA&#10;DgAAAAAAAAABACAAAAAmAQAAZHJzL2Uyb0RvYy54bWxQSwUGAAAAAAYABgBZAQAArgUAAAAA&#10;">
                <v:fill on="t" focussize="0,0"/>
                <v:stroke on="f"/>
                <v:imagedata o:title=""/>
                <o:lock v:ext="edit" aspectratio="f"/>
                <v:textbox inset="0mm,0mm,0mm,0mm">
                  <w:txbxContent>
                    <w:p w14:paraId="30D1D173">
                      <w:pPr>
                        <w:pStyle w:val="74"/>
                        <w:rPr>
                          <w:rFonts w:hint="eastAsia"/>
                        </w:rPr>
                      </w:pPr>
                      <w:r>
                        <w:rPr>
                          <w:rFonts w:hint="eastAsia"/>
                        </w:rPr>
                        <w:t>中华人民共和国有色金属行业标准</w:t>
                      </w:r>
                    </w:p>
                  </w:txbxContent>
                </v:textbox>
                <w10:anchorlock/>
              </v:shape>
            </w:pict>
          </mc:Fallback>
        </mc:AlternateContent>
      </w:r>
      <w:r>
        <mc:AlternateContent>
          <mc:Choice Requires="wps">
            <w:drawing>
              <wp:anchor distT="0" distB="0" distL="114300" distR="114300" simplePos="0" relativeHeight="251659264" behindDoc="0" locked="1" layoutInCell="1" allowOverlap="1">
                <wp:simplePos x="0" y="0"/>
                <wp:positionH relativeFrom="margin">
                  <wp:posOffset>0</wp:posOffset>
                </wp:positionH>
                <wp:positionV relativeFrom="margin">
                  <wp:posOffset>0</wp:posOffset>
                </wp:positionV>
                <wp:extent cx="2540000" cy="657860"/>
                <wp:effectExtent l="0" t="0" r="0" b="1270"/>
                <wp:wrapNone/>
                <wp:docPr id="2059958851" name="fmFrame1"/>
                <wp:cNvGraphicFramePr/>
                <a:graphic xmlns:a="http://schemas.openxmlformats.org/drawingml/2006/main">
                  <a:graphicData uri="http://schemas.microsoft.com/office/word/2010/wordprocessingShape">
                    <wps:wsp>
                      <wps:cNvSpPr txBox="1">
                        <a:spLocks noChangeArrowheads="1"/>
                      </wps:cNvSpPr>
                      <wps:spPr bwMode="auto">
                        <a:xfrm>
                          <a:off x="0" y="0"/>
                          <a:ext cx="2540000" cy="657860"/>
                        </a:xfrm>
                        <a:prstGeom prst="rect">
                          <a:avLst/>
                        </a:prstGeom>
                        <a:solidFill>
                          <a:srgbClr val="FFFFFF"/>
                        </a:solidFill>
                        <a:ln>
                          <a:noFill/>
                        </a:ln>
                      </wps:spPr>
                      <wps:txbx>
                        <w:txbxContent>
                          <w:p w14:paraId="460A837B">
                            <w:pPr>
                              <w:pStyle w:val="49"/>
                            </w:pPr>
                            <w:r>
                              <w:t>ICS</w:t>
                            </w:r>
                            <w:r>
                              <w:rPr>
                                <w:rFonts w:hint="eastAsia"/>
                              </w:rPr>
                              <w:t xml:space="preserve"> </w:t>
                            </w:r>
                            <w:r>
                              <w:rPr>
                                <w:rFonts w:eastAsia="宋体"/>
                                <w:szCs w:val="21"/>
                              </w:rPr>
                              <w:t>77.1</w:t>
                            </w:r>
                            <w:r>
                              <w:rPr>
                                <w:rFonts w:hint="eastAsia" w:eastAsia="宋体"/>
                                <w:szCs w:val="21"/>
                              </w:rPr>
                              <w:t>2</w:t>
                            </w:r>
                            <w:r>
                              <w:rPr>
                                <w:rFonts w:eastAsia="宋体"/>
                                <w:szCs w:val="21"/>
                              </w:rPr>
                              <w:t>0.99</w:t>
                            </w:r>
                          </w:p>
                          <w:p w14:paraId="7F823535">
                            <w:pPr>
                              <w:pStyle w:val="49"/>
                            </w:pPr>
                            <w:r>
                              <w:t xml:space="preserve"> </w:t>
                            </w:r>
                            <w:r>
                              <w:rPr>
                                <w:rFonts w:hint="eastAsia"/>
                              </w:rPr>
                              <w:t>CCS H 14</w:t>
                            </w:r>
                          </w:p>
                          <w:p w14:paraId="1EA93F46">
                            <w:pPr>
                              <w:pStyle w:val="49"/>
                            </w:pPr>
                          </w:p>
                        </w:txbxContent>
                      </wps:txbx>
                      <wps:bodyPr rot="0" vert="horz" wrap="square" lIns="0" tIns="0" rIns="0" bIns="0" anchor="t" anchorCtr="0" upright="1">
                        <a:noAutofit/>
                      </wps:bodyPr>
                    </wps:wsp>
                  </a:graphicData>
                </a:graphic>
              </wp:anchor>
            </w:drawing>
          </mc:Choice>
          <mc:Fallback>
            <w:pict>
              <v:shape id="fmFrame1" o:spid="_x0000_s1026" o:spt="202" type="#_x0000_t202" style="position:absolute;left:0pt;margin-left:0pt;margin-top:0pt;height:51.8pt;width:200pt;mso-position-horizontal-relative:margin;mso-position-vertical-relative:margin;z-index:251659264;mso-width-relative:page;mso-height-relative:page;" fillcolor="#FFFFFF" filled="t" stroked="f" coordsize="21600,21600" o:gfxdata="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xezL4NMAAAAFAQAADwAAAAAA&#10;AAABACAAAAAiAAAAZHJzL2Rvd25yZXYueG1sUEsBAhQAFAAAAAgAh07iQMMB70gYAgAANAQAAA4A&#10;AAAAAAAAAQAgAAAAIgEAAGRycy9lMm9Eb2MueG1sUEsFBgAAAAAGAAYAWQEAAKwFAAAAAA==&#10;">
                <v:fill on="t" focussize="0,0"/>
                <v:stroke on="f"/>
                <v:imagedata o:title=""/>
                <o:lock v:ext="edit" aspectratio="f"/>
                <v:textbox inset="0mm,0mm,0mm,0mm">
                  <w:txbxContent>
                    <w:p w14:paraId="460A837B">
                      <w:pPr>
                        <w:pStyle w:val="49"/>
                      </w:pPr>
                      <w:r>
                        <w:t>ICS</w:t>
                      </w:r>
                      <w:r>
                        <w:rPr>
                          <w:rFonts w:hint="eastAsia"/>
                        </w:rPr>
                        <w:t xml:space="preserve"> </w:t>
                      </w:r>
                      <w:r>
                        <w:rPr>
                          <w:rFonts w:eastAsia="宋体"/>
                          <w:szCs w:val="21"/>
                        </w:rPr>
                        <w:t>77.1</w:t>
                      </w:r>
                      <w:r>
                        <w:rPr>
                          <w:rFonts w:hint="eastAsia" w:eastAsia="宋体"/>
                          <w:szCs w:val="21"/>
                        </w:rPr>
                        <w:t>2</w:t>
                      </w:r>
                      <w:r>
                        <w:rPr>
                          <w:rFonts w:eastAsia="宋体"/>
                          <w:szCs w:val="21"/>
                        </w:rPr>
                        <w:t>0.99</w:t>
                      </w:r>
                    </w:p>
                    <w:p w14:paraId="7F823535">
                      <w:pPr>
                        <w:pStyle w:val="49"/>
                      </w:pPr>
                      <w:r>
                        <w:t xml:space="preserve"> </w:t>
                      </w:r>
                      <w:r>
                        <w:rPr>
                          <w:rFonts w:hint="eastAsia"/>
                        </w:rPr>
                        <w:t>CCS H 14</w:t>
                      </w:r>
                    </w:p>
                    <w:p w14:paraId="1EA93F46">
                      <w:pPr>
                        <w:pStyle w:val="49"/>
                      </w:pPr>
                    </w:p>
                  </w:txbxContent>
                </v:textbox>
                <w10:anchorlock/>
              </v:shape>
            </w:pict>
          </mc:Fallback>
        </mc:AlternateContent>
      </w:r>
      <w:r>
        <w:t>90</w:t>
      </w:r>
    </w:p>
    <w:bookmarkEnd w:id="0"/>
    <w:p w14:paraId="30257E0F">
      <w:pPr>
        <w:pStyle w:val="28"/>
        <w:numPr>
          <w:ilvl w:val="0"/>
          <w:numId w:val="0"/>
        </w:numPr>
        <w:adjustRightInd w:val="0"/>
        <w:snapToGrid w:val="0"/>
        <w:spacing w:line="360" w:lineRule="atLeast"/>
        <w:rPr>
          <w:rFonts w:hint="eastAsia" w:hAnsi="黑体"/>
        </w:rPr>
      </w:pPr>
      <w:bookmarkStart w:id="1" w:name="SectionMark2"/>
      <w:bookmarkStart w:id="2" w:name="SectionMark4"/>
      <w:r>
        <w:rPr>
          <w:rFonts w:hAnsi="黑体"/>
        </w:rPr>
        <w:t>前    言</w:t>
      </w:r>
    </w:p>
    <w:p w14:paraId="282CCEFE">
      <w:pPr>
        <w:ind w:firstLine="435"/>
      </w:pPr>
      <w:r>
        <w:rPr>
          <w:rFonts w:hint="eastAsia"/>
        </w:rPr>
        <w:t>YS/T XXXX《镍钴锰三元前驱体化学分析方法》分为X个部分：</w:t>
      </w:r>
    </w:p>
    <w:p w14:paraId="0B6E77E1">
      <w:pPr>
        <w:ind w:firstLine="435"/>
      </w:pPr>
      <w:r>
        <w:rPr>
          <w:rFonts w:hint="eastAsia"/>
        </w:rPr>
        <w:t>——第1部分：</w:t>
      </w:r>
    </w:p>
    <w:p w14:paraId="2D908AEF">
      <w:pPr>
        <w:ind w:firstLine="435"/>
      </w:pPr>
      <w:r>
        <w:rPr>
          <w:rFonts w:hint="eastAsia"/>
        </w:rPr>
        <w:t>——第2部分：</w:t>
      </w:r>
    </w:p>
    <w:p w14:paraId="2C6ED2A8">
      <w:pPr>
        <w:ind w:firstLine="435"/>
      </w:pPr>
      <w:r>
        <w:rPr>
          <w:rFonts w:hint="eastAsia"/>
        </w:rPr>
        <w:t>——第3部分：</w:t>
      </w:r>
    </w:p>
    <w:p w14:paraId="47CB6A53">
      <w:pPr>
        <w:ind w:firstLine="435"/>
      </w:pPr>
      <w:r>
        <w:rPr>
          <w:rFonts w:hint="eastAsia"/>
        </w:rPr>
        <w:t>——第4部分：</w:t>
      </w:r>
    </w:p>
    <w:p w14:paraId="497E8979">
      <w:pPr>
        <w:ind w:firstLine="435"/>
      </w:pPr>
      <w:r>
        <w:rPr>
          <w:rFonts w:hint="eastAsia"/>
        </w:rPr>
        <w:t>——第5部分：</w:t>
      </w:r>
    </w:p>
    <w:p w14:paraId="557E59EC">
      <w:pPr>
        <w:ind w:firstLine="435"/>
      </w:pPr>
      <w:r>
        <w:rPr>
          <w:rFonts w:hint="eastAsia"/>
        </w:rPr>
        <w:t>——第6部分：</w:t>
      </w:r>
    </w:p>
    <w:p w14:paraId="216AF8E5">
      <w:pPr>
        <w:ind w:firstLine="435"/>
      </w:pPr>
      <w:r>
        <w:rPr>
          <w:rFonts w:hint="eastAsia"/>
        </w:rPr>
        <w:t>——第7部分：</w:t>
      </w:r>
    </w:p>
    <w:p w14:paraId="7D1E76BD">
      <w:pPr>
        <w:ind w:firstLine="435"/>
      </w:pPr>
      <w:r>
        <w:rPr>
          <w:rFonts w:hint="eastAsia"/>
        </w:rPr>
        <w:t>——第8部分：</w:t>
      </w:r>
    </w:p>
    <w:p w14:paraId="3CC3CD83">
      <w:pPr>
        <w:ind w:firstLine="435"/>
      </w:pPr>
      <w:r>
        <w:rPr>
          <w:rFonts w:hint="eastAsia"/>
        </w:rPr>
        <w:t>本部分为YS/T XXXX的第8部分。</w:t>
      </w:r>
    </w:p>
    <w:p w14:paraId="476A20DA">
      <w:pPr>
        <w:ind w:firstLine="435"/>
      </w:pPr>
      <w:r>
        <w:t>本</w:t>
      </w:r>
      <w:r>
        <w:rPr>
          <w:rFonts w:hint="eastAsia"/>
        </w:rPr>
        <w:t>部分</w:t>
      </w:r>
      <w:r>
        <w:t>按照GB/T 1.1-2020《标准化工作导则 第1部分：标准化文件的结构和起草规则》的规定起草。</w:t>
      </w:r>
    </w:p>
    <w:p w14:paraId="1424E605">
      <w:pPr>
        <w:spacing w:line="240" w:lineRule="auto"/>
        <w:ind w:firstLine="435"/>
        <w:rPr>
          <w:rFonts w:hint="eastAsia" w:hAnsi="宋体"/>
          <w:szCs w:val="21"/>
        </w:rPr>
      </w:pPr>
      <w:r>
        <w:t>本</w:t>
      </w:r>
      <w:r>
        <w:rPr>
          <w:rFonts w:hint="eastAsia"/>
        </w:rPr>
        <w:t>部分</w:t>
      </w:r>
      <w:r>
        <w:t>由</w:t>
      </w:r>
      <w:r>
        <w:rPr>
          <w:rFonts w:hAnsi="宋体"/>
          <w:szCs w:val="21"/>
        </w:rPr>
        <w:t>全国有色金属标准化技术委员会(SAC/TC243)</w:t>
      </w:r>
      <w:r>
        <w:rPr>
          <w:rFonts w:hint="eastAsia" w:hAnsi="宋体"/>
          <w:szCs w:val="21"/>
        </w:rPr>
        <w:t>提出并</w:t>
      </w:r>
      <w:r>
        <w:rPr>
          <w:rFonts w:hAnsi="宋体"/>
          <w:szCs w:val="21"/>
        </w:rPr>
        <w:t>归口。</w:t>
      </w:r>
    </w:p>
    <w:p w14:paraId="7EBE172A">
      <w:pPr>
        <w:pStyle w:val="26"/>
        <w:spacing w:line="240" w:lineRule="auto"/>
        <w:ind w:firstLine="420"/>
        <w:rPr>
          <w:rFonts w:hint="eastAsia" w:ascii="Times New Roman" w:hAnsi="宋体"/>
          <w:szCs w:val="21"/>
        </w:rPr>
      </w:pPr>
      <w:r>
        <w:rPr>
          <w:rFonts w:hint="eastAsia" w:ascii="Times New Roman" w:hAnsi="宋体"/>
          <w:szCs w:val="21"/>
        </w:rPr>
        <w:t>请注意本部分的某些内容可能涉及专利。本文件的发布机构不承担识别专利的责任。</w:t>
      </w:r>
    </w:p>
    <w:p w14:paraId="2150465F">
      <w:pPr>
        <w:spacing w:line="240" w:lineRule="auto"/>
        <w:ind w:firstLine="435"/>
        <w:rPr>
          <w:rFonts w:hint="eastAsia" w:hAnsi="宋体"/>
          <w:szCs w:val="21"/>
        </w:rPr>
      </w:pPr>
      <w:r>
        <w:t>本</w:t>
      </w:r>
      <w:r>
        <w:rPr>
          <w:rFonts w:hint="eastAsia"/>
        </w:rPr>
        <w:t>部分</w:t>
      </w:r>
      <w:r>
        <w:t>起草单位：</w:t>
      </w:r>
      <w:r>
        <w:rPr>
          <w:rFonts w:hAnsi="宋体"/>
          <w:szCs w:val="21"/>
        </w:rPr>
        <w:t>浙江华友钴业</w:t>
      </w:r>
      <w:r>
        <w:rPr>
          <w:rFonts w:hint="eastAsia" w:hAnsi="宋体"/>
          <w:szCs w:val="21"/>
        </w:rPr>
        <w:t>股份</w:t>
      </w:r>
      <w:r>
        <w:rPr>
          <w:rFonts w:hAnsi="宋体"/>
          <w:szCs w:val="21"/>
        </w:rPr>
        <w:t>有限公司</w:t>
      </w:r>
      <w:r>
        <w:rPr>
          <w:rFonts w:hint="eastAsia" w:hAnsi="宋体"/>
          <w:szCs w:val="21"/>
        </w:rPr>
        <w:t>、衢州华友钴新材料有限公司等。</w:t>
      </w:r>
    </w:p>
    <w:p w14:paraId="2F7394FB">
      <w:pPr>
        <w:pStyle w:val="26"/>
        <w:spacing w:line="240" w:lineRule="auto"/>
        <w:ind w:firstLine="420"/>
        <w:rPr>
          <w:rFonts w:hint="eastAsia" w:ascii="Times New Roman" w:hAnsi="宋体"/>
          <w:szCs w:val="21"/>
        </w:rPr>
      </w:pPr>
      <w:r>
        <w:rPr>
          <w:rFonts w:hint="eastAsia" w:ascii="Times New Roman" w:hAnsi="宋体"/>
          <w:szCs w:val="21"/>
        </w:rPr>
        <w:t>本部分参与起草单位：</w:t>
      </w:r>
    </w:p>
    <w:p w14:paraId="011601D5">
      <w:pPr>
        <w:pStyle w:val="26"/>
        <w:spacing w:line="240" w:lineRule="auto"/>
        <w:ind w:firstLine="420"/>
        <w:rPr>
          <w:rFonts w:hint="eastAsia" w:ascii="Times New Roman" w:hAnsi="宋体"/>
          <w:szCs w:val="21"/>
        </w:rPr>
      </w:pPr>
      <w:r>
        <w:rPr>
          <w:rFonts w:hint="eastAsia" w:ascii="Times New Roman" w:hAnsi="宋体"/>
          <w:szCs w:val="21"/>
        </w:rPr>
        <w:t>本文件主要起草人：</w:t>
      </w:r>
      <w:bookmarkEnd w:id="1"/>
      <w:r>
        <w:rPr>
          <w:rFonts w:hint="eastAsia" w:ascii="Times New Roman" w:hAnsi="宋体"/>
          <w:szCs w:val="21"/>
        </w:rPr>
        <w:t xml:space="preserve"> </w:t>
      </w:r>
    </w:p>
    <w:p w14:paraId="636008E5">
      <w:pPr>
        <w:pStyle w:val="5"/>
        <w:snapToGrid w:val="0"/>
        <w:spacing w:line="380" w:lineRule="atLeast"/>
        <w:ind w:firstLine="420" w:firstLineChars="200"/>
      </w:pPr>
    </w:p>
    <w:p w14:paraId="4E781BB7">
      <w:pPr>
        <w:pStyle w:val="5"/>
        <w:snapToGrid w:val="0"/>
        <w:spacing w:line="380" w:lineRule="atLeast"/>
        <w:ind w:firstLine="420" w:firstLineChars="200"/>
      </w:pPr>
    </w:p>
    <w:p w14:paraId="2563283E">
      <w:pPr>
        <w:pStyle w:val="5"/>
        <w:snapToGrid w:val="0"/>
        <w:spacing w:line="380" w:lineRule="atLeast"/>
        <w:ind w:firstLine="420" w:firstLineChars="200"/>
      </w:pPr>
    </w:p>
    <w:p w14:paraId="4272842C">
      <w:pPr>
        <w:pStyle w:val="5"/>
        <w:snapToGrid w:val="0"/>
        <w:spacing w:line="380" w:lineRule="atLeast"/>
        <w:ind w:firstLine="420" w:firstLineChars="200"/>
      </w:pPr>
    </w:p>
    <w:p w14:paraId="3C1E8F22">
      <w:pPr>
        <w:pStyle w:val="5"/>
        <w:snapToGrid w:val="0"/>
        <w:spacing w:line="380" w:lineRule="atLeast"/>
        <w:ind w:firstLine="420" w:firstLineChars="200"/>
      </w:pPr>
    </w:p>
    <w:p w14:paraId="2FEBA227">
      <w:pPr>
        <w:pStyle w:val="5"/>
        <w:snapToGrid w:val="0"/>
        <w:spacing w:line="380" w:lineRule="atLeast"/>
        <w:ind w:firstLine="420" w:firstLineChars="200"/>
      </w:pPr>
    </w:p>
    <w:p w14:paraId="22AC2F7B">
      <w:pPr>
        <w:pStyle w:val="5"/>
        <w:snapToGrid w:val="0"/>
        <w:spacing w:line="380" w:lineRule="atLeast"/>
        <w:ind w:firstLine="420" w:firstLineChars="200"/>
      </w:pPr>
    </w:p>
    <w:p w14:paraId="0E05AD42">
      <w:pPr>
        <w:pStyle w:val="5"/>
        <w:snapToGrid w:val="0"/>
        <w:spacing w:line="380" w:lineRule="atLeast"/>
        <w:ind w:firstLine="420" w:firstLineChars="200"/>
      </w:pPr>
    </w:p>
    <w:p w14:paraId="373A5EA7">
      <w:pPr>
        <w:pStyle w:val="5"/>
        <w:snapToGrid w:val="0"/>
        <w:spacing w:line="380" w:lineRule="atLeast"/>
        <w:ind w:firstLine="420" w:firstLineChars="200"/>
      </w:pPr>
    </w:p>
    <w:p w14:paraId="4121BF4A">
      <w:pPr>
        <w:pStyle w:val="5"/>
        <w:snapToGrid w:val="0"/>
        <w:spacing w:line="380" w:lineRule="atLeast"/>
        <w:ind w:firstLine="420" w:firstLineChars="200"/>
      </w:pPr>
    </w:p>
    <w:p w14:paraId="04E280E5">
      <w:pPr>
        <w:pStyle w:val="5"/>
        <w:snapToGrid w:val="0"/>
        <w:spacing w:line="380" w:lineRule="atLeast"/>
        <w:ind w:firstLine="420" w:firstLineChars="200"/>
      </w:pPr>
    </w:p>
    <w:p w14:paraId="685C5B59">
      <w:pPr>
        <w:pStyle w:val="5"/>
        <w:snapToGrid w:val="0"/>
        <w:spacing w:line="380" w:lineRule="atLeast"/>
        <w:ind w:firstLine="420" w:firstLineChars="200"/>
      </w:pPr>
    </w:p>
    <w:p w14:paraId="181E7A4B">
      <w:pPr>
        <w:pStyle w:val="5"/>
        <w:snapToGrid w:val="0"/>
        <w:spacing w:line="380" w:lineRule="atLeast"/>
        <w:ind w:firstLine="420" w:firstLineChars="200"/>
      </w:pPr>
    </w:p>
    <w:p w14:paraId="3DBD7F7C">
      <w:pPr>
        <w:pStyle w:val="5"/>
        <w:snapToGrid w:val="0"/>
        <w:spacing w:line="380" w:lineRule="atLeast"/>
        <w:ind w:firstLine="420" w:firstLineChars="200"/>
      </w:pPr>
    </w:p>
    <w:p w14:paraId="3CD74CFD">
      <w:pPr>
        <w:pStyle w:val="5"/>
        <w:snapToGrid w:val="0"/>
        <w:spacing w:line="380" w:lineRule="atLeast"/>
        <w:ind w:firstLine="420" w:firstLineChars="200"/>
      </w:pPr>
    </w:p>
    <w:p w14:paraId="4ED1C46C">
      <w:pPr>
        <w:pStyle w:val="5"/>
        <w:snapToGrid w:val="0"/>
        <w:spacing w:line="380" w:lineRule="atLeast"/>
        <w:ind w:firstLine="420" w:firstLineChars="200"/>
      </w:pPr>
    </w:p>
    <w:p w14:paraId="4EF68B86">
      <w:pPr>
        <w:pStyle w:val="5"/>
        <w:snapToGrid w:val="0"/>
        <w:spacing w:line="380" w:lineRule="atLeast"/>
        <w:ind w:firstLine="420" w:firstLineChars="200"/>
      </w:pPr>
      <w:r>
        <w:br w:type="page"/>
      </w:r>
    </w:p>
    <w:bookmarkEnd w:id="2"/>
    <w:p w14:paraId="36B6C24D">
      <w:pPr>
        <w:jc w:val="center"/>
        <w:rPr>
          <w:rFonts w:hint="eastAsia" w:ascii="黑体" w:hAnsi="黑体" w:eastAsia="黑体"/>
          <w:sz w:val="32"/>
          <w:szCs w:val="32"/>
        </w:rPr>
      </w:pPr>
      <w:r>
        <w:rPr>
          <w:rFonts w:hint="eastAsia" w:ascii="黑体" w:hAnsi="黑体" w:eastAsia="黑体"/>
          <w:sz w:val="32"/>
          <w:szCs w:val="32"/>
        </w:rPr>
        <w:t>镍钴锰三元前驱体化学分析方法</w:t>
      </w:r>
    </w:p>
    <w:p w14:paraId="37115D89">
      <w:pPr>
        <w:jc w:val="center"/>
        <w:rPr>
          <w:rFonts w:hint="eastAsia" w:ascii="黑体" w:hAnsi="黑体" w:eastAsia="黑体"/>
          <w:sz w:val="32"/>
          <w:szCs w:val="32"/>
        </w:rPr>
      </w:pPr>
      <w:r>
        <w:rPr>
          <w:rFonts w:hint="eastAsia" w:ascii="黑体" w:hAnsi="黑体" w:eastAsia="黑体"/>
          <w:sz w:val="32"/>
          <w:szCs w:val="32"/>
        </w:rPr>
        <w:t>第8部分：镍、钴、锰含量的测定</w:t>
      </w:r>
    </w:p>
    <w:p w14:paraId="5FABE2EA">
      <w:pPr>
        <w:jc w:val="center"/>
        <w:rPr>
          <w:rFonts w:hint="eastAsia" w:ascii="黑体" w:hAnsi="黑体" w:eastAsia="黑体"/>
          <w:sz w:val="32"/>
          <w:szCs w:val="32"/>
        </w:rPr>
      </w:pPr>
      <w:r>
        <w:rPr>
          <w:rFonts w:hint="eastAsia" w:ascii="黑体" w:hAnsi="黑体" w:eastAsia="黑体"/>
          <w:sz w:val="32"/>
          <w:szCs w:val="32"/>
        </w:rPr>
        <w:t>X射线荧光光谱法</w:t>
      </w:r>
    </w:p>
    <w:p w14:paraId="3BA18541">
      <w:pPr>
        <w:pStyle w:val="25"/>
        <w:numPr>
          <w:ilvl w:val="0"/>
          <w:numId w:val="11"/>
        </w:numPr>
        <w:tabs>
          <w:tab w:val="clear" w:pos="840"/>
        </w:tabs>
        <w:spacing w:before="312" w:beforeLines="100" w:after="312" w:afterLines="100"/>
        <w:ind w:left="0" w:firstLine="0"/>
      </w:pPr>
      <w:r>
        <w:rPr>
          <w:rFonts w:hint="eastAsia"/>
        </w:rPr>
        <w:t xml:space="preserve">  范围</w:t>
      </w:r>
    </w:p>
    <w:p w14:paraId="310F2162">
      <w:pPr>
        <w:pStyle w:val="26"/>
        <w:ind w:firstLine="420"/>
        <w:rPr>
          <w:rFonts w:ascii="Times New Roman"/>
        </w:rPr>
      </w:pPr>
      <w:r>
        <w:rPr>
          <w:rFonts w:ascii="Times New Roman"/>
        </w:rPr>
        <w:t>YS/T XXXX</w:t>
      </w:r>
      <w:r>
        <w:rPr>
          <w:rFonts w:hint="eastAsia"/>
        </w:rPr>
        <w:t>本部分</w:t>
      </w:r>
      <w:r>
        <w:rPr>
          <w:rFonts w:ascii="Times New Roman"/>
        </w:rPr>
        <w:t>规定了使用</w:t>
      </w:r>
      <w:r>
        <w:rPr>
          <w:rFonts w:hint="eastAsia" w:ascii="Times New Roman"/>
        </w:rPr>
        <w:t>X射线荧光</w:t>
      </w:r>
      <w:r>
        <w:rPr>
          <w:rFonts w:ascii="Times New Roman"/>
        </w:rPr>
        <w:t>光谱法测定</w:t>
      </w:r>
      <w:bookmarkStart w:id="3" w:name="OLE_LINK1"/>
      <w:r>
        <w:rPr>
          <w:rFonts w:hint="eastAsia" w:ascii="Times New Roman"/>
        </w:rPr>
        <w:t>镍钴锰三元前驱体</w:t>
      </w:r>
      <w:bookmarkEnd w:id="3"/>
      <w:r>
        <w:rPr>
          <w:rFonts w:ascii="Times New Roman"/>
        </w:rPr>
        <w:t>中</w:t>
      </w:r>
      <w:r>
        <w:rPr>
          <w:rFonts w:hint="eastAsia" w:ascii="Times New Roman"/>
        </w:rPr>
        <w:t>镍、钴、锰含量</w:t>
      </w:r>
      <w:r>
        <w:rPr>
          <w:rFonts w:ascii="Times New Roman"/>
        </w:rPr>
        <w:t>的测定方法。</w:t>
      </w:r>
    </w:p>
    <w:p w14:paraId="02E26A09">
      <w:pPr>
        <w:pStyle w:val="26"/>
        <w:ind w:firstLine="420"/>
        <w:rPr>
          <w:rFonts w:ascii="Times New Roman"/>
        </w:rPr>
      </w:pPr>
      <w:r>
        <w:rPr>
          <w:rFonts w:ascii="Times New Roman"/>
        </w:rPr>
        <w:t>本</w:t>
      </w:r>
      <w:r>
        <w:rPr>
          <w:rFonts w:hint="eastAsia" w:ascii="Times New Roman"/>
        </w:rPr>
        <w:t>部分</w:t>
      </w:r>
      <w:r>
        <w:rPr>
          <w:rFonts w:ascii="Times New Roman"/>
        </w:rPr>
        <w:t>适用于</w:t>
      </w:r>
      <w:r>
        <w:rPr>
          <w:rFonts w:hint="eastAsia" w:ascii="Times New Roman"/>
        </w:rPr>
        <w:t>镍钴锰三元前驱体中镍、钴、锰含量的测定，测定范围见表1。</w:t>
      </w:r>
    </w:p>
    <w:p w14:paraId="2C80264E">
      <w:pPr>
        <w:pStyle w:val="26"/>
        <w:ind w:firstLine="420"/>
        <w:jc w:val="center"/>
        <w:rPr>
          <w:rFonts w:ascii="黑体" w:eastAsia="黑体"/>
        </w:rPr>
      </w:pPr>
    </w:p>
    <w:p w14:paraId="1897792F">
      <w:pPr>
        <w:pStyle w:val="2"/>
        <w:keepNext/>
        <w:jc w:val="center"/>
        <w:rPr>
          <w:rFonts w:hint="eastAsia" w:ascii="黑体" w:hAnsi="黑体"/>
          <w:sz w:val="21"/>
          <w:szCs w:val="21"/>
        </w:rPr>
      </w:pPr>
      <w:r>
        <w:rPr>
          <w:rFonts w:hint="eastAsia" w:ascii="黑体" w:hAnsi="黑体"/>
          <w:sz w:val="21"/>
          <w:szCs w:val="21"/>
        </w:rPr>
        <w:t xml:space="preserve">表 </w:t>
      </w:r>
      <w:r>
        <w:rPr>
          <w:rFonts w:ascii="黑体" w:hAnsi="黑体"/>
          <w:sz w:val="21"/>
          <w:szCs w:val="21"/>
        </w:rPr>
        <w:fldChar w:fldCharType="begin"/>
      </w:r>
      <w:r>
        <w:rPr>
          <w:rFonts w:ascii="黑体" w:hAnsi="黑体"/>
          <w:sz w:val="21"/>
          <w:szCs w:val="21"/>
        </w:rPr>
        <w:instrText xml:space="preserve"> </w:instrText>
      </w:r>
      <w:r>
        <w:rPr>
          <w:rFonts w:hint="eastAsia" w:ascii="黑体" w:hAnsi="黑体"/>
          <w:sz w:val="21"/>
          <w:szCs w:val="21"/>
        </w:rPr>
        <w:instrText xml:space="preserve">SEQ 表格 \* ARABIC</w:instrText>
      </w:r>
      <w:r>
        <w:rPr>
          <w:rFonts w:ascii="黑体" w:hAnsi="黑体"/>
          <w:sz w:val="21"/>
          <w:szCs w:val="21"/>
        </w:rPr>
        <w:instrText xml:space="preserve"> </w:instrText>
      </w:r>
      <w:r>
        <w:rPr>
          <w:rFonts w:ascii="黑体" w:hAnsi="黑体"/>
          <w:sz w:val="21"/>
          <w:szCs w:val="21"/>
        </w:rPr>
        <w:fldChar w:fldCharType="separate"/>
      </w:r>
      <w:r>
        <w:rPr>
          <w:rFonts w:hint="eastAsia" w:ascii="黑体" w:hAnsi="黑体"/>
          <w:sz w:val="21"/>
          <w:szCs w:val="21"/>
        </w:rPr>
        <w:t>1</w:t>
      </w:r>
      <w:r>
        <w:rPr>
          <w:rFonts w:ascii="黑体" w:hAnsi="黑体"/>
          <w:sz w:val="21"/>
          <w:szCs w:val="21"/>
        </w:rPr>
        <w:fldChar w:fldCharType="end"/>
      </w:r>
      <w:r>
        <w:rPr>
          <w:rFonts w:hint="eastAsia" w:ascii="黑体" w:hAnsi="黑体"/>
          <w:sz w:val="21"/>
          <w:szCs w:val="21"/>
        </w:rPr>
        <w:t xml:space="preserve"> 测定范围</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0"/>
        <w:gridCol w:w="4530"/>
      </w:tblGrid>
      <w:tr w14:paraId="185F9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0" w:type="dxa"/>
          </w:tcPr>
          <w:p w14:paraId="097E1C72">
            <w:pPr>
              <w:pStyle w:val="26"/>
              <w:widowControl w:val="0"/>
              <w:ind w:firstLine="0" w:firstLineChars="0"/>
              <w:jc w:val="center"/>
              <w:rPr>
                <w:rFonts w:hint="eastAsia" w:hAnsi="宋体"/>
                <w:sz w:val="18"/>
                <w:szCs w:val="18"/>
              </w:rPr>
            </w:pPr>
            <w:r>
              <w:rPr>
                <w:rFonts w:hint="eastAsia" w:hAnsi="宋体"/>
                <w:sz w:val="18"/>
                <w:szCs w:val="18"/>
              </w:rPr>
              <w:t>元素</w:t>
            </w:r>
          </w:p>
        </w:tc>
        <w:tc>
          <w:tcPr>
            <w:tcW w:w="4530" w:type="dxa"/>
          </w:tcPr>
          <w:p w14:paraId="72BB7CDF">
            <w:pPr>
              <w:pStyle w:val="26"/>
              <w:widowControl w:val="0"/>
              <w:ind w:firstLine="0" w:firstLineChars="0"/>
              <w:jc w:val="center"/>
              <w:rPr>
                <w:rFonts w:hint="eastAsia" w:hAnsi="宋体"/>
                <w:sz w:val="18"/>
                <w:szCs w:val="18"/>
              </w:rPr>
            </w:pPr>
            <w:r>
              <w:rPr>
                <w:rFonts w:hint="eastAsia" w:hAnsi="宋体"/>
                <w:sz w:val="18"/>
                <w:szCs w:val="18"/>
              </w:rPr>
              <w:t>测定范围/%</w:t>
            </w:r>
          </w:p>
        </w:tc>
      </w:tr>
      <w:tr w14:paraId="35367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0" w:type="dxa"/>
          </w:tcPr>
          <w:p w14:paraId="548F3AF2">
            <w:pPr>
              <w:pStyle w:val="26"/>
              <w:widowControl w:val="0"/>
              <w:ind w:firstLine="0" w:firstLineChars="0"/>
              <w:jc w:val="center"/>
              <w:rPr>
                <w:rFonts w:ascii="Times New Roman"/>
                <w:sz w:val="18"/>
                <w:szCs w:val="18"/>
              </w:rPr>
            </w:pPr>
            <w:r>
              <w:rPr>
                <w:rFonts w:ascii="Times New Roman"/>
                <w:sz w:val="18"/>
                <w:szCs w:val="18"/>
              </w:rPr>
              <w:t>Ni</w:t>
            </w:r>
          </w:p>
        </w:tc>
        <w:tc>
          <w:tcPr>
            <w:tcW w:w="4530" w:type="dxa"/>
          </w:tcPr>
          <w:p w14:paraId="7FC22179">
            <w:pPr>
              <w:pStyle w:val="26"/>
              <w:widowControl w:val="0"/>
              <w:ind w:firstLine="0" w:firstLineChars="0"/>
              <w:jc w:val="center"/>
              <w:rPr>
                <w:rFonts w:ascii="Times New Roman"/>
                <w:sz w:val="18"/>
                <w:szCs w:val="18"/>
              </w:rPr>
            </w:pPr>
            <w:r>
              <w:rPr>
                <w:rFonts w:ascii="Times New Roman"/>
                <w:sz w:val="18"/>
                <w:szCs w:val="18"/>
              </w:rPr>
              <w:t>15.00~62.50</w:t>
            </w:r>
          </w:p>
        </w:tc>
      </w:tr>
      <w:tr w14:paraId="2AEED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0" w:type="dxa"/>
          </w:tcPr>
          <w:p w14:paraId="51F46367">
            <w:pPr>
              <w:pStyle w:val="26"/>
              <w:widowControl w:val="0"/>
              <w:ind w:firstLine="0" w:firstLineChars="0"/>
              <w:jc w:val="center"/>
              <w:rPr>
                <w:rFonts w:ascii="Times New Roman"/>
                <w:sz w:val="18"/>
                <w:szCs w:val="18"/>
              </w:rPr>
            </w:pPr>
            <w:r>
              <w:rPr>
                <w:rFonts w:ascii="Times New Roman"/>
                <w:sz w:val="18"/>
                <w:szCs w:val="18"/>
              </w:rPr>
              <w:t>Co</w:t>
            </w:r>
          </w:p>
        </w:tc>
        <w:tc>
          <w:tcPr>
            <w:tcW w:w="4530" w:type="dxa"/>
          </w:tcPr>
          <w:p w14:paraId="0089FFDC">
            <w:pPr>
              <w:pStyle w:val="26"/>
              <w:widowControl w:val="0"/>
              <w:ind w:firstLine="0" w:firstLineChars="0"/>
              <w:jc w:val="center"/>
              <w:rPr>
                <w:rFonts w:ascii="Times New Roman"/>
                <w:sz w:val="18"/>
                <w:szCs w:val="18"/>
              </w:rPr>
            </w:pPr>
            <w:r>
              <w:rPr>
                <w:rFonts w:hint="eastAsia" w:ascii="Times New Roman"/>
                <w:sz w:val="18"/>
                <w:szCs w:val="18"/>
              </w:rPr>
              <w:t>0.50</w:t>
            </w:r>
            <w:r>
              <w:rPr>
                <w:rFonts w:ascii="Times New Roman"/>
                <w:sz w:val="18"/>
                <w:szCs w:val="18"/>
              </w:rPr>
              <w:t>~</w:t>
            </w:r>
            <w:r>
              <w:rPr>
                <w:rFonts w:hint="eastAsia" w:ascii="Times New Roman"/>
                <w:sz w:val="18"/>
                <w:szCs w:val="18"/>
              </w:rPr>
              <w:t>25.00</w:t>
            </w:r>
          </w:p>
        </w:tc>
      </w:tr>
      <w:tr w14:paraId="75FD5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0" w:type="dxa"/>
          </w:tcPr>
          <w:p w14:paraId="5FDBDF76">
            <w:pPr>
              <w:pStyle w:val="26"/>
              <w:widowControl w:val="0"/>
              <w:ind w:firstLine="0" w:firstLineChars="0"/>
              <w:jc w:val="center"/>
              <w:rPr>
                <w:rFonts w:ascii="Times New Roman"/>
                <w:sz w:val="18"/>
                <w:szCs w:val="18"/>
              </w:rPr>
            </w:pPr>
            <w:r>
              <w:rPr>
                <w:rFonts w:ascii="Times New Roman"/>
                <w:sz w:val="18"/>
                <w:szCs w:val="18"/>
              </w:rPr>
              <w:t>Mn</w:t>
            </w:r>
          </w:p>
        </w:tc>
        <w:tc>
          <w:tcPr>
            <w:tcW w:w="4530" w:type="dxa"/>
          </w:tcPr>
          <w:p w14:paraId="0A3B78D0">
            <w:pPr>
              <w:pStyle w:val="26"/>
              <w:widowControl w:val="0"/>
              <w:ind w:firstLine="0" w:firstLineChars="0"/>
              <w:jc w:val="center"/>
              <w:rPr>
                <w:rFonts w:ascii="Times New Roman"/>
                <w:sz w:val="18"/>
                <w:szCs w:val="18"/>
              </w:rPr>
            </w:pPr>
            <w:r>
              <w:rPr>
                <w:rFonts w:hint="eastAsia" w:ascii="Times New Roman"/>
                <w:sz w:val="18"/>
                <w:szCs w:val="18"/>
              </w:rPr>
              <w:t>0.50~40.00</w:t>
            </w:r>
          </w:p>
        </w:tc>
      </w:tr>
    </w:tbl>
    <w:p w14:paraId="7F9FA50F">
      <w:pPr>
        <w:pStyle w:val="26"/>
        <w:ind w:firstLine="0" w:firstLineChars="0"/>
        <w:rPr>
          <w:rFonts w:ascii="黑体" w:eastAsia="黑体"/>
        </w:rPr>
      </w:pPr>
    </w:p>
    <w:p w14:paraId="73B010BD">
      <w:pPr>
        <w:pStyle w:val="25"/>
        <w:numPr>
          <w:ilvl w:val="0"/>
          <w:numId w:val="11"/>
        </w:numPr>
        <w:tabs>
          <w:tab w:val="clear" w:pos="840"/>
        </w:tabs>
        <w:spacing w:before="312" w:beforeLines="100" w:after="312" w:afterLines="100"/>
        <w:ind w:left="0" w:firstLine="0"/>
      </w:pPr>
      <w:r>
        <w:rPr>
          <w:rFonts w:hint="eastAsia"/>
        </w:rPr>
        <w:t xml:space="preserve">  规范性引用文件</w:t>
      </w:r>
    </w:p>
    <w:p w14:paraId="33E9C3A2">
      <w:pPr>
        <w:pStyle w:val="26"/>
        <w:ind w:firstLine="420"/>
        <w:rPr>
          <w:rFonts w:ascii="Times New Roman"/>
        </w:rPr>
      </w:pPr>
      <w:r>
        <w:rPr>
          <w:rFonts w:ascii="Times New Roman"/>
        </w:rPr>
        <w:t>下列文件对于本文件的应用是必不可少的。凡是注日期的引用文件，仅所注日期的版本适用于本文件。凡是不注日期的引用文件，其最新版本（包括所有的修改单）适用于本文件。</w:t>
      </w:r>
    </w:p>
    <w:p w14:paraId="78F20EB0">
      <w:pPr>
        <w:pStyle w:val="26"/>
        <w:ind w:firstLine="420"/>
        <w:rPr>
          <w:rFonts w:ascii="Times New Roman"/>
        </w:rPr>
      </w:pPr>
      <w:r>
        <w:rPr>
          <w:rFonts w:hint="eastAsia" w:ascii="Times New Roman"/>
        </w:rPr>
        <w:t>GB/T 6379.2 测量方法与结果的准确度(正确度与精密度) 第2部分:确定标准测量方法重复性与再现性的基本方法</w:t>
      </w:r>
    </w:p>
    <w:p w14:paraId="5D75DE8D">
      <w:pPr>
        <w:ind w:firstLine="420" w:firstLineChars="200"/>
        <w:jc w:val="left"/>
        <w:rPr>
          <w:szCs w:val="21"/>
        </w:rPr>
      </w:pPr>
      <w:r>
        <w:rPr>
          <w:rFonts w:hint="eastAsia"/>
          <w:szCs w:val="21"/>
        </w:rPr>
        <w:t>GB/T 6682 分析实验室用水规格和试验方法</w:t>
      </w:r>
    </w:p>
    <w:p w14:paraId="24FE3273">
      <w:pPr>
        <w:ind w:firstLine="420" w:firstLineChars="200"/>
        <w:jc w:val="left"/>
        <w:rPr>
          <w:szCs w:val="21"/>
        </w:rPr>
      </w:pPr>
      <w:r>
        <w:rPr>
          <w:rFonts w:hint="eastAsia"/>
          <w:szCs w:val="21"/>
        </w:rPr>
        <w:t>GB/T 8170  数值修约规则与极限数值的表示和判定</w:t>
      </w:r>
    </w:p>
    <w:p w14:paraId="19DAA177">
      <w:pPr>
        <w:ind w:firstLine="420" w:firstLineChars="200"/>
        <w:jc w:val="left"/>
        <w:rPr>
          <w:szCs w:val="21"/>
        </w:rPr>
      </w:pPr>
      <w:r>
        <w:rPr>
          <w:rFonts w:hint="eastAsia"/>
          <w:szCs w:val="21"/>
        </w:rPr>
        <w:t>GB/T 16597 冶金产品分析方法 X射线荧光光谱法通则</w:t>
      </w:r>
    </w:p>
    <w:p w14:paraId="2325959C">
      <w:pPr>
        <w:ind w:firstLine="420" w:firstLineChars="200"/>
        <w:jc w:val="left"/>
      </w:pPr>
      <w:r>
        <w:t>GB</w:t>
      </w:r>
      <w:r>
        <w:rPr>
          <w:rFonts w:hint="eastAsia"/>
        </w:rPr>
        <w:t>/</w:t>
      </w:r>
      <w:r>
        <w:t>T 260</w:t>
      </w:r>
      <w:r>
        <w:rPr>
          <w:rFonts w:hint="eastAsia"/>
        </w:rPr>
        <w:t>30 镍钴锰三元素复合氢氧化物</w:t>
      </w:r>
    </w:p>
    <w:p w14:paraId="7CE262D5">
      <w:pPr>
        <w:pStyle w:val="25"/>
        <w:numPr>
          <w:ilvl w:val="0"/>
          <w:numId w:val="11"/>
        </w:numPr>
        <w:tabs>
          <w:tab w:val="clear" w:pos="840"/>
        </w:tabs>
        <w:spacing w:before="312" w:beforeLines="100" w:after="312" w:afterLines="100"/>
        <w:ind w:left="0" w:firstLine="0"/>
      </w:pPr>
      <w:r>
        <w:rPr>
          <w:rFonts w:hint="eastAsia"/>
        </w:rPr>
        <w:t xml:space="preserve">  文件术语和定义</w:t>
      </w:r>
    </w:p>
    <w:p w14:paraId="437B2947">
      <w:pPr>
        <w:pStyle w:val="26"/>
        <w:ind w:firstLine="420"/>
      </w:pPr>
      <w:r>
        <w:rPr>
          <w:rFonts w:hint="eastAsia"/>
        </w:rPr>
        <w:t>本文件没有需要界定的术语和定义。</w:t>
      </w:r>
    </w:p>
    <w:p w14:paraId="57BBD855">
      <w:pPr>
        <w:pStyle w:val="25"/>
        <w:numPr>
          <w:ilvl w:val="0"/>
          <w:numId w:val="11"/>
        </w:numPr>
        <w:tabs>
          <w:tab w:val="clear" w:pos="840"/>
        </w:tabs>
        <w:spacing w:before="312" w:beforeLines="100" w:after="312" w:afterLines="100"/>
        <w:ind w:left="0" w:firstLine="0"/>
      </w:pPr>
      <w:r>
        <w:rPr>
          <w:rFonts w:hint="eastAsia"/>
        </w:rPr>
        <w:t xml:space="preserve">  方法一：粉末压片制样法</w:t>
      </w:r>
    </w:p>
    <w:p w14:paraId="0DD47FC1">
      <w:pPr>
        <w:pStyle w:val="25"/>
        <w:numPr>
          <w:ilvl w:val="0"/>
          <w:numId w:val="0"/>
        </w:numPr>
        <w:tabs>
          <w:tab w:val="clear" w:pos="840"/>
        </w:tabs>
        <w:spacing w:before="312" w:beforeLines="100" w:after="312" w:afterLines="100"/>
      </w:pPr>
      <w:r>
        <w:rPr>
          <w:rFonts w:hint="eastAsia"/>
        </w:rPr>
        <w:t>4.1 方法摘要</w:t>
      </w:r>
    </w:p>
    <w:p w14:paraId="42D78012">
      <w:pPr>
        <w:pStyle w:val="25"/>
        <w:numPr>
          <w:ilvl w:val="0"/>
          <w:numId w:val="0"/>
        </w:numPr>
        <w:tabs>
          <w:tab w:val="clear" w:pos="840"/>
        </w:tabs>
        <w:spacing w:before="312" w:beforeLines="100" w:after="312" w:afterLines="100"/>
        <w:ind w:firstLine="420" w:firstLineChars="200"/>
        <w:rPr>
          <w:rFonts w:hint="default" w:ascii="Times New Roman" w:hAnsi="Times New Roman" w:eastAsia="宋体" w:cs="Times New Roman"/>
        </w:rPr>
      </w:pPr>
      <w:r>
        <w:rPr>
          <w:rFonts w:hint="default" w:ascii="Times New Roman" w:hAnsi="Times New Roman" w:eastAsia="宋体" w:cs="Times New Roman"/>
        </w:rPr>
        <w:t>将试样在一定压力下压制为致密的样片，在选定的仪器条件下，测定样品中待测元素特征谱线的X射线荧光强度，根据待测元素特征谱线的X射线荧光强度与待测元素含量之间的定量关系，选用合适的曲线回归方式与数学校正模式，计算出待测元素的含量。</w:t>
      </w:r>
    </w:p>
    <w:p w14:paraId="5A889DDB">
      <w:pPr>
        <w:pStyle w:val="25"/>
        <w:numPr>
          <w:ilvl w:val="0"/>
          <w:numId w:val="0"/>
        </w:numPr>
        <w:tabs>
          <w:tab w:val="clear" w:pos="840"/>
        </w:tabs>
        <w:spacing w:before="312" w:beforeLines="100" w:after="312" w:afterLines="100"/>
      </w:pPr>
      <w:r>
        <w:rPr>
          <w:rFonts w:hint="eastAsia"/>
        </w:rPr>
        <w:t>4.2 仪器和材料</w:t>
      </w:r>
    </w:p>
    <w:p w14:paraId="558F6D15">
      <w:pPr>
        <w:pStyle w:val="26"/>
        <w:ind w:firstLine="420"/>
      </w:pPr>
      <w:r>
        <w:rPr>
          <w:rFonts w:hint="eastAsia"/>
        </w:rPr>
        <w:t>除非另有说明，所用试剂均为分析纯，在分析中仅使用符合</w:t>
      </w:r>
      <w:r>
        <w:rPr>
          <w:rFonts w:hint="eastAsia" w:ascii="Times New Roman"/>
          <w:szCs w:val="21"/>
        </w:rPr>
        <w:t>GB/T 6682 所</w:t>
      </w:r>
      <w:r>
        <w:rPr>
          <w:rFonts w:hint="eastAsia"/>
        </w:rPr>
        <w:t>规定的二级水或相当纯度的水。</w:t>
      </w:r>
    </w:p>
    <w:p w14:paraId="55887317">
      <w:pPr>
        <w:pStyle w:val="26"/>
        <w:ind w:firstLine="0" w:firstLineChars="0"/>
      </w:pPr>
      <w:r>
        <w:rPr>
          <w:rFonts w:hint="eastAsia" w:ascii="黑体" w:hAnsi="黑体" w:eastAsia="黑体"/>
        </w:rPr>
        <w:t>4.2.1</w:t>
      </w:r>
      <w:r>
        <w:rPr>
          <w:rFonts w:hint="eastAsia"/>
        </w:rPr>
        <w:t xml:space="preserve"> </w:t>
      </w:r>
      <w:r>
        <w:rPr>
          <w:rFonts w:hint="default" w:ascii="Times New Roman" w:hAnsi="Times New Roman" w:cs="Times New Roman"/>
        </w:rPr>
        <w:t>X射线荧光光谱仪。</w:t>
      </w:r>
    </w:p>
    <w:p w14:paraId="48E7E783">
      <w:pPr>
        <w:pStyle w:val="26"/>
        <w:ind w:firstLine="0" w:firstLineChars="0"/>
      </w:pPr>
      <w:r>
        <w:rPr>
          <w:rFonts w:hint="eastAsia" w:ascii="黑体" w:hAnsi="黑体" w:eastAsia="黑体"/>
        </w:rPr>
        <w:t>4.2.2</w:t>
      </w:r>
      <w:r>
        <w:rPr>
          <w:rFonts w:hint="eastAsia"/>
        </w:rPr>
        <w:t xml:space="preserve"> </w:t>
      </w:r>
      <w:r>
        <w:rPr>
          <w:rFonts w:hint="default" w:ascii="Times New Roman" w:hAnsi="Times New Roman" w:cs="Times New Roman"/>
        </w:rPr>
        <w:t>压片机（含压环）：可提供30t压力。</w:t>
      </w:r>
    </w:p>
    <w:p w14:paraId="1C65B301">
      <w:pPr>
        <w:pStyle w:val="26"/>
        <w:ind w:firstLine="0" w:firstLineChars="0"/>
      </w:pPr>
      <w:r>
        <w:rPr>
          <w:rFonts w:hint="eastAsia" w:ascii="黑体" w:hAnsi="黑体" w:eastAsia="黑体"/>
        </w:rPr>
        <w:t>4.2.3</w:t>
      </w:r>
      <w:r>
        <w:rPr>
          <w:rFonts w:hint="eastAsia"/>
        </w:rPr>
        <w:t xml:space="preserve"> 模具：直径应与仪器进样装置适配。</w:t>
      </w:r>
    </w:p>
    <w:p w14:paraId="06CD8171">
      <w:pPr>
        <w:pStyle w:val="26"/>
        <w:ind w:firstLine="0" w:firstLineChars="0"/>
      </w:pPr>
      <w:r>
        <w:rPr>
          <w:rFonts w:hint="eastAsia" w:ascii="黑体" w:hAnsi="黑体" w:eastAsia="黑体"/>
        </w:rPr>
        <w:t>4.2.4</w:t>
      </w:r>
      <w:r>
        <w:rPr>
          <w:rFonts w:hint="eastAsia"/>
        </w:rPr>
        <w:t xml:space="preserve"> </w:t>
      </w:r>
      <w:r>
        <w:rPr>
          <w:rFonts w:hint="default" w:ascii="Times New Roman" w:hAnsi="Times New Roman" w:cs="Times New Roman"/>
        </w:rPr>
        <w:t>电子天平：精度0.1mg。</w:t>
      </w:r>
    </w:p>
    <w:p w14:paraId="588706A9">
      <w:pPr>
        <w:pStyle w:val="26"/>
        <w:ind w:firstLine="0" w:firstLineChars="0"/>
      </w:pPr>
      <w:r>
        <w:rPr>
          <w:rFonts w:hint="eastAsia" w:ascii="黑体" w:hAnsi="黑体" w:eastAsia="黑体"/>
        </w:rPr>
        <w:t>4.2.5</w:t>
      </w:r>
      <w:r>
        <w:rPr>
          <w:rFonts w:hint="eastAsia"/>
        </w:rPr>
        <w:t xml:space="preserve"> </w:t>
      </w:r>
      <w:r>
        <w:rPr>
          <w:rFonts w:hint="default" w:ascii="Times New Roman" w:hAnsi="Times New Roman" w:cs="Times New Roman"/>
        </w:rPr>
        <w:t>粘结剂：硼酸或淀粉（分析纯）。</w:t>
      </w:r>
    </w:p>
    <w:p w14:paraId="4C451D66">
      <w:pPr>
        <w:pStyle w:val="26"/>
        <w:ind w:firstLine="0" w:firstLineChars="0"/>
      </w:pPr>
      <w:r>
        <w:rPr>
          <w:rFonts w:hint="eastAsia" w:ascii="黑体" w:hAnsi="黑体" w:eastAsia="黑体"/>
        </w:rPr>
        <w:t>4.2.6</w:t>
      </w:r>
      <w:r>
        <w:rPr>
          <w:rFonts w:hint="eastAsia"/>
        </w:rPr>
        <w:t xml:space="preserve"> 垫衬剂：硼酸（工业纯）。</w:t>
      </w:r>
    </w:p>
    <w:p w14:paraId="2D7F091E">
      <w:pPr>
        <w:pStyle w:val="25"/>
        <w:numPr>
          <w:ilvl w:val="0"/>
          <w:numId w:val="0"/>
        </w:numPr>
        <w:tabs>
          <w:tab w:val="clear" w:pos="840"/>
        </w:tabs>
        <w:spacing w:before="312" w:beforeLines="100" w:after="312" w:afterLines="100"/>
      </w:pPr>
      <w:r>
        <w:rPr>
          <w:rFonts w:hint="eastAsia"/>
        </w:rPr>
        <w:t>4.3 试样</w:t>
      </w:r>
    </w:p>
    <w:p w14:paraId="67667CD2">
      <w:pPr>
        <w:pStyle w:val="26"/>
        <w:ind w:firstLine="420"/>
      </w:pPr>
      <w:r>
        <w:rPr>
          <w:rFonts w:hint="eastAsia"/>
        </w:rPr>
        <w:t>试样应符合</w:t>
      </w:r>
      <w:r>
        <w:rPr>
          <w:rFonts w:ascii="Times New Roman"/>
        </w:rPr>
        <w:t>GB/T 26300</w:t>
      </w:r>
      <w:r>
        <w:rPr>
          <w:rFonts w:hint="eastAsia"/>
        </w:rPr>
        <w:t>中的相关要求，应保存于干燥、避光的环境中。</w:t>
      </w:r>
    </w:p>
    <w:p w14:paraId="2A14D65D">
      <w:pPr>
        <w:pStyle w:val="50"/>
        <w:numPr>
          <w:ilvl w:val="1"/>
          <w:numId w:val="0"/>
        </w:numPr>
        <w:spacing w:before="156" w:beforeLines="50" w:after="156" w:afterLines="50"/>
        <w:rPr>
          <w:rFonts w:ascii="宋体" w:eastAsia="宋体"/>
        </w:rPr>
      </w:pPr>
      <w:r>
        <w:rPr>
          <w:rFonts w:hint="eastAsia" w:hAnsi="黑体" w:cs="黑体"/>
        </w:rPr>
        <w:t xml:space="preserve">4.4 分析步骤 </w:t>
      </w:r>
      <w:r>
        <w:rPr>
          <w:rFonts w:hint="eastAsia" w:ascii="宋体" w:eastAsia="宋体"/>
        </w:rPr>
        <w:t xml:space="preserve"> </w:t>
      </w:r>
    </w:p>
    <w:p w14:paraId="580525A1">
      <w:pPr>
        <w:pStyle w:val="50"/>
        <w:numPr>
          <w:ilvl w:val="1"/>
          <w:numId w:val="0"/>
        </w:numPr>
        <w:tabs>
          <w:tab w:val="left" w:pos="840"/>
        </w:tabs>
        <w:spacing w:before="156" w:beforeLines="50" w:after="156" w:afterLines="50"/>
        <w:rPr>
          <w:rFonts w:hint="eastAsia" w:ascii="黑体" w:hAnsi="黑体" w:eastAsia="黑体" w:cs="黑体"/>
          <w:sz w:val="21"/>
          <w:lang w:val="en-US" w:eastAsia="zh-CN" w:bidi="ar-SA"/>
        </w:rPr>
      </w:pPr>
      <w:r>
        <w:rPr>
          <w:rFonts w:hint="eastAsia" w:ascii="黑体" w:hAnsi="黑体" w:eastAsia="黑体" w:cs="黑体"/>
          <w:lang w:val="en-US" w:eastAsia="zh-CN"/>
        </w:rPr>
        <w:t>4.4.1 粉末</w:t>
      </w:r>
      <w:r>
        <w:rPr>
          <w:rFonts w:hint="eastAsia" w:ascii="黑体" w:hAnsi="黑体" w:eastAsia="黑体" w:cs="黑体"/>
          <w:sz w:val="21"/>
          <w:lang w:val="en-US" w:eastAsia="zh-CN" w:bidi="ar-SA"/>
        </w:rPr>
        <w:t>样品的压片</w:t>
      </w:r>
    </w:p>
    <w:p w14:paraId="2F094C83">
      <w:pPr>
        <w:pStyle w:val="50"/>
        <w:numPr>
          <w:ilvl w:val="1"/>
          <w:numId w:val="0"/>
        </w:numPr>
        <w:tabs>
          <w:tab w:val="left" w:pos="840"/>
        </w:tabs>
        <w:spacing w:before="156" w:beforeLines="50" w:after="156" w:afterLines="50"/>
        <w:ind w:firstLine="420" w:firstLineChars="200"/>
        <w:rPr>
          <w:rFonts w:hint="default" w:ascii="Times New Roman" w:hAnsi="Times New Roman" w:eastAsia="宋体" w:cs="Times New Roman"/>
          <w:lang w:val="en-US" w:eastAsia="zh-CN"/>
        </w:rPr>
      </w:pPr>
      <w:r>
        <w:rPr>
          <w:rFonts w:hint="default" w:ascii="Times New Roman" w:hAnsi="Times New Roman" w:eastAsia="宋体" w:cs="Times New Roman"/>
          <w:sz w:val="21"/>
          <w:lang w:val="en-US" w:eastAsia="zh-CN" w:bidi="ar-SA"/>
        </w:rPr>
        <w:t>称取一定量的试样(4.3)于模具（4.2.3）内，置于压片机上,压力设置为30t,保压时间为30s,卸压后取出样片，吹去表面杂质后待测，</w:t>
      </w:r>
      <w:bookmarkStart w:id="4" w:name="OLE_LINK2"/>
      <w:r>
        <w:rPr>
          <w:rFonts w:hint="default" w:ascii="Times New Roman" w:hAnsi="Times New Roman" w:eastAsia="宋体" w:cs="Times New Roman"/>
          <w:sz w:val="21"/>
          <w:lang w:val="en-US" w:eastAsia="zh-CN" w:bidi="ar-SA"/>
        </w:rPr>
        <w:t>压片厚度应不小于5mm。</w:t>
      </w:r>
      <w:bookmarkEnd w:id="4"/>
      <w:r>
        <w:rPr>
          <w:rFonts w:hint="default" w:ascii="Times New Roman" w:hAnsi="Times New Roman" w:eastAsia="宋体" w:cs="Times New Roman"/>
          <w:sz w:val="21"/>
          <w:lang w:val="en-US" w:eastAsia="zh-CN" w:bidi="ar-SA"/>
        </w:rPr>
        <w:t>当遇到难以压</w:t>
      </w:r>
      <w:r>
        <w:rPr>
          <w:rFonts w:hint="default" w:ascii="Times New Roman" w:hAnsi="Times New Roman" w:eastAsia="宋体" w:cs="Times New Roman"/>
          <w:lang w:val="en-US" w:eastAsia="zh-CN"/>
        </w:rPr>
        <w:t>制成型的样品时，可按一定比例适量掺入粘结剂（4.2.5）置于压环内或使用垫衬剂（4.2.6）垫底包边进行压制，压力设置为30t,保压时间为30s，压片厚度应不小于5mm。</w:t>
      </w:r>
    </w:p>
    <w:p w14:paraId="327C6250">
      <w:pPr>
        <w:pStyle w:val="50"/>
        <w:numPr>
          <w:ilvl w:val="1"/>
          <w:numId w:val="0"/>
        </w:numPr>
        <w:spacing w:before="156" w:beforeLines="50" w:after="156" w:afterLines="50"/>
        <w:rPr>
          <w:rFonts w:hint="eastAsia" w:ascii="黑体" w:hAnsi="黑体" w:eastAsia="黑体" w:cs="黑体"/>
          <w:sz w:val="21"/>
          <w:lang w:val="en-US" w:eastAsia="zh-CN" w:bidi="ar-SA"/>
        </w:rPr>
      </w:pPr>
      <w:r>
        <w:rPr>
          <w:rFonts w:hint="eastAsia" w:ascii="黑体" w:hAnsi="黑体" w:eastAsia="黑体" w:cs="黑体"/>
          <w:sz w:val="21"/>
          <w:lang w:val="en-US" w:eastAsia="zh-CN" w:bidi="ar-SA"/>
        </w:rPr>
        <w:t>4.4.2  仪器测定</w:t>
      </w:r>
    </w:p>
    <w:p w14:paraId="1FE8FA1D">
      <w:pPr>
        <w:pStyle w:val="26"/>
        <w:ind w:left="0" w:leftChars="0" w:firstLine="0" w:firstLineChars="0"/>
        <w:rPr>
          <w:rFonts w:hint="eastAsia"/>
        </w:rPr>
      </w:pPr>
      <w:r>
        <w:rPr>
          <w:rFonts w:hint="eastAsia" w:ascii="黑体" w:hAnsi="黑体" w:eastAsia="黑体" w:cs="黑体"/>
        </w:rPr>
        <w:t>4.4.2.1</w:t>
      </w:r>
      <w:r>
        <w:rPr>
          <w:rFonts w:hint="eastAsia"/>
        </w:rPr>
        <w:t xml:space="preserve"> </w:t>
      </w:r>
      <w:r>
        <w:rPr>
          <w:rFonts w:hint="eastAsia" w:ascii="黑体" w:hAnsi="黑体" w:eastAsia="黑体" w:cs="Times New Roman"/>
          <w:sz w:val="21"/>
          <w:lang w:val="en-US" w:eastAsia="zh-CN" w:bidi="ar-SA"/>
        </w:rPr>
        <w:t>仪器条件</w:t>
      </w:r>
    </w:p>
    <w:p w14:paraId="2E7A765A">
      <w:pPr>
        <w:pStyle w:val="26"/>
        <w:ind w:left="0" w:leftChars="0" w:firstLine="420" w:firstLineChars="200"/>
        <w:rPr>
          <w:rFonts w:hint="default"/>
        </w:rPr>
      </w:pPr>
      <w:r>
        <w:rPr>
          <w:rFonts w:hint="default"/>
        </w:rPr>
        <w:t>可根据不同测定仪器设备及厂家提供的操作手册，选择合适的测量条件建立测定方法。通过对特征谱线、测量时间、X光管电压及电流、干扰元素及校正系数等参数的优化，确定适宜的仪器条件。</w:t>
      </w:r>
    </w:p>
    <w:p w14:paraId="6D6EA24C">
      <w:pPr>
        <w:pStyle w:val="26"/>
        <w:ind w:left="0" w:leftChars="0" w:firstLine="0" w:firstLineChars="0"/>
        <w:rPr>
          <w:rFonts w:hint="eastAsia" w:ascii="黑体" w:hAnsi="黑体" w:eastAsia="黑体" w:cs="黑体"/>
        </w:rPr>
      </w:pPr>
      <w:r>
        <w:rPr>
          <w:rFonts w:hint="eastAsia" w:ascii="黑体" w:hAnsi="黑体" w:eastAsia="黑体" w:cs="黑体"/>
        </w:rPr>
        <w:t>4.4.2.2  校准曲线的绘制</w:t>
      </w:r>
    </w:p>
    <w:p w14:paraId="30481C15">
      <w:pPr>
        <w:pStyle w:val="26"/>
        <w:ind w:left="0" w:leftChars="0" w:firstLine="420" w:firstLineChars="200"/>
        <w:rPr>
          <w:rFonts w:hint="default" w:ascii="Times New Roman" w:hAnsi="Times New Roman" w:eastAsia="宋体" w:cs="Times New Roman"/>
        </w:rPr>
      </w:pPr>
      <w:r>
        <w:rPr>
          <w:rFonts w:hint="default" w:ascii="Times New Roman" w:hAnsi="Times New Roman" w:eastAsia="宋体" w:cs="Times New Roman"/>
        </w:rPr>
        <w:t>按照与样品的压片(4.4.1)相同操作步骤，选择镍钴锰三元前驱体标准样品或参考样品绘制标准曲线，每个元素都应有一个具有足够的含量范围又有一定梯度的标准，曲线上的标准点不应少于10个，根据4.4.2.1中确定的仪器条件，进行上机测定,以X射线荧光强度(kc/s)为纵坐标,各元素的质量分数(%)为横坐标进行回归分析,建立校准曲线。</w:t>
      </w:r>
    </w:p>
    <w:p w14:paraId="17AFF88E">
      <w:pPr>
        <w:pStyle w:val="26"/>
        <w:ind w:left="0" w:leftChars="0" w:firstLine="0" w:firstLineChars="0"/>
        <w:rPr>
          <w:rFonts w:hint="eastAsia" w:ascii="黑体" w:hAnsi="黑体" w:eastAsia="黑体" w:cs="黑体"/>
        </w:rPr>
      </w:pPr>
      <w:r>
        <w:rPr>
          <w:rFonts w:hint="eastAsia" w:ascii="黑体" w:hAnsi="黑体" w:eastAsia="黑体" w:cs="黑体"/>
        </w:rPr>
        <w:t>4.4.2.3 样品测量</w:t>
      </w:r>
    </w:p>
    <w:p w14:paraId="0DA59453">
      <w:pPr>
        <w:pStyle w:val="26"/>
        <w:ind w:left="0" w:leftChars="0" w:firstLine="420" w:firstLineChars="200"/>
        <w:rPr>
          <w:rFonts w:hint="default" w:ascii="Times New Roman" w:hAnsi="Times New Roman" w:eastAsia="宋体" w:cs="Times New Roman"/>
        </w:rPr>
      </w:pPr>
      <w:r>
        <w:rPr>
          <w:rFonts w:hint="default" w:ascii="Times New Roman" w:hAnsi="Times New Roman" w:eastAsia="宋体" w:cs="Times New Roman"/>
        </w:rPr>
        <w:t>试样在检测前充分混匀</w:t>
      </w:r>
      <w:r>
        <w:rPr>
          <w:rFonts w:hint="eastAsia" w:ascii="Times New Roman" w:cs="Times New Roman"/>
          <w:lang w:eastAsia="zh-CN"/>
        </w:rPr>
        <w:t>，</w:t>
      </w:r>
      <w:r>
        <w:rPr>
          <w:rFonts w:hint="default" w:ascii="Times New Roman" w:hAnsi="Times New Roman" w:eastAsia="宋体" w:cs="Times New Roman"/>
        </w:rPr>
        <w:t>按照与标准曲线的绘制相同的压片条件和仪器条件(4.4.2.1)测量样品压片,利用测得的X射线荧光强度,根据校准曲线求得目标元素含量。对同一试样，至少独立测定两次，结果取其平均值。</w:t>
      </w:r>
    </w:p>
    <w:p w14:paraId="0B229DD4">
      <w:pPr>
        <w:pStyle w:val="25"/>
        <w:numPr>
          <w:ilvl w:val="0"/>
          <w:numId w:val="0"/>
        </w:numPr>
        <w:tabs>
          <w:tab w:val="clear" w:pos="840"/>
        </w:tabs>
        <w:spacing w:before="312" w:beforeLines="100" w:after="312" w:afterLines="100"/>
      </w:pPr>
      <w:r>
        <w:rPr>
          <w:rFonts w:hint="eastAsia"/>
        </w:rPr>
        <w:t>4.5  结果表示</w:t>
      </w:r>
    </w:p>
    <w:p w14:paraId="1044C8D3">
      <w:pPr>
        <w:pStyle w:val="26"/>
        <w:ind w:firstLine="420"/>
      </w:pPr>
      <w:r>
        <w:rPr>
          <w:rFonts w:hint="eastAsia"/>
        </w:rPr>
        <w:t>记录仪器测定个待测元素结果，结果以质量百分含量表示。镍钴锰物质的量分数计算方法按照</w:t>
      </w:r>
      <w:r>
        <w:rPr>
          <w:rFonts w:ascii="Times New Roman"/>
        </w:rPr>
        <w:t>GB/T 26300-2020</w:t>
      </w:r>
      <w:r>
        <w:rPr>
          <w:rFonts w:hint="eastAsia"/>
        </w:rPr>
        <w:t>中附录</w:t>
      </w:r>
      <w:r>
        <w:rPr>
          <w:rFonts w:ascii="Times New Roman"/>
        </w:rPr>
        <w:t>A</w:t>
      </w:r>
      <w:r>
        <w:rPr>
          <w:rFonts w:hint="eastAsia"/>
        </w:rPr>
        <w:t>进行。</w:t>
      </w:r>
    </w:p>
    <w:p w14:paraId="6A7D234A">
      <w:pPr>
        <w:pStyle w:val="50"/>
        <w:numPr>
          <w:ilvl w:val="1"/>
          <w:numId w:val="0"/>
        </w:numPr>
        <w:tabs>
          <w:tab w:val="left" w:pos="840"/>
        </w:tabs>
        <w:spacing w:before="156" w:beforeLines="50" w:after="156" w:afterLines="50"/>
        <w:rPr>
          <w:rFonts w:hint="eastAsia" w:hAnsi="黑体"/>
        </w:rPr>
      </w:pPr>
      <w:r>
        <w:rPr>
          <w:rFonts w:hint="eastAsia" w:hAnsi="黑体" w:cs="黑体"/>
        </w:rPr>
        <w:t>4.6 精密度</w:t>
      </w:r>
    </w:p>
    <w:p w14:paraId="3CD6AAA1">
      <w:pPr>
        <w:pStyle w:val="50"/>
        <w:numPr>
          <w:ilvl w:val="1"/>
          <w:numId w:val="0"/>
        </w:numPr>
        <w:tabs>
          <w:tab w:val="left" w:pos="840"/>
        </w:tabs>
        <w:spacing w:before="156" w:beforeLines="50" w:after="156" w:afterLines="50"/>
        <w:ind w:firstLine="420" w:firstLineChars="200"/>
        <w:rPr>
          <w:rFonts w:ascii="Times New Roman" w:eastAsia="宋体"/>
        </w:rPr>
      </w:pPr>
      <w:r>
        <w:rPr>
          <w:rFonts w:ascii="宋体" w:hAnsi="宋体" w:eastAsia="宋体"/>
        </w:rPr>
        <w:t>精密度由</w:t>
      </w:r>
      <w:r>
        <w:rPr>
          <w:rFonts w:hint="eastAsia" w:ascii="Times New Roman" w:eastAsia="宋体"/>
          <w:lang w:val="en-US" w:eastAsia="zh-CN"/>
        </w:rPr>
        <w:t>13</w:t>
      </w:r>
      <w:r>
        <w:rPr>
          <w:rFonts w:ascii="宋体" w:hAnsi="宋体" w:eastAsia="宋体"/>
        </w:rPr>
        <w:t>家实验室对</w:t>
      </w:r>
      <w:r>
        <w:rPr>
          <w:rFonts w:hint="eastAsia" w:ascii="Times New Roman" w:eastAsia="宋体"/>
          <w:lang w:val="en-US" w:eastAsia="zh-CN"/>
        </w:rPr>
        <w:t>5</w:t>
      </w:r>
      <w:r>
        <w:rPr>
          <w:rFonts w:ascii="宋体" w:hAnsi="宋体" w:eastAsia="宋体"/>
        </w:rPr>
        <w:t>个试样进行</w:t>
      </w:r>
      <w:r>
        <w:rPr>
          <w:rFonts w:hint="eastAsia" w:ascii="宋体" w:hAnsi="宋体" w:eastAsia="宋体"/>
        </w:rPr>
        <w:t>方法的重复性与再现性</w:t>
      </w:r>
      <w:r>
        <w:rPr>
          <w:rFonts w:ascii="宋体" w:hAnsi="宋体" w:eastAsia="宋体"/>
        </w:rPr>
        <w:t>试验，</w:t>
      </w:r>
      <w:r>
        <w:rPr>
          <w:rFonts w:hint="eastAsia" w:ascii="宋体" w:hAnsi="宋体" w:eastAsia="宋体"/>
        </w:rPr>
        <w:t>按照</w:t>
      </w:r>
      <w:r>
        <w:rPr>
          <w:rFonts w:ascii="Times New Roman" w:eastAsia="宋体"/>
        </w:rPr>
        <w:t>GB/T 6379.2</w:t>
      </w:r>
      <w:r>
        <w:rPr>
          <w:rFonts w:hint="eastAsia" w:ascii="宋体" w:hAnsi="宋体" w:eastAsia="宋体"/>
        </w:rPr>
        <w:t>进行</w:t>
      </w:r>
      <w:r>
        <w:rPr>
          <w:rFonts w:ascii="宋体" w:hAnsi="宋体" w:eastAsia="宋体"/>
        </w:rPr>
        <w:t>统计，</w:t>
      </w:r>
      <w:r>
        <w:rPr>
          <w:rFonts w:hint="eastAsia" w:ascii="宋体" w:hAnsi="宋体" w:eastAsia="宋体"/>
        </w:rPr>
        <w:t>结果</w:t>
      </w:r>
      <w:r>
        <w:rPr>
          <w:rFonts w:ascii="宋体" w:hAnsi="宋体" w:eastAsia="宋体"/>
        </w:rPr>
        <w:t>见表</w:t>
      </w:r>
      <w:r>
        <w:rPr>
          <w:rFonts w:ascii="Times New Roman" w:eastAsia="宋体"/>
        </w:rPr>
        <w:t>2。</w:t>
      </w:r>
    </w:p>
    <w:p w14:paraId="5D075483">
      <w:pPr>
        <w:pStyle w:val="26"/>
        <w:rPr>
          <w:rFonts w:ascii="Times New Roman" w:eastAsia="宋体"/>
        </w:rPr>
      </w:pPr>
    </w:p>
    <w:p w14:paraId="2F23B313">
      <w:pPr>
        <w:pStyle w:val="26"/>
        <w:rPr>
          <w:rFonts w:hint="eastAsia" w:ascii="Times New Roman" w:eastAsia="宋体"/>
        </w:rPr>
      </w:pPr>
    </w:p>
    <w:p w14:paraId="1E2E0FE1">
      <w:pPr>
        <w:pStyle w:val="26"/>
        <w:spacing w:line="360" w:lineRule="auto"/>
        <w:ind w:firstLine="420"/>
        <w:jc w:val="center"/>
        <w:rPr>
          <w:rFonts w:hint="eastAsia" w:ascii="黑体" w:hAnsi="黑体" w:eastAsia="黑体"/>
        </w:rPr>
      </w:pPr>
      <w:r>
        <w:rPr>
          <w:rFonts w:hint="eastAsia" w:ascii="黑体" w:hAnsi="黑体" w:eastAsia="黑体"/>
        </w:rPr>
        <w:t>表2 精密度</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8"/>
        <w:gridCol w:w="2737"/>
        <w:gridCol w:w="2288"/>
        <w:gridCol w:w="2197"/>
      </w:tblGrid>
      <w:tr w14:paraId="43901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77371D9A">
            <w:pPr>
              <w:pStyle w:val="26"/>
              <w:widowControl w:val="0"/>
              <w:ind w:firstLine="0" w:firstLineChars="0"/>
              <w:jc w:val="center"/>
              <w:rPr>
                <w:sz w:val="18"/>
                <w:szCs w:val="18"/>
              </w:rPr>
            </w:pPr>
            <w:r>
              <w:rPr>
                <w:rFonts w:hint="eastAsia"/>
                <w:sz w:val="18"/>
                <w:szCs w:val="18"/>
              </w:rPr>
              <w:t>元素</w:t>
            </w:r>
          </w:p>
        </w:tc>
        <w:tc>
          <w:tcPr>
            <w:tcW w:w="2737" w:type="dxa"/>
            <w:vAlign w:val="center"/>
          </w:tcPr>
          <w:p w14:paraId="535FA82F">
            <w:pPr>
              <w:pStyle w:val="26"/>
              <w:widowControl w:val="0"/>
              <w:ind w:firstLine="0" w:firstLineChars="0"/>
              <w:jc w:val="center"/>
              <w:rPr>
                <w:sz w:val="18"/>
                <w:szCs w:val="18"/>
              </w:rPr>
            </w:pPr>
            <w:r>
              <w:rPr>
                <w:rFonts w:hint="eastAsia"/>
                <w:sz w:val="18"/>
                <w:szCs w:val="18"/>
              </w:rPr>
              <w:t>含量范围（质量分数）</w:t>
            </w:r>
            <w:r>
              <w:rPr>
                <w:rFonts w:ascii="Times New Roman"/>
                <w:sz w:val="18"/>
                <w:szCs w:val="18"/>
              </w:rPr>
              <w:t>/%</w:t>
            </w:r>
          </w:p>
        </w:tc>
        <w:tc>
          <w:tcPr>
            <w:tcW w:w="2288" w:type="dxa"/>
            <w:vAlign w:val="center"/>
          </w:tcPr>
          <w:p w14:paraId="14D9A072">
            <w:pPr>
              <w:pStyle w:val="26"/>
              <w:widowControl w:val="0"/>
              <w:ind w:firstLine="0" w:firstLineChars="0"/>
              <w:jc w:val="center"/>
              <w:rPr>
                <w:sz w:val="18"/>
                <w:szCs w:val="18"/>
              </w:rPr>
            </w:pPr>
            <w:r>
              <w:rPr>
                <w:rFonts w:hint="eastAsia"/>
                <w:sz w:val="18"/>
                <w:szCs w:val="18"/>
              </w:rPr>
              <w:t>重复性</w:t>
            </w:r>
            <w:r>
              <w:rPr>
                <w:rFonts w:ascii="Times New Roman"/>
                <w:sz w:val="18"/>
                <w:szCs w:val="18"/>
              </w:rPr>
              <w:t>r/%</w:t>
            </w:r>
          </w:p>
        </w:tc>
        <w:tc>
          <w:tcPr>
            <w:tcW w:w="2197" w:type="dxa"/>
            <w:vAlign w:val="center"/>
          </w:tcPr>
          <w:p w14:paraId="2B6D3290">
            <w:pPr>
              <w:pStyle w:val="26"/>
              <w:widowControl w:val="0"/>
              <w:ind w:firstLine="0" w:firstLineChars="0"/>
              <w:jc w:val="center"/>
              <w:rPr>
                <w:sz w:val="18"/>
                <w:szCs w:val="18"/>
              </w:rPr>
            </w:pPr>
            <w:r>
              <w:rPr>
                <w:rFonts w:hint="eastAsia"/>
                <w:sz w:val="18"/>
                <w:szCs w:val="18"/>
              </w:rPr>
              <w:t>再现性</w:t>
            </w:r>
            <w:r>
              <w:rPr>
                <w:rFonts w:ascii="Times New Roman"/>
                <w:sz w:val="18"/>
                <w:szCs w:val="18"/>
              </w:rPr>
              <w:t>R/%</w:t>
            </w:r>
          </w:p>
        </w:tc>
      </w:tr>
      <w:tr w14:paraId="6A0B4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5C9C1A36">
            <w:pPr>
              <w:pStyle w:val="26"/>
              <w:widowControl w:val="0"/>
              <w:ind w:firstLine="0" w:firstLineChars="0"/>
              <w:jc w:val="center"/>
              <w:rPr>
                <w:rFonts w:ascii="Times New Roman"/>
                <w:sz w:val="18"/>
                <w:szCs w:val="18"/>
              </w:rPr>
            </w:pPr>
            <w:r>
              <w:rPr>
                <w:rFonts w:ascii="Times New Roman"/>
                <w:sz w:val="18"/>
                <w:szCs w:val="18"/>
              </w:rPr>
              <w:t>Ni</w:t>
            </w:r>
          </w:p>
        </w:tc>
        <w:tc>
          <w:tcPr>
            <w:tcW w:w="2737" w:type="dxa"/>
            <w:vAlign w:val="top"/>
          </w:tcPr>
          <w:p w14:paraId="3287436A">
            <w:pPr>
              <w:pStyle w:val="26"/>
              <w:widowControl w:val="0"/>
              <w:ind w:firstLine="0" w:firstLineChars="0"/>
              <w:jc w:val="center"/>
              <w:rPr>
                <w:sz w:val="18"/>
                <w:szCs w:val="18"/>
              </w:rPr>
            </w:pPr>
            <w:r>
              <w:rPr>
                <w:rFonts w:ascii="Times New Roman"/>
                <w:sz w:val="18"/>
                <w:szCs w:val="18"/>
              </w:rPr>
              <w:t>15.00~62.50</w:t>
            </w:r>
          </w:p>
        </w:tc>
        <w:tc>
          <w:tcPr>
            <w:tcW w:w="2288" w:type="dxa"/>
            <w:vAlign w:val="center"/>
          </w:tcPr>
          <w:p w14:paraId="4E4CD167">
            <w:pPr>
              <w:pStyle w:val="26"/>
              <w:widowControl w:val="0"/>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0.18</w:t>
            </w:r>
          </w:p>
        </w:tc>
        <w:tc>
          <w:tcPr>
            <w:tcW w:w="2197" w:type="dxa"/>
            <w:vAlign w:val="center"/>
          </w:tcPr>
          <w:p w14:paraId="5CA6B388">
            <w:pPr>
              <w:pStyle w:val="26"/>
              <w:widowControl w:val="0"/>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0.38</w:t>
            </w:r>
          </w:p>
        </w:tc>
      </w:tr>
      <w:tr w14:paraId="1D077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6AFF2328">
            <w:pPr>
              <w:pStyle w:val="26"/>
              <w:widowControl w:val="0"/>
              <w:ind w:firstLine="0" w:firstLineChars="0"/>
              <w:jc w:val="center"/>
              <w:rPr>
                <w:rFonts w:ascii="Times New Roman"/>
                <w:sz w:val="18"/>
                <w:szCs w:val="18"/>
              </w:rPr>
            </w:pPr>
            <w:r>
              <w:rPr>
                <w:rFonts w:ascii="Times New Roman"/>
                <w:sz w:val="18"/>
                <w:szCs w:val="18"/>
              </w:rPr>
              <w:t>Co</w:t>
            </w:r>
          </w:p>
        </w:tc>
        <w:tc>
          <w:tcPr>
            <w:tcW w:w="2737" w:type="dxa"/>
            <w:vAlign w:val="top"/>
          </w:tcPr>
          <w:p w14:paraId="6A5B2652">
            <w:pPr>
              <w:pStyle w:val="26"/>
              <w:widowControl w:val="0"/>
              <w:ind w:firstLine="0" w:firstLineChars="0"/>
              <w:jc w:val="center"/>
              <w:rPr>
                <w:sz w:val="18"/>
                <w:szCs w:val="18"/>
              </w:rPr>
            </w:pPr>
            <w:r>
              <w:rPr>
                <w:rFonts w:hint="eastAsia" w:ascii="Times New Roman"/>
                <w:sz w:val="18"/>
                <w:szCs w:val="18"/>
              </w:rPr>
              <w:t>0.50</w:t>
            </w:r>
            <w:r>
              <w:rPr>
                <w:rFonts w:ascii="Times New Roman"/>
                <w:sz w:val="18"/>
                <w:szCs w:val="18"/>
              </w:rPr>
              <w:t>~</w:t>
            </w:r>
            <w:r>
              <w:rPr>
                <w:rFonts w:hint="eastAsia" w:ascii="Times New Roman"/>
                <w:sz w:val="18"/>
                <w:szCs w:val="18"/>
              </w:rPr>
              <w:t>25.00</w:t>
            </w:r>
          </w:p>
        </w:tc>
        <w:tc>
          <w:tcPr>
            <w:tcW w:w="2288" w:type="dxa"/>
            <w:vAlign w:val="center"/>
          </w:tcPr>
          <w:p w14:paraId="3E59FAFB">
            <w:pPr>
              <w:pStyle w:val="26"/>
              <w:widowControl w:val="0"/>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0.07</w:t>
            </w:r>
          </w:p>
        </w:tc>
        <w:tc>
          <w:tcPr>
            <w:tcW w:w="2197" w:type="dxa"/>
            <w:vAlign w:val="center"/>
          </w:tcPr>
          <w:p w14:paraId="0BF55E5F">
            <w:pPr>
              <w:pStyle w:val="26"/>
              <w:widowControl w:val="0"/>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0.19</w:t>
            </w:r>
          </w:p>
        </w:tc>
      </w:tr>
      <w:tr w14:paraId="2378E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6A854412">
            <w:pPr>
              <w:pStyle w:val="26"/>
              <w:widowControl w:val="0"/>
              <w:ind w:firstLine="0" w:firstLineChars="0"/>
              <w:jc w:val="center"/>
              <w:rPr>
                <w:rFonts w:ascii="Times New Roman"/>
                <w:sz w:val="18"/>
                <w:szCs w:val="18"/>
              </w:rPr>
            </w:pPr>
            <w:r>
              <w:rPr>
                <w:rFonts w:ascii="Times New Roman"/>
                <w:sz w:val="18"/>
                <w:szCs w:val="18"/>
              </w:rPr>
              <w:t>Mn</w:t>
            </w:r>
          </w:p>
        </w:tc>
        <w:tc>
          <w:tcPr>
            <w:tcW w:w="2737" w:type="dxa"/>
            <w:vAlign w:val="top"/>
          </w:tcPr>
          <w:p w14:paraId="67A50A4F">
            <w:pPr>
              <w:pStyle w:val="26"/>
              <w:widowControl w:val="0"/>
              <w:ind w:firstLine="0" w:firstLineChars="0"/>
              <w:jc w:val="center"/>
              <w:rPr>
                <w:sz w:val="18"/>
                <w:szCs w:val="18"/>
              </w:rPr>
            </w:pPr>
            <w:r>
              <w:rPr>
                <w:rFonts w:hint="eastAsia" w:ascii="Times New Roman"/>
                <w:sz w:val="18"/>
                <w:szCs w:val="18"/>
              </w:rPr>
              <w:t>0.50~40.00</w:t>
            </w:r>
          </w:p>
        </w:tc>
        <w:tc>
          <w:tcPr>
            <w:tcW w:w="2288" w:type="dxa"/>
            <w:vAlign w:val="center"/>
          </w:tcPr>
          <w:p w14:paraId="04562BA7">
            <w:pPr>
              <w:pStyle w:val="26"/>
              <w:widowControl w:val="0"/>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0.10</w:t>
            </w:r>
          </w:p>
        </w:tc>
        <w:tc>
          <w:tcPr>
            <w:tcW w:w="2197" w:type="dxa"/>
            <w:vAlign w:val="center"/>
          </w:tcPr>
          <w:p w14:paraId="38A0FEB9">
            <w:pPr>
              <w:pStyle w:val="26"/>
              <w:widowControl w:val="0"/>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0.24</w:t>
            </w:r>
          </w:p>
        </w:tc>
      </w:tr>
    </w:tbl>
    <w:p w14:paraId="3F945D9D">
      <w:pPr>
        <w:pStyle w:val="50"/>
        <w:numPr>
          <w:ilvl w:val="0"/>
          <w:numId w:val="0"/>
        </w:numPr>
        <w:tabs>
          <w:tab w:val="left" w:pos="840"/>
        </w:tabs>
        <w:spacing w:before="156" w:beforeLines="50" w:after="156" w:afterLines="50"/>
        <w:ind w:leftChars="0"/>
        <w:rPr>
          <w:rFonts w:hint="eastAsia" w:hAnsi="黑体" w:cs="黑体"/>
        </w:rPr>
      </w:pPr>
      <w:r>
        <w:rPr>
          <w:rFonts w:hint="eastAsia" w:hAnsi="黑体" w:cs="黑体"/>
          <w:lang w:val="en-US" w:eastAsia="zh-CN"/>
        </w:rPr>
        <w:t xml:space="preserve">5 </w:t>
      </w:r>
      <w:r>
        <w:rPr>
          <w:rFonts w:hint="eastAsia" w:hAnsi="黑体" w:cs="黑体"/>
        </w:rPr>
        <w:t>方法2：熔铸玻璃片法</w:t>
      </w:r>
    </w:p>
    <w:p w14:paraId="710A3B77">
      <w:pPr>
        <w:pStyle w:val="25"/>
        <w:numPr>
          <w:ilvl w:val="0"/>
          <w:numId w:val="0"/>
        </w:numPr>
        <w:tabs>
          <w:tab w:val="clear" w:pos="840"/>
        </w:tabs>
        <w:spacing w:before="312" w:beforeLines="100" w:after="312" w:afterLines="100"/>
        <w:rPr>
          <w:rFonts w:hint="eastAsia"/>
        </w:rPr>
      </w:pPr>
      <w:r>
        <w:rPr>
          <w:rFonts w:hint="eastAsia"/>
        </w:rPr>
        <w:t>5.1 原理</w:t>
      </w:r>
    </w:p>
    <w:p w14:paraId="7DE7FC9A">
      <w:pPr>
        <w:pStyle w:val="25"/>
        <w:numPr>
          <w:ilvl w:val="0"/>
          <w:numId w:val="0"/>
        </w:numPr>
        <w:tabs>
          <w:tab w:val="clear" w:pos="840"/>
        </w:tabs>
        <w:spacing w:before="312" w:beforeLines="100" w:after="312" w:afterLines="100"/>
        <w:ind w:firstLine="420" w:firstLineChars="200"/>
        <w:rPr>
          <w:rFonts w:hint="default" w:ascii="Times New Roman" w:hAnsi="Times New Roman" w:cs="Times New Roman"/>
        </w:rPr>
      </w:pPr>
      <w:r>
        <w:rPr>
          <w:rFonts w:hint="default" w:ascii="Times New Roman" w:hAnsi="Times New Roman" w:eastAsia="宋体" w:cs="Times New Roman"/>
        </w:rPr>
        <w:t>将粉末试样与合适的熔剂按一定比例混合后，在一定温度下熔铸成适合X射线荧光光谱仪测定的玻璃片。在仪器选定的最佳条件下，测量玻璃片中待测元素特征谱线的X射线荧光强度，并进行元素间的干扰校正，利用</w:t>
      </w:r>
      <w:r>
        <w:rPr>
          <w:rFonts w:hint="default" w:ascii="Times New Roman" w:hAnsi="Times New Roman" w:eastAsia="宋体" w:cs="Times New Roman"/>
          <w:lang w:val="en-US" w:eastAsia="zh-CN"/>
        </w:rPr>
        <w:t>标准样品或</w:t>
      </w:r>
      <w:r>
        <w:rPr>
          <w:rFonts w:hint="default" w:ascii="Times New Roman" w:hAnsi="Times New Roman" w:eastAsia="宋体" w:cs="Times New Roman"/>
        </w:rPr>
        <w:t>自制标准玻璃熔片建立的对应校准曲线，计算出试样中待测元素含量</w:t>
      </w:r>
      <w:r>
        <w:rPr>
          <w:rFonts w:hint="default" w:ascii="Times New Roman" w:hAnsi="Times New Roman" w:cs="Times New Roman"/>
        </w:rPr>
        <w:t>。</w:t>
      </w:r>
    </w:p>
    <w:p w14:paraId="2767D6D1">
      <w:pPr>
        <w:pStyle w:val="25"/>
        <w:numPr>
          <w:ilvl w:val="0"/>
          <w:numId w:val="0"/>
        </w:numPr>
        <w:tabs>
          <w:tab w:val="clear" w:pos="840"/>
        </w:tabs>
        <w:spacing w:before="312" w:beforeLines="100" w:after="312" w:afterLines="100"/>
        <w:rPr>
          <w:rFonts w:hint="eastAsia"/>
        </w:rPr>
      </w:pPr>
      <w:r>
        <w:rPr>
          <w:rFonts w:hint="eastAsia"/>
        </w:rPr>
        <w:t>5.2 试剂和材料</w:t>
      </w:r>
    </w:p>
    <w:p w14:paraId="4BBA0F39">
      <w:pPr>
        <w:pStyle w:val="25"/>
        <w:numPr>
          <w:ilvl w:val="0"/>
          <w:numId w:val="0"/>
        </w:numPr>
        <w:tabs>
          <w:tab w:val="clear" w:pos="840"/>
        </w:tabs>
        <w:spacing w:before="312" w:beforeLines="100" w:after="312" w:afterLines="100"/>
        <w:ind w:firstLine="420" w:firstLineChars="200"/>
        <w:rPr>
          <w:rFonts w:hint="default" w:ascii="Times New Roman" w:hAnsi="Times New Roman" w:eastAsia="宋体" w:cs="Times New Roman"/>
        </w:rPr>
      </w:pPr>
      <w:r>
        <w:rPr>
          <w:rFonts w:hint="default" w:ascii="Times New Roman" w:hAnsi="Times New Roman" w:eastAsia="宋体" w:cs="Times New Roman"/>
        </w:rPr>
        <w:t>除非另有说明，在分析中仅使用确认为分析纯的试剂和符合GB/T 6682规定的二级水或其纯度相当的水。</w:t>
      </w:r>
    </w:p>
    <w:p w14:paraId="25AEAFA1">
      <w:pPr>
        <w:pStyle w:val="26"/>
        <w:ind w:firstLine="0" w:firstLineChars="0"/>
        <w:rPr>
          <w:rFonts w:hint="eastAsia" w:hAnsi="宋体"/>
        </w:rPr>
      </w:pPr>
      <w:r>
        <w:rPr>
          <w:rFonts w:hint="eastAsia" w:ascii="黑体" w:hAnsi="黑体" w:eastAsia="黑体"/>
        </w:rPr>
        <w:t>5.2.1</w:t>
      </w:r>
      <w:r>
        <w:rPr>
          <w:rFonts w:hint="eastAsia" w:hAnsi="宋体"/>
        </w:rPr>
        <w:t xml:space="preserve"> 氧化镍（</w:t>
      </w:r>
      <w:r>
        <w:rPr>
          <w:rFonts w:ascii="Times New Roman"/>
        </w:rPr>
        <w:t>NiO</w:t>
      </w:r>
      <w:r>
        <w:rPr>
          <w:rFonts w:hint="eastAsia" w:hAnsi="宋体"/>
        </w:rPr>
        <w:t>）：高纯。</w:t>
      </w:r>
    </w:p>
    <w:p w14:paraId="7087DBFD">
      <w:pPr>
        <w:pStyle w:val="26"/>
        <w:ind w:firstLine="420"/>
        <w:rPr>
          <w:rFonts w:hint="eastAsia" w:hAnsi="宋体"/>
        </w:rPr>
      </w:pPr>
      <w:r>
        <w:rPr>
          <w:rFonts w:hint="eastAsia" w:hAnsi="宋体"/>
        </w:rPr>
        <w:t>使用前，</w:t>
      </w:r>
      <w:r>
        <w:rPr>
          <w:rFonts w:hint="default" w:ascii="Times New Roman" w:hAnsi="Times New Roman" w:cs="Times New Roman"/>
        </w:rPr>
        <w:t>于800℃高</w:t>
      </w:r>
      <w:r>
        <w:rPr>
          <w:rFonts w:hint="eastAsia" w:hAnsi="宋体"/>
        </w:rPr>
        <w:t>温炉中灼烧不少于</w:t>
      </w:r>
      <w:r>
        <w:rPr>
          <w:rFonts w:ascii="Times New Roman"/>
        </w:rPr>
        <w:t>1h</w:t>
      </w:r>
      <w:r>
        <w:rPr>
          <w:rFonts w:hint="eastAsia" w:hAnsi="宋体"/>
        </w:rPr>
        <w:t>，稍冷后置于干燥器中冷却备用。</w:t>
      </w:r>
    </w:p>
    <w:p w14:paraId="3B84BD49">
      <w:pPr>
        <w:pStyle w:val="26"/>
        <w:ind w:firstLine="0" w:firstLineChars="0"/>
        <w:rPr>
          <w:rFonts w:hint="eastAsia" w:hAnsi="宋体"/>
        </w:rPr>
      </w:pPr>
      <w:r>
        <w:rPr>
          <w:rFonts w:hint="eastAsia" w:ascii="黑体" w:hAnsi="黑体" w:eastAsia="黑体"/>
        </w:rPr>
        <w:t>5.2.2</w:t>
      </w:r>
      <w:r>
        <w:rPr>
          <w:rFonts w:hint="eastAsia" w:hAnsi="宋体"/>
        </w:rPr>
        <w:t xml:space="preserve"> 四氧化三钴</w:t>
      </w:r>
      <w:r>
        <w:rPr>
          <w:rFonts w:ascii="Times New Roman"/>
        </w:rPr>
        <w:t>（Co</w:t>
      </w:r>
      <w:r>
        <w:rPr>
          <w:rFonts w:ascii="Times New Roman"/>
          <w:vertAlign w:val="subscript"/>
        </w:rPr>
        <w:t>3</w:t>
      </w:r>
      <w:r>
        <w:rPr>
          <w:rFonts w:ascii="Times New Roman"/>
        </w:rPr>
        <w:t>O</w:t>
      </w:r>
      <w:r>
        <w:rPr>
          <w:rFonts w:ascii="Times New Roman"/>
          <w:vertAlign w:val="subscript"/>
        </w:rPr>
        <w:t>4</w:t>
      </w:r>
      <w:r>
        <w:rPr>
          <w:rFonts w:ascii="Times New Roman"/>
        </w:rPr>
        <w:t>）</w:t>
      </w:r>
      <w:r>
        <w:rPr>
          <w:rFonts w:hint="eastAsia" w:hAnsi="宋体"/>
        </w:rPr>
        <w:t>：高纯。</w:t>
      </w:r>
    </w:p>
    <w:p w14:paraId="18632AE8">
      <w:pPr>
        <w:pStyle w:val="26"/>
        <w:ind w:firstLine="420"/>
        <w:rPr>
          <w:rFonts w:hint="eastAsia" w:hAnsi="宋体"/>
        </w:rPr>
      </w:pPr>
      <w:r>
        <w:rPr>
          <w:rFonts w:hint="eastAsia" w:hAnsi="宋体"/>
        </w:rPr>
        <w:t>使用前，于</w:t>
      </w:r>
      <w:r>
        <w:rPr>
          <w:rFonts w:ascii="Times New Roman"/>
        </w:rPr>
        <w:t>400℃</w:t>
      </w:r>
      <w:r>
        <w:rPr>
          <w:rFonts w:hint="eastAsia" w:hAnsi="宋体"/>
        </w:rPr>
        <w:t>高温炉中灼烧</w:t>
      </w:r>
      <w:r>
        <w:rPr>
          <w:rFonts w:ascii="Times New Roman"/>
        </w:rPr>
        <w:t>1h</w:t>
      </w:r>
      <w:r>
        <w:rPr>
          <w:rFonts w:hint="eastAsia" w:hAnsi="宋体"/>
        </w:rPr>
        <w:t>，稍冷后置于干燥器中冷却备用。</w:t>
      </w:r>
    </w:p>
    <w:p w14:paraId="73454CBD">
      <w:pPr>
        <w:pStyle w:val="26"/>
        <w:ind w:firstLine="0" w:firstLineChars="0"/>
        <w:rPr>
          <w:rFonts w:hint="eastAsia" w:hAnsi="宋体"/>
        </w:rPr>
      </w:pPr>
      <w:r>
        <w:rPr>
          <w:rFonts w:hint="eastAsia" w:ascii="黑体" w:hAnsi="黑体" w:eastAsia="黑体"/>
        </w:rPr>
        <w:t xml:space="preserve">5.2.3 </w:t>
      </w:r>
      <w:r>
        <w:rPr>
          <w:rFonts w:hint="eastAsia" w:hAnsi="宋体"/>
        </w:rPr>
        <w:t>氧化锰</w:t>
      </w:r>
      <w:r>
        <w:rPr>
          <w:rFonts w:ascii="Times New Roman"/>
        </w:rPr>
        <w:t>（MnO</w:t>
      </w:r>
      <w:r>
        <w:rPr>
          <w:rFonts w:hint="eastAsia" w:ascii="Times New Roman"/>
          <w:vertAlign w:val="subscript"/>
          <w:lang w:val="en-US" w:eastAsia="zh-CN"/>
        </w:rPr>
        <w:t>2</w:t>
      </w:r>
      <w:r>
        <w:rPr>
          <w:rFonts w:ascii="Times New Roman"/>
        </w:rPr>
        <w:t>）</w:t>
      </w:r>
      <w:r>
        <w:rPr>
          <w:rFonts w:hint="eastAsia" w:hAnsi="宋体"/>
        </w:rPr>
        <w:t>：高纯。</w:t>
      </w:r>
    </w:p>
    <w:p w14:paraId="67104A59">
      <w:pPr>
        <w:pStyle w:val="26"/>
        <w:ind w:firstLine="420"/>
        <w:rPr>
          <w:rFonts w:hint="default" w:ascii="Times New Roman" w:hAnsi="Times New Roman" w:cs="Times New Roman"/>
        </w:rPr>
      </w:pPr>
      <w:r>
        <w:rPr>
          <w:rFonts w:hint="default" w:ascii="Times New Roman" w:hAnsi="Times New Roman" w:cs="Times New Roman"/>
        </w:rPr>
        <w:t>使用前，于</w:t>
      </w:r>
      <w:r>
        <w:rPr>
          <w:rFonts w:hint="default" w:ascii="Times New Roman" w:hAnsi="Times New Roman" w:cs="Times New Roman"/>
          <w:lang w:val="en-US" w:eastAsia="zh-CN"/>
        </w:rPr>
        <w:t>500</w:t>
      </w:r>
      <w:r>
        <w:rPr>
          <w:rFonts w:hint="default" w:ascii="Times New Roman" w:hAnsi="Times New Roman" w:cs="Times New Roman"/>
        </w:rPr>
        <w:t>℃高温炉中灼烧不少于1h，稍冷后置于干燥器中冷却备用。</w:t>
      </w:r>
    </w:p>
    <w:p w14:paraId="14EC8D28">
      <w:pPr>
        <w:pStyle w:val="26"/>
        <w:ind w:firstLine="0" w:firstLineChars="0"/>
        <w:rPr>
          <w:rFonts w:hint="eastAsia" w:hAnsi="宋体"/>
        </w:rPr>
      </w:pPr>
      <w:r>
        <w:rPr>
          <w:rFonts w:hint="eastAsia" w:ascii="黑体" w:hAnsi="黑体" w:eastAsia="黑体"/>
        </w:rPr>
        <w:t>5.2.4</w:t>
      </w:r>
      <w:r>
        <w:rPr>
          <w:rFonts w:hint="eastAsia" w:hAnsi="宋体"/>
        </w:rPr>
        <w:t xml:space="preserve"> 三氧化二铝：优级纯，</w:t>
      </w:r>
      <w:r>
        <w:rPr>
          <w:rFonts w:ascii="Times New Roman"/>
        </w:rPr>
        <w:t>α-</w:t>
      </w:r>
      <w:r>
        <w:rPr>
          <w:rFonts w:hint="eastAsia" w:hAnsi="宋体"/>
        </w:rPr>
        <w:t>型。</w:t>
      </w:r>
    </w:p>
    <w:p w14:paraId="1CD289B8">
      <w:pPr>
        <w:pStyle w:val="26"/>
        <w:ind w:firstLine="420"/>
        <w:rPr>
          <w:rFonts w:hint="eastAsia" w:hAnsi="宋体"/>
        </w:rPr>
      </w:pPr>
      <w:r>
        <w:rPr>
          <w:rFonts w:hint="default" w:ascii="Times New Roman" w:hAnsi="Times New Roman" w:cs="Times New Roman"/>
        </w:rPr>
        <w:t>将三氧化二铝在1000℃下，至少灼烧 2h (如果三氧化二铝不是α-型，那么应加热到1250℃，至少灼烧2h，使之转变成α-型)，然</w:t>
      </w:r>
      <w:r>
        <w:rPr>
          <w:rFonts w:hint="eastAsia" w:hAnsi="宋体"/>
        </w:rPr>
        <w:t>后在干燥器中冷却。</w:t>
      </w:r>
    </w:p>
    <w:p w14:paraId="7FB50800">
      <w:pPr>
        <w:pStyle w:val="26"/>
        <w:ind w:firstLine="0" w:firstLineChars="0"/>
        <w:rPr>
          <w:rFonts w:hint="eastAsia" w:hAnsi="宋体"/>
        </w:rPr>
      </w:pPr>
      <w:r>
        <w:rPr>
          <w:rFonts w:hint="eastAsia" w:ascii="黑体" w:hAnsi="黑体" w:eastAsia="黑体"/>
        </w:rPr>
        <w:t>5.2.5</w:t>
      </w:r>
      <w:r>
        <w:rPr>
          <w:rFonts w:hint="eastAsia" w:hAnsi="宋体"/>
        </w:rPr>
        <w:t xml:space="preserve"> 二氧化钛</w:t>
      </w:r>
      <w:r>
        <w:rPr>
          <w:rFonts w:ascii="Times New Roman"/>
        </w:rPr>
        <w:t>（TiO</w:t>
      </w:r>
      <w:r>
        <w:rPr>
          <w:rFonts w:ascii="Times New Roman"/>
          <w:vertAlign w:val="subscript"/>
        </w:rPr>
        <w:t>2</w:t>
      </w:r>
      <w:r>
        <w:rPr>
          <w:rFonts w:ascii="Times New Roman"/>
        </w:rPr>
        <w:t>）</w:t>
      </w:r>
      <w:r>
        <w:rPr>
          <w:rFonts w:hint="eastAsia" w:hAnsi="宋体"/>
        </w:rPr>
        <w:t>：优级纯。</w:t>
      </w:r>
    </w:p>
    <w:p w14:paraId="78518543">
      <w:pPr>
        <w:pStyle w:val="26"/>
        <w:ind w:firstLine="420"/>
        <w:rPr>
          <w:rFonts w:hint="eastAsia" w:hAnsi="宋体"/>
        </w:rPr>
      </w:pPr>
      <w:r>
        <w:rPr>
          <w:rFonts w:hint="eastAsia" w:hAnsi="宋体"/>
        </w:rPr>
        <w:t>使用前，于</w:t>
      </w:r>
      <w:r>
        <w:rPr>
          <w:rFonts w:ascii="Times New Roman"/>
        </w:rPr>
        <w:t>1000℃</w:t>
      </w:r>
      <w:r>
        <w:rPr>
          <w:rFonts w:hint="eastAsia" w:hAnsi="宋体"/>
        </w:rPr>
        <w:t>高温炉中灼烧不少于</w:t>
      </w:r>
      <w:r>
        <w:rPr>
          <w:rFonts w:ascii="Times New Roman"/>
        </w:rPr>
        <w:t>1h</w:t>
      </w:r>
      <w:r>
        <w:rPr>
          <w:rFonts w:hint="eastAsia" w:hAnsi="宋体"/>
        </w:rPr>
        <w:t>，稍冷后置于干燥器中冷却备用。</w:t>
      </w:r>
    </w:p>
    <w:p w14:paraId="1E63E890">
      <w:pPr>
        <w:pStyle w:val="26"/>
        <w:ind w:firstLine="0" w:firstLineChars="0"/>
        <w:rPr>
          <w:rFonts w:hint="eastAsia" w:hAnsi="宋体"/>
        </w:rPr>
      </w:pPr>
      <w:r>
        <w:rPr>
          <w:rFonts w:hint="eastAsia" w:ascii="黑体" w:hAnsi="黑体" w:eastAsia="黑体"/>
        </w:rPr>
        <w:t>5.2.6</w:t>
      </w:r>
      <w:r>
        <w:rPr>
          <w:rFonts w:hint="eastAsia" w:hAnsi="宋体"/>
        </w:rPr>
        <w:t xml:space="preserve"> 氧化镁</w:t>
      </w:r>
      <w:r>
        <w:rPr>
          <w:rFonts w:ascii="Times New Roman"/>
        </w:rPr>
        <w:t>（MgO）</w:t>
      </w:r>
      <w:r>
        <w:rPr>
          <w:rFonts w:hint="eastAsia" w:hAnsi="宋体"/>
        </w:rPr>
        <w:t>：优级纯。</w:t>
      </w:r>
    </w:p>
    <w:p w14:paraId="48A474E4">
      <w:pPr>
        <w:pStyle w:val="26"/>
        <w:ind w:firstLine="420"/>
        <w:rPr>
          <w:rFonts w:hint="eastAsia" w:hAnsi="宋体"/>
        </w:rPr>
      </w:pPr>
      <w:r>
        <w:rPr>
          <w:rFonts w:hint="eastAsia" w:hAnsi="宋体"/>
        </w:rPr>
        <w:t>使用前，于1000℃高温炉中灼烧不少于</w:t>
      </w:r>
      <w:r>
        <w:rPr>
          <w:rFonts w:ascii="Times New Roman"/>
        </w:rPr>
        <w:t>1h</w:t>
      </w:r>
      <w:r>
        <w:rPr>
          <w:rFonts w:hint="eastAsia" w:hAnsi="宋体"/>
        </w:rPr>
        <w:t>，稍冷后置于干燥器中冷却备用。</w:t>
      </w:r>
    </w:p>
    <w:p w14:paraId="18607A00">
      <w:pPr>
        <w:pStyle w:val="26"/>
        <w:ind w:firstLine="0" w:firstLineChars="0"/>
        <w:rPr>
          <w:rFonts w:hint="eastAsia" w:hAnsi="宋体"/>
        </w:rPr>
      </w:pPr>
      <w:r>
        <w:rPr>
          <w:rFonts w:hint="eastAsia" w:ascii="黑体" w:hAnsi="黑体" w:eastAsia="黑体"/>
        </w:rPr>
        <w:t>5.2.7</w:t>
      </w:r>
      <w:r>
        <w:rPr>
          <w:rFonts w:hint="eastAsia" w:hAnsi="宋体"/>
        </w:rPr>
        <w:t xml:space="preserve"> 硫酸锶</w:t>
      </w:r>
      <w:r>
        <w:rPr>
          <w:rFonts w:ascii="Times New Roman"/>
        </w:rPr>
        <w:t>（SrSO</w:t>
      </w:r>
      <w:r>
        <w:rPr>
          <w:rFonts w:ascii="Times New Roman"/>
          <w:vertAlign w:val="subscript"/>
        </w:rPr>
        <w:t>4</w:t>
      </w:r>
      <w:r>
        <w:rPr>
          <w:rFonts w:ascii="Times New Roman"/>
        </w:rPr>
        <w:t>）</w:t>
      </w:r>
      <w:r>
        <w:rPr>
          <w:rFonts w:hint="eastAsia" w:hAnsi="宋体"/>
        </w:rPr>
        <w:t>：优级纯。</w:t>
      </w:r>
    </w:p>
    <w:p w14:paraId="40CEAE23">
      <w:pPr>
        <w:pStyle w:val="26"/>
        <w:ind w:firstLine="420"/>
        <w:rPr>
          <w:rFonts w:hint="eastAsia" w:hAnsi="宋体"/>
        </w:rPr>
      </w:pPr>
      <w:r>
        <w:rPr>
          <w:rFonts w:hint="eastAsia" w:hAnsi="宋体"/>
        </w:rPr>
        <w:t>使用前，于</w:t>
      </w:r>
      <w:r>
        <w:rPr>
          <w:rFonts w:ascii="Times New Roman"/>
        </w:rPr>
        <w:t>500℃</w:t>
      </w:r>
      <w:r>
        <w:rPr>
          <w:rFonts w:hint="eastAsia" w:hAnsi="宋体"/>
        </w:rPr>
        <w:t>高温炉中灼烧不少于</w:t>
      </w:r>
      <w:r>
        <w:rPr>
          <w:rFonts w:ascii="黑体" w:hAnsi="黑体" w:eastAsia="黑体"/>
        </w:rPr>
        <w:t>1h</w:t>
      </w:r>
      <w:r>
        <w:rPr>
          <w:rFonts w:hint="eastAsia" w:hAnsi="宋体"/>
        </w:rPr>
        <w:t>，稍冷后置于干燥器中冷却备用。</w:t>
      </w:r>
    </w:p>
    <w:p w14:paraId="651C615E">
      <w:pPr>
        <w:pStyle w:val="26"/>
        <w:ind w:firstLine="0" w:firstLineChars="0"/>
        <w:rPr>
          <w:rFonts w:hint="eastAsia" w:hAnsi="宋体"/>
        </w:rPr>
      </w:pPr>
      <w:r>
        <w:rPr>
          <w:rFonts w:hint="eastAsia" w:ascii="黑体" w:hAnsi="黑体" w:eastAsia="黑体"/>
        </w:rPr>
        <w:t>5.2.8</w:t>
      </w:r>
      <w:r>
        <w:rPr>
          <w:rFonts w:hint="eastAsia" w:hAnsi="宋体"/>
        </w:rPr>
        <w:t xml:space="preserve"> 二氧化锆</w:t>
      </w:r>
      <w:r>
        <w:rPr>
          <w:rFonts w:ascii="Times New Roman"/>
        </w:rPr>
        <w:t>（ZrO</w:t>
      </w:r>
      <w:r>
        <w:rPr>
          <w:rFonts w:ascii="Times New Roman"/>
          <w:vertAlign w:val="subscript"/>
        </w:rPr>
        <w:t>2</w:t>
      </w:r>
      <w:r>
        <w:rPr>
          <w:rFonts w:ascii="Times New Roman"/>
        </w:rPr>
        <w:t>）</w:t>
      </w:r>
      <w:r>
        <w:rPr>
          <w:rFonts w:hint="eastAsia" w:hAnsi="宋体"/>
        </w:rPr>
        <w:t>：优级纯。</w:t>
      </w:r>
    </w:p>
    <w:p w14:paraId="0BD6D7C5">
      <w:pPr>
        <w:pStyle w:val="26"/>
        <w:ind w:firstLine="420"/>
        <w:rPr>
          <w:rFonts w:hint="eastAsia" w:hAnsi="宋体"/>
        </w:rPr>
      </w:pPr>
      <w:r>
        <w:rPr>
          <w:rFonts w:hint="eastAsia" w:hAnsi="宋体"/>
        </w:rPr>
        <w:t>使用前，于</w:t>
      </w:r>
      <w:r>
        <w:rPr>
          <w:rFonts w:ascii="Times New Roman"/>
        </w:rPr>
        <w:t>800℃</w:t>
      </w:r>
      <w:r>
        <w:rPr>
          <w:rFonts w:hint="eastAsia" w:hAnsi="宋体"/>
        </w:rPr>
        <w:t>高温炉中灼烧不少于</w:t>
      </w:r>
      <w:r>
        <w:rPr>
          <w:rFonts w:ascii="Times New Roman"/>
        </w:rPr>
        <w:t>1h</w:t>
      </w:r>
      <w:r>
        <w:rPr>
          <w:rFonts w:hint="eastAsia" w:hAnsi="宋体"/>
        </w:rPr>
        <w:t>，稍冷后置于干燥器中</w:t>
      </w:r>
      <w:r>
        <w:rPr>
          <w:rFonts w:hint="eastAsia" w:ascii="黑体" w:hAnsi="黑体" w:eastAsia="黑体"/>
        </w:rPr>
        <w:t>冷却</w:t>
      </w:r>
      <w:r>
        <w:rPr>
          <w:rFonts w:hint="eastAsia" w:hAnsi="宋体"/>
        </w:rPr>
        <w:t>备用。</w:t>
      </w:r>
    </w:p>
    <w:p w14:paraId="27250083">
      <w:pPr>
        <w:pStyle w:val="26"/>
        <w:ind w:firstLine="0" w:firstLineChars="0"/>
        <w:rPr>
          <w:rFonts w:hint="eastAsia" w:hAnsi="宋体"/>
        </w:rPr>
      </w:pPr>
      <w:r>
        <w:rPr>
          <w:rFonts w:hint="eastAsia" w:ascii="黑体" w:hAnsi="黑体" w:eastAsia="黑体"/>
        </w:rPr>
        <w:t>5.2.9</w:t>
      </w:r>
      <w:r>
        <w:rPr>
          <w:rFonts w:hint="eastAsia" w:hAnsi="宋体"/>
        </w:rPr>
        <w:t xml:space="preserve"> 三氧化二铁</w:t>
      </w:r>
      <w:r>
        <w:rPr>
          <w:rFonts w:ascii="Times New Roman"/>
        </w:rPr>
        <w:t>（Fe</w:t>
      </w:r>
      <w:r>
        <w:rPr>
          <w:rFonts w:ascii="Times New Roman"/>
          <w:vertAlign w:val="subscript"/>
        </w:rPr>
        <w:t>2</w:t>
      </w:r>
      <w:r>
        <w:rPr>
          <w:rFonts w:ascii="Times New Roman"/>
        </w:rPr>
        <w:t>O</w:t>
      </w:r>
      <w:r>
        <w:rPr>
          <w:rFonts w:ascii="Times New Roman"/>
          <w:vertAlign w:val="subscript"/>
        </w:rPr>
        <w:t>3</w:t>
      </w:r>
      <w:r>
        <w:rPr>
          <w:rFonts w:ascii="Times New Roman"/>
        </w:rPr>
        <w:t>）</w:t>
      </w:r>
      <w:r>
        <w:rPr>
          <w:rFonts w:hint="eastAsia" w:hAnsi="宋体"/>
        </w:rPr>
        <w:t>：优级纯。</w:t>
      </w:r>
    </w:p>
    <w:p w14:paraId="3E674626">
      <w:pPr>
        <w:pStyle w:val="26"/>
        <w:ind w:firstLine="420"/>
        <w:rPr>
          <w:rFonts w:hint="eastAsia" w:hAnsi="宋体"/>
        </w:rPr>
      </w:pPr>
      <w:r>
        <w:rPr>
          <w:rFonts w:hint="eastAsia" w:hAnsi="宋体"/>
        </w:rPr>
        <w:t>使用前，于</w:t>
      </w:r>
      <w:r>
        <w:rPr>
          <w:rFonts w:ascii="Times New Roman"/>
        </w:rPr>
        <w:t>1000℃</w:t>
      </w:r>
      <w:r>
        <w:rPr>
          <w:rFonts w:hint="eastAsia" w:hAnsi="宋体"/>
        </w:rPr>
        <w:t>高温炉中灼烧不少于</w:t>
      </w:r>
      <w:r>
        <w:rPr>
          <w:rFonts w:ascii="Times New Roman"/>
        </w:rPr>
        <w:t>1h</w:t>
      </w:r>
      <w:r>
        <w:rPr>
          <w:rFonts w:hint="eastAsia" w:hAnsi="宋体"/>
        </w:rPr>
        <w:t>，稍冷后置于干燥器中冷却备用。</w:t>
      </w:r>
    </w:p>
    <w:p w14:paraId="4DAD3C5E">
      <w:pPr>
        <w:pStyle w:val="26"/>
        <w:ind w:firstLine="0" w:firstLineChars="0"/>
        <w:rPr>
          <w:rFonts w:hint="eastAsia" w:hAnsi="宋体"/>
        </w:rPr>
      </w:pPr>
      <w:r>
        <w:rPr>
          <w:rFonts w:hint="eastAsia" w:ascii="黑体" w:hAnsi="黑体" w:eastAsia="黑体"/>
        </w:rPr>
        <w:t>5.2.10</w:t>
      </w:r>
      <w:r>
        <w:rPr>
          <w:rFonts w:hint="eastAsia" w:hAnsi="宋体"/>
        </w:rPr>
        <w:t xml:space="preserve"> 碳酸钠</w:t>
      </w:r>
      <w:r>
        <w:rPr>
          <w:rFonts w:ascii="Times New Roman"/>
        </w:rPr>
        <w:t>（Na</w:t>
      </w:r>
      <w:r>
        <w:rPr>
          <w:rFonts w:ascii="Times New Roman"/>
          <w:vertAlign w:val="subscript"/>
        </w:rPr>
        <w:t>2</w:t>
      </w:r>
      <w:r>
        <w:rPr>
          <w:rFonts w:ascii="Times New Roman"/>
        </w:rPr>
        <w:t>CO</w:t>
      </w:r>
      <w:r>
        <w:rPr>
          <w:rFonts w:ascii="Times New Roman"/>
          <w:vertAlign w:val="subscript"/>
        </w:rPr>
        <w:t>3</w:t>
      </w:r>
      <w:r>
        <w:rPr>
          <w:rFonts w:ascii="Times New Roman"/>
        </w:rPr>
        <w:t>）</w:t>
      </w:r>
      <w:r>
        <w:rPr>
          <w:rFonts w:hint="eastAsia" w:hAnsi="宋体"/>
        </w:rPr>
        <w:t>：优级纯。</w:t>
      </w:r>
    </w:p>
    <w:p w14:paraId="16B7A56D">
      <w:pPr>
        <w:pStyle w:val="26"/>
        <w:ind w:firstLine="420"/>
        <w:rPr>
          <w:rFonts w:hint="eastAsia" w:hAnsi="宋体"/>
        </w:rPr>
      </w:pPr>
      <w:r>
        <w:rPr>
          <w:rFonts w:hint="eastAsia" w:hAnsi="宋体"/>
        </w:rPr>
        <w:t>使用前在</w:t>
      </w:r>
      <w:r>
        <w:rPr>
          <w:rFonts w:ascii="Times New Roman"/>
        </w:rPr>
        <w:t>105℃</w:t>
      </w:r>
      <w:r>
        <w:rPr>
          <w:rFonts w:hint="eastAsia" w:hAnsi="宋体"/>
        </w:rPr>
        <w:t>烘干</w:t>
      </w:r>
      <w:r>
        <w:rPr>
          <w:rFonts w:ascii="Times New Roman"/>
        </w:rPr>
        <w:t>1h</w:t>
      </w:r>
      <w:r>
        <w:rPr>
          <w:rFonts w:hint="eastAsia" w:hAnsi="宋体"/>
        </w:rPr>
        <w:t>，稍冷后置于干燥器中冷却备用。</w:t>
      </w:r>
    </w:p>
    <w:p w14:paraId="7EBCA45F">
      <w:pPr>
        <w:pStyle w:val="26"/>
        <w:ind w:firstLine="0" w:firstLineChars="0"/>
        <w:rPr>
          <w:rFonts w:hint="eastAsia" w:hAnsi="宋体"/>
        </w:rPr>
      </w:pPr>
      <w:r>
        <w:rPr>
          <w:rFonts w:hint="eastAsia" w:ascii="黑体" w:hAnsi="黑体" w:eastAsia="黑体"/>
        </w:rPr>
        <w:t>5.2.11</w:t>
      </w:r>
      <w:r>
        <w:rPr>
          <w:rFonts w:hint="eastAsia" w:hAnsi="宋体"/>
        </w:rPr>
        <w:t xml:space="preserve"> 氧化铜</w:t>
      </w:r>
      <w:r>
        <w:rPr>
          <w:rFonts w:ascii="Times New Roman"/>
        </w:rPr>
        <w:t>（CuO）</w:t>
      </w:r>
      <w:r>
        <w:rPr>
          <w:rFonts w:hint="eastAsia" w:hAnsi="宋体"/>
        </w:rPr>
        <w:t>：优级纯。</w:t>
      </w:r>
    </w:p>
    <w:p w14:paraId="65572565">
      <w:pPr>
        <w:pStyle w:val="26"/>
        <w:ind w:firstLine="420"/>
        <w:rPr>
          <w:rFonts w:hint="eastAsia" w:hAnsi="宋体"/>
        </w:rPr>
      </w:pPr>
      <w:r>
        <w:rPr>
          <w:rFonts w:hint="eastAsia" w:hAnsi="宋体"/>
        </w:rPr>
        <w:t>使用前，于</w:t>
      </w:r>
      <w:r>
        <w:rPr>
          <w:rFonts w:ascii="Times New Roman"/>
        </w:rPr>
        <w:t>1000℃</w:t>
      </w:r>
      <w:r>
        <w:rPr>
          <w:rFonts w:hint="eastAsia" w:hAnsi="宋体"/>
        </w:rPr>
        <w:t>高温炉中灼烧不少于</w:t>
      </w:r>
      <w:r>
        <w:rPr>
          <w:rFonts w:ascii="Times New Roman"/>
        </w:rPr>
        <w:t>1h</w:t>
      </w:r>
      <w:r>
        <w:rPr>
          <w:rFonts w:hint="eastAsia" w:hAnsi="宋体"/>
        </w:rPr>
        <w:t>，稍冷后置于干燥器中冷却备用。</w:t>
      </w:r>
    </w:p>
    <w:p w14:paraId="53EBC65D">
      <w:pPr>
        <w:pStyle w:val="26"/>
        <w:ind w:firstLine="0" w:firstLineChars="0"/>
        <w:rPr>
          <w:rFonts w:hint="eastAsia" w:hAnsi="宋体"/>
        </w:rPr>
      </w:pPr>
      <w:r>
        <w:rPr>
          <w:rFonts w:hint="eastAsia" w:ascii="黑体" w:hAnsi="黑体" w:eastAsia="黑体"/>
        </w:rPr>
        <w:t>5.2.12</w:t>
      </w:r>
      <w:r>
        <w:rPr>
          <w:rFonts w:hint="eastAsia" w:hAnsi="宋体"/>
        </w:rPr>
        <w:t xml:space="preserve"> 氧化锌</w:t>
      </w:r>
      <w:r>
        <w:rPr>
          <w:rFonts w:ascii="Times New Roman"/>
        </w:rPr>
        <w:t>（ZnO）</w:t>
      </w:r>
      <w:r>
        <w:rPr>
          <w:rFonts w:hint="eastAsia" w:hAnsi="宋体"/>
        </w:rPr>
        <w:t>：优级纯。</w:t>
      </w:r>
    </w:p>
    <w:p w14:paraId="13FD982F">
      <w:pPr>
        <w:pStyle w:val="26"/>
        <w:ind w:firstLine="420"/>
        <w:rPr>
          <w:rFonts w:hint="eastAsia" w:hAnsi="宋体"/>
        </w:rPr>
      </w:pPr>
      <w:r>
        <w:rPr>
          <w:rFonts w:hint="eastAsia" w:hAnsi="宋体"/>
        </w:rPr>
        <w:t>使用前，</w:t>
      </w:r>
      <w:r>
        <w:rPr>
          <w:rFonts w:hint="default" w:ascii="Times New Roman" w:hAnsi="Times New Roman" w:cs="Times New Roman"/>
        </w:rPr>
        <w:t>于1000℃高温炉中灼</w:t>
      </w:r>
      <w:r>
        <w:rPr>
          <w:rFonts w:hint="eastAsia" w:hAnsi="宋体"/>
        </w:rPr>
        <w:t>烧不少于</w:t>
      </w:r>
      <w:r>
        <w:rPr>
          <w:rFonts w:ascii="Times New Roman"/>
        </w:rPr>
        <w:t>1h</w:t>
      </w:r>
      <w:r>
        <w:rPr>
          <w:rFonts w:hint="eastAsia" w:hAnsi="宋体"/>
        </w:rPr>
        <w:t>，稍冷后置于干燥器中冷却备用。</w:t>
      </w:r>
    </w:p>
    <w:p w14:paraId="236FE933">
      <w:pPr>
        <w:pStyle w:val="26"/>
        <w:ind w:firstLine="0" w:firstLineChars="0"/>
        <w:rPr>
          <w:rFonts w:hint="eastAsia" w:hAnsi="宋体"/>
        </w:rPr>
      </w:pPr>
      <w:r>
        <w:rPr>
          <w:rFonts w:hint="eastAsia" w:ascii="黑体" w:hAnsi="黑体" w:eastAsia="黑体"/>
        </w:rPr>
        <w:t>5.2.13</w:t>
      </w:r>
      <w:r>
        <w:rPr>
          <w:rFonts w:hint="eastAsia" w:hAnsi="宋体"/>
        </w:rPr>
        <w:t xml:space="preserve"> 氧化铅</w:t>
      </w:r>
      <w:r>
        <w:rPr>
          <w:rFonts w:ascii="Times New Roman"/>
        </w:rPr>
        <w:t>（PbO）</w:t>
      </w:r>
      <w:r>
        <w:rPr>
          <w:rFonts w:hint="eastAsia" w:hAnsi="宋体"/>
        </w:rPr>
        <w:t>：优级纯。</w:t>
      </w:r>
    </w:p>
    <w:p w14:paraId="16B3A4BA">
      <w:pPr>
        <w:pStyle w:val="26"/>
        <w:ind w:firstLine="420"/>
        <w:rPr>
          <w:rFonts w:hint="eastAsia" w:hAnsi="宋体"/>
        </w:rPr>
      </w:pPr>
      <w:r>
        <w:rPr>
          <w:rFonts w:hint="eastAsia" w:hAnsi="宋体"/>
        </w:rPr>
        <w:t>使用前，于</w:t>
      </w:r>
      <w:r>
        <w:rPr>
          <w:rFonts w:ascii="Times New Roman"/>
        </w:rPr>
        <w:t>1000℃</w:t>
      </w:r>
      <w:r>
        <w:rPr>
          <w:rFonts w:hint="eastAsia" w:hAnsi="宋体"/>
        </w:rPr>
        <w:t>高温炉中灼烧不少于</w:t>
      </w:r>
      <w:r>
        <w:rPr>
          <w:rFonts w:ascii="Times New Roman"/>
        </w:rPr>
        <w:t>1h</w:t>
      </w:r>
      <w:r>
        <w:rPr>
          <w:rFonts w:hint="eastAsia" w:hAnsi="宋体"/>
        </w:rPr>
        <w:t>，稍冷后置于干燥器中冷却备用。</w:t>
      </w:r>
    </w:p>
    <w:p w14:paraId="7927B3FE">
      <w:pPr>
        <w:pStyle w:val="26"/>
        <w:ind w:firstLine="0" w:firstLineChars="0"/>
        <w:rPr>
          <w:rFonts w:hint="eastAsia" w:hAnsi="宋体"/>
        </w:rPr>
      </w:pPr>
      <w:r>
        <w:rPr>
          <w:rFonts w:ascii="黑体" w:hAnsi="黑体" w:eastAsia="黑体"/>
        </w:rPr>
        <w:t>5.2.14</w:t>
      </w:r>
      <w:r>
        <w:rPr>
          <w:rFonts w:hint="eastAsia" w:hAnsi="宋体"/>
        </w:rPr>
        <w:t xml:space="preserve"> 四硼酸锂-偏硼酸锂混合溶剂：质量比为</w:t>
      </w:r>
      <w:r>
        <w:rPr>
          <w:rFonts w:ascii="Times New Roman"/>
        </w:rPr>
        <w:t>2:1</w:t>
      </w:r>
      <w:r>
        <w:rPr>
          <w:rFonts w:hint="eastAsia" w:hAnsi="宋体"/>
        </w:rPr>
        <w:t>，应为无水干燥状态，使用前在</w:t>
      </w:r>
      <w:r>
        <w:rPr>
          <w:rFonts w:ascii="Times New Roman"/>
        </w:rPr>
        <w:t>650℃</w:t>
      </w:r>
      <w:r>
        <w:rPr>
          <w:rFonts w:hint="eastAsia" w:hAnsi="宋体"/>
        </w:rPr>
        <w:t>灼烧</w:t>
      </w:r>
      <w:r>
        <w:rPr>
          <w:rFonts w:ascii="Times New Roman"/>
        </w:rPr>
        <w:t>4h</w:t>
      </w:r>
      <w:r>
        <w:rPr>
          <w:rFonts w:hint="eastAsia" w:hAnsi="宋体"/>
        </w:rPr>
        <w:t>，稍冷后放置干燥器中冷却。</w:t>
      </w:r>
    </w:p>
    <w:p w14:paraId="056995BD">
      <w:pPr>
        <w:pStyle w:val="26"/>
        <w:ind w:firstLine="0" w:firstLineChars="0"/>
        <w:rPr>
          <w:rFonts w:hint="eastAsia" w:hAnsi="宋体"/>
        </w:rPr>
      </w:pPr>
      <w:r>
        <w:rPr>
          <w:rFonts w:hint="eastAsia" w:ascii="黑体" w:hAnsi="黑体" w:eastAsia="黑体"/>
        </w:rPr>
        <w:t>5.2.15</w:t>
      </w:r>
      <w:r>
        <w:rPr>
          <w:rFonts w:hint="eastAsia" w:hAnsi="宋体"/>
        </w:rPr>
        <w:t xml:space="preserve"> 溴化锂</w:t>
      </w:r>
      <w:r>
        <w:rPr>
          <w:rFonts w:ascii="Times New Roman"/>
        </w:rPr>
        <w:t>（LiBr）</w:t>
      </w:r>
      <w:r>
        <w:rPr>
          <w:rFonts w:hint="eastAsia" w:hAnsi="宋体"/>
        </w:rPr>
        <w:t>。</w:t>
      </w:r>
    </w:p>
    <w:p w14:paraId="67C33E3D">
      <w:pPr>
        <w:pStyle w:val="26"/>
        <w:ind w:firstLine="420"/>
        <w:rPr>
          <w:rFonts w:hint="eastAsia" w:hAnsi="宋体"/>
        </w:rPr>
      </w:pPr>
      <w:r>
        <w:rPr>
          <w:rFonts w:hint="eastAsia" w:hAnsi="宋体"/>
        </w:rPr>
        <w:t>应保持干燥并储存于干燥器中。</w:t>
      </w:r>
    </w:p>
    <w:p w14:paraId="4CF6130B">
      <w:pPr>
        <w:pStyle w:val="26"/>
        <w:ind w:firstLine="0" w:firstLineChars="0"/>
        <w:rPr>
          <w:rFonts w:hint="eastAsia" w:hAnsi="宋体"/>
        </w:rPr>
      </w:pPr>
      <w:r>
        <w:rPr>
          <w:rFonts w:hint="eastAsia" w:ascii="黑体" w:hAnsi="黑体" w:eastAsia="黑体"/>
        </w:rPr>
        <w:t>5.2.16</w:t>
      </w:r>
      <w:r>
        <w:rPr>
          <w:rFonts w:hint="eastAsia" w:hAnsi="宋体"/>
        </w:rPr>
        <w:t xml:space="preserve"> 溴化锂溶液</w:t>
      </w:r>
      <w:r>
        <w:rPr>
          <w:rFonts w:ascii="Times New Roman"/>
        </w:rPr>
        <w:t>（200g/L）</w:t>
      </w:r>
      <w:r>
        <w:rPr>
          <w:rFonts w:hint="eastAsia" w:hAnsi="宋体"/>
        </w:rPr>
        <w:t>：称取</w:t>
      </w:r>
      <w:r>
        <w:rPr>
          <w:rFonts w:ascii="Times New Roman"/>
        </w:rPr>
        <w:t>100.00g</w:t>
      </w:r>
      <w:r>
        <w:rPr>
          <w:rFonts w:hint="eastAsia" w:hAnsi="宋体"/>
        </w:rPr>
        <w:t>溴化锂</w:t>
      </w:r>
      <w:r>
        <w:rPr>
          <w:rFonts w:ascii="Times New Roman"/>
        </w:rPr>
        <w:t>（5.2.15）</w:t>
      </w:r>
      <w:r>
        <w:rPr>
          <w:rFonts w:hint="eastAsia" w:hAnsi="宋体"/>
        </w:rPr>
        <w:t>溶于适量水中，并定容至</w:t>
      </w:r>
      <w:r>
        <w:rPr>
          <w:rFonts w:ascii="Times New Roman"/>
        </w:rPr>
        <w:t>500mL</w:t>
      </w:r>
      <w:r>
        <w:rPr>
          <w:rFonts w:hint="eastAsia" w:hAnsi="宋体"/>
        </w:rPr>
        <w:t>。</w:t>
      </w:r>
    </w:p>
    <w:p w14:paraId="5D6CBEE0">
      <w:pPr>
        <w:pStyle w:val="26"/>
        <w:numPr>
          <w:ilvl w:val="2"/>
          <w:numId w:val="12"/>
        </w:numPr>
        <w:ind w:firstLineChars="0"/>
        <w:rPr>
          <w:rFonts w:hint="eastAsia" w:hAnsi="宋体"/>
        </w:rPr>
      </w:pPr>
      <w:r>
        <w:rPr>
          <w:rFonts w:hint="eastAsia" w:hAnsi="宋体"/>
        </w:rPr>
        <w:t>氩甲烷混合气体：</w:t>
      </w:r>
      <w:r>
        <w:rPr>
          <w:rFonts w:hint="default" w:ascii="Times New Roman" w:hAnsi="Times New Roman" w:cs="Times New Roman"/>
        </w:rPr>
        <w:t>体积分数为90%的氩气和体积分数为10%的甲烷混合气体。</w:t>
      </w:r>
    </w:p>
    <w:p w14:paraId="0B3E1521">
      <w:pPr>
        <w:pStyle w:val="25"/>
        <w:numPr>
          <w:ilvl w:val="0"/>
          <w:numId w:val="0"/>
        </w:numPr>
        <w:tabs>
          <w:tab w:val="clear" w:pos="840"/>
        </w:tabs>
        <w:spacing w:before="312" w:beforeLines="100" w:after="312" w:afterLines="100"/>
        <w:rPr>
          <w:rFonts w:hint="eastAsia"/>
        </w:rPr>
      </w:pPr>
      <w:r>
        <w:rPr>
          <w:rFonts w:hint="eastAsia"/>
        </w:rPr>
        <w:t>5.3 仪器与设备</w:t>
      </w:r>
    </w:p>
    <w:p w14:paraId="03453D85">
      <w:pPr>
        <w:pStyle w:val="26"/>
        <w:ind w:firstLine="0" w:firstLineChars="0"/>
        <w:rPr>
          <w:rFonts w:hint="default" w:ascii="Times New Roman" w:hAnsi="Times New Roman" w:cs="Times New Roman"/>
        </w:rPr>
      </w:pPr>
      <w:r>
        <w:rPr>
          <w:rFonts w:hint="eastAsia" w:ascii="黑体" w:hAnsi="黑体" w:eastAsia="黑体" w:cs="黑体"/>
        </w:rPr>
        <w:t>5.3.1</w:t>
      </w:r>
      <w:r>
        <w:rPr>
          <w:rFonts w:hint="eastAsia" w:hAnsi="宋体"/>
        </w:rPr>
        <w:t xml:space="preserve"> </w:t>
      </w:r>
      <w:r>
        <w:rPr>
          <w:rFonts w:hint="default" w:ascii="Times New Roman" w:hAnsi="Times New Roman" w:cs="Times New Roman"/>
        </w:rPr>
        <w:t>波长色散X射线荧光光谱仪：应符合GB/T 16597的规定。</w:t>
      </w:r>
    </w:p>
    <w:p w14:paraId="57F18759">
      <w:pPr>
        <w:pStyle w:val="26"/>
        <w:ind w:firstLine="0" w:firstLineChars="0"/>
        <w:rPr>
          <w:rFonts w:hint="eastAsia" w:hAnsi="宋体"/>
        </w:rPr>
      </w:pPr>
      <w:r>
        <w:rPr>
          <w:rFonts w:hint="eastAsia" w:ascii="黑体" w:hAnsi="黑体" w:eastAsia="黑体" w:cs="黑体"/>
        </w:rPr>
        <w:t>5.3.2</w:t>
      </w:r>
      <w:r>
        <w:rPr>
          <w:rFonts w:hint="eastAsia" w:hAnsi="宋体"/>
        </w:rPr>
        <w:t xml:space="preserve"> 熔融装置：其温度可控制在</w:t>
      </w:r>
      <w:r>
        <w:rPr>
          <w:rFonts w:ascii="Times New Roman"/>
        </w:rPr>
        <w:t>1100℃±20℃</w:t>
      </w:r>
      <w:r>
        <w:rPr>
          <w:rFonts w:hint="eastAsia" w:hAnsi="宋体"/>
        </w:rPr>
        <w:t>，若使用自动熔融设备应具有摇动功能。</w:t>
      </w:r>
    </w:p>
    <w:p w14:paraId="2B018E83">
      <w:pPr>
        <w:pStyle w:val="26"/>
        <w:ind w:firstLine="0" w:firstLineChars="0"/>
        <w:rPr>
          <w:rFonts w:hint="eastAsia" w:hAnsi="宋体"/>
        </w:rPr>
      </w:pPr>
      <w:r>
        <w:rPr>
          <w:rFonts w:hint="eastAsia" w:ascii="黑体" w:hAnsi="黑体" w:eastAsia="黑体"/>
        </w:rPr>
        <w:t>5.3.3</w:t>
      </w:r>
      <w:r>
        <w:rPr>
          <w:rFonts w:hint="eastAsia" w:hAnsi="宋体"/>
        </w:rPr>
        <w:t xml:space="preserve"> 分析天平：最小感量</w:t>
      </w:r>
      <w:r>
        <w:rPr>
          <w:rFonts w:ascii="Times New Roman"/>
        </w:rPr>
        <w:t>0.</w:t>
      </w:r>
      <w:r>
        <w:rPr>
          <w:rFonts w:hint="eastAsia" w:ascii="Times New Roman"/>
        </w:rPr>
        <w:t>0</w:t>
      </w:r>
      <w:r>
        <w:rPr>
          <w:rFonts w:ascii="Times New Roman"/>
        </w:rPr>
        <w:t>1mg。</w:t>
      </w:r>
    </w:p>
    <w:p w14:paraId="46A4508C">
      <w:pPr>
        <w:pStyle w:val="26"/>
        <w:ind w:firstLine="0" w:firstLineChars="0"/>
        <w:rPr>
          <w:rFonts w:hint="eastAsia" w:hAnsi="宋体"/>
        </w:rPr>
      </w:pPr>
      <w:r>
        <w:rPr>
          <w:rFonts w:hint="eastAsia" w:ascii="黑体" w:hAnsi="黑体" w:eastAsia="黑体"/>
        </w:rPr>
        <w:t>5.3.4</w:t>
      </w:r>
      <w:r>
        <w:rPr>
          <w:rFonts w:hint="eastAsia" w:hAnsi="宋体"/>
        </w:rPr>
        <w:t xml:space="preserve"> 坩埚和模具：坩埚和模具由不浸润黄铂金</w:t>
      </w:r>
      <w:r>
        <w:rPr>
          <w:rFonts w:ascii="Times New Roman"/>
        </w:rPr>
        <w:t>（95%Pt+5%Au）</w:t>
      </w:r>
      <w:r>
        <w:rPr>
          <w:rFonts w:hint="eastAsia" w:hAnsi="宋体"/>
        </w:rPr>
        <w:t>构成，形状应该能够契合熔融设备的要求，并应具备一定的厚度，以防加热过程中变形，模具底部应保持光滑平整。根据熔融设备的要求，可以选择坩埚模具一体式或分体式。</w:t>
      </w:r>
    </w:p>
    <w:p w14:paraId="0913FDFB">
      <w:pPr>
        <w:pStyle w:val="26"/>
        <w:ind w:firstLine="0" w:firstLineChars="0"/>
        <w:rPr>
          <w:rFonts w:hint="eastAsia" w:hAnsi="宋体"/>
        </w:rPr>
      </w:pPr>
      <w:r>
        <w:rPr>
          <w:rFonts w:hint="eastAsia" w:ascii="黑体" w:hAnsi="黑体" w:eastAsia="黑体"/>
        </w:rPr>
        <w:t>5.3.5</w:t>
      </w:r>
      <w:r>
        <w:rPr>
          <w:rFonts w:hint="eastAsia" w:hAnsi="宋体"/>
        </w:rPr>
        <w:t xml:space="preserve"> 烘箱：能保持在</w:t>
      </w:r>
      <w:r>
        <w:rPr>
          <w:rFonts w:hint="default" w:ascii="Times New Roman" w:hAnsi="Times New Roman" w:eastAsia="黑体" w:cs="Times New Roman"/>
        </w:rPr>
        <w:t>105℃±</w:t>
      </w:r>
      <w:r>
        <w:rPr>
          <w:rFonts w:hint="default" w:ascii="Times New Roman" w:hAnsi="Times New Roman" w:eastAsia="黑体" w:cs="Times New Roman"/>
          <w:lang w:val="en-US" w:eastAsia="zh-CN"/>
        </w:rPr>
        <w:t>5</w:t>
      </w:r>
      <w:r>
        <w:rPr>
          <w:rFonts w:hint="default" w:ascii="Times New Roman" w:hAnsi="Times New Roman" w:eastAsia="黑体" w:cs="Times New Roman"/>
        </w:rPr>
        <w:t>℃</w:t>
      </w:r>
      <w:r>
        <w:rPr>
          <w:rFonts w:hint="eastAsia" w:hAnsi="宋体"/>
        </w:rPr>
        <w:t>范围内。</w:t>
      </w:r>
    </w:p>
    <w:p w14:paraId="1CFDD84B">
      <w:pPr>
        <w:pStyle w:val="26"/>
        <w:ind w:firstLine="0" w:firstLineChars="0"/>
        <w:rPr>
          <w:rFonts w:hint="eastAsia" w:hAnsi="宋体"/>
        </w:rPr>
      </w:pPr>
      <w:r>
        <w:rPr>
          <w:rFonts w:hint="eastAsia" w:ascii="黑体" w:hAnsi="黑体" w:eastAsia="黑体"/>
        </w:rPr>
        <w:t>5.3.6</w:t>
      </w:r>
      <w:r>
        <w:rPr>
          <w:rFonts w:hint="eastAsia" w:hAnsi="宋体"/>
        </w:rPr>
        <w:t xml:space="preserve"> 高温炉：可控温并能加热至</w:t>
      </w:r>
      <w:r>
        <w:rPr>
          <w:rFonts w:hint="default" w:ascii="Times New Roman" w:hAnsi="Times New Roman" w:cs="Times New Roman"/>
        </w:rPr>
        <w:t>1300℃。</w:t>
      </w:r>
    </w:p>
    <w:p w14:paraId="507B6CB0">
      <w:pPr>
        <w:pStyle w:val="25"/>
        <w:numPr>
          <w:ilvl w:val="0"/>
          <w:numId w:val="0"/>
        </w:numPr>
        <w:tabs>
          <w:tab w:val="clear" w:pos="840"/>
        </w:tabs>
        <w:spacing w:before="312" w:beforeLines="100" w:after="312" w:afterLines="100"/>
        <w:rPr>
          <w:rFonts w:hint="eastAsia"/>
        </w:rPr>
      </w:pPr>
      <w:r>
        <w:rPr>
          <w:rFonts w:hint="eastAsia"/>
        </w:rPr>
        <w:t>5.4 试样</w:t>
      </w:r>
    </w:p>
    <w:p w14:paraId="46E192A9">
      <w:pPr>
        <w:pStyle w:val="25"/>
        <w:numPr>
          <w:ilvl w:val="0"/>
          <w:numId w:val="0"/>
        </w:numPr>
        <w:tabs>
          <w:tab w:val="clear" w:pos="840"/>
        </w:tabs>
        <w:spacing w:before="312" w:beforeLines="100" w:after="312" w:afterLines="100"/>
        <w:ind w:firstLine="420" w:firstLineChars="200"/>
        <w:rPr>
          <w:rFonts w:hint="eastAsia" w:ascii="宋体" w:hAnsi="宋体" w:eastAsia="宋体" w:cs="宋体"/>
          <w:b w:val="0"/>
          <w:bCs w:val="0"/>
        </w:rPr>
      </w:pPr>
      <w:r>
        <w:rPr>
          <w:rFonts w:hint="eastAsia" w:ascii="宋体" w:hAnsi="宋体" w:eastAsia="宋体" w:cs="宋体"/>
          <w:b w:val="0"/>
          <w:bCs w:val="0"/>
        </w:rPr>
        <w:t>试样应符合</w:t>
      </w:r>
      <w:r>
        <w:rPr>
          <w:rFonts w:hint="default" w:ascii="Times New Roman" w:hAnsi="Times New Roman" w:eastAsia="宋体" w:cs="Times New Roman"/>
          <w:b w:val="0"/>
          <w:bCs w:val="0"/>
        </w:rPr>
        <w:t>GB/T 26300</w:t>
      </w:r>
      <w:r>
        <w:rPr>
          <w:rFonts w:hint="eastAsia" w:ascii="宋体" w:hAnsi="宋体" w:eastAsia="宋体" w:cs="宋体"/>
          <w:b w:val="0"/>
          <w:bCs w:val="0"/>
        </w:rPr>
        <w:t>中的相关要求，检测前应保存于干燥、避光的环境中。</w:t>
      </w:r>
    </w:p>
    <w:p w14:paraId="79F29A11">
      <w:pPr>
        <w:pStyle w:val="25"/>
        <w:numPr>
          <w:ilvl w:val="0"/>
          <w:numId w:val="0"/>
        </w:numPr>
        <w:tabs>
          <w:tab w:val="clear" w:pos="840"/>
        </w:tabs>
        <w:spacing w:before="312" w:beforeLines="100" w:after="312" w:afterLines="100"/>
        <w:rPr>
          <w:rFonts w:hint="eastAsia"/>
        </w:rPr>
      </w:pPr>
      <w:r>
        <w:rPr>
          <w:rFonts w:hint="eastAsia"/>
        </w:rPr>
        <w:t>5.5 试样玻璃熔片的制备</w:t>
      </w:r>
    </w:p>
    <w:p w14:paraId="29386F79">
      <w:pPr>
        <w:pStyle w:val="26"/>
        <w:ind w:firstLine="0" w:firstLineChars="0"/>
        <w:rPr>
          <w:rFonts w:hint="eastAsia" w:hAnsi="宋体" w:eastAsia="宋体"/>
          <w:lang w:eastAsia="zh-CN"/>
        </w:rPr>
      </w:pPr>
      <w:r>
        <w:rPr>
          <w:rFonts w:hint="eastAsia" w:ascii="黑体" w:hAnsi="黑体" w:eastAsia="黑体" w:cs="黑体"/>
        </w:rPr>
        <w:t>5.5.1</w:t>
      </w:r>
      <w:r>
        <w:rPr>
          <w:rFonts w:hint="eastAsia"/>
        </w:rPr>
        <w:t xml:space="preserve"> </w:t>
      </w:r>
      <w:r>
        <w:rPr>
          <w:rFonts w:hint="default" w:ascii="Times New Roman" w:hAnsi="Times New Roman" w:eastAsia="宋体" w:cs="Times New Roman"/>
        </w:rPr>
        <w:t>准确称取9.0000g四硼酸锂-偏硼酸锂混合溶剂（5.2.14）、0.9000g试样置于坩埚（5.3.4）中，混匀后滴加约1mL溴化锂溶液（5.2.16），其中混合溶剂称量需精确至1mg，试样称量需精确至0.1mg。</w:t>
      </w:r>
      <w:r>
        <w:rPr>
          <w:rFonts w:hint="default" w:hAnsi="宋体"/>
        </w:rPr>
        <w:t>试样和混合溶剂的质量可根据坩埚、模具的大小以及设备测量时所需熔片的大小进行调整</w:t>
      </w:r>
      <w:r>
        <w:rPr>
          <w:rFonts w:hint="eastAsia" w:hAnsi="宋体"/>
          <w:lang w:eastAsia="zh-CN"/>
        </w:rPr>
        <w:t>。</w:t>
      </w:r>
    </w:p>
    <w:p w14:paraId="72B88EA6">
      <w:pPr>
        <w:pStyle w:val="26"/>
        <w:ind w:firstLine="0" w:firstLineChars="0"/>
        <w:rPr>
          <w:rFonts w:hint="default" w:ascii="Times New Roman" w:hAnsi="Times New Roman" w:cs="Times New Roman"/>
        </w:rPr>
      </w:pPr>
      <w:r>
        <w:rPr>
          <w:rFonts w:hint="eastAsia" w:ascii="黑体" w:hAnsi="黑体" w:eastAsia="黑体" w:cs="黑体"/>
        </w:rPr>
        <w:t>5.5.2</w:t>
      </w:r>
      <w:r>
        <w:rPr>
          <w:rFonts w:hint="eastAsia" w:hAnsi="宋体"/>
        </w:rPr>
        <w:t xml:space="preserve"> </w:t>
      </w:r>
      <w:r>
        <w:rPr>
          <w:rFonts w:hint="default" w:ascii="Times New Roman" w:hAnsi="Times New Roman" w:cs="Times New Roman"/>
        </w:rPr>
        <w:t>将盛有配料的坩埚（5.3.4）置于熔融装置（5.3.2）中进行熔融。熔融时应采取梯度升温的方式进行，以防止配料喷溅。应在600℃时保持约15min后，升温至1000℃±20℃，在摇动的情况下继续熔融10min。熔融完成后，应在空气中冷却至室温并完全脱模。若选用分体式模具，则应在熔融完成后将熔融物浇筑至提前预热至1000℃±20℃的模具（5.3.4）中，冷却至室温完全脱模。</w:t>
      </w:r>
    </w:p>
    <w:p w14:paraId="6B16463E">
      <w:pPr>
        <w:pStyle w:val="26"/>
        <w:ind w:firstLine="0" w:firstLineChars="0"/>
        <w:rPr>
          <w:rFonts w:hint="default" w:ascii="Times New Roman" w:hAnsi="Times New Roman" w:cs="Times New Roman"/>
        </w:rPr>
      </w:pPr>
      <w:r>
        <w:rPr>
          <w:rFonts w:hint="eastAsia" w:ascii="黑体" w:hAnsi="黑体" w:eastAsia="黑体" w:cs="黑体"/>
        </w:rPr>
        <w:t>5.5.3</w:t>
      </w:r>
      <w:r>
        <w:rPr>
          <w:rFonts w:hint="default" w:ascii="Times New Roman" w:hAnsi="Times New Roman" w:eastAsia="黑体" w:cs="Times New Roman"/>
        </w:rPr>
        <w:t xml:space="preserve"> </w:t>
      </w:r>
      <w:r>
        <w:rPr>
          <w:rFonts w:hint="default" w:ascii="Times New Roman" w:hAnsi="Times New Roman" w:cs="Times New Roman"/>
        </w:rPr>
        <w:t>试验片表面应保持平整、光洁，内部无不溶物、结晶或气泡；否则，应按上述方法重新进行制备。试样片留样时应密封，并置于干燥器中保存。</w:t>
      </w:r>
    </w:p>
    <w:p w14:paraId="1806DE69">
      <w:pPr>
        <w:pStyle w:val="25"/>
        <w:numPr>
          <w:ilvl w:val="0"/>
          <w:numId w:val="0"/>
        </w:numPr>
        <w:tabs>
          <w:tab w:val="clear" w:pos="840"/>
        </w:tabs>
        <w:spacing w:before="312" w:beforeLines="100" w:after="312" w:afterLines="100"/>
        <w:rPr>
          <w:rFonts w:hint="eastAsia"/>
        </w:rPr>
      </w:pPr>
      <w:r>
        <w:rPr>
          <w:rFonts w:hint="eastAsia"/>
        </w:rPr>
        <w:t>5.6 校准玻璃熔片的制备</w:t>
      </w:r>
    </w:p>
    <w:p w14:paraId="2C8AC328">
      <w:pPr>
        <w:pStyle w:val="26"/>
        <w:ind w:firstLine="0" w:firstLineChars="0"/>
        <w:rPr>
          <w:rFonts w:hint="eastAsia" w:ascii="黑体" w:hAnsi="黑体" w:eastAsia="黑体" w:cs="黑体"/>
        </w:rPr>
      </w:pPr>
      <w:r>
        <w:rPr>
          <w:rFonts w:hint="eastAsia" w:ascii="黑体" w:hAnsi="黑体" w:eastAsia="黑体" w:cs="黑体"/>
        </w:rPr>
        <w:t xml:space="preserve">5.6.1 </w:t>
      </w:r>
      <w:r>
        <w:rPr>
          <w:rFonts w:hint="eastAsia" w:ascii="宋体" w:hAnsi="宋体" w:eastAsia="宋体" w:cs="宋体"/>
          <w:lang w:val="en-US" w:eastAsia="zh-CN"/>
        </w:rPr>
        <w:t>可</w:t>
      </w:r>
      <w:r>
        <w:rPr>
          <w:rFonts w:hint="eastAsia" w:hAnsi="宋体" w:cs="宋体"/>
          <w:lang w:val="en-US" w:eastAsia="zh-CN"/>
        </w:rPr>
        <w:t>选择直接称取</w:t>
      </w:r>
      <w:r>
        <w:rPr>
          <w:rFonts w:hint="eastAsia" w:ascii="宋体" w:hAnsi="宋体" w:eastAsia="宋体" w:cs="宋体"/>
          <w:lang w:val="en-US" w:eastAsia="zh-CN"/>
        </w:rPr>
        <w:t>一组具备一定梯度</w:t>
      </w:r>
      <w:r>
        <w:rPr>
          <w:rFonts w:hint="eastAsia" w:hAnsi="宋体" w:cs="宋体"/>
          <w:lang w:val="en-US" w:eastAsia="zh-CN"/>
        </w:rPr>
        <w:t>含量范围</w:t>
      </w:r>
      <w:r>
        <w:rPr>
          <w:rFonts w:hint="eastAsia" w:ascii="宋体" w:hAnsi="宋体" w:eastAsia="宋体" w:cs="宋体"/>
          <w:lang w:val="en-US" w:eastAsia="zh-CN"/>
        </w:rPr>
        <w:t>的标准样品或</w:t>
      </w:r>
      <w:r>
        <w:rPr>
          <w:rFonts w:hint="default" w:ascii="Times New Roman" w:hAnsi="Times New Roman" w:eastAsia="宋体" w:cs="Times New Roman"/>
        </w:rPr>
        <w:t>根据预设的</w:t>
      </w:r>
      <w:r>
        <w:rPr>
          <w:rFonts w:hint="eastAsia" w:ascii="Times New Roman" w:cs="Times New Roman"/>
          <w:lang w:val="en-US" w:eastAsia="zh-CN"/>
        </w:rPr>
        <w:t>各元素</w:t>
      </w:r>
      <w:r>
        <w:rPr>
          <w:rFonts w:hint="default" w:ascii="Times New Roman" w:hAnsi="Times New Roman" w:eastAsia="宋体" w:cs="Times New Roman"/>
        </w:rPr>
        <w:t>质量</w:t>
      </w:r>
      <w:r>
        <w:rPr>
          <w:rFonts w:hint="eastAsia" w:ascii="Times New Roman" w:cs="Times New Roman"/>
          <w:lang w:val="en-US" w:eastAsia="zh-CN"/>
        </w:rPr>
        <w:t>分数，按照一定比例</w:t>
      </w:r>
      <w:r>
        <w:rPr>
          <w:rFonts w:hint="default" w:ascii="Times New Roman" w:hAnsi="Times New Roman" w:eastAsia="宋体" w:cs="Times New Roman"/>
        </w:rPr>
        <w:t>称取经过预处理的各个组分（5.2.1~5.2.13）</w:t>
      </w:r>
      <w:r>
        <w:rPr>
          <w:rFonts w:hint="eastAsia" w:ascii="Times New Roman" w:cs="Times New Roman"/>
          <w:lang w:val="en-US" w:eastAsia="zh-CN"/>
        </w:rPr>
        <w:t>并</w:t>
      </w:r>
      <w:r>
        <w:rPr>
          <w:rFonts w:hint="default" w:ascii="Times New Roman" w:hAnsi="Times New Roman" w:eastAsia="宋体" w:cs="Times New Roman"/>
        </w:rPr>
        <w:t>进行充分混合，按照5.5中的制备方法，称取相同质量的混合溶剂（5.2.14）并加入溴化锂溶液（5.2.16），采用与试样相同熔融方式制成标准玻璃熔片。</w:t>
      </w:r>
      <w:r>
        <w:rPr>
          <w:rFonts w:hint="eastAsia" w:ascii="宋体" w:hAnsi="宋体" w:eastAsia="宋体" w:cs="宋体"/>
          <w:lang w:val="en-US" w:eastAsia="zh-CN"/>
        </w:rPr>
        <w:t>采用称取各个组分的方式制备标准玻璃片时</w:t>
      </w:r>
      <w:r>
        <w:rPr>
          <w:rFonts w:hint="eastAsia" w:hAnsi="宋体" w:cs="宋体"/>
          <w:lang w:val="en-US" w:eastAsia="zh-CN"/>
        </w:rPr>
        <w:t>，</w:t>
      </w:r>
      <w:r>
        <w:rPr>
          <w:rFonts w:hint="eastAsia" w:hAnsi="宋体"/>
        </w:rPr>
        <w:t>除加入待测元素镍钴锰外，还需加入其余非</w:t>
      </w:r>
    </w:p>
    <w:p w14:paraId="28C7193E">
      <w:pPr>
        <w:pStyle w:val="26"/>
        <w:ind w:firstLine="0" w:firstLineChars="0"/>
        <w:rPr>
          <w:rFonts w:hint="eastAsia" w:ascii="黑体" w:hAnsi="黑体" w:eastAsia="黑体"/>
        </w:rPr>
      </w:pPr>
      <w:r>
        <w:rPr>
          <w:rFonts w:hint="eastAsia" w:ascii="黑体" w:hAnsi="黑体" w:eastAsia="黑体"/>
        </w:rPr>
        <w:t>5.6.</w:t>
      </w:r>
      <w:r>
        <w:rPr>
          <w:rFonts w:hint="eastAsia" w:ascii="黑体" w:hAnsi="黑体" w:eastAsia="黑体"/>
          <w:lang w:val="en-US" w:eastAsia="zh-CN"/>
        </w:rPr>
        <w:t>2</w:t>
      </w:r>
      <w:r>
        <w:rPr>
          <w:rFonts w:hint="eastAsia" w:ascii="黑体" w:hAnsi="黑体" w:eastAsia="黑体"/>
        </w:rPr>
        <w:t xml:space="preserve"> </w:t>
      </w:r>
      <w:r>
        <w:rPr>
          <w:rFonts w:hint="eastAsia" w:hAnsi="宋体"/>
        </w:rPr>
        <w:t>按照附</w:t>
      </w:r>
      <w:r>
        <w:rPr>
          <w:rFonts w:hint="default" w:ascii="Times New Roman" w:hAnsi="Times New Roman" w:cs="Times New Roman"/>
        </w:rPr>
        <w:t>录A中</w:t>
      </w:r>
      <w:r>
        <w:rPr>
          <w:rFonts w:hint="eastAsia" w:hAnsi="宋体"/>
        </w:rPr>
        <w:t>的规定制备标准玻璃熔片。</w:t>
      </w:r>
    </w:p>
    <w:p w14:paraId="03CED06F">
      <w:pPr>
        <w:pStyle w:val="25"/>
        <w:numPr>
          <w:ilvl w:val="0"/>
          <w:numId w:val="0"/>
        </w:numPr>
        <w:tabs>
          <w:tab w:val="clear" w:pos="840"/>
        </w:tabs>
        <w:spacing w:before="312" w:beforeLines="100" w:after="312" w:afterLines="100"/>
        <w:rPr>
          <w:rFonts w:hint="eastAsia"/>
        </w:rPr>
      </w:pPr>
      <w:r>
        <w:rPr>
          <w:rFonts w:hint="eastAsia"/>
        </w:rPr>
        <w:t>5.7 校准曲线的制作</w:t>
      </w:r>
    </w:p>
    <w:p w14:paraId="29C0BCA9">
      <w:pPr>
        <w:pStyle w:val="50"/>
        <w:numPr>
          <w:ilvl w:val="1"/>
          <w:numId w:val="0"/>
        </w:numPr>
        <w:tabs>
          <w:tab w:val="left" w:pos="840"/>
        </w:tabs>
        <w:spacing w:before="156" w:beforeLines="50" w:after="156" w:afterLines="50"/>
        <w:rPr>
          <w:rFonts w:hint="eastAsia" w:ascii="黑体" w:hAnsi="黑体" w:eastAsia="黑体" w:cs="黑体"/>
          <w:sz w:val="21"/>
          <w:lang w:val="en-US" w:eastAsia="zh-CN" w:bidi="ar-SA"/>
        </w:rPr>
      </w:pPr>
      <w:r>
        <w:rPr>
          <w:rFonts w:hint="eastAsia" w:ascii="黑体" w:hAnsi="黑体" w:eastAsia="黑体" w:cs="黑体"/>
        </w:rPr>
        <w:t>5.7.1 测</w:t>
      </w:r>
      <w:r>
        <w:rPr>
          <w:rFonts w:hint="eastAsia" w:ascii="黑体" w:hAnsi="黑体" w:eastAsia="黑体" w:cs="黑体"/>
          <w:sz w:val="21"/>
          <w:lang w:val="en-US" w:eastAsia="zh-CN" w:bidi="ar-SA"/>
        </w:rPr>
        <w:t>量条件</w:t>
      </w:r>
    </w:p>
    <w:p w14:paraId="365FBF63">
      <w:pPr>
        <w:pStyle w:val="50"/>
        <w:numPr>
          <w:ilvl w:val="1"/>
          <w:numId w:val="0"/>
        </w:numPr>
        <w:tabs>
          <w:tab w:val="left" w:pos="840"/>
        </w:tabs>
        <w:spacing w:before="156" w:beforeLines="50" w:after="156" w:afterLines="50"/>
        <w:rPr>
          <w:rFonts w:hint="eastAsia" w:ascii="Times New Roman" w:hAnsi="Times New Roman" w:eastAsia="宋体" w:cs="Times New Roman"/>
        </w:rPr>
      </w:pPr>
      <w:r>
        <w:rPr>
          <w:rFonts w:hint="eastAsia" w:ascii="黑体" w:hAnsi="黑体" w:eastAsia="黑体" w:cs="黑体"/>
          <w:sz w:val="21"/>
          <w:lang w:val="en-US" w:eastAsia="zh-CN" w:bidi="ar-SA"/>
        </w:rPr>
        <w:t xml:space="preserve">5.7.1.1 </w:t>
      </w:r>
      <w:r>
        <w:rPr>
          <w:rFonts w:hint="eastAsia" w:ascii="宋体" w:hAnsi="宋体" w:eastAsia="宋体" w:cs="宋体"/>
          <w:sz w:val="21"/>
          <w:lang w:val="en-US" w:eastAsia="zh-CN" w:bidi="ar-SA"/>
        </w:rPr>
        <w:t>各元</w:t>
      </w:r>
      <w:r>
        <w:rPr>
          <w:rFonts w:hint="eastAsia" w:ascii="Times New Roman" w:hAnsi="Times New Roman" w:eastAsia="宋体" w:cs="Times New Roman"/>
        </w:rPr>
        <w:t>素的特征谱线可通过仪器软件优化获得，为获得较好的精密度，应测量至少8个具有不同浓度梯度的校准样品。</w:t>
      </w:r>
    </w:p>
    <w:p w14:paraId="05263C93">
      <w:pPr>
        <w:pStyle w:val="26"/>
        <w:ind w:firstLine="0" w:firstLineChars="0"/>
        <w:rPr>
          <w:rFonts w:hint="eastAsia" w:ascii="黑体" w:hAnsi="黑体" w:eastAsia="黑体"/>
        </w:rPr>
      </w:pPr>
      <w:r>
        <w:rPr>
          <w:rFonts w:hint="eastAsia" w:ascii="黑体" w:hAnsi="黑体" w:eastAsia="黑体" w:cs="黑体"/>
        </w:rPr>
        <w:t>5.7.1.2</w:t>
      </w:r>
      <w:r>
        <w:rPr>
          <w:rFonts w:hint="eastAsia" w:ascii="Times New Roman" w:hAnsi="Times New Roman" w:eastAsia="宋体" w:cs="Times New Roman"/>
        </w:rPr>
        <w:t xml:space="preserve"> 推荐的测量条件见附录</w:t>
      </w:r>
      <w:r>
        <w:rPr>
          <w:rFonts w:hint="default" w:ascii="Times New Roman" w:hAnsi="Times New Roman" w:eastAsia="宋体" w:cs="Times New Roman"/>
        </w:rPr>
        <w:t>B</w:t>
      </w:r>
      <w:r>
        <w:rPr>
          <w:rFonts w:hint="eastAsia" w:ascii="Times New Roman" w:hAnsi="Times New Roman" w:eastAsia="宋体" w:cs="Times New Roman"/>
        </w:rPr>
        <w:t>，不同仪器可根据自身条件选择合适的测量条件，包括背景校正方式和测量时间等。可根据实际情况选择理论</w:t>
      </w:r>
      <w:r>
        <w:rPr>
          <w:rFonts w:hint="default" w:ascii="Times New Roman" w:hAnsi="Times New Roman" w:eastAsia="宋体" w:cs="Times New Roman"/>
        </w:rPr>
        <w:t>α</w:t>
      </w:r>
      <w:r>
        <w:rPr>
          <w:rFonts w:hint="eastAsia" w:ascii="Times New Roman" w:hAnsi="Times New Roman" w:eastAsia="宋体" w:cs="Times New Roman"/>
        </w:rPr>
        <w:t>系数法、基本参数法、经验</w:t>
      </w:r>
      <w:r>
        <w:rPr>
          <w:rFonts w:hint="default" w:ascii="Times New Roman" w:hAnsi="Times New Roman" w:eastAsia="宋体" w:cs="Times New Roman"/>
        </w:rPr>
        <w:t>α</w:t>
      </w:r>
      <w:r>
        <w:rPr>
          <w:rFonts w:hint="eastAsia" w:ascii="Times New Roman" w:hAnsi="Times New Roman" w:eastAsia="宋体" w:cs="Times New Roman"/>
        </w:rPr>
        <w:t>系数法之一对校准曲线进行校正</w:t>
      </w:r>
      <w:r>
        <w:rPr>
          <w:rFonts w:hint="eastAsia" w:hAnsi="宋体"/>
        </w:rPr>
        <w:t>。</w:t>
      </w:r>
    </w:p>
    <w:p w14:paraId="5DA42970">
      <w:pPr>
        <w:pStyle w:val="50"/>
        <w:numPr>
          <w:ilvl w:val="1"/>
          <w:numId w:val="0"/>
        </w:numPr>
        <w:tabs>
          <w:tab w:val="left" w:pos="840"/>
        </w:tabs>
        <w:spacing w:before="156" w:beforeLines="50" w:after="156" w:afterLines="50"/>
        <w:rPr>
          <w:rFonts w:hint="eastAsia" w:ascii="黑体" w:hAnsi="黑体" w:eastAsia="黑体" w:cs="黑体"/>
          <w:sz w:val="21"/>
          <w:lang w:val="en-US" w:eastAsia="zh-CN" w:bidi="ar-SA"/>
        </w:rPr>
      </w:pPr>
      <w:r>
        <w:rPr>
          <w:rFonts w:hint="eastAsia" w:ascii="黑体" w:hAnsi="黑体" w:eastAsia="黑体"/>
        </w:rPr>
        <w:t>5.7.2 校准曲线的测量</w:t>
      </w:r>
      <w:r>
        <w:rPr>
          <w:rFonts w:hint="eastAsia" w:ascii="黑体" w:hAnsi="黑体" w:eastAsia="黑体" w:cs="黑体"/>
          <w:sz w:val="21"/>
          <w:lang w:val="en-US" w:eastAsia="zh-CN" w:bidi="ar-SA"/>
        </w:rPr>
        <w:t>和漂移校正</w:t>
      </w:r>
    </w:p>
    <w:p w14:paraId="4E5D2108">
      <w:pPr>
        <w:pStyle w:val="26"/>
        <w:ind w:firstLine="0" w:firstLineChars="0"/>
        <w:rPr>
          <w:rFonts w:hint="default" w:ascii="Times New Roman" w:hAnsi="Times New Roman" w:eastAsia="宋体" w:cs="Times New Roman"/>
        </w:rPr>
      </w:pPr>
      <w:r>
        <w:rPr>
          <w:rFonts w:hint="eastAsia" w:ascii="黑体" w:hAnsi="黑体" w:eastAsia="黑体" w:cs="黑体"/>
          <w:sz w:val="21"/>
          <w:lang w:val="en-US" w:eastAsia="zh-CN" w:bidi="ar-SA"/>
        </w:rPr>
        <w:t xml:space="preserve">5.7.2.1 </w:t>
      </w:r>
      <w:r>
        <w:rPr>
          <w:rFonts w:hint="default" w:ascii="Times New Roman" w:hAnsi="Times New Roman" w:eastAsia="宋体" w:cs="Times New Roman"/>
          <w:sz w:val="21"/>
          <w:lang w:val="en-US" w:eastAsia="zh-CN" w:bidi="ar-SA"/>
        </w:rPr>
        <w:t>在选定的条件</w:t>
      </w:r>
      <w:r>
        <w:rPr>
          <w:rFonts w:hint="default" w:ascii="Times New Roman" w:hAnsi="Times New Roman" w:eastAsia="宋体" w:cs="Times New Roman"/>
        </w:rPr>
        <w:t>下，使用设备测量校准样品的玻璃熔片。测量完成后，以待测元素荧光强度与待测元素含量绘制校准曲线。推荐的校准曲线中标准样品各组分氧化物称取量及其质量百分比含量见附录C。</w:t>
      </w:r>
    </w:p>
    <w:p w14:paraId="58940F9E">
      <w:pPr>
        <w:pStyle w:val="26"/>
        <w:ind w:firstLine="0" w:firstLineChars="0"/>
        <w:rPr>
          <w:rFonts w:hint="eastAsia" w:ascii="黑体" w:hAnsi="黑体" w:eastAsia="黑体"/>
        </w:rPr>
      </w:pPr>
      <w:r>
        <w:rPr>
          <w:rFonts w:hint="eastAsia" w:ascii="黑体" w:hAnsi="黑体" w:eastAsia="黑体" w:cs="黑体"/>
        </w:rPr>
        <w:t xml:space="preserve">5.7.2.2 </w:t>
      </w:r>
      <w:r>
        <w:rPr>
          <w:rFonts w:hint="eastAsia" w:hAnsi="宋体"/>
        </w:rPr>
        <w:t>选择合适校准样品玻璃熔片作为漂移校正熔片，漂移校正样品应不少于两个，且待测元素漂移校正测测量时间应大于其正常测量时间，以获得更好的精度。</w:t>
      </w:r>
    </w:p>
    <w:p w14:paraId="4A20F175">
      <w:pPr>
        <w:pStyle w:val="25"/>
        <w:numPr>
          <w:ilvl w:val="0"/>
          <w:numId w:val="0"/>
        </w:numPr>
        <w:tabs>
          <w:tab w:val="clear" w:pos="840"/>
        </w:tabs>
        <w:spacing w:before="312" w:beforeLines="100" w:after="312" w:afterLines="100"/>
        <w:rPr>
          <w:rFonts w:hint="eastAsia"/>
        </w:rPr>
      </w:pPr>
      <w:r>
        <w:rPr>
          <w:rFonts w:hint="eastAsia"/>
        </w:rPr>
        <w:t>5.8 试样片的测量</w:t>
      </w:r>
    </w:p>
    <w:p w14:paraId="1304B59B">
      <w:pPr>
        <w:pStyle w:val="25"/>
        <w:numPr>
          <w:ilvl w:val="0"/>
          <w:numId w:val="0"/>
        </w:numPr>
        <w:tabs>
          <w:tab w:val="clear" w:pos="840"/>
        </w:tabs>
        <w:spacing w:before="312" w:beforeLines="100" w:after="312" w:afterLines="100"/>
        <w:ind w:firstLine="420" w:firstLineChars="200"/>
        <w:rPr>
          <w:rFonts w:hint="eastAsia" w:hAnsi="宋体"/>
        </w:rPr>
      </w:pPr>
      <w:r>
        <w:rPr>
          <w:rFonts w:hint="eastAsia" w:ascii="宋体" w:hAnsi="宋体" w:eastAsia="宋体" w:cs="宋体"/>
        </w:rPr>
        <w:t>在已</w:t>
      </w:r>
      <w:r>
        <w:rPr>
          <w:rFonts w:hint="default" w:ascii="Times New Roman" w:hAnsi="Times New Roman" w:eastAsia="宋体" w:cs="Times New Roman"/>
        </w:rPr>
        <w:t>确定的最佳测量条件下，测量试样玻璃片中待测元素的X射线荧光强度，利用校准曲线计算求得试样中各待测元素的含量</w:t>
      </w:r>
      <w:r>
        <w:rPr>
          <w:rFonts w:hint="default" w:ascii="Times New Roman" w:hAnsi="Times New Roman" w:cs="Times New Roman"/>
        </w:rPr>
        <w:t>。</w:t>
      </w:r>
    </w:p>
    <w:p w14:paraId="5EF76538">
      <w:pPr>
        <w:pStyle w:val="25"/>
        <w:numPr>
          <w:ilvl w:val="0"/>
          <w:numId w:val="0"/>
        </w:numPr>
        <w:tabs>
          <w:tab w:val="clear" w:pos="840"/>
        </w:tabs>
        <w:spacing w:before="312" w:beforeLines="100" w:after="312" w:afterLines="100"/>
        <w:rPr>
          <w:rFonts w:hint="eastAsia"/>
        </w:rPr>
      </w:pPr>
      <w:r>
        <w:rPr>
          <w:rFonts w:hint="eastAsia"/>
        </w:rPr>
        <w:t>5.9 结果的计算及表示</w:t>
      </w:r>
    </w:p>
    <w:p w14:paraId="6CA102E7">
      <w:pPr>
        <w:pStyle w:val="26"/>
        <w:ind w:firstLine="0" w:firstLineChars="0"/>
        <w:rPr>
          <w:rFonts w:hint="eastAsia" w:hAnsi="宋体"/>
        </w:rPr>
      </w:pPr>
      <w:r>
        <w:rPr>
          <w:rFonts w:hint="eastAsia" w:ascii="黑体" w:hAnsi="黑体" w:eastAsia="黑体" w:cs="黑体"/>
        </w:rPr>
        <w:t>5.9.1</w:t>
      </w:r>
      <w:r>
        <w:rPr>
          <w:rFonts w:hint="eastAsia" w:hAnsi="宋体"/>
        </w:rPr>
        <w:t xml:space="preserve"> 应独立进行两次测定，取平均值作为最终结果。</w:t>
      </w:r>
    </w:p>
    <w:p w14:paraId="5F342D0B">
      <w:pPr>
        <w:pStyle w:val="26"/>
        <w:ind w:firstLine="0" w:firstLineChars="0"/>
        <w:rPr>
          <w:rFonts w:hint="default" w:ascii="Times New Roman" w:hAnsi="Times New Roman" w:eastAsia="黑体" w:cs="Times New Roman"/>
        </w:rPr>
      </w:pPr>
      <w:r>
        <w:rPr>
          <w:rFonts w:hint="eastAsia" w:ascii="黑体" w:hAnsi="黑体" w:eastAsia="黑体" w:cs="黑体"/>
        </w:rPr>
        <w:t>5.9.2</w:t>
      </w:r>
      <w:r>
        <w:rPr>
          <w:rFonts w:hint="eastAsia" w:hAnsi="宋体"/>
        </w:rPr>
        <w:t xml:space="preserve"> </w:t>
      </w:r>
      <w:r>
        <w:rPr>
          <w:rFonts w:hint="default" w:ascii="Times New Roman" w:hAnsi="Times New Roman" w:cs="Times New Roman"/>
        </w:rPr>
        <w:t>按照GB/T 8170进行数字修约，结果保留至小数点后两位。</w:t>
      </w:r>
    </w:p>
    <w:p w14:paraId="660FB9FA">
      <w:pPr>
        <w:pStyle w:val="26"/>
        <w:ind w:firstLine="0" w:firstLineChars="0"/>
        <w:rPr>
          <w:rFonts w:hint="default" w:ascii="Times New Roman" w:hAnsi="Times New Roman" w:cs="Times New Roman"/>
        </w:rPr>
      </w:pPr>
      <w:r>
        <w:rPr>
          <w:rFonts w:hint="eastAsia" w:ascii="黑体" w:hAnsi="黑体" w:eastAsia="黑体" w:cs="黑体"/>
        </w:rPr>
        <w:t>5.9.3</w:t>
      </w:r>
      <w:r>
        <w:rPr>
          <w:rFonts w:hint="default" w:ascii="Times New Roman" w:hAnsi="Times New Roman" w:eastAsia="黑体" w:cs="Times New Roman"/>
        </w:rPr>
        <w:t xml:space="preserve"> </w:t>
      </w:r>
      <w:r>
        <w:rPr>
          <w:rFonts w:hint="default" w:ascii="Times New Roman" w:hAnsi="Times New Roman" w:cs="Times New Roman"/>
        </w:rPr>
        <w:t>镍钴锰物质的量分数计算方法按照GB/T 26300-2020中附录A进行。</w:t>
      </w:r>
    </w:p>
    <w:p w14:paraId="3E602D4A">
      <w:pPr>
        <w:pStyle w:val="25"/>
        <w:numPr>
          <w:ilvl w:val="0"/>
          <w:numId w:val="0"/>
        </w:numPr>
        <w:tabs>
          <w:tab w:val="clear" w:pos="840"/>
        </w:tabs>
        <w:spacing w:before="312" w:beforeLines="100" w:after="312" w:afterLines="100"/>
        <w:rPr>
          <w:rFonts w:hint="eastAsia"/>
        </w:rPr>
      </w:pPr>
      <w:r>
        <w:rPr>
          <w:rFonts w:hint="eastAsia"/>
        </w:rPr>
        <w:t>5.10 精密度</w:t>
      </w:r>
    </w:p>
    <w:p w14:paraId="54A5FB14">
      <w:pPr>
        <w:pStyle w:val="25"/>
        <w:numPr>
          <w:ilvl w:val="0"/>
          <w:numId w:val="0"/>
        </w:numPr>
        <w:tabs>
          <w:tab w:val="clear" w:pos="840"/>
        </w:tabs>
        <w:spacing w:before="312" w:beforeLines="100" w:after="312" w:afterLines="100"/>
        <w:ind w:firstLine="420" w:firstLineChars="200"/>
        <w:rPr>
          <w:rFonts w:hint="eastAsia" w:ascii="宋体" w:hAnsi="宋体" w:eastAsia="宋体" w:cs="黑体"/>
        </w:rPr>
      </w:pPr>
      <w:r>
        <w:rPr>
          <w:rFonts w:hint="eastAsia" w:ascii="Times New Roman" w:hAnsi="Times New Roman" w:eastAsia="宋体" w:cs="Times New Roman"/>
          <w:sz w:val="21"/>
          <w:lang w:val="en-US" w:eastAsia="zh-CN" w:bidi="ar-SA"/>
        </w:rPr>
        <w:t>精密</w:t>
      </w:r>
      <w:r>
        <w:rPr>
          <w:rFonts w:hint="default" w:ascii="Times New Roman" w:hAnsi="Times New Roman" w:eastAsia="宋体" w:cs="Times New Roman"/>
          <w:sz w:val="21"/>
          <w:lang w:val="en-US" w:eastAsia="zh-CN" w:bidi="ar-SA"/>
        </w:rPr>
        <w:t>度</w:t>
      </w:r>
      <w:r>
        <w:rPr>
          <w:rFonts w:ascii="宋体" w:hAnsi="宋体" w:eastAsia="宋体"/>
        </w:rPr>
        <w:t>由</w:t>
      </w:r>
      <w:r>
        <w:rPr>
          <w:rFonts w:hint="eastAsia" w:ascii="宋体" w:hAnsi="宋体" w:eastAsia="宋体"/>
          <w:lang w:val="en-US" w:eastAsia="zh-CN"/>
        </w:rPr>
        <w:t>5</w:t>
      </w:r>
      <w:r>
        <w:rPr>
          <w:rFonts w:ascii="宋体" w:hAnsi="宋体" w:eastAsia="宋体"/>
        </w:rPr>
        <w:t>家实验室对</w:t>
      </w:r>
      <w:r>
        <w:rPr>
          <w:rFonts w:hint="eastAsia" w:ascii="Times New Roman" w:eastAsia="宋体"/>
          <w:lang w:val="en-US" w:eastAsia="zh-CN"/>
        </w:rPr>
        <w:t>5</w:t>
      </w:r>
      <w:r>
        <w:rPr>
          <w:rFonts w:ascii="宋体" w:hAnsi="宋体" w:eastAsia="宋体"/>
        </w:rPr>
        <w:t>个试样进行</w:t>
      </w:r>
      <w:r>
        <w:rPr>
          <w:rFonts w:hint="eastAsia" w:ascii="宋体" w:hAnsi="宋体" w:eastAsia="宋体"/>
        </w:rPr>
        <w:t>方法的重复性与再现性</w:t>
      </w:r>
      <w:r>
        <w:rPr>
          <w:rFonts w:ascii="宋体" w:hAnsi="宋体" w:eastAsia="宋体"/>
        </w:rPr>
        <w:t>试验，</w:t>
      </w:r>
      <w:r>
        <w:rPr>
          <w:rFonts w:hint="eastAsia" w:ascii="宋体" w:hAnsi="宋体" w:eastAsia="宋体"/>
        </w:rPr>
        <w:t>按照</w:t>
      </w:r>
      <w:r>
        <w:rPr>
          <w:rFonts w:ascii="Times New Roman" w:eastAsia="宋体"/>
        </w:rPr>
        <w:t>GB/T 6379.2</w:t>
      </w:r>
      <w:r>
        <w:rPr>
          <w:rFonts w:hint="eastAsia" w:ascii="宋体" w:hAnsi="宋体" w:eastAsia="宋体"/>
        </w:rPr>
        <w:t>进行</w:t>
      </w:r>
      <w:r>
        <w:rPr>
          <w:rFonts w:ascii="宋体" w:hAnsi="宋体" w:eastAsia="宋体"/>
        </w:rPr>
        <w:t>统计，</w:t>
      </w:r>
      <w:r>
        <w:rPr>
          <w:rFonts w:hint="eastAsia" w:ascii="宋体" w:hAnsi="宋体" w:eastAsia="宋体"/>
        </w:rPr>
        <w:t>结果</w:t>
      </w:r>
      <w:r>
        <w:rPr>
          <w:rFonts w:ascii="宋体" w:hAnsi="宋体" w:eastAsia="宋体"/>
        </w:rPr>
        <w:t>见表</w:t>
      </w:r>
      <w:r>
        <w:rPr>
          <w:rFonts w:ascii="Times New Roman" w:eastAsia="宋体"/>
        </w:rPr>
        <w:t>2。</w:t>
      </w:r>
    </w:p>
    <w:p w14:paraId="48775D44">
      <w:pPr>
        <w:pStyle w:val="26"/>
        <w:spacing w:line="360" w:lineRule="auto"/>
        <w:ind w:firstLine="420"/>
        <w:jc w:val="center"/>
        <w:rPr>
          <w:rFonts w:hint="eastAsia" w:ascii="黑体" w:hAnsi="黑体" w:eastAsia="黑体"/>
        </w:rPr>
      </w:pPr>
      <w:r>
        <w:rPr>
          <w:rFonts w:hint="eastAsia" w:ascii="黑体" w:hAnsi="黑体" w:eastAsia="黑体"/>
        </w:rPr>
        <w:t>表3 精密度</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8"/>
        <w:gridCol w:w="2737"/>
        <w:gridCol w:w="2288"/>
        <w:gridCol w:w="2197"/>
      </w:tblGrid>
      <w:tr w14:paraId="6C4E7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6D617899">
            <w:pPr>
              <w:pStyle w:val="26"/>
              <w:widowControl w:val="0"/>
              <w:ind w:firstLine="0" w:firstLineChars="0"/>
              <w:jc w:val="center"/>
              <w:rPr>
                <w:sz w:val="18"/>
                <w:szCs w:val="18"/>
              </w:rPr>
            </w:pPr>
            <w:r>
              <w:rPr>
                <w:rFonts w:hint="eastAsia"/>
                <w:sz w:val="18"/>
                <w:szCs w:val="18"/>
              </w:rPr>
              <w:t>元素</w:t>
            </w:r>
          </w:p>
        </w:tc>
        <w:tc>
          <w:tcPr>
            <w:tcW w:w="2737" w:type="dxa"/>
            <w:vAlign w:val="center"/>
          </w:tcPr>
          <w:p w14:paraId="43498D13">
            <w:pPr>
              <w:pStyle w:val="26"/>
              <w:widowControl w:val="0"/>
              <w:ind w:firstLine="0" w:firstLineChars="0"/>
              <w:jc w:val="center"/>
              <w:rPr>
                <w:sz w:val="18"/>
                <w:szCs w:val="18"/>
              </w:rPr>
            </w:pPr>
            <w:r>
              <w:rPr>
                <w:rFonts w:hint="eastAsia"/>
                <w:sz w:val="18"/>
                <w:szCs w:val="18"/>
              </w:rPr>
              <w:t>含量范围（质量分数）</w:t>
            </w:r>
            <w:r>
              <w:rPr>
                <w:rFonts w:ascii="Times New Roman"/>
                <w:sz w:val="18"/>
                <w:szCs w:val="18"/>
              </w:rPr>
              <w:t>/%</w:t>
            </w:r>
          </w:p>
        </w:tc>
        <w:tc>
          <w:tcPr>
            <w:tcW w:w="2288" w:type="dxa"/>
            <w:vAlign w:val="center"/>
          </w:tcPr>
          <w:p w14:paraId="77067DAC">
            <w:pPr>
              <w:pStyle w:val="26"/>
              <w:widowControl w:val="0"/>
              <w:ind w:firstLine="0" w:firstLineChars="0"/>
              <w:jc w:val="center"/>
              <w:rPr>
                <w:sz w:val="18"/>
                <w:szCs w:val="18"/>
              </w:rPr>
            </w:pPr>
            <w:r>
              <w:rPr>
                <w:rFonts w:hint="eastAsia"/>
                <w:sz w:val="18"/>
                <w:szCs w:val="18"/>
              </w:rPr>
              <w:t>重复性</w:t>
            </w:r>
            <w:r>
              <w:rPr>
                <w:rFonts w:ascii="Times New Roman"/>
                <w:sz w:val="18"/>
                <w:szCs w:val="18"/>
              </w:rPr>
              <w:t>r/%</w:t>
            </w:r>
          </w:p>
        </w:tc>
        <w:tc>
          <w:tcPr>
            <w:tcW w:w="2197" w:type="dxa"/>
            <w:vAlign w:val="center"/>
          </w:tcPr>
          <w:p w14:paraId="35E3A110">
            <w:pPr>
              <w:pStyle w:val="26"/>
              <w:widowControl w:val="0"/>
              <w:ind w:firstLine="0" w:firstLineChars="0"/>
              <w:jc w:val="center"/>
              <w:rPr>
                <w:sz w:val="18"/>
                <w:szCs w:val="18"/>
              </w:rPr>
            </w:pPr>
            <w:r>
              <w:rPr>
                <w:rFonts w:hint="eastAsia"/>
                <w:sz w:val="18"/>
                <w:szCs w:val="18"/>
              </w:rPr>
              <w:t>再现性</w:t>
            </w:r>
            <w:r>
              <w:rPr>
                <w:rFonts w:ascii="Times New Roman"/>
                <w:sz w:val="18"/>
                <w:szCs w:val="18"/>
              </w:rPr>
              <w:t>R/%</w:t>
            </w:r>
          </w:p>
        </w:tc>
      </w:tr>
      <w:tr w14:paraId="3E5E9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5BE0FF35">
            <w:pPr>
              <w:pStyle w:val="26"/>
              <w:widowControl w:val="0"/>
              <w:ind w:firstLine="0" w:firstLineChars="0"/>
              <w:jc w:val="center"/>
              <w:rPr>
                <w:rFonts w:ascii="Times New Roman"/>
                <w:sz w:val="18"/>
                <w:szCs w:val="18"/>
              </w:rPr>
            </w:pPr>
            <w:r>
              <w:rPr>
                <w:rFonts w:ascii="Times New Roman"/>
                <w:sz w:val="18"/>
                <w:szCs w:val="18"/>
              </w:rPr>
              <w:t>Ni</w:t>
            </w:r>
          </w:p>
        </w:tc>
        <w:tc>
          <w:tcPr>
            <w:tcW w:w="2737" w:type="dxa"/>
            <w:vAlign w:val="top"/>
          </w:tcPr>
          <w:p w14:paraId="1BEBFF7C">
            <w:pPr>
              <w:pStyle w:val="26"/>
              <w:widowControl w:val="0"/>
              <w:ind w:firstLine="0" w:firstLineChars="0"/>
              <w:jc w:val="center"/>
              <w:rPr>
                <w:sz w:val="18"/>
                <w:szCs w:val="18"/>
              </w:rPr>
            </w:pPr>
            <w:r>
              <w:rPr>
                <w:rFonts w:ascii="Times New Roman"/>
                <w:sz w:val="18"/>
                <w:szCs w:val="18"/>
              </w:rPr>
              <w:t>15.00~62.50</w:t>
            </w:r>
          </w:p>
        </w:tc>
        <w:tc>
          <w:tcPr>
            <w:tcW w:w="2288" w:type="dxa"/>
            <w:vAlign w:val="center"/>
          </w:tcPr>
          <w:p w14:paraId="7D9050E4">
            <w:pPr>
              <w:pStyle w:val="26"/>
              <w:widowControl w:val="0"/>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0.12</w:t>
            </w:r>
          </w:p>
        </w:tc>
        <w:tc>
          <w:tcPr>
            <w:tcW w:w="2197" w:type="dxa"/>
            <w:vAlign w:val="center"/>
          </w:tcPr>
          <w:p w14:paraId="5643B9A4">
            <w:pPr>
              <w:pStyle w:val="26"/>
              <w:widowControl w:val="0"/>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0.40</w:t>
            </w:r>
          </w:p>
        </w:tc>
      </w:tr>
      <w:tr w14:paraId="243C9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1A3C0CD9">
            <w:pPr>
              <w:pStyle w:val="26"/>
              <w:widowControl w:val="0"/>
              <w:ind w:firstLine="0" w:firstLineChars="0"/>
              <w:jc w:val="center"/>
              <w:rPr>
                <w:rFonts w:ascii="Times New Roman"/>
                <w:sz w:val="18"/>
                <w:szCs w:val="18"/>
              </w:rPr>
            </w:pPr>
            <w:r>
              <w:rPr>
                <w:rFonts w:ascii="Times New Roman"/>
                <w:sz w:val="18"/>
                <w:szCs w:val="18"/>
              </w:rPr>
              <w:t>Co</w:t>
            </w:r>
          </w:p>
        </w:tc>
        <w:tc>
          <w:tcPr>
            <w:tcW w:w="2737" w:type="dxa"/>
            <w:vAlign w:val="top"/>
          </w:tcPr>
          <w:p w14:paraId="6410B131">
            <w:pPr>
              <w:pStyle w:val="26"/>
              <w:widowControl w:val="0"/>
              <w:ind w:firstLine="0" w:firstLineChars="0"/>
              <w:jc w:val="center"/>
              <w:rPr>
                <w:sz w:val="18"/>
                <w:szCs w:val="18"/>
              </w:rPr>
            </w:pPr>
            <w:r>
              <w:rPr>
                <w:rFonts w:hint="eastAsia" w:ascii="Times New Roman"/>
                <w:sz w:val="18"/>
                <w:szCs w:val="18"/>
              </w:rPr>
              <w:t>0.50</w:t>
            </w:r>
            <w:r>
              <w:rPr>
                <w:rFonts w:ascii="Times New Roman"/>
                <w:sz w:val="18"/>
                <w:szCs w:val="18"/>
              </w:rPr>
              <w:t>~</w:t>
            </w:r>
            <w:r>
              <w:rPr>
                <w:rFonts w:hint="eastAsia" w:ascii="Times New Roman"/>
                <w:sz w:val="18"/>
                <w:szCs w:val="18"/>
              </w:rPr>
              <w:t>25.00</w:t>
            </w:r>
          </w:p>
        </w:tc>
        <w:tc>
          <w:tcPr>
            <w:tcW w:w="2288" w:type="dxa"/>
            <w:vAlign w:val="center"/>
          </w:tcPr>
          <w:p w14:paraId="77E5CC79">
            <w:pPr>
              <w:pStyle w:val="26"/>
              <w:widowControl w:val="0"/>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0.07</w:t>
            </w:r>
          </w:p>
        </w:tc>
        <w:tc>
          <w:tcPr>
            <w:tcW w:w="2197" w:type="dxa"/>
            <w:vAlign w:val="center"/>
          </w:tcPr>
          <w:p w14:paraId="54BDF191">
            <w:pPr>
              <w:pStyle w:val="26"/>
              <w:widowControl w:val="0"/>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0.10</w:t>
            </w:r>
          </w:p>
        </w:tc>
      </w:tr>
      <w:tr w14:paraId="233F7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7BA27736">
            <w:pPr>
              <w:pStyle w:val="26"/>
              <w:widowControl w:val="0"/>
              <w:ind w:firstLine="0" w:firstLineChars="0"/>
              <w:jc w:val="center"/>
              <w:rPr>
                <w:rFonts w:ascii="Times New Roman"/>
                <w:sz w:val="18"/>
                <w:szCs w:val="18"/>
              </w:rPr>
            </w:pPr>
            <w:r>
              <w:rPr>
                <w:rFonts w:ascii="Times New Roman"/>
                <w:sz w:val="18"/>
                <w:szCs w:val="18"/>
              </w:rPr>
              <w:t>Mn</w:t>
            </w:r>
          </w:p>
        </w:tc>
        <w:tc>
          <w:tcPr>
            <w:tcW w:w="2737" w:type="dxa"/>
            <w:vAlign w:val="top"/>
          </w:tcPr>
          <w:p w14:paraId="361825B2">
            <w:pPr>
              <w:pStyle w:val="26"/>
              <w:widowControl w:val="0"/>
              <w:ind w:firstLine="0" w:firstLineChars="0"/>
              <w:jc w:val="center"/>
              <w:rPr>
                <w:sz w:val="18"/>
                <w:szCs w:val="18"/>
              </w:rPr>
            </w:pPr>
            <w:r>
              <w:rPr>
                <w:rFonts w:hint="eastAsia" w:ascii="Times New Roman"/>
                <w:sz w:val="18"/>
                <w:szCs w:val="18"/>
              </w:rPr>
              <w:t>0.50~40.00</w:t>
            </w:r>
          </w:p>
        </w:tc>
        <w:tc>
          <w:tcPr>
            <w:tcW w:w="2288" w:type="dxa"/>
            <w:vAlign w:val="center"/>
          </w:tcPr>
          <w:p w14:paraId="3387C36F">
            <w:pPr>
              <w:pStyle w:val="26"/>
              <w:widowControl w:val="0"/>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0.11</w:t>
            </w:r>
          </w:p>
        </w:tc>
        <w:tc>
          <w:tcPr>
            <w:tcW w:w="2197" w:type="dxa"/>
            <w:vAlign w:val="center"/>
          </w:tcPr>
          <w:p w14:paraId="0B75BEE1">
            <w:pPr>
              <w:pStyle w:val="26"/>
              <w:widowControl w:val="0"/>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0.19</w:t>
            </w:r>
          </w:p>
        </w:tc>
      </w:tr>
    </w:tbl>
    <w:p w14:paraId="14F3BE1E">
      <w:pPr>
        <w:pStyle w:val="26"/>
        <w:ind w:firstLine="0" w:firstLineChars="0"/>
        <w:rPr>
          <w:rFonts w:hint="eastAsia" w:ascii="黑体" w:hAnsi="黑体" w:eastAsia="黑体"/>
        </w:rPr>
      </w:pPr>
    </w:p>
    <w:p w14:paraId="346A42CE">
      <w:pPr>
        <w:pStyle w:val="26"/>
        <w:ind w:firstLine="0" w:firstLineChars="0"/>
        <w:rPr>
          <w:rFonts w:hint="eastAsia" w:ascii="黑体" w:hAnsi="黑体" w:eastAsia="黑体"/>
        </w:rPr>
      </w:pPr>
    </w:p>
    <w:p w14:paraId="4FAFFD95">
      <w:pPr>
        <w:pStyle w:val="26"/>
        <w:ind w:firstLine="0" w:firstLineChars="0"/>
        <w:rPr>
          <w:rFonts w:hint="eastAsia" w:ascii="黑体" w:hAnsi="黑体" w:eastAsia="黑体"/>
        </w:rPr>
      </w:pPr>
    </w:p>
    <w:p w14:paraId="6289CB36">
      <w:pPr>
        <w:pStyle w:val="26"/>
        <w:ind w:firstLine="0" w:firstLineChars="0"/>
        <w:rPr>
          <w:rFonts w:hint="eastAsia" w:ascii="黑体" w:hAnsi="黑体" w:eastAsia="黑体"/>
        </w:rPr>
      </w:pPr>
    </w:p>
    <w:p w14:paraId="1F7B7C8E">
      <w:pPr>
        <w:pStyle w:val="26"/>
        <w:ind w:firstLine="0" w:firstLineChars="0"/>
        <w:rPr>
          <w:rFonts w:hint="eastAsia" w:ascii="黑体" w:hAnsi="黑体" w:eastAsia="黑体"/>
        </w:rPr>
      </w:pPr>
    </w:p>
    <w:p w14:paraId="6FDC21A2">
      <w:pPr>
        <w:pStyle w:val="26"/>
        <w:ind w:firstLine="0" w:firstLineChars="0"/>
        <w:rPr>
          <w:rFonts w:hint="eastAsia" w:ascii="黑体" w:hAnsi="黑体" w:eastAsia="黑体"/>
        </w:rPr>
      </w:pPr>
    </w:p>
    <w:p w14:paraId="0F22AED2">
      <w:pPr>
        <w:pStyle w:val="26"/>
        <w:ind w:firstLine="0" w:firstLineChars="0"/>
        <w:rPr>
          <w:rFonts w:hint="eastAsia" w:ascii="黑体" w:hAnsi="黑体" w:eastAsia="黑体"/>
        </w:rPr>
      </w:pPr>
    </w:p>
    <w:p w14:paraId="26905979">
      <w:pPr>
        <w:pStyle w:val="26"/>
        <w:ind w:firstLine="0" w:firstLineChars="0"/>
        <w:rPr>
          <w:rFonts w:hint="eastAsia" w:ascii="黑体" w:hAnsi="黑体" w:eastAsia="黑体"/>
        </w:rPr>
      </w:pPr>
    </w:p>
    <w:p w14:paraId="6A243EBF">
      <w:pPr>
        <w:pStyle w:val="26"/>
        <w:ind w:firstLine="0" w:firstLineChars="0"/>
        <w:jc w:val="center"/>
        <w:rPr>
          <w:rFonts w:hint="eastAsia" w:ascii="黑体" w:hAnsi="黑体" w:eastAsia="黑体"/>
        </w:rPr>
      </w:pPr>
      <w:r>
        <w:rPr>
          <w:rFonts w:hint="eastAsia" w:ascii="黑体" w:hAnsi="黑体" w:eastAsia="黑体"/>
        </w:rPr>
        <w:t>附录A</w:t>
      </w:r>
    </w:p>
    <w:p w14:paraId="5534FE10">
      <w:pPr>
        <w:pStyle w:val="26"/>
        <w:ind w:firstLine="0" w:firstLineChars="0"/>
        <w:jc w:val="center"/>
        <w:rPr>
          <w:rFonts w:hint="eastAsia" w:ascii="黑体" w:hAnsi="黑体" w:eastAsia="黑体"/>
        </w:rPr>
      </w:pPr>
      <w:r>
        <w:rPr>
          <w:rFonts w:hint="eastAsia" w:ascii="黑体" w:hAnsi="黑体" w:eastAsia="黑体"/>
        </w:rPr>
        <w:t>（规</w:t>
      </w:r>
      <w:r>
        <w:rPr>
          <w:rFonts w:hint="eastAsia" w:ascii="黑体" w:hAnsi="黑体" w:eastAsia="黑体"/>
          <w:lang w:val="en-US" w:eastAsia="zh-CN"/>
        </w:rPr>
        <w:t xml:space="preserve"> </w:t>
      </w:r>
      <w:r>
        <w:rPr>
          <w:rFonts w:hint="eastAsia" w:ascii="黑体" w:hAnsi="黑体" w:eastAsia="黑体"/>
        </w:rPr>
        <w:t>范</w:t>
      </w:r>
      <w:r>
        <w:rPr>
          <w:rFonts w:hint="eastAsia" w:ascii="黑体" w:hAnsi="黑体" w:eastAsia="黑体"/>
          <w:lang w:val="en-US" w:eastAsia="zh-CN"/>
        </w:rPr>
        <w:t xml:space="preserve"> </w:t>
      </w:r>
      <w:r>
        <w:rPr>
          <w:rFonts w:hint="eastAsia" w:ascii="黑体" w:hAnsi="黑体" w:eastAsia="黑体"/>
        </w:rPr>
        <w:t>性）</w:t>
      </w:r>
    </w:p>
    <w:p w14:paraId="4BE7CFD3">
      <w:pPr>
        <w:pStyle w:val="26"/>
        <w:ind w:firstLine="0" w:firstLineChars="0"/>
        <w:jc w:val="center"/>
        <w:rPr>
          <w:rFonts w:hint="eastAsia" w:ascii="黑体" w:hAnsi="黑体" w:eastAsia="黑体"/>
        </w:rPr>
      </w:pPr>
      <w:r>
        <w:rPr>
          <w:rFonts w:hint="eastAsia" w:ascii="黑体" w:hAnsi="黑体" w:eastAsia="黑体"/>
        </w:rPr>
        <w:t>校准曲线玻璃熔片制备方法</w:t>
      </w:r>
    </w:p>
    <w:p w14:paraId="1AD4333A">
      <w:pPr>
        <w:pStyle w:val="26"/>
        <w:ind w:firstLine="0" w:firstLineChars="0"/>
        <w:rPr>
          <w:rFonts w:hint="eastAsia" w:ascii="黑体" w:hAnsi="黑体" w:eastAsia="黑体"/>
        </w:rPr>
      </w:pPr>
      <w:r>
        <w:rPr>
          <w:rFonts w:hint="eastAsia" w:ascii="黑体" w:hAnsi="黑体" w:eastAsia="黑体"/>
        </w:rPr>
        <w:t>A.1 范围</w:t>
      </w:r>
    </w:p>
    <w:p w14:paraId="03469407">
      <w:pPr>
        <w:pStyle w:val="26"/>
        <w:ind w:firstLine="420"/>
        <w:rPr>
          <w:rFonts w:hint="eastAsia" w:ascii="黑体" w:hAnsi="黑体" w:eastAsia="黑体"/>
        </w:rPr>
      </w:pPr>
      <w:r>
        <w:rPr>
          <w:rFonts w:hint="eastAsia" w:hAnsi="宋体"/>
        </w:rPr>
        <w:t>本附录规定了使用氧化物配制校准曲线玻璃熔片的方法</w:t>
      </w:r>
      <w:r>
        <w:rPr>
          <w:rFonts w:hint="eastAsia" w:ascii="黑体" w:hAnsi="黑体" w:eastAsia="黑体"/>
        </w:rPr>
        <w:t>。</w:t>
      </w:r>
    </w:p>
    <w:p w14:paraId="7F46D77A">
      <w:pPr>
        <w:pStyle w:val="26"/>
        <w:ind w:firstLine="0" w:firstLineChars="0"/>
        <w:rPr>
          <w:rFonts w:hint="eastAsia" w:ascii="黑体" w:hAnsi="黑体" w:eastAsia="黑体"/>
        </w:rPr>
      </w:pPr>
      <w:r>
        <w:rPr>
          <w:rFonts w:hint="eastAsia" w:ascii="黑体" w:hAnsi="黑体" w:eastAsia="黑体"/>
        </w:rPr>
        <w:t>A.2 原理</w:t>
      </w:r>
    </w:p>
    <w:p w14:paraId="183BE02A">
      <w:pPr>
        <w:pStyle w:val="26"/>
        <w:ind w:firstLine="420"/>
        <w:rPr>
          <w:rFonts w:hint="eastAsia" w:hAnsi="宋体"/>
        </w:rPr>
      </w:pPr>
      <w:r>
        <w:rPr>
          <w:rFonts w:hint="eastAsia" w:hAnsi="宋体"/>
        </w:rPr>
        <w:t>将高纯或优级纯的氧化物按照一定的规程进行预处理后，按照接近于实际样品的配比，定量称取氧化物，根据组分不同使校准曲线呈现较为理想的梯度。将配制好的各组分充分混合后，经高温熔融冷却脱模后，得到校准曲线玻璃熔片。</w:t>
      </w:r>
    </w:p>
    <w:p w14:paraId="146E1F8E">
      <w:pPr>
        <w:pStyle w:val="26"/>
        <w:ind w:firstLine="0" w:firstLineChars="0"/>
        <w:rPr>
          <w:rFonts w:hint="eastAsia" w:ascii="黑体" w:hAnsi="黑体" w:eastAsia="黑体"/>
        </w:rPr>
      </w:pPr>
      <w:r>
        <w:rPr>
          <w:rFonts w:hint="eastAsia" w:ascii="黑体" w:hAnsi="黑体" w:eastAsia="黑体"/>
        </w:rPr>
        <w:t>A.3 分析步骤</w:t>
      </w:r>
    </w:p>
    <w:p w14:paraId="1DBBCA0C">
      <w:pPr>
        <w:pStyle w:val="26"/>
        <w:ind w:firstLine="0" w:firstLineChars="0"/>
        <w:rPr>
          <w:rFonts w:hint="eastAsia" w:ascii="黑体" w:hAnsi="黑体" w:eastAsia="黑体"/>
        </w:rPr>
      </w:pPr>
      <w:r>
        <w:rPr>
          <w:rFonts w:hint="eastAsia" w:ascii="黑体" w:hAnsi="黑体" w:eastAsia="黑体"/>
        </w:rPr>
        <w:t>A.3.1 配料</w:t>
      </w:r>
    </w:p>
    <w:p w14:paraId="0708B540">
      <w:pPr>
        <w:pStyle w:val="26"/>
        <w:ind w:firstLine="420"/>
        <w:rPr>
          <w:rFonts w:hint="eastAsia" w:hAnsi="宋体"/>
        </w:rPr>
      </w:pPr>
      <w:r>
        <w:rPr>
          <w:rFonts w:hint="eastAsia" w:hAnsi="宋体"/>
        </w:rPr>
        <w:t>称取</w:t>
      </w:r>
      <w:r>
        <w:rPr>
          <w:rFonts w:ascii="Times New Roman"/>
        </w:rPr>
        <w:t>9.0000g</w:t>
      </w:r>
      <w:r>
        <w:rPr>
          <w:rFonts w:hint="eastAsia" w:hAnsi="宋体"/>
        </w:rPr>
        <w:t>四硼酸锂-偏硼酸锂混合溶剂</w:t>
      </w:r>
      <w:r>
        <w:rPr>
          <w:rFonts w:ascii="Times New Roman"/>
        </w:rPr>
        <w:t>（5.2.14）</w:t>
      </w:r>
      <w:r>
        <w:rPr>
          <w:rFonts w:hint="eastAsia" w:hAnsi="宋体"/>
        </w:rPr>
        <w:t>，将其置于坩埚</w:t>
      </w:r>
      <w:r>
        <w:rPr>
          <w:rFonts w:ascii="Times New Roman"/>
        </w:rPr>
        <w:t>（5.3.4）</w:t>
      </w:r>
      <w:r>
        <w:rPr>
          <w:rFonts w:hint="eastAsia" w:hAnsi="宋体"/>
        </w:rPr>
        <w:t>中，铺平后依次称取各组分氧化物，混合均匀后滴加约</w:t>
      </w:r>
      <w:r>
        <w:rPr>
          <w:rFonts w:ascii="Times New Roman"/>
        </w:rPr>
        <w:t>1mL</w:t>
      </w:r>
      <w:r>
        <w:rPr>
          <w:rFonts w:hint="eastAsia" w:hAnsi="宋体"/>
        </w:rPr>
        <w:t>溴化锂溶液</w:t>
      </w:r>
      <w:r>
        <w:rPr>
          <w:rFonts w:ascii="Times New Roman"/>
        </w:rPr>
        <w:t>（5.2.1</w:t>
      </w:r>
      <w:r>
        <w:rPr>
          <w:rFonts w:hint="eastAsia" w:ascii="Times New Roman"/>
        </w:rPr>
        <w:t>6</w:t>
      </w:r>
      <w:r>
        <w:rPr>
          <w:rFonts w:ascii="Times New Roman"/>
        </w:rPr>
        <w:t>）</w:t>
      </w:r>
      <w:r>
        <w:rPr>
          <w:rFonts w:hint="eastAsia" w:hAnsi="宋体"/>
        </w:rPr>
        <w:t>。</w:t>
      </w:r>
    </w:p>
    <w:p w14:paraId="0D0DC54E">
      <w:pPr>
        <w:pStyle w:val="26"/>
        <w:ind w:firstLine="0" w:firstLineChars="0"/>
        <w:rPr>
          <w:rFonts w:hint="eastAsia" w:ascii="黑体" w:hAnsi="黑体" w:eastAsia="黑体"/>
        </w:rPr>
      </w:pPr>
      <w:r>
        <w:rPr>
          <w:rFonts w:hint="eastAsia" w:ascii="黑体" w:hAnsi="黑体" w:eastAsia="黑体"/>
        </w:rPr>
        <w:t>A.3.2 熔融</w:t>
      </w:r>
    </w:p>
    <w:p w14:paraId="7A59AF2E">
      <w:pPr>
        <w:pStyle w:val="26"/>
        <w:ind w:firstLine="420"/>
        <w:rPr>
          <w:rFonts w:hint="eastAsia" w:hAnsi="宋体"/>
        </w:rPr>
      </w:pPr>
      <w:r>
        <w:rPr>
          <w:rFonts w:hint="eastAsia" w:hAnsi="宋体"/>
        </w:rPr>
        <w:t>将各组分混合均匀后按照</w:t>
      </w:r>
      <w:r>
        <w:rPr>
          <w:rFonts w:ascii="Times New Roman"/>
        </w:rPr>
        <w:t>5.5.2</w:t>
      </w:r>
      <w:r>
        <w:rPr>
          <w:rFonts w:hint="eastAsia" w:hAnsi="宋体"/>
        </w:rPr>
        <w:t>中的步骤进行熔融。</w:t>
      </w:r>
    </w:p>
    <w:p w14:paraId="32616C30">
      <w:pPr>
        <w:pStyle w:val="26"/>
        <w:ind w:firstLine="420"/>
        <w:rPr>
          <w:rFonts w:hint="eastAsia" w:hAnsi="宋体"/>
        </w:rPr>
      </w:pPr>
    </w:p>
    <w:p w14:paraId="577A8641">
      <w:pPr>
        <w:pStyle w:val="26"/>
        <w:ind w:firstLine="420"/>
        <w:rPr>
          <w:rFonts w:hint="eastAsia" w:hAnsi="宋体"/>
        </w:rPr>
      </w:pPr>
    </w:p>
    <w:p w14:paraId="36464712">
      <w:pPr>
        <w:pStyle w:val="26"/>
        <w:ind w:firstLine="420"/>
        <w:rPr>
          <w:rFonts w:hint="eastAsia" w:hAnsi="宋体"/>
        </w:rPr>
      </w:pPr>
    </w:p>
    <w:p w14:paraId="3F322286">
      <w:pPr>
        <w:pStyle w:val="26"/>
        <w:ind w:firstLine="420"/>
        <w:rPr>
          <w:rFonts w:hint="eastAsia" w:hAnsi="宋体"/>
        </w:rPr>
      </w:pPr>
    </w:p>
    <w:p w14:paraId="1F0891F5">
      <w:pPr>
        <w:pStyle w:val="26"/>
        <w:ind w:firstLine="420"/>
        <w:rPr>
          <w:rFonts w:hint="eastAsia" w:hAnsi="宋体"/>
        </w:rPr>
      </w:pPr>
    </w:p>
    <w:p w14:paraId="3AAF737A">
      <w:pPr>
        <w:pStyle w:val="26"/>
        <w:ind w:firstLine="420"/>
        <w:rPr>
          <w:rFonts w:hint="eastAsia" w:hAnsi="宋体"/>
        </w:rPr>
      </w:pPr>
    </w:p>
    <w:p w14:paraId="7126E46A">
      <w:pPr>
        <w:pStyle w:val="26"/>
        <w:ind w:firstLine="420"/>
        <w:rPr>
          <w:rFonts w:hint="eastAsia" w:hAnsi="宋体"/>
        </w:rPr>
      </w:pPr>
    </w:p>
    <w:p w14:paraId="3AD19476">
      <w:pPr>
        <w:pStyle w:val="26"/>
        <w:ind w:firstLine="420"/>
        <w:rPr>
          <w:rFonts w:hint="eastAsia" w:hAnsi="宋体"/>
        </w:rPr>
      </w:pPr>
    </w:p>
    <w:p w14:paraId="219857B6">
      <w:pPr>
        <w:pStyle w:val="26"/>
        <w:ind w:firstLine="420"/>
        <w:rPr>
          <w:rFonts w:hint="eastAsia" w:hAnsi="宋体"/>
        </w:rPr>
      </w:pPr>
    </w:p>
    <w:p w14:paraId="3DB5A282">
      <w:pPr>
        <w:pStyle w:val="26"/>
        <w:ind w:firstLine="420"/>
        <w:rPr>
          <w:rFonts w:hint="eastAsia" w:hAnsi="宋体"/>
        </w:rPr>
      </w:pPr>
    </w:p>
    <w:p w14:paraId="6D1BE01C">
      <w:pPr>
        <w:pStyle w:val="26"/>
        <w:ind w:firstLine="420"/>
        <w:rPr>
          <w:rFonts w:hint="eastAsia" w:hAnsi="宋体"/>
        </w:rPr>
      </w:pPr>
    </w:p>
    <w:p w14:paraId="1528F660">
      <w:pPr>
        <w:pStyle w:val="26"/>
        <w:ind w:firstLine="420"/>
        <w:rPr>
          <w:rFonts w:hint="eastAsia" w:hAnsi="宋体"/>
        </w:rPr>
      </w:pPr>
    </w:p>
    <w:p w14:paraId="28062359">
      <w:pPr>
        <w:pStyle w:val="26"/>
        <w:ind w:firstLine="420"/>
        <w:rPr>
          <w:rFonts w:hint="eastAsia" w:hAnsi="宋体"/>
        </w:rPr>
      </w:pPr>
    </w:p>
    <w:p w14:paraId="68604D94">
      <w:pPr>
        <w:pStyle w:val="26"/>
        <w:ind w:firstLine="420"/>
        <w:rPr>
          <w:rFonts w:hint="eastAsia" w:hAnsi="宋体"/>
        </w:rPr>
      </w:pPr>
    </w:p>
    <w:p w14:paraId="1A9B8573">
      <w:pPr>
        <w:pStyle w:val="26"/>
        <w:ind w:firstLine="420"/>
        <w:rPr>
          <w:rFonts w:hint="eastAsia" w:hAnsi="宋体"/>
        </w:rPr>
      </w:pPr>
    </w:p>
    <w:p w14:paraId="1A884405">
      <w:pPr>
        <w:pStyle w:val="26"/>
        <w:ind w:firstLine="420"/>
        <w:rPr>
          <w:rFonts w:hint="eastAsia" w:hAnsi="宋体"/>
        </w:rPr>
      </w:pPr>
    </w:p>
    <w:p w14:paraId="165AA536">
      <w:pPr>
        <w:pStyle w:val="26"/>
        <w:ind w:firstLine="420"/>
        <w:rPr>
          <w:rFonts w:hint="eastAsia" w:hAnsi="宋体"/>
        </w:rPr>
      </w:pPr>
    </w:p>
    <w:p w14:paraId="32E2123C">
      <w:pPr>
        <w:pStyle w:val="26"/>
        <w:ind w:firstLine="420"/>
        <w:rPr>
          <w:rFonts w:hint="eastAsia" w:hAnsi="宋体"/>
        </w:rPr>
      </w:pPr>
    </w:p>
    <w:p w14:paraId="04AAE2A9">
      <w:pPr>
        <w:pStyle w:val="26"/>
        <w:ind w:firstLine="420"/>
        <w:rPr>
          <w:rFonts w:hint="eastAsia" w:hAnsi="宋体"/>
        </w:rPr>
      </w:pPr>
    </w:p>
    <w:p w14:paraId="3CA1D7C5">
      <w:pPr>
        <w:pStyle w:val="26"/>
        <w:ind w:firstLine="420"/>
        <w:rPr>
          <w:rFonts w:hint="eastAsia" w:hAnsi="宋体"/>
        </w:rPr>
      </w:pPr>
    </w:p>
    <w:p w14:paraId="17D9C413">
      <w:pPr>
        <w:pStyle w:val="26"/>
        <w:ind w:firstLine="420"/>
        <w:rPr>
          <w:rFonts w:hint="eastAsia" w:hAnsi="宋体"/>
        </w:rPr>
      </w:pPr>
    </w:p>
    <w:p w14:paraId="4B232157">
      <w:pPr>
        <w:pStyle w:val="26"/>
        <w:ind w:firstLine="420"/>
        <w:rPr>
          <w:rFonts w:hint="eastAsia" w:hAnsi="宋体"/>
        </w:rPr>
      </w:pPr>
    </w:p>
    <w:p w14:paraId="0081E80C">
      <w:pPr>
        <w:pStyle w:val="26"/>
        <w:ind w:firstLine="420"/>
        <w:rPr>
          <w:rFonts w:hint="eastAsia" w:hAnsi="宋体"/>
        </w:rPr>
      </w:pPr>
    </w:p>
    <w:p w14:paraId="2A50D1AE">
      <w:pPr>
        <w:pStyle w:val="26"/>
        <w:ind w:firstLine="420"/>
        <w:rPr>
          <w:rFonts w:hint="eastAsia" w:hAnsi="宋体"/>
        </w:rPr>
      </w:pPr>
    </w:p>
    <w:p w14:paraId="395FA2AC">
      <w:pPr>
        <w:pStyle w:val="26"/>
        <w:ind w:firstLine="420"/>
        <w:rPr>
          <w:rFonts w:hint="eastAsia" w:hAnsi="宋体"/>
        </w:rPr>
      </w:pPr>
    </w:p>
    <w:p w14:paraId="5E373760">
      <w:pPr>
        <w:pStyle w:val="26"/>
        <w:ind w:firstLine="420"/>
        <w:rPr>
          <w:rFonts w:hint="eastAsia" w:hAnsi="宋体"/>
        </w:rPr>
      </w:pPr>
    </w:p>
    <w:p w14:paraId="23A73CBB">
      <w:pPr>
        <w:pStyle w:val="26"/>
        <w:ind w:firstLine="420"/>
        <w:rPr>
          <w:rFonts w:hint="eastAsia" w:hAnsi="宋体"/>
        </w:rPr>
      </w:pPr>
    </w:p>
    <w:p w14:paraId="3B5D3435">
      <w:pPr>
        <w:pStyle w:val="26"/>
        <w:ind w:firstLine="420"/>
        <w:rPr>
          <w:rFonts w:hint="eastAsia" w:hAnsi="宋体"/>
        </w:rPr>
      </w:pPr>
    </w:p>
    <w:p w14:paraId="5BDE73C7">
      <w:pPr>
        <w:pStyle w:val="26"/>
        <w:ind w:firstLine="420"/>
        <w:rPr>
          <w:rFonts w:hint="eastAsia" w:hAnsi="宋体"/>
        </w:rPr>
      </w:pPr>
    </w:p>
    <w:p w14:paraId="09AAA2D5">
      <w:pPr>
        <w:pStyle w:val="26"/>
        <w:ind w:firstLine="420"/>
        <w:rPr>
          <w:rFonts w:hint="eastAsia" w:hAnsi="宋体"/>
        </w:rPr>
      </w:pPr>
    </w:p>
    <w:p w14:paraId="3D583916">
      <w:pPr>
        <w:pStyle w:val="26"/>
        <w:ind w:firstLine="420"/>
        <w:jc w:val="center"/>
        <w:rPr>
          <w:rFonts w:hint="eastAsia" w:ascii="黑体" w:hAnsi="黑体" w:eastAsia="黑体"/>
        </w:rPr>
      </w:pPr>
      <w:r>
        <w:rPr>
          <w:rFonts w:hint="eastAsia" w:ascii="黑体" w:hAnsi="黑体" w:eastAsia="黑体"/>
        </w:rPr>
        <w:t>附录B</w:t>
      </w:r>
    </w:p>
    <w:p w14:paraId="7E8E9113">
      <w:pPr>
        <w:pStyle w:val="26"/>
        <w:ind w:firstLine="420"/>
        <w:jc w:val="center"/>
        <w:rPr>
          <w:rFonts w:hint="eastAsia" w:ascii="黑体" w:hAnsi="黑体" w:eastAsia="黑体"/>
        </w:rPr>
      </w:pPr>
      <w:r>
        <w:rPr>
          <w:rFonts w:hint="eastAsia" w:ascii="黑体" w:hAnsi="黑体" w:eastAsia="黑体"/>
        </w:rPr>
        <w:t>（资</w:t>
      </w:r>
      <w:r>
        <w:rPr>
          <w:rFonts w:hint="eastAsia" w:ascii="黑体" w:hAnsi="黑体" w:eastAsia="黑体"/>
          <w:lang w:val="en-US" w:eastAsia="zh-CN"/>
        </w:rPr>
        <w:t xml:space="preserve"> </w:t>
      </w:r>
      <w:r>
        <w:rPr>
          <w:rFonts w:hint="eastAsia" w:ascii="黑体" w:hAnsi="黑体" w:eastAsia="黑体"/>
        </w:rPr>
        <w:t>料</w:t>
      </w:r>
      <w:r>
        <w:rPr>
          <w:rFonts w:hint="eastAsia" w:ascii="黑体" w:hAnsi="黑体" w:eastAsia="黑体"/>
          <w:lang w:val="en-US" w:eastAsia="zh-CN"/>
        </w:rPr>
        <w:t xml:space="preserve"> </w:t>
      </w:r>
      <w:r>
        <w:rPr>
          <w:rFonts w:hint="eastAsia" w:ascii="黑体" w:hAnsi="黑体" w:eastAsia="黑体"/>
        </w:rPr>
        <w:t>性）</w:t>
      </w:r>
    </w:p>
    <w:p w14:paraId="00B83423">
      <w:pPr>
        <w:pStyle w:val="26"/>
        <w:ind w:firstLine="420"/>
        <w:jc w:val="center"/>
        <w:rPr>
          <w:rFonts w:hint="eastAsia" w:ascii="黑体" w:hAnsi="黑体" w:eastAsia="黑体"/>
        </w:rPr>
      </w:pPr>
      <w:r>
        <w:rPr>
          <w:rFonts w:hint="eastAsia" w:ascii="黑体" w:hAnsi="黑体" w:eastAsia="黑体"/>
        </w:rPr>
        <w:t>波长色散X射线荧光光谱仪的推荐测量条件</w:t>
      </w:r>
    </w:p>
    <w:p w14:paraId="5E0DB3AF">
      <w:pPr>
        <w:pStyle w:val="26"/>
        <w:ind w:firstLine="420"/>
        <w:rPr>
          <w:rFonts w:hint="eastAsia" w:hAnsi="宋体"/>
        </w:rPr>
      </w:pPr>
    </w:p>
    <w:p w14:paraId="7392EA90">
      <w:pPr>
        <w:pStyle w:val="26"/>
        <w:ind w:firstLine="420"/>
        <w:rPr>
          <w:rFonts w:hint="default" w:ascii="Times New Roman" w:hAnsi="Times New Roman" w:cs="Times New Roman"/>
        </w:rPr>
      </w:pPr>
      <w:r>
        <w:rPr>
          <w:rFonts w:hint="default" w:ascii="Times New Roman" w:hAnsi="Times New Roman" w:cs="Times New Roman"/>
        </w:rPr>
        <w:t>波长色散X射线荧光光谱仪的推荐测量条件见表B.1。</w:t>
      </w:r>
    </w:p>
    <w:p w14:paraId="62180655">
      <w:pPr>
        <w:pStyle w:val="2"/>
        <w:keepNext/>
        <w:jc w:val="center"/>
        <w:rPr>
          <w:rFonts w:hint="eastAsia"/>
        </w:rPr>
      </w:pPr>
      <w:r>
        <w:rPr>
          <w:rFonts w:hint="eastAsia"/>
        </w:rPr>
        <w:t>表B.1 推荐测量条件</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1294"/>
        <w:gridCol w:w="1294"/>
        <w:gridCol w:w="1294"/>
        <w:gridCol w:w="1294"/>
        <w:gridCol w:w="1294"/>
        <w:gridCol w:w="1295"/>
      </w:tblGrid>
      <w:tr w14:paraId="1B260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vAlign w:val="center"/>
          </w:tcPr>
          <w:p w14:paraId="04E3AC73">
            <w:pPr>
              <w:pStyle w:val="26"/>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待测元素</w:t>
            </w:r>
          </w:p>
        </w:tc>
        <w:tc>
          <w:tcPr>
            <w:tcW w:w="1294" w:type="dxa"/>
            <w:vAlign w:val="center"/>
          </w:tcPr>
          <w:p w14:paraId="54714060">
            <w:pPr>
              <w:pStyle w:val="26"/>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分析谱线</w:t>
            </w:r>
          </w:p>
        </w:tc>
        <w:tc>
          <w:tcPr>
            <w:tcW w:w="1294" w:type="dxa"/>
            <w:vAlign w:val="center"/>
          </w:tcPr>
          <w:p w14:paraId="3EA4289B">
            <w:pPr>
              <w:pStyle w:val="26"/>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晶体</w:t>
            </w:r>
          </w:p>
        </w:tc>
        <w:tc>
          <w:tcPr>
            <w:tcW w:w="1294" w:type="dxa"/>
          </w:tcPr>
          <w:p w14:paraId="0829AC76">
            <w:pPr>
              <w:pStyle w:val="26"/>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准直器</w:t>
            </w:r>
          </w:p>
          <w:p w14:paraId="78A2B4AA">
            <w:pPr>
              <w:pStyle w:val="26"/>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μm</w:t>
            </w:r>
          </w:p>
        </w:tc>
        <w:tc>
          <w:tcPr>
            <w:tcW w:w="1294" w:type="dxa"/>
            <w:vAlign w:val="center"/>
          </w:tcPr>
          <w:p w14:paraId="1522914F">
            <w:pPr>
              <w:pStyle w:val="26"/>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电流</w:t>
            </w:r>
          </w:p>
          <w:p w14:paraId="3A72C099">
            <w:pPr>
              <w:pStyle w:val="26"/>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mA</w:t>
            </w:r>
          </w:p>
        </w:tc>
        <w:tc>
          <w:tcPr>
            <w:tcW w:w="1294" w:type="dxa"/>
            <w:vAlign w:val="center"/>
          </w:tcPr>
          <w:p w14:paraId="5F46D4C2">
            <w:pPr>
              <w:pStyle w:val="26"/>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电压</w:t>
            </w:r>
          </w:p>
          <w:p w14:paraId="4D7CAF4A">
            <w:pPr>
              <w:pStyle w:val="26"/>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kV</w:t>
            </w:r>
          </w:p>
        </w:tc>
        <w:tc>
          <w:tcPr>
            <w:tcW w:w="1295" w:type="dxa"/>
            <w:vAlign w:val="center"/>
          </w:tcPr>
          <w:p w14:paraId="159AB46B">
            <w:pPr>
              <w:pStyle w:val="26"/>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2θ/°</w:t>
            </w:r>
          </w:p>
        </w:tc>
      </w:tr>
      <w:tr w14:paraId="2C10F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vAlign w:val="center"/>
          </w:tcPr>
          <w:p w14:paraId="7535CFA3">
            <w:pPr>
              <w:pStyle w:val="26"/>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Ni</w:t>
            </w:r>
          </w:p>
        </w:tc>
        <w:tc>
          <w:tcPr>
            <w:tcW w:w="1294" w:type="dxa"/>
            <w:vAlign w:val="center"/>
          </w:tcPr>
          <w:p w14:paraId="230CA7A9">
            <w:pPr>
              <w:pStyle w:val="26"/>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NiKα</w:t>
            </w:r>
          </w:p>
        </w:tc>
        <w:tc>
          <w:tcPr>
            <w:tcW w:w="1294" w:type="dxa"/>
            <w:vAlign w:val="center"/>
          </w:tcPr>
          <w:p w14:paraId="5B5E994F">
            <w:pPr>
              <w:pStyle w:val="26"/>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LiF200</w:t>
            </w:r>
          </w:p>
        </w:tc>
        <w:tc>
          <w:tcPr>
            <w:tcW w:w="1294" w:type="dxa"/>
          </w:tcPr>
          <w:p w14:paraId="5BBBEF2B">
            <w:pPr>
              <w:pStyle w:val="26"/>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300</w:t>
            </w:r>
          </w:p>
        </w:tc>
        <w:tc>
          <w:tcPr>
            <w:tcW w:w="1294" w:type="dxa"/>
            <w:vAlign w:val="center"/>
          </w:tcPr>
          <w:p w14:paraId="26E77BAE">
            <w:pPr>
              <w:pStyle w:val="26"/>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60</w:t>
            </w:r>
          </w:p>
        </w:tc>
        <w:tc>
          <w:tcPr>
            <w:tcW w:w="1294" w:type="dxa"/>
            <w:vAlign w:val="center"/>
          </w:tcPr>
          <w:p w14:paraId="0FAAD181">
            <w:pPr>
              <w:pStyle w:val="26"/>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50</w:t>
            </w:r>
          </w:p>
        </w:tc>
        <w:tc>
          <w:tcPr>
            <w:tcW w:w="1295" w:type="dxa"/>
            <w:vAlign w:val="center"/>
          </w:tcPr>
          <w:p w14:paraId="5854C2F9">
            <w:pPr>
              <w:pStyle w:val="26"/>
              <w:widowControl w:val="0"/>
              <w:ind w:firstLine="0" w:firstLineChars="0"/>
              <w:jc w:val="center"/>
              <w:rPr>
                <w:rFonts w:hint="default" w:ascii="Times New Roman" w:hAnsi="Times New Roman" w:eastAsia="宋体" w:cs="Times New Roman"/>
                <w:sz w:val="18"/>
                <w:szCs w:val="18"/>
                <w:lang w:val="en-US" w:eastAsia="zh-CN"/>
              </w:rPr>
            </w:pPr>
            <w:r>
              <w:rPr>
                <w:rFonts w:hint="eastAsia" w:ascii="Times New Roman" w:cs="Times New Roman"/>
                <w:sz w:val="18"/>
                <w:szCs w:val="18"/>
                <w:lang w:val="en-US" w:eastAsia="zh-CN"/>
              </w:rPr>
              <w:t>43.7301</w:t>
            </w:r>
          </w:p>
        </w:tc>
      </w:tr>
      <w:tr w14:paraId="227A2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vAlign w:val="center"/>
          </w:tcPr>
          <w:p w14:paraId="4D5D3A90">
            <w:pPr>
              <w:pStyle w:val="26"/>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Co</w:t>
            </w:r>
          </w:p>
        </w:tc>
        <w:tc>
          <w:tcPr>
            <w:tcW w:w="1294" w:type="dxa"/>
            <w:vAlign w:val="center"/>
          </w:tcPr>
          <w:p w14:paraId="1652A93C">
            <w:pPr>
              <w:pStyle w:val="26"/>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CoKβ</w:t>
            </w:r>
          </w:p>
        </w:tc>
        <w:tc>
          <w:tcPr>
            <w:tcW w:w="1294" w:type="dxa"/>
            <w:vAlign w:val="center"/>
          </w:tcPr>
          <w:p w14:paraId="60D1A12C">
            <w:pPr>
              <w:pStyle w:val="26"/>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LiF200</w:t>
            </w:r>
          </w:p>
        </w:tc>
        <w:tc>
          <w:tcPr>
            <w:tcW w:w="1294" w:type="dxa"/>
          </w:tcPr>
          <w:p w14:paraId="345A79AD">
            <w:pPr>
              <w:pStyle w:val="26"/>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300</w:t>
            </w:r>
          </w:p>
        </w:tc>
        <w:tc>
          <w:tcPr>
            <w:tcW w:w="1294" w:type="dxa"/>
            <w:vAlign w:val="center"/>
          </w:tcPr>
          <w:p w14:paraId="5EFAF2CB">
            <w:pPr>
              <w:pStyle w:val="26"/>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60</w:t>
            </w:r>
          </w:p>
        </w:tc>
        <w:tc>
          <w:tcPr>
            <w:tcW w:w="1294" w:type="dxa"/>
            <w:vAlign w:val="center"/>
          </w:tcPr>
          <w:p w14:paraId="393FE716">
            <w:pPr>
              <w:pStyle w:val="26"/>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50</w:t>
            </w:r>
          </w:p>
        </w:tc>
        <w:tc>
          <w:tcPr>
            <w:tcW w:w="1295" w:type="dxa"/>
            <w:vAlign w:val="center"/>
          </w:tcPr>
          <w:p w14:paraId="5AA28008">
            <w:pPr>
              <w:pStyle w:val="26"/>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47.4514</w:t>
            </w:r>
          </w:p>
        </w:tc>
      </w:tr>
      <w:tr w14:paraId="6CFB3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vAlign w:val="center"/>
          </w:tcPr>
          <w:p w14:paraId="54FE84D8">
            <w:pPr>
              <w:pStyle w:val="26"/>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Mn</w:t>
            </w:r>
          </w:p>
        </w:tc>
        <w:tc>
          <w:tcPr>
            <w:tcW w:w="1294" w:type="dxa"/>
            <w:vAlign w:val="center"/>
          </w:tcPr>
          <w:p w14:paraId="70B9C99E">
            <w:pPr>
              <w:pStyle w:val="26"/>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MnKα</w:t>
            </w:r>
          </w:p>
        </w:tc>
        <w:tc>
          <w:tcPr>
            <w:tcW w:w="1294" w:type="dxa"/>
            <w:vAlign w:val="center"/>
          </w:tcPr>
          <w:p w14:paraId="3E955EC9">
            <w:pPr>
              <w:pStyle w:val="26"/>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LiF200</w:t>
            </w:r>
          </w:p>
        </w:tc>
        <w:tc>
          <w:tcPr>
            <w:tcW w:w="1294" w:type="dxa"/>
          </w:tcPr>
          <w:p w14:paraId="77D1ED41">
            <w:pPr>
              <w:pStyle w:val="26"/>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150</w:t>
            </w:r>
          </w:p>
        </w:tc>
        <w:tc>
          <w:tcPr>
            <w:tcW w:w="1294" w:type="dxa"/>
            <w:vAlign w:val="center"/>
          </w:tcPr>
          <w:p w14:paraId="4BBD896F">
            <w:pPr>
              <w:pStyle w:val="26"/>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60</w:t>
            </w:r>
          </w:p>
        </w:tc>
        <w:tc>
          <w:tcPr>
            <w:tcW w:w="1294" w:type="dxa"/>
            <w:vAlign w:val="center"/>
          </w:tcPr>
          <w:p w14:paraId="1D4ECB83">
            <w:pPr>
              <w:pStyle w:val="26"/>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50</w:t>
            </w:r>
          </w:p>
        </w:tc>
        <w:tc>
          <w:tcPr>
            <w:tcW w:w="1295" w:type="dxa"/>
            <w:vAlign w:val="center"/>
          </w:tcPr>
          <w:p w14:paraId="09FBE4E9">
            <w:pPr>
              <w:pStyle w:val="26"/>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62.9858</w:t>
            </w:r>
          </w:p>
        </w:tc>
      </w:tr>
    </w:tbl>
    <w:p w14:paraId="724E606A">
      <w:pPr>
        <w:pStyle w:val="26"/>
        <w:ind w:firstLine="420"/>
        <w:rPr>
          <w:rFonts w:hint="eastAsia" w:hAnsi="宋体"/>
        </w:rPr>
      </w:pPr>
    </w:p>
    <w:p w14:paraId="7FBAD8B1">
      <w:pPr>
        <w:pStyle w:val="26"/>
        <w:ind w:firstLine="420"/>
        <w:rPr>
          <w:rFonts w:hint="eastAsia" w:hAnsi="宋体"/>
        </w:rPr>
      </w:pPr>
    </w:p>
    <w:p w14:paraId="6293D422">
      <w:pPr>
        <w:pStyle w:val="26"/>
        <w:ind w:firstLine="420"/>
        <w:rPr>
          <w:rFonts w:hint="eastAsia" w:hAnsi="宋体"/>
        </w:rPr>
      </w:pPr>
    </w:p>
    <w:p w14:paraId="16A68A80">
      <w:pPr>
        <w:pStyle w:val="26"/>
        <w:ind w:firstLine="420"/>
        <w:rPr>
          <w:rFonts w:hint="eastAsia" w:hAnsi="宋体"/>
        </w:rPr>
      </w:pPr>
    </w:p>
    <w:p w14:paraId="54FB5C07">
      <w:pPr>
        <w:pStyle w:val="26"/>
        <w:ind w:firstLine="420"/>
        <w:rPr>
          <w:rFonts w:hint="eastAsia" w:hAnsi="宋体"/>
        </w:rPr>
      </w:pPr>
    </w:p>
    <w:p w14:paraId="3E44B26E">
      <w:pPr>
        <w:pStyle w:val="26"/>
        <w:ind w:firstLine="420"/>
        <w:rPr>
          <w:rFonts w:hint="eastAsia" w:hAnsi="宋体"/>
        </w:rPr>
      </w:pPr>
    </w:p>
    <w:p w14:paraId="2544D572">
      <w:pPr>
        <w:pStyle w:val="26"/>
        <w:ind w:firstLine="420"/>
        <w:rPr>
          <w:rFonts w:hint="eastAsia" w:hAnsi="宋体"/>
        </w:rPr>
      </w:pPr>
    </w:p>
    <w:p w14:paraId="2B56EF3A">
      <w:pPr>
        <w:pStyle w:val="26"/>
        <w:ind w:firstLine="420"/>
        <w:rPr>
          <w:rFonts w:hint="eastAsia" w:hAnsi="宋体"/>
        </w:rPr>
      </w:pPr>
    </w:p>
    <w:p w14:paraId="6C596BAC">
      <w:pPr>
        <w:pStyle w:val="26"/>
        <w:ind w:firstLine="420"/>
        <w:rPr>
          <w:rFonts w:hint="eastAsia" w:hAnsi="宋体"/>
        </w:rPr>
      </w:pPr>
    </w:p>
    <w:p w14:paraId="51CF0B2F">
      <w:pPr>
        <w:pStyle w:val="26"/>
        <w:ind w:firstLine="420"/>
        <w:rPr>
          <w:rFonts w:hint="eastAsia" w:hAnsi="宋体"/>
        </w:rPr>
      </w:pPr>
    </w:p>
    <w:p w14:paraId="104F4C7D">
      <w:pPr>
        <w:pStyle w:val="26"/>
        <w:ind w:firstLine="420"/>
        <w:rPr>
          <w:rFonts w:hint="eastAsia" w:hAnsi="宋体"/>
        </w:rPr>
      </w:pPr>
    </w:p>
    <w:p w14:paraId="352216FE">
      <w:pPr>
        <w:pStyle w:val="26"/>
        <w:ind w:firstLine="420"/>
        <w:rPr>
          <w:rFonts w:hint="eastAsia" w:hAnsi="宋体"/>
        </w:rPr>
      </w:pPr>
    </w:p>
    <w:p w14:paraId="11B9ECE5">
      <w:pPr>
        <w:pStyle w:val="26"/>
        <w:ind w:firstLine="420"/>
        <w:rPr>
          <w:rFonts w:hint="eastAsia" w:hAnsi="宋体"/>
        </w:rPr>
      </w:pPr>
    </w:p>
    <w:p w14:paraId="277A8823">
      <w:pPr>
        <w:pStyle w:val="26"/>
        <w:ind w:firstLine="420"/>
        <w:rPr>
          <w:rFonts w:hint="eastAsia" w:hAnsi="宋体"/>
        </w:rPr>
      </w:pPr>
    </w:p>
    <w:p w14:paraId="60DBC4D2">
      <w:pPr>
        <w:pStyle w:val="26"/>
        <w:ind w:firstLine="420"/>
        <w:rPr>
          <w:rFonts w:hint="eastAsia" w:hAnsi="宋体"/>
        </w:rPr>
      </w:pPr>
    </w:p>
    <w:p w14:paraId="22430D29">
      <w:pPr>
        <w:pStyle w:val="26"/>
        <w:ind w:firstLine="420"/>
        <w:rPr>
          <w:rFonts w:hint="eastAsia" w:hAnsi="宋体"/>
        </w:rPr>
      </w:pPr>
    </w:p>
    <w:p w14:paraId="379824E2">
      <w:pPr>
        <w:pStyle w:val="26"/>
        <w:ind w:firstLine="420"/>
        <w:rPr>
          <w:rFonts w:hint="eastAsia" w:hAnsi="宋体"/>
        </w:rPr>
      </w:pPr>
    </w:p>
    <w:p w14:paraId="03EFBE85">
      <w:pPr>
        <w:pStyle w:val="26"/>
        <w:ind w:firstLine="420"/>
        <w:rPr>
          <w:rFonts w:hint="eastAsia" w:hAnsi="宋体"/>
        </w:rPr>
      </w:pPr>
    </w:p>
    <w:p w14:paraId="1EC61D79">
      <w:pPr>
        <w:pStyle w:val="26"/>
        <w:ind w:firstLine="420"/>
        <w:rPr>
          <w:rFonts w:hint="eastAsia" w:hAnsi="宋体"/>
        </w:rPr>
      </w:pPr>
    </w:p>
    <w:p w14:paraId="5BB3A665">
      <w:pPr>
        <w:pStyle w:val="26"/>
        <w:ind w:firstLine="420"/>
        <w:rPr>
          <w:rFonts w:hint="eastAsia" w:hAnsi="宋体"/>
        </w:rPr>
      </w:pPr>
    </w:p>
    <w:p w14:paraId="56530F33">
      <w:pPr>
        <w:pStyle w:val="26"/>
        <w:ind w:firstLine="420"/>
        <w:rPr>
          <w:rFonts w:hint="eastAsia" w:hAnsi="宋体"/>
        </w:rPr>
      </w:pPr>
    </w:p>
    <w:p w14:paraId="7AFB5215">
      <w:pPr>
        <w:pStyle w:val="26"/>
        <w:ind w:firstLine="420"/>
        <w:rPr>
          <w:rFonts w:hint="eastAsia" w:hAnsi="宋体"/>
        </w:rPr>
      </w:pPr>
    </w:p>
    <w:p w14:paraId="3F171E0B">
      <w:pPr>
        <w:pStyle w:val="26"/>
        <w:ind w:firstLine="420"/>
        <w:rPr>
          <w:rFonts w:hint="eastAsia" w:hAnsi="宋体"/>
        </w:rPr>
      </w:pPr>
    </w:p>
    <w:p w14:paraId="2CA43AF3">
      <w:pPr>
        <w:pStyle w:val="26"/>
        <w:ind w:firstLine="420"/>
        <w:rPr>
          <w:rFonts w:hint="eastAsia" w:hAnsi="宋体"/>
        </w:rPr>
      </w:pPr>
    </w:p>
    <w:p w14:paraId="55BA3875">
      <w:pPr>
        <w:pStyle w:val="26"/>
        <w:ind w:firstLine="420"/>
        <w:rPr>
          <w:rFonts w:hint="eastAsia" w:hAnsi="宋体"/>
        </w:rPr>
      </w:pPr>
    </w:p>
    <w:p w14:paraId="66D55B6D">
      <w:pPr>
        <w:pStyle w:val="26"/>
        <w:ind w:firstLine="420"/>
        <w:rPr>
          <w:rFonts w:hint="eastAsia" w:hAnsi="宋体"/>
        </w:rPr>
      </w:pPr>
    </w:p>
    <w:p w14:paraId="509E7BC3">
      <w:pPr>
        <w:pStyle w:val="26"/>
        <w:ind w:firstLine="420"/>
        <w:rPr>
          <w:rFonts w:hint="eastAsia" w:hAnsi="宋体"/>
        </w:rPr>
      </w:pPr>
    </w:p>
    <w:p w14:paraId="67B6986A">
      <w:pPr>
        <w:pStyle w:val="26"/>
        <w:ind w:firstLine="420"/>
        <w:rPr>
          <w:rFonts w:hint="eastAsia" w:hAnsi="宋体"/>
        </w:rPr>
      </w:pPr>
    </w:p>
    <w:p w14:paraId="3CF6C0C0">
      <w:pPr>
        <w:pStyle w:val="26"/>
        <w:ind w:firstLine="420"/>
        <w:rPr>
          <w:rFonts w:hint="eastAsia" w:hAnsi="宋体"/>
        </w:rPr>
      </w:pPr>
    </w:p>
    <w:p w14:paraId="1380A11C">
      <w:pPr>
        <w:pStyle w:val="26"/>
        <w:ind w:firstLine="420"/>
        <w:rPr>
          <w:rFonts w:hint="eastAsia" w:hAnsi="宋体"/>
        </w:rPr>
      </w:pPr>
    </w:p>
    <w:p w14:paraId="128E2F67">
      <w:pPr>
        <w:pStyle w:val="26"/>
        <w:ind w:firstLine="420"/>
        <w:rPr>
          <w:rFonts w:hint="eastAsia" w:hAnsi="宋体"/>
        </w:rPr>
      </w:pPr>
    </w:p>
    <w:p w14:paraId="0C4331D7">
      <w:pPr>
        <w:pStyle w:val="26"/>
        <w:ind w:firstLine="420"/>
        <w:rPr>
          <w:rFonts w:hint="eastAsia" w:hAnsi="宋体"/>
        </w:rPr>
      </w:pPr>
    </w:p>
    <w:p w14:paraId="15D5D46A">
      <w:pPr>
        <w:pStyle w:val="26"/>
        <w:ind w:firstLine="420"/>
        <w:rPr>
          <w:rFonts w:hint="eastAsia" w:hAnsi="宋体"/>
        </w:rPr>
      </w:pPr>
    </w:p>
    <w:p w14:paraId="7A085CEE">
      <w:pPr>
        <w:pStyle w:val="26"/>
        <w:ind w:firstLine="420"/>
        <w:rPr>
          <w:rFonts w:hint="eastAsia" w:hAnsi="宋体"/>
        </w:rPr>
      </w:pPr>
    </w:p>
    <w:p w14:paraId="70D664F3">
      <w:pPr>
        <w:pStyle w:val="26"/>
        <w:ind w:firstLine="420"/>
        <w:rPr>
          <w:rFonts w:hint="eastAsia" w:hAnsi="宋体"/>
        </w:rPr>
      </w:pPr>
    </w:p>
    <w:p w14:paraId="47CBD2A0">
      <w:pPr>
        <w:pStyle w:val="26"/>
        <w:ind w:firstLine="420"/>
        <w:jc w:val="center"/>
        <w:rPr>
          <w:rFonts w:hint="eastAsia" w:ascii="黑体" w:hAnsi="黑体" w:eastAsia="黑体"/>
        </w:rPr>
      </w:pPr>
      <w:r>
        <w:rPr>
          <w:rFonts w:hint="eastAsia" w:ascii="黑体" w:hAnsi="黑体" w:eastAsia="黑体"/>
        </w:rPr>
        <w:t>附录C</w:t>
      </w:r>
    </w:p>
    <w:p w14:paraId="66830230">
      <w:pPr>
        <w:pStyle w:val="26"/>
        <w:ind w:firstLine="420"/>
        <w:jc w:val="center"/>
        <w:rPr>
          <w:rFonts w:hint="eastAsia" w:ascii="黑体" w:hAnsi="黑体" w:eastAsia="黑体"/>
        </w:rPr>
      </w:pPr>
      <w:r>
        <w:rPr>
          <w:rFonts w:hint="eastAsia" w:ascii="黑体" w:hAnsi="黑体" w:eastAsia="黑体"/>
        </w:rPr>
        <w:t>（资</w:t>
      </w:r>
      <w:r>
        <w:rPr>
          <w:rFonts w:hint="eastAsia" w:ascii="黑体" w:hAnsi="黑体" w:eastAsia="黑体"/>
          <w:lang w:val="en-US" w:eastAsia="zh-CN"/>
        </w:rPr>
        <w:t xml:space="preserve"> </w:t>
      </w:r>
      <w:r>
        <w:rPr>
          <w:rFonts w:hint="eastAsia" w:ascii="黑体" w:hAnsi="黑体" w:eastAsia="黑体"/>
        </w:rPr>
        <w:t>料</w:t>
      </w:r>
      <w:r>
        <w:rPr>
          <w:rFonts w:hint="eastAsia" w:ascii="黑体" w:hAnsi="黑体" w:eastAsia="黑体"/>
          <w:lang w:val="en-US" w:eastAsia="zh-CN"/>
        </w:rPr>
        <w:t xml:space="preserve"> </w:t>
      </w:r>
      <w:r>
        <w:rPr>
          <w:rFonts w:hint="eastAsia" w:ascii="黑体" w:hAnsi="黑体" w:eastAsia="黑体"/>
        </w:rPr>
        <w:t>性）</w:t>
      </w:r>
    </w:p>
    <w:p w14:paraId="62BFB7DC">
      <w:pPr>
        <w:pStyle w:val="26"/>
        <w:ind w:firstLine="420"/>
        <w:jc w:val="center"/>
        <w:rPr>
          <w:rFonts w:hint="eastAsia" w:ascii="黑体" w:hAnsi="黑体" w:eastAsia="黑体"/>
        </w:rPr>
      </w:pPr>
      <w:r>
        <w:rPr>
          <w:rFonts w:hint="eastAsia" w:ascii="黑体" w:hAnsi="黑体" w:eastAsia="黑体"/>
        </w:rPr>
        <w:t>推荐校准曲线中标准样品各组分氧化物的称取量和质量的百分比含量</w:t>
      </w:r>
    </w:p>
    <w:p w14:paraId="05515EB9">
      <w:pPr>
        <w:pStyle w:val="26"/>
        <w:ind w:firstLine="420"/>
        <w:rPr>
          <w:rFonts w:hint="eastAsia" w:hAnsi="宋体"/>
        </w:rPr>
      </w:pPr>
    </w:p>
    <w:p w14:paraId="70DAA937">
      <w:pPr>
        <w:pStyle w:val="26"/>
        <w:ind w:firstLine="420"/>
        <w:rPr>
          <w:rFonts w:hint="eastAsia" w:hAnsi="宋体"/>
        </w:rPr>
      </w:pPr>
      <w:r>
        <w:rPr>
          <w:rFonts w:hint="default" w:ascii="Times New Roman" w:hAnsi="Times New Roman" w:cs="Times New Roman"/>
        </w:rPr>
        <w:t>推荐校准曲线中标准样品各组分氧化物的称取量见表</w:t>
      </w:r>
      <w:r>
        <w:rPr>
          <w:rFonts w:hint="default" w:ascii="Times New Roman" w:hAnsi="Times New Roman" w:eastAsia="黑体" w:cs="Times New Roman"/>
        </w:rPr>
        <w:t>C.1</w:t>
      </w:r>
      <w:r>
        <w:rPr>
          <w:rFonts w:hint="default" w:ascii="Times New Roman" w:hAnsi="Times New Roman" w:cs="Times New Roman"/>
        </w:rPr>
        <w:t>，推荐校准曲线中标准样品各组分的氧化物质量百分比含量见表</w:t>
      </w:r>
      <w:r>
        <w:rPr>
          <w:rFonts w:hint="default" w:ascii="Times New Roman" w:hAnsi="Times New Roman" w:eastAsia="黑体" w:cs="Times New Roman"/>
        </w:rPr>
        <w:t>C.2</w:t>
      </w:r>
      <w:r>
        <w:rPr>
          <w:rFonts w:hint="eastAsia" w:hAnsi="宋体"/>
        </w:rPr>
        <w:t>。</w:t>
      </w:r>
    </w:p>
    <w:p w14:paraId="474A361D">
      <w:pPr>
        <w:pStyle w:val="26"/>
        <w:ind w:firstLine="420"/>
        <w:jc w:val="center"/>
        <w:rPr>
          <w:rFonts w:hint="eastAsia" w:ascii="黑体" w:hAnsi="黑体" w:eastAsia="黑体"/>
        </w:rPr>
      </w:pPr>
      <w:r>
        <w:rPr>
          <w:rFonts w:hint="eastAsia" w:ascii="黑体" w:hAnsi="黑体" w:eastAsia="黑体"/>
        </w:rPr>
        <w:t>C.1 推荐的校准曲线中标准样品各组分氧化物的称取量</w:t>
      </w:r>
    </w:p>
    <w:p w14:paraId="15168223">
      <w:pPr>
        <w:pStyle w:val="26"/>
        <w:ind w:firstLine="420"/>
        <w:jc w:val="right"/>
        <w:rPr>
          <w:rFonts w:hint="eastAsia" w:hAnsi="宋体"/>
          <w:sz w:val="18"/>
          <w:szCs w:val="18"/>
        </w:rPr>
      </w:pPr>
      <w:r>
        <w:rPr>
          <w:rFonts w:hint="eastAsia" w:ascii="黑体" w:hAnsi="黑体" w:eastAsia="黑体"/>
        </w:rPr>
        <w:t xml:space="preserve">  </w:t>
      </w:r>
      <w:r>
        <w:rPr>
          <w:rFonts w:hint="eastAsia" w:hAnsi="宋体"/>
          <w:sz w:val="18"/>
          <w:szCs w:val="18"/>
        </w:rPr>
        <w:t>（g,质量）</w:t>
      </w:r>
    </w:p>
    <w:tbl>
      <w:tblPr>
        <w:tblStyle w:val="12"/>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
        <w:gridCol w:w="629"/>
        <w:gridCol w:w="731"/>
        <w:gridCol w:w="706"/>
        <w:gridCol w:w="642"/>
        <w:gridCol w:w="629"/>
        <w:gridCol w:w="629"/>
        <w:gridCol w:w="665"/>
        <w:gridCol w:w="629"/>
        <w:gridCol w:w="642"/>
        <w:gridCol w:w="850"/>
        <w:gridCol w:w="704"/>
        <w:gridCol w:w="704"/>
        <w:gridCol w:w="704"/>
      </w:tblGrid>
      <w:tr w14:paraId="68C82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 w:type="dxa"/>
            <w:vAlign w:val="center"/>
          </w:tcPr>
          <w:p w14:paraId="309BE90E">
            <w:pPr>
              <w:pStyle w:val="26"/>
              <w:widowControl w:val="0"/>
              <w:ind w:firstLine="0" w:firstLineChars="0"/>
              <w:rPr>
                <w:rFonts w:ascii="Times New Roman"/>
                <w:sz w:val="18"/>
                <w:szCs w:val="18"/>
              </w:rPr>
            </w:pPr>
            <w:r>
              <w:rPr>
                <w:rFonts w:ascii="Times New Roman"/>
                <w:sz w:val="18"/>
                <w:szCs w:val="18"/>
              </w:rPr>
              <w:t>序号</w:t>
            </w:r>
          </w:p>
        </w:tc>
        <w:tc>
          <w:tcPr>
            <w:tcW w:w="629" w:type="dxa"/>
            <w:vAlign w:val="center"/>
          </w:tcPr>
          <w:p w14:paraId="59F55B54">
            <w:pPr>
              <w:widowControl/>
              <w:jc w:val="center"/>
              <w:rPr>
                <w:rFonts w:hint="eastAsia" w:eastAsia="宋体"/>
                <w:kern w:val="0"/>
                <w:sz w:val="18"/>
                <w:szCs w:val="18"/>
                <w:lang w:val="en-US" w:eastAsia="zh-CN"/>
              </w:rPr>
            </w:pPr>
            <w:r>
              <w:rPr>
                <w:sz w:val="18"/>
                <w:szCs w:val="18"/>
              </w:rPr>
              <w:t>NiO</w:t>
            </w:r>
            <w:r>
              <w:rPr>
                <w:rFonts w:hint="eastAsia"/>
                <w:sz w:val="18"/>
                <w:szCs w:val="18"/>
                <w:vertAlign w:val="superscript"/>
                <w:lang w:val="en-US" w:eastAsia="zh-CN"/>
              </w:rPr>
              <w:t>a</w:t>
            </w:r>
          </w:p>
        </w:tc>
        <w:tc>
          <w:tcPr>
            <w:tcW w:w="673" w:type="dxa"/>
            <w:vAlign w:val="center"/>
          </w:tcPr>
          <w:p w14:paraId="553865F8">
            <w:pPr>
              <w:jc w:val="center"/>
              <w:rPr>
                <w:rFonts w:hint="eastAsia" w:eastAsia="宋体"/>
                <w:sz w:val="18"/>
                <w:szCs w:val="18"/>
                <w:lang w:val="en-US" w:eastAsia="zh-CN"/>
              </w:rPr>
            </w:pPr>
            <w:r>
              <w:rPr>
                <w:sz w:val="18"/>
                <w:szCs w:val="18"/>
              </w:rPr>
              <w:t>Co</w:t>
            </w:r>
            <w:r>
              <w:rPr>
                <w:sz w:val="18"/>
                <w:szCs w:val="18"/>
                <w:vertAlign w:val="subscript"/>
              </w:rPr>
              <w:t>3</w:t>
            </w:r>
            <w:r>
              <w:rPr>
                <w:sz w:val="18"/>
                <w:szCs w:val="18"/>
              </w:rPr>
              <w:t>O</w:t>
            </w:r>
            <w:r>
              <w:rPr>
                <w:sz w:val="18"/>
                <w:szCs w:val="18"/>
                <w:vertAlign w:val="subscript"/>
              </w:rPr>
              <w:t>4</w:t>
            </w:r>
            <w:r>
              <w:rPr>
                <w:rFonts w:hint="eastAsia"/>
                <w:sz w:val="18"/>
                <w:szCs w:val="18"/>
                <w:vertAlign w:val="superscript"/>
                <w:lang w:val="en-US" w:eastAsia="zh-CN"/>
              </w:rPr>
              <w:t>b</w:t>
            </w:r>
          </w:p>
        </w:tc>
        <w:tc>
          <w:tcPr>
            <w:tcW w:w="664" w:type="dxa"/>
            <w:vAlign w:val="center"/>
          </w:tcPr>
          <w:p w14:paraId="145C97AF">
            <w:pPr>
              <w:jc w:val="center"/>
              <w:rPr>
                <w:rFonts w:hint="default" w:eastAsia="宋体"/>
                <w:sz w:val="18"/>
                <w:szCs w:val="18"/>
                <w:lang w:val="en-US" w:eastAsia="zh-CN"/>
              </w:rPr>
            </w:pPr>
            <w:r>
              <w:rPr>
                <w:sz w:val="18"/>
                <w:szCs w:val="18"/>
              </w:rPr>
              <w:t>MnO</w:t>
            </w:r>
            <w:r>
              <w:rPr>
                <w:rFonts w:hint="eastAsia"/>
                <w:sz w:val="18"/>
                <w:szCs w:val="18"/>
                <w:vertAlign w:val="subscript"/>
                <w:lang w:val="en-US" w:eastAsia="zh-CN"/>
              </w:rPr>
              <w:t>2</w:t>
            </w:r>
            <w:r>
              <w:rPr>
                <w:rFonts w:hint="eastAsia"/>
                <w:sz w:val="18"/>
                <w:szCs w:val="18"/>
                <w:vertAlign w:val="superscript"/>
                <w:lang w:val="en-US" w:eastAsia="zh-CN"/>
              </w:rPr>
              <w:t>c</w:t>
            </w:r>
          </w:p>
        </w:tc>
        <w:tc>
          <w:tcPr>
            <w:tcW w:w="642" w:type="dxa"/>
            <w:vAlign w:val="center"/>
          </w:tcPr>
          <w:p w14:paraId="5508C5FE">
            <w:pPr>
              <w:jc w:val="center"/>
              <w:rPr>
                <w:sz w:val="18"/>
                <w:szCs w:val="18"/>
              </w:rPr>
            </w:pPr>
            <w:r>
              <w:rPr>
                <w:sz w:val="18"/>
                <w:szCs w:val="18"/>
              </w:rPr>
              <w:t>Al</w:t>
            </w:r>
            <w:r>
              <w:rPr>
                <w:sz w:val="18"/>
                <w:szCs w:val="18"/>
                <w:vertAlign w:val="subscript"/>
              </w:rPr>
              <w:t>2</w:t>
            </w:r>
            <w:r>
              <w:rPr>
                <w:sz w:val="18"/>
                <w:szCs w:val="18"/>
              </w:rPr>
              <w:t>O</w:t>
            </w:r>
            <w:r>
              <w:rPr>
                <w:sz w:val="18"/>
                <w:szCs w:val="18"/>
                <w:vertAlign w:val="subscript"/>
              </w:rPr>
              <w:t>3</w:t>
            </w:r>
          </w:p>
        </w:tc>
        <w:tc>
          <w:tcPr>
            <w:tcW w:w="630" w:type="dxa"/>
            <w:vAlign w:val="center"/>
          </w:tcPr>
          <w:p w14:paraId="084ED974">
            <w:pPr>
              <w:jc w:val="center"/>
              <w:rPr>
                <w:sz w:val="18"/>
                <w:szCs w:val="18"/>
              </w:rPr>
            </w:pPr>
            <w:r>
              <w:rPr>
                <w:sz w:val="18"/>
                <w:szCs w:val="18"/>
              </w:rPr>
              <w:t>TiO</w:t>
            </w:r>
            <w:r>
              <w:rPr>
                <w:sz w:val="18"/>
                <w:szCs w:val="18"/>
                <w:vertAlign w:val="subscript"/>
              </w:rPr>
              <w:t>2</w:t>
            </w:r>
          </w:p>
        </w:tc>
        <w:tc>
          <w:tcPr>
            <w:tcW w:w="630" w:type="dxa"/>
            <w:vAlign w:val="center"/>
          </w:tcPr>
          <w:p w14:paraId="70C8DA54">
            <w:pPr>
              <w:jc w:val="center"/>
              <w:rPr>
                <w:sz w:val="18"/>
                <w:szCs w:val="18"/>
              </w:rPr>
            </w:pPr>
            <w:r>
              <w:rPr>
                <w:sz w:val="18"/>
                <w:szCs w:val="18"/>
              </w:rPr>
              <w:t>MgO</w:t>
            </w:r>
          </w:p>
        </w:tc>
        <w:tc>
          <w:tcPr>
            <w:tcW w:w="665" w:type="dxa"/>
            <w:vAlign w:val="center"/>
          </w:tcPr>
          <w:p w14:paraId="2225D377">
            <w:pPr>
              <w:jc w:val="center"/>
              <w:rPr>
                <w:sz w:val="18"/>
                <w:szCs w:val="18"/>
              </w:rPr>
            </w:pPr>
            <w:r>
              <w:rPr>
                <w:sz w:val="18"/>
                <w:szCs w:val="18"/>
              </w:rPr>
              <w:t>SrSO</w:t>
            </w:r>
            <w:r>
              <w:rPr>
                <w:sz w:val="18"/>
                <w:szCs w:val="18"/>
                <w:vertAlign w:val="subscript"/>
              </w:rPr>
              <w:t>4</w:t>
            </w:r>
          </w:p>
        </w:tc>
        <w:tc>
          <w:tcPr>
            <w:tcW w:w="630" w:type="dxa"/>
            <w:vAlign w:val="center"/>
          </w:tcPr>
          <w:p w14:paraId="34046650">
            <w:pPr>
              <w:jc w:val="center"/>
              <w:rPr>
                <w:sz w:val="18"/>
                <w:szCs w:val="18"/>
              </w:rPr>
            </w:pPr>
            <w:r>
              <w:rPr>
                <w:sz w:val="18"/>
                <w:szCs w:val="18"/>
              </w:rPr>
              <w:t>ZrO</w:t>
            </w:r>
            <w:r>
              <w:rPr>
                <w:sz w:val="18"/>
                <w:szCs w:val="18"/>
                <w:vertAlign w:val="subscript"/>
              </w:rPr>
              <w:t>2</w:t>
            </w:r>
          </w:p>
        </w:tc>
        <w:tc>
          <w:tcPr>
            <w:tcW w:w="642" w:type="dxa"/>
            <w:vAlign w:val="center"/>
          </w:tcPr>
          <w:p w14:paraId="66A8CA62">
            <w:pPr>
              <w:jc w:val="center"/>
              <w:rPr>
                <w:sz w:val="18"/>
                <w:szCs w:val="18"/>
              </w:rPr>
            </w:pPr>
            <w:r>
              <w:rPr>
                <w:sz w:val="18"/>
                <w:szCs w:val="18"/>
              </w:rPr>
              <w:t>Fe</w:t>
            </w:r>
            <w:r>
              <w:rPr>
                <w:sz w:val="18"/>
                <w:szCs w:val="18"/>
                <w:vertAlign w:val="subscript"/>
              </w:rPr>
              <w:t>2</w:t>
            </w:r>
            <w:r>
              <w:rPr>
                <w:sz w:val="18"/>
                <w:szCs w:val="18"/>
              </w:rPr>
              <w:t>O</w:t>
            </w:r>
            <w:r>
              <w:rPr>
                <w:sz w:val="18"/>
                <w:szCs w:val="18"/>
                <w:vertAlign w:val="subscript"/>
              </w:rPr>
              <w:t>3</w:t>
            </w:r>
          </w:p>
        </w:tc>
        <w:tc>
          <w:tcPr>
            <w:tcW w:w="844" w:type="dxa"/>
            <w:vAlign w:val="center"/>
          </w:tcPr>
          <w:p w14:paraId="50051E4F">
            <w:pPr>
              <w:jc w:val="center"/>
              <w:rPr>
                <w:rFonts w:hint="eastAsia" w:eastAsia="宋体"/>
                <w:sz w:val="18"/>
                <w:szCs w:val="18"/>
                <w:lang w:val="en-US" w:eastAsia="zh-CN"/>
              </w:rPr>
            </w:pPr>
            <w:r>
              <w:rPr>
                <w:sz w:val="18"/>
                <w:szCs w:val="18"/>
              </w:rPr>
              <w:t>Na</w:t>
            </w:r>
            <w:r>
              <w:rPr>
                <w:sz w:val="18"/>
                <w:szCs w:val="18"/>
                <w:vertAlign w:val="subscript"/>
              </w:rPr>
              <w:t>2</w:t>
            </w:r>
            <w:r>
              <w:rPr>
                <w:sz w:val="18"/>
                <w:szCs w:val="18"/>
              </w:rPr>
              <w:t>CO</w:t>
            </w:r>
            <w:r>
              <w:rPr>
                <w:sz w:val="18"/>
                <w:szCs w:val="18"/>
                <w:vertAlign w:val="subscript"/>
              </w:rPr>
              <w:t>3</w:t>
            </w:r>
            <w:r>
              <w:rPr>
                <w:rFonts w:hint="eastAsia"/>
                <w:sz w:val="18"/>
                <w:szCs w:val="18"/>
                <w:vertAlign w:val="superscript"/>
                <w:lang w:val="en-US" w:eastAsia="zh-CN"/>
              </w:rPr>
              <w:t>d</w:t>
            </w:r>
          </w:p>
        </w:tc>
        <w:tc>
          <w:tcPr>
            <w:tcW w:w="705" w:type="dxa"/>
            <w:vAlign w:val="center"/>
          </w:tcPr>
          <w:p w14:paraId="051F148E">
            <w:pPr>
              <w:jc w:val="center"/>
              <w:rPr>
                <w:sz w:val="18"/>
                <w:szCs w:val="18"/>
              </w:rPr>
            </w:pPr>
            <w:r>
              <w:rPr>
                <w:sz w:val="18"/>
                <w:szCs w:val="18"/>
              </w:rPr>
              <w:t>CuO</w:t>
            </w:r>
          </w:p>
        </w:tc>
        <w:tc>
          <w:tcPr>
            <w:tcW w:w="705" w:type="dxa"/>
            <w:vAlign w:val="center"/>
          </w:tcPr>
          <w:p w14:paraId="2619903D">
            <w:pPr>
              <w:jc w:val="center"/>
              <w:rPr>
                <w:sz w:val="18"/>
                <w:szCs w:val="18"/>
              </w:rPr>
            </w:pPr>
            <w:r>
              <w:rPr>
                <w:sz w:val="18"/>
                <w:szCs w:val="18"/>
              </w:rPr>
              <w:t>ZnO</w:t>
            </w:r>
          </w:p>
        </w:tc>
        <w:tc>
          <w:tcPr>
            <w:tcW w:w="754" w:type="dxa"/>
            <w:vAlign w:val="center"/>
          </w:tcPr>
          <w:p w14:paraId="1296CC67">
            <w:pPr>
              <w:jc w:val="center"/>
              <w:rPr>
                <w:sz w:val="18"/>
                <w:szCs w:val="18"/>
              </w:rPr>
            </w:pPr>
            <w:r>
              <w:rPr>
                <w:sz w:val="18"/>
                <w:szCs w:val="18"/>
              </w:rPr>
              <w:t>PbO</w:t>
            </w:r>
          </w:p>
        </w:tc>
      </w:tr>
      <w:tr w14:paraId="330D5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 w:type="dxa"/>
            <w:vAlign w:val="center"/>
          </w:tcPr>
          <w:p w14:paraId="55079280">
            <w:pPr>
              <w:pStyle w:val="26"/>
              <w:widowControl w:val="0"/>
              <w:ind w:firstLine="0" w:firstLineChars="0"/>
              <w:rPr>
                <w:rFonts w:ascii="Times New Roman"/>
                <w:sz w:val="18"/>
                <w:szCs w:val="18"/>
              </w:rPr>
            </w:pPr>
            <w:r>
              <w:rPr>
                <w:rFonts w:ascii="Times New Roman"/>
                <w:sz w:val="18"/>
                <w:szCs w:val="18"/>
              </w:rPr>
              <w:t>1</w:t>
            </w:r>
          </w:p>
        </w:tc>
        <w:tc>
          <w:tcPr>
            <w:tcW w:w="629" w:type="dxa"/>
            <w:vAlign w:val="center"/>
          </w:tcPr>
          <w:p w14:paraId="5BAAC359">
            <w:pPr>
              <w:widowControl/>
              <w:jc w:val="center"/>
              <w:rPr>
                <w:kern w:val="0"/>
                <w:sz w:val="15"/>
                <w:szCs w:val="15"/>
              </w:rPr>
            </w:pPr>
            <w:r>
              <w:rPr>
                <w:sz w:val="15"/>
                <w:szCs w:val="15"/>
              </w:rPr>
              <w:t>0.6750</w:t>
            </w:r>
          </w:p>
        </w:tc>
        <w:tc>
          <w:tcPr>
            <w:tcW w:w="673" w:type="dxa"/>
            <w:vAlign w:val="center"/>
          </w:tcPr>
          <w:p w14:paraId="108D5543">
            <w:pPr>
              <w:jc w:val="center"/>
              <w:rPr>
                <w:sz w:val="15"/>
                <w:szCs w:val="15"/>
              </w:rPr>
            </w:pPr>
            <w:r>
              <w:rPr>
                <w:sz w:val="15"/>
                <w:szCs w:val="15"/>
              </w:rPr>
              <w:t>0.0630</w:t>
            </w:r>
          </w:p>
        </w:tc>
        <w:tc>
          <w:tcPr>
            <w:tcW w:w="664" w:type="dxa"/>
            <w:vAlign w:val="center"/>
          </w:tcPr>
          <w:p w14:paraId="059AB90D">
            <w:pPr>
              <w:jc w:val="center"/>
              <w:rPr>
                <w:sz w:val="15"/>
                <w:szCs w:val="15"/>
              </w:rPr>
            </w:pPr>
            <w:r>
              <w:rPr>
                <w:sz w:val="15"/>
                <w:szCs w:val="15"/>
              </w:rPr>
              <w:t>0.0630</w:t>
            </w:r>
          </w:p>
        </w:tc>
        <w:tc>
          <w:tcPr>
            <w:tcW w:w="642" w:type="dxa"/>
            <w:vAlign w:val="center"/>
          </w:tcPr>
          <w:p w14:paraId="6975EF76">
            <w:pPr>
              <w:jc w:val="center"/>
              <w:rPr>
                <w:sz w:val="15"/>
                <w:szCs w:val="15"/>
              </w:rPr>
            </w:pPr>
            <w:r>
              <w:rPr>
                <w:sz w:val="15"/>
                <w:szCs w:val="15"/>
              </w:rPr>
              <w:t>0.0225</w:t>
            </w:r>
          </w:p>
        </w:tc>
        <w:tc>
          <w:tcPr>
            <w:tcW w:w="630" w:type="dxa"/>
            <w:vAlign w:val="center"/>
          </w:tcPr>
          <w:p w14:paraId="0ECA6248">
            <w:pPr>
              <w:jc w:val="center"/>
              <w:rPr>
                <w:sz w:val="15"/>
                <w:szCs w:val="15"/>
              </w:rPr>
            </w:pPr>
            <w:r>
              <w:rPr>
                <w:sz w:val="15"/>
                <w:szCs w:val="15"/>
              </w:rPr>
              <w:t>0.0180</w:t>
            </w:r>
          </w:p>
        </w:tc>
        <w:tc>
          <w:tcPr>
            <w:tcW w:w="630" w:type="dxa"/>
            <w:vAlign w:val="center"/>
          </w:tcPr>
          <w:p w14:paraId="1E89F4D9">
            <w:pPr>
              <w:jc w:val="center"/>
              <w:rPr>
                <w:sz w:val="15"/>
                <w:szCs w:val="15"/>
              </w:rPr>
            </w:pPr>
            <w:r>
              <w:rPr>
                <w:sz w:val="15"/>
                <w:szCs w:val="15"/>
              </w:rPr>
              <w:t>0.0180</w:t>
            </w:r>
          </w:p>
        </w:tc>
        <w:tc>
          <w:tcPr>
            <w:tcW w:w="665" w:type="dxa"/>
            <w:vAlign w:val="center"/>
          </w:tcPr>
          <w:p w14:paraId="306089A5">
            <w:pPr>
              <w:jc w:val="center"/>
              <w:rPr>
                <w:sz w:val="15"/>
                <w:szCs w:val="15"/>
              </w:rPr>
            </w:pPr>
            <w:r>
              <w:rPr>
                <w:sz w:val="15"/>
                <w:szCs w:val="15"/>
              </w:rPr>
              <w:t>0.0180</w:t>
            </w:r>
          </w:p>
        </w:tc>
        <w:tc>
          <w:tcPr>
            <w:tcW w:w="630" w:type="dxa"/>
            <w:vAlign w:val="center"/>
          </w:tcPr>
          <w:p w14:paraId="3430B0BB">
            <w:pPr>
              <w:jc w:val="center"/>
              <w:rPr>
                <w:sz w:val="15"/>
                <w:szCs w:val="15"/>
              </w:rPr>
            </w:pPr>
            <w:r>
              <w:rPr>
                <w:sz w:val="15"/>
                <w:szCs w:val="15"/>
              </w:rPr>
              <w:t>0.0180</w:t>
            </w:r>
          </w:p>
        </w:tc>
        <w:tc>
          <w:tcPr>
            <w:tcW w:w="642" w:type="dxa"/>
            <w:vAlign w:val="center"/>
          </w:tcPr>
          <w:p w14:paraId="6A69CC56">
            <w:pPr>
              <w:jc w:val="center"/>
              <w:rPr>
                <w:sz w:val="15"/>
                <w:szCs w:val="15"/>
              </w:rPr>
            </w:pPr>
            <w:r>
              <w:rPr>
                <w:sz w:val="15"/>
                <w:szCs w:val="15"/>
              </w:rPr>
              <w:t>0.0009</w:t>
            </w:r>
          </w:p>
        </w:tc>
        <w:tc>
          <w:tcPr>
            <w:tcW w:w="844" w:type="dxa"/>
            <w:vAlign w:val="center"/>
          </w:tcPr>
          <w:p w14:paraId="2830288E">
            <w:pPr>
              <w:jc w:val="center"/>
              <w:rPr>
                <w:sz w:val="15"/>
                <w:szCs w:val="15"/>
              </w:rPr>
            </w:pPr>
            <w:r>
              <w:rPr>
                <w:sz w:val="15"/>
                <w:szCs w:val="15"/>
              </w:rPr>
              <w:t>0.00154</w:t>
            </w:r>
          </w:p>
        </w:tc>
        <w:tc>
          <w:tcPr>
            <w:tcW w:w="705" w:type="dxa"/>
            <w:vAlign w:val="center"/>
          </w:tcPr>
          <w:p w14:paraId="586FFF59">
            <w:pPr>
              <w:jc w:val="center"/>
              <w:rPr>
                <w:sz w:val="15"/>
                <w:szCs w:val="15"/>
              </w:rPr>
            </w:pPr>
            <w:r>
              <w:rPr>
                <w:sz w:val="15"/>
                <w:szCs w:val="15"/>
              </w:rPr>
              <w:t>0.00090</w:t>
            </w:r>
          </w:p>
        </w:tc>
        <w:tc>
          <w:tcPr>
            <w:tcW w:w="705" w:type="dxa"/>
            <w:vAlign w:val="center"/>
          </w:tcPr>
          <w:p w14:paraId="4E33FD8D">
            <w:pPr>
              <w:jc w:val="center"/>
              <w:rPr>
                <w:sz w:val="15"/>
                <w:szCs w:val="15"/>
              </w:rPr>
            </w:pPr>
            <w:r>
              <w:rPr>
                <w:sz w:val="15"/>
                <w:szCs w:val="15"/>
              </w:rPr>
              <w:t>0.00090</w:t>
            </w:r>
          </w:p>
        </w:tc>
        <w:tc>
          <w:tcPr>
            <w:tcW w:w="754" w:type="dxa"/>
            <w:vAlign w:val="center"/>
          </w:tcPr>
          <w:p w14:paraId="19F363C6">
            <w:pPr>
              <w:jc w:val="center"/>
              <w:rPr>
                <w:sz w:val="15"/>
                <w:szCs w:val="15"/>
              </w:rPr>
            </w:pPr>
            <w:r>
              <w:rPr>
                <w:sz w:val="15"/>
                <w:szCs w:val="15"/>
              </w:rPr>
              <w:t>0.00090</w:t>
            </w:r>
          </w:p>
        </w:tc>
      </w:tr>
      <w:tr w14:paraId="4F2B6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 w:type="dxa"/>
            <w:vAlign w:val="center"/>
          </w:tcPr>
          <w:p w14:paraId="258EACEC">
            <w:pPr>
              <w:pStyle w:val="26"/>
              <w:widowControl w:val="0"/>
              <w:ind w:firstLine="0" w:firstLineChars="0"/>
              <w:rPr>
                <w:rFonts w:ascii="Times New Roman"/>
                <w:sz w:val="18"/>
                <w:szCs w:val="18"/>
              </w:rPr>
            </w:pPr>
            <w:r>
              <w:rPr>
                <w:rFonts w:ascii="Times New Roman"/>
                <w:sz w:val="18"/>
                <w:szCs w:val="18"/>
              </w:rPr>
              <w:t>2</w:t>
            </w:r>
          </w:p>
        </w:tc>
        <w:tc>
          <w:tcPr>
            <w:tcW w:w="629" w:type="dxa"/>
            <w:vAlign w:val="center"/>
          </w:tcPr>
          <w:p w14:paraId="3E2974BA">
            <w:pPr>
              <w:jc w:val="center"/>
              <w:rPr>
                <w:sz w:val="15"/>
                <w:szCs w:val="15"/>
              </w:rPr>
            </w:pPr>
            <w:r>
              <w:rPr>
                <w:sz w:val="15"/>
                <w:szCs w:val="15"/>
              </w:rPr>
              <w:t>0.7259</w:t>
            </w:r>
          </w:p>
        </w:tc>
        <w:tc>
          <w:tcPr>
            <w:tcW w:w="673" w:type="dxa"/>
            <w:vAlign w:val="center"/>
          </w:tcPr>
          <w:p w14:paraId="1C0BCE1B">
            <w:pPr>
              <w:jc w:val="center"/>
              <w:rPr>
                <w:sz w:val="15"/>
                <w:szCs w:val="15"/>
              </w:rPr>
            </w:pPr>
            <w:r>
              <w:rPr>
                <w:sz w:val="15"/>
                <w:szCs w:val="15"/>
              </w:rPr>
              <w:t>0.0045</w:t>
            </w:r>
          </w:p>
        </w:tc>
        <w:tc>
          <w:tcPr>
            <w:tcW w:w="664" w:type="dxa"/>
            <w:vAlign w:val="center"/>
          </w:tcPr>
          <w:p w14:paraId="0595B3AB">
            <w:pPr>
              <w:jc w:val="center"/>
              <w:rPr>
                <w:sz w:val="15"/>
                <w:szCs w:val="15"/>
              </w:rPr>
            </w:pPr>
            <w:r>
              <w:rPr>
                <w:sz w:val="15"/>
                <w:szCs w:val="15"/>
              </w:rPr>
              <w:t>0.0954</w:t>
            </w:r>
          </w:p>
        </w:tc>
        <w:tc>
          <w:tcPr>
            <w:tcW w:w="642" w:type="dxa"/>
            <w:vAlign w:val="center"/>
          </w:tcPr>
          <w:p w14:paraId="22BDDEA2">
            <w:pPr>
              <w:jc w:val="center"/>
              <w:rPr>
                <w:sz w:val="15"/>
                <w:szCs w:val="15"/>
              </w:rPr>
            </w:pPr>
            <w:r>
              <w:rPr>
                <w:sz w:val="15"/>
                <w:szCs w:val="15"/>
              </w:rPr>
              <w:t>0.0180</w:t>
            </w:r>
          </w:p>
        </w:tc>
        <w:tc>
          <w:tcPr>
            <w:tcW w:w="630" w:type="dxa"/>
            <w:vAlign w:val="center"/>
          </w:tcPr>
          <w:p w14:paraId="2EEABD72">
            <w:pPr>
              <w:jc w:val="center"/>
              <w:rPr>
                <w:sz w:val="15"/>
                <w:szCs w:val="15"/>
              </w:rPr>
            </w:pPr>
            <w:r>
              <w:rPr>
                <w:sz w:val="15"/>
                <w:szCs w:val="15"/>
              </w:rPr>
              <w:t>0.0135</w:t>
            </w:r>
          </w:p>
        </w:tc>
        <w:tc>
          <w:tcPr>
            <w:tcW w:w="630" w:type="dxa"/>
            <w:vAlign w:val="center"/>
          </w:tcPr>
          <w:p w14:paraId="10351CB5">
            <w:pPr>
              <w:jc w:val="center"/>
              <w:rPr>
                <w:sz w:val="15"/>
                <w:szCs w:val="15"/>
              </w:rPr>
            </w:pPr>
            <w:r>
              <w:rPr>
                <w:sz w:val="15"/>
                <w:szCs w:val="15"/>
              </w:rPr>
              <w:t>0.0135</w:t>
            </w:r>
          </w:p>
        </w:tc>
        <w:tc>
          <w:tcPr>
            <w:tcW w:w="665" w:type="dxa"/>
            <w:vAlign w:val="center"/>
          </w:tcPr>
          <w:p w14:paraId="1AE5ABE8">
            <w:pPr>
              <w:jc w:val="center"/>
              <w:rPr>
                <w:sz w:val="15"/>
                <w:szCs w:val="15"/>
              </w:rPr>
            </w:pPr>
            <w:r>
              <w:rPr>
                <w:sz w:val="15"/>
                <w:szCs w:val="15"/>
              </w:rPr>
              <w:t>0.0135</w:t>
            </w:r>
          </w:p>
        </w:tc>
        <w:tc>
          <w:tcPr>
            <w:tcW w:w="630" w:type="dxa"/>
            <w:vAlign w:val="center"/>
          </w:tcPr>
          <w:p w14:paraId="29509BCE">
            <w:pPr>
              <w:jc w:val="center"/>
              <w:rPr>
                <w:sz w:val="15"/>
                <w:szCs w:val="15"/>
              </w:rPr>
            </w:pPr>
            <w:r>
              <w:rPr>
                <w:sz w:val="15"/>
                <w:szCs w:val="15"/>
              </w:rPr>
              <w:t>0.0135</w:t>
            </w:r>
          </w:p>
        </w:tc>
        <w:tc>
          <w:tcPr>
            <w:tcW w:w="642" w:type="dxa"/>
            <w:vAlign w:val="center"/>
          </w:tcPr>
          <w:p w14:paraId="13895FC3">
            <w:pPr>
              <w:jc w:val="center"/>
              <w:rPr>
                <w:sz w:val="15"/>
                <w:szCs w:val="15"/>
              </w:rPr>
            </w:pPr>
            <w:r>
              <w:rPr>
                <w:sz w:val="15"/>
                <w:szCs w:val="15"/>
              </w:rPr>
              <w:t>0.0005</w:t>
            </w:r>
          </w:p>
        </w:tc>
        <w:tc>
          <w:tcPr>
            <w:tcW w:w="844" w:type="dxa"/>
            <w:vAlign w:val="center"/>
          </w:tcPr>
          <w:p w14:paraId="135890E8">
            <w:pPr>
              <w:jc w:val="center"/>
              <w:rPr>
                <w:sz w:val="15"/>
                <w:szCs w:val="15"/>
              </w:rPr>
            </w:pPr>
            <w:r>
              <w:rPr>
                <w:sz w:val="15"/>
                <w:szCs w:val="15"/>
              </w:rPr>
              <w:t>0.00077</w:t>
            </w:r>
          </w:p>
        </w:tc>
        <w:tc>
          <w:tcPr>
            <w:tcW w:w="705" w:type="dxa"/>
            <w:vAlign w:val="center"/>
          </w:tcPr>
          <w:p w14:paraId="711D0EC8">
            <w:pPr>
              <w:jc w:val="center"/>
              <w:rPr>
                <w:sz w:val="15"/>
                <w:szCs w:val="15"/>
              </w:rPr>
            </w:pPr>
            <w:r>
              <w:rPr>
                <w:sz w:val="15"/>
                <w:szCs w:val="15"/>
              </w:rPr>
              <w:t>0.00045</w:t>
            </w:r>
          </w:p>
        </w:tc>
        <w:tc>
          <w:tcPr>
            <w:tcW w:w="705" w:type="dxa"/>
            <w:vAlign w:val="center"/>
          </w:tcPr>
          <w:p w14:paraId="69210B26">
            <w:pPr>
              <w:jc w:val="center"/>
              <w:rPr>
                <w:sz w:val="15"/>
                <w:szCs w:val="15"/>
              </w:rPr>
            </w:pPr>
            <w:r>
              <w:rPr>
                <w:sz w:val="15"/>
                <w:szCs w:val="15"/>
              </w:rPr>
              <w:t>0.00045</w:t>
            </w:r>
          </w:p>
        </w:tc>
        <w:tc>
          <w:tcPr>
            <w:tcW w:w="754" w:type="dxa"/>
            <w:vAlign w:val="center"/>
          </w:tcPr>
          <w:p w14:paraId="6DF8BD73">
            <w:pPr>
              <w:jc w:val="center"/>
              <w:rPr>
                <w:sz w:val="15"/>
                <w:szCs w:val="15"/>
              </w:rPr>
            </w:pPr>
            <w:r>
              <w:rPr>
                <w:sz w:val="15"/>
                <w:szCs w:val="15"/>
              </w:rPr>
              <w:t>0.00045</w:t>
            </w:r>
          </w:p>
        </w:tc>
      </w:tr>
      <w:tr w14:paraId="54486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 w:type="dxa"/>
            <w:vAlign w:val="center"/>
          </w:tcPr>
          <w:p w14:paraId="064FE074">
            <w:pPr>
              <w:pStyle w:val="26"/>
              <w:widowControl w:val="0"/>
              <w:ind w:firstLine="0" w:firstLineChars="0"/>
              <w:rPr>
                <w:rFonts w:ascii="Times New Roman"/>
                <w:sz w:val="18"/>
                <w:szCs w:val="18"/>
              </w:rPr>
            </w:pPr>
            <w:r>
              <w:rPr>
                <w:rFonts w:ascii="Times New Roman"/>
                <w:sz w:val="18"/>
                <w:szCs w:val="18"/>
              </w:rPr>
              <w:t>3</w:t>
            </w:r>
          </w:p>
        </w:tc>
        <w:tc>
          <w:tcPr>
            <w:tcW w:w="629" w:type="dxa"/>
            <w:vAlign w:val="center"/>
          </w:tcPr>
          <w:p w14:paraId="117B0289">
            <w:pPr>
              <w:jc w:val="center"/>
              <w:rPr>
                <w:sz w:val="15"/>
                <w:szCs w:val="15"/>
              </w:rPr>
            </w:pPr>
            <w:r>
              <w:rPr>
                <w:sz w:val="15"/>
                <w:szCs w:val="15"/>
              </w:rPr>
              <w:t>0.6300</w:t>
            </w:r>
          </w:p>
        </w:tc>
        <w:tc>
          <w:tcPr>
            <w:tcW w:w="673" w:type="dxa"/>
            <w:vAlign w:val="center"/>
          </w:tcPr>
          <w:p w14:paraId="0CE9CB37">
            <w:pPr>
              <w:jc w:val="center"/>
              <w:rPr>
                <w:sz w:val="15"/>
                <w:szCs w:val="15"/>
              </w:rPr>
            </w:pPr>
            <w:r>
              <w:rPr>
                <w:sz w:val="15"/>
                <w:szCs w:val="15"/>
              </w:rPr>
              <w:t>0.0900</w:t>
            </w:r>
          </w:p>
        </w:tc>
        <w:tc>
          <w:tcPr>
            <w:tcW w:w="664" w:type="dxa"/>
            <w:vAlign w:val="center"/>
          </w:tcPr>
          <w:p w14:paraId="7DB5F1F1">
            <w:pPr>
              <w:jc w:val="center"/>
              <w:rPr>
                <w:sz w:val="15"/>
                <w:szCs w:val="15"/>
              </w:rPr>
            </w:pPr>
            <w:r>
              <w:rPr>
                <w:sz w:val="15"/>
                <w:szCs w:val="15"/>
              </w:rPr>
              <w:t>0.1296</w:t>
            </w:r>
          </w:p>
        </w:tc>
        <w:tc>
          <w:tcPr>
            <w:tcW w:w="642" w:type="dxa"/>
            <w:vAlign w:val="center"/>
          </w:tcPr>
          <w:p w14:paraId="43CBEF87">
            <w:pPr>
              <w:jc w:val="center"/>
              <w:rPr>
                <w:sz w:val="15"/>
                <w:szCs w:val="15"/>
              </w:rPr>
            </w:pPr>
            <w:r>
              <w:rPr>
                <w:sz w:val="15"/>
                <w:szCs w:val="15"/>
              </w:rPr>
              <w:t>0.0135</w:t>
            </w:r>
          </w:p>
        </w:tc>
        <w:tc>
          <w:tcPr>
            <w:tcW w:w="630" w:type="dxa"/>
            <w:vAlign w:val="center"/>
          </w:tcPr>
          <w:p w14:paraId="5F55E24B">
            <w:pPr>
              <w:jc w:val="center"/>
              <w:rPr>
                <w:sz w:val="15"/>
                <w:szCs w:val="15"/>
              </w:rPr>
            </w:pPr>
            <w:r>
              <w:rPr>
                <w:sz w:val="15"/>
                <w:szCs w:val="15"/>
              </w:rPr>
              <w:t>0.0090</w:t>
            </w:r>
          </w:p>
        </w:tc>
        <w:tc>
          <w:tcPr>
            <w:tcW w:w="630" w:type="dxa"/>
            <w:vAlign w:val="center"/>
          </w:tcPr>
          <w:p w14:paraId="235E57D6">
            <w:pPr>
              <w:jc w:val="center"/>
              <w:rPr>
                <w:sz w:val="15"/>
                <w:szCs w:val="15"/>
              </w:rPr>
            </w:pPr>
            <w:r>
              <w:rPr>
                <w:sz w:val="15"/>
                <w:szCs w:val="15"/>
              </w:rPr>
              <w:t>0.0090</w:t>
            </w:r>
          </w:p>
        </w:tc>
        <w:tc>
          <w:tcPr>
            <w:tcW w:w="665" w:type="dxa"/>
            <w:vAlign w:val="center"/>
          </w:tcPr>
          <w:p w14:paraId="3BAC3B7E">
            <w:pPr>
              <w:jc w:val="center"/>
              <w:rPr>
                <w:sz w:val="15"/>
                <w:szCs w:val="15"/>
              </w:rPr>
            </w:pPr>
            <w:r>
              <w:rPr>
                <w:sz w:val="15"/>
                <w:szCs w:val="15"/>
              </w:rPr>
              <w:t>0.0090</w:t>
            </w:r>
          </w:p>
        </w:tc>
        <w:tc>
          <w:tcPr>
            <w:tcW w:w="630" w:type="dxa"/>
            <w:vAlign w:val="center"/>
          </w:tcPr>
          <w:p w14:paraId="429F42CD">
            <w:pPr>
              <w:jc w:val="center"/>
              <w:rPr>
                <w:sz w:val="15"/>
                <w:szCs w:val="15"/>
              </w:rPr>
            </w:pPr>
            <w:r>
              <w:rPr>
                <w:sz w:val="15"/>
                <w:szCs w:val="15"/>
              </w:rPr>
              <w:t>0.0090</w:t>
            </w:r>
          </w:p>
        </w:tc>
        <w:tc>
          <w:tcPr>
            <w:tcW w:w="642" w:type="dxa"/>
            <w:vAlign w:val="center"/>
          </w:tcPr>
          <w:p w14:paraId="66069426">
            <w:pPr>
              <w:jc w:val="center"/>
              <w:rPr>
                <w:sz w:val="15"/>
                <w:szCs w:val="15"/>
              </w:rPr>
            </w:pPr>
            <w:r>
              <w:rPr>
                <w:sz w:val="15"/>
                <w:szCs w:val="15"/>
              </w:rPr>
              <w:t>0.0002</w:t>
            </w:r>
          </w:p>
        </w:tc>
        <w:tc>
          <w:tcPr>
            <w:tcW w:w="844" w:type="dxa"/>
            <w:vAlign w:val="center"/>
          </w:tcPr>
          <w:p w14:paraId="7E0FB2DC">
            <w:pPr>
              <w:jc w:val="center"/>
              <w:rPr>
                <w:sz w:val="15"/>
                <w:szCs w:val="15"/>
              </w:rPr>
            </w:pPr>
            <w:r>
              <w:rPr>
                <w:sz w:val="15"/>
                <w:szCs w:val="15"/>
              </w:rPr>
              <w:t>0.00031</w:t>
            </w:r>
          </w:p>
        </w:tc>
        <w:tc>
          <w:tcPr>
            <w:tcW w:w="705" w:type="dxa"/>
            <w:vAlign w:val="center"/>
          </w:tcPr>
          <w:p w14:paraId="18C70BF7">
            <w:pPr>
              <w:jc w:val="center"/>
              <w:rPr>
                <w:sz w:val="15"/>
                <w:szCs w:val="15"/>
              </w:rPr>
            </w:pPr>
            <w:r>
              <w:rPr>
                <w:sz w:val="15"/>
                <w:szCs w:val="15"/>
              </w:rPr>
              <w:t>0.00018</w:t>
            </w:r>
          </w:p>
        </w:tc>
        <w:tc>
          <w:tcPr>
            <w:tcW w:w="705" w:type="dxa"/>
            <w:vAlign w:val="center"/>
          </w:tcPr>
          <w:p w14:paraId="5FE85553">
            <w:pPr>
              <w:jc w:val="center"/>
              <w:rPr>
                <w:sz w:val="15"/>
                <w:szCs w:val="15"/>
              </w:rPr>
            </w:pPr>
            <w:r>
              <w:rPr>
                <w:sz w:val="15"/>
                <w:szCs w:val="15"/>
              </w:rPr>
              <w:t>0.00018</w:t>
            </w:r>
          </w:p>
        </w:tc>
        <w:tc>
          <w:tcPr>
            <w:tcW w:w="754" w:type="dxa"/>
            <w:vAlign w:val="center"/>
          </w:tcPr>
          <w:p w14:paraId="39B82EA9">
            <w:pPr>
              <w:jc w:val="center"/>
              <w:rPr>
                <w:sz w:val="15"/>
                <w:szCs w:val="15"/>
              </w:rPr>
            </w:pPr>
            <w:r>
              <w:rPr>
                <w:sz w:val="15"/>
                <w:szCs w:val="15"/>
              </w:rPr>
              <w:t>0.00018</w:t>
            </w:r>
          </w:p>
        </w:tc>
      </w:tr>
      <w:tr w14:paraId="32FC8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 w:type="dxa"/>
            <w:vAlign w:val="center"/>
          </w:tcPr>
          <w:p w14:paraId="73D7C7F9">
            <w:pPr>
              <w:pStyle w:val="26"/>
              <w:widowControl w:val="0"/>
              <w:ind w:firstLine="0" w:firstLineChars="0"/>
              <w:rPr>
                <w:rFonts w:ascii="Times New Roman"/>
                <w:sz w:val="18"/>
                <w:szCs w:val="18"/>
              </w:rPr>
            </w:pPr>
            <w:r>
              <w:rPr>
                <w:rFonts w:ascii="Times New Roman"/>
                <w:sz w:val="18"/>
                <w:szCs w:val="18"/>
              </w:rPr>
              <w:t>4</w:t>
            </w:r>
          </w:p>
        </w:tc>
        <w:tc>
          <w:tcPr>
            <w:tcW w:w="629" w:type="dxa"/>
            <w:vAlign w:val="center"/>
          </w:tcPr>
          <w:p w14:paraId="75380A92">
            <w:pPr>
              <w:jc w:val="center"/>
              <w:rPr>
                <w:sz w:val="15"/>
                <w:szCs w:val="15"/>
              </w:rPr>
            </w:pPr>
            <w:r>
              <w:rPr>
                <w:sz w:val="15"/>
                <w:szCs w:val="15"/>
              </w:rPr>
              <w:t>0.5850</w:t>
            </w:r>
          </w:p>
        </w:tc>
        <w:tc>
          <w:tcPr>
            <w:tcW w:w="673" w:type="dxa"/>
            <w:vAlign w:val="center"/>
          </w:tcPr>
          <w:p w14:paraId="235ABF29">
            <w:pPr>
              <w:jc w:val="center"/>
              <w:rPr>
                <w:sz w:val="15"/>
                <w:szCs w:val="15"/>
              </w:rPr>
            </w:pPr>
            <w:r>
              <w:rPr>
                <w:sz w:val="15"/>
                <w:szCs w:val="15"/>
              </w:rPr>
              <w:t>0.1080</w:t>
            </w:r>
          </w:p>
        </w:tc>
        <w:tc>
          <w:tcPr>
            <w:tcW w:w="664" w:type="dxa"/>
            <w:vAlign w:val="center"/>
          </w:tcPr>
          <w:p w14:paraId="43F7F0FF">
            <w:pPr>
              <w:jc w:val="center"/>
              <w:rPr>
                <w:sz w:val="15"/>
                <w:szCs w:val="15"/>
              </w:rPr>
            </w:pPr>
            <w:r>
              <w:rPr>
                <w:sz w:val="15"/>
                <w:szCs w:val="15"/>
              </w:rPr>
              <w:t>0.1800</w:t>
            </w:r>
          </w:p>
        </w:tc>
        <w:tc>
          <w:tcPr>
            <w:tcW w:w="642" w:type="dxa"/>
            <w:vAlign w:val="center"/>
          </w:tcPr>
          <w:p w14:paraId="370FE891">
            <w:pPr>
              <w:jc w:val="center"/>
              <w:rPr>
                <w:sz w:val="15"/>
                <w:szCs w:val="15"/>
              </w:rPr>
            </w:pPr>
            <w:r>
              <w:rPr>
                <w:sz w:val="15"/>
                <w:szCs w:val="15"/>
              </w:rPr>
              <w:t>0.0090</w:t>
            </w:r>
          </w:p>
        </w:tc>
        <w:tc>
          <w:tcPr>
            <w:tcW w:w="630" w:type="dxa"/>
            <w:vAlign w:val="center"/>
          </w:tcPr>
          <w:p w14:paraId="41DDE750">
            <w:pPr>
              <w:jc w:val="center"/>
              <w:rPr>
                <w:sz w:val="15"/>
                <w:szCs w:val="15"/>
              </w:rPr>
            </w:pPr>
            <w:r>
              <w:rPr>
                <w:sz w:val="15"/>
                <w:szCs w:val="15"/>
              </w:rPr>
              <w:t>0.0045</w:t>
            </w:r>
          </w:p>
        </w:tc>
        <w:tc>
          <w:tcPr>
            <w:tcW w:w="630" w:type="dxa"/>
            <w:vAlign w:val="center"/>
          </w:tcPr>
          <w:p w14:paraId="165AD938">
            <w:pPr>
              <w:jc w:val="center"/>
              <w:rPr>
                <w:sz w:val="15"/>
                <w:szCs w:val="15"/>
              </w:rPr>
            </w:pPr>
            <w:r>
              <w:rPr>
                <w:sz w:val="15"/>
                <w:szCs w:val="15"/>
              </w:rPr>
              <w:t>0.0045</w:t>
            </w:r>
          </w:p>
        </w:tc>
        <w:tc>
          <w:tcPr>
            <w:tcW w:w="665" w:type="dxa"/>
            <w:vAlign w:val="center"/>
          </w:tcPr>
          <w:p w14:paraId="4EF47B82">
            <w:pPr>
              <w:jc w:val="center"/>
              <w:rPr>
                <w:sz w:val="15"/>
                <w:szCs w:val="15"/>
              </w:rPr>
            </w:pPr>
            <w:r>
              <w:rPr>
                <w:sz w:val="15"/>
                <w:szCs w:val="15"/>
              </w:rPr>
              <w:t>0.0045</w:t>
            </w:r>
          </w:p>
        </w:tc>
        <w:tc>
          <w:tcPr>
            <w:tcW w:w="630" w:type="dxa"/>
            <w:vAlign w:val="center"/>
          </w:tcPr>
          <w:p w14:paraId="19D5D1C9">
            <w:pPr>
              <w:jc w:val="center"/>
              <w:rPr>
                <w:sz w:val="15"/>
                <w:szCs w:val="15"/>
              </w:rPr>
            </w:pPr>
            <w:r>
              <w:rPr>
                <w:sz w:val="15"/>
                <w:szCs w:val="15"/>
              </w:rPr>
              <w:t>0.0045</w:t>
            </w:r>
          </w:p>
        </w:tc>
        <w:tc>
          <w:tcPr>
            <w:tcW w:w="642" w:type="dxa"/>
            <w:vAlign w:val="center"/>
          </w:tcPr>
          <w:p w14:paraId="4791C992">
            <w:pPr>
              <w:jc w:val="center"/>
              <w:rPr>
                <w:sz w:val="15"/>
                <w:szCs w:val="15"/>
              </w:rPr>
            </w:pPr>
            <w:r>
              <w:rPr>
                <w:sz w:val="15"/>
                <w:szCs w:val="15"/>
              </w:rPr>
              <w:t>0.0001</w:t>
            </w:r>
          </w:p>
        </w:tc>
        <w:tc>
          <w:tcPr>
            <w:tcW w:w="844" w:type="dxa"/>
            <w:vAlign w:val="center"/>
          </w:tcPr>
          <w:p w14:paraId="26EEC518">
            <w:pPr>
              <w:jc w:val="center"/>
              <w:rPr>
                <w:sz w:val="15"/>
                <w:szCs w:val="15"/>
              </w:rPr>
            </w:pPr>
            <w:r>
              <w:rPr>
                <w:sz w:val="15"/>
                <w:szCs w:val="15"/>
              </w:rPr>
              <w:t>0.00015</w:t>
            </w:r>
          </w:p>
        </w:tc>
        <w:tc>
          <w:tcPr>
            <w:tcW w:w="705" w:type="dxa"/>
            <w:vAlign w:val="center"/>
          </w:tcPr>
          <w:p w14:paraId="6DFEE149">
            <w:pPr>
              <w:jc w:val="center"/>
              <w:rPr>
                <w:sz w:val="15"/>
                <w:szCs w:val="15"/>
              </w:rPr>
            </w:pPr>
            <w:r>
              <w:rPr>
                <w:sz w:val="15"/>
                <w:szCs w:val="15"/>
              </w:rPr>
              <w:t>0.00009</w:t>
            </w:r>
          </w:p>
        </w:tc>
        <w:tc>
          <w:tcPr>
            <w:tcW w:w="705" w:type="dxa"/>
            <w:vAlign w:val="center"/>
          </w:tcPr>
          <w:p w14:paraId="0ECCDE8E">
            <w:pPr>
              <w:jc w:val="center"/>
              <w:rPr>
                <w:sz w:val="15"/>
                <w:szCs w:val="15"/>
              </w:rPr>
            </w:pPr>
            <w:r>
              <w:rPr>
                <w:sz w:val="15"/>
                <w:szCs w:val="15"/>
              </w:rPr>
              <w:t>0.00009</w:t>
            </w:r>
          </w:p>
        </w:tc>
        <w:tc>
          <w:tcPr>
            <w:tcW w:w="754" w:type="dxa"/>
            <w:vAlign w:val="center"/>
          </w:tcPr>
          <w:p w14:paraId="2765CC31">
            <w:pPr>
              <w:jc w:val="center"/>
              <w:rPr>
                <w:sz w:val="15"/>
                <w:szCs w:val="15"/>
              </w:rPr>
            </w:pPr>
            <w:r>
              <w:rPr>
                <w:sz w:val="15"/>
                <w:szCs w:val="15"/>
              </w:rPr>
              <w:t>0.00009</w:t>
            </w:r>
          </w:p>
        </w:tc>
      </w:tr>
      <w:tr w14:paraId="040A8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 w:type="dxa"/>
            <w:vAlign w:val="center"/>
          </w:tcPr>
          <w:p w14:paraId="24E0AC0D">
            <w:pPr>
              <w:pStyle w:val="26"/>
              <w:widowControl w:val="0"/>
              <w:ind w:firstLine="0" w:firstLineChars="0"/>
              <w:rPr>
                <w:rFonts w:ascii="Times New Roman"/>
                <w:sz w:val="18"/>
                <w:szCs w:val="18"/>
              </w:rPr>
            </w:pPr>
            <w:r>
              <w:rPr>
                <w:rFonts w:ascii="Times New Roman"/>
                <w:sz w:val="18"/>
                <w:szCs w:val="18"/>
              </w:rPr>
              <w:t>5</w:t>
            </w:r>
          </w:p>
        </w:tc>
        <w:tc>
          <w:tcPr>
            <w:tcW w:w="629" w:type="dxa"/>
            <w:vAlign w:val="center"/>
          </w:tcPr>
          <w:p w14:paraId="59FB5256">
            <w:pPr>
              <w:jc w:val="center"/>
              <w:rPr>
                <w:sz w:val="15"/>
                <w:szCs w:val="15"/>
              </w:rPr>
            </w:pPr>
            <w:r>
              <w:rPr>
                <w:sz w:val="15"/>
                <w:szCs w:val="15"/>
              </w:rPr>
              <w:t>0.4950</w:t>
            </w:r>
          </w:p>
        </w:tc>
        <w:tc>
          <w:tcPr>
            <w:tcW w:w="673" w:type="dxa"/>
            <w:vAlign w:val="center"/>
          </w:tcPr>
          <w:p w14:paraId="76B8BF45">
            <w:pPr>
              <w:jc w:val="center"/>
              <w:rPr>
                <w:sz w:val="15"/>
                <w:szCs w:val="15"/>
              </w:rPr>
            </w:pPr>
            <w:r>
              <w:rPr>
                <w:sz w:val="15"/>
                <w:szCs w:val="15"/>
              </w:rPr>
              <w:t>0.0783</w:t>
            </w:r>
          </w:p>
        </w:tc>
        <w:tc>
          <w:tcPr>
            <w:tcW w:w="664" w:type="dxa"/>
            <w:vAlign w:val="center"/>
          </w:tcPr>
          <w:p w14:paraId="0E044394">
            <w:pPr>
              <w:jc w:val="center"/>
              <w:rPr>
                <w:sz w:val="15"/>
                <w:szCs w:val="15"/>
              </w:rPr>
            </w:pPr>
            <w:r>
              <w:rPr>
                <w:sz w:val="15"/>
                <w:szCs w:val="15"/>
              </w:rPr>
              <w:t>0.3150</w:t>
            </w:r>
          </w:p>
        </w:tc>
        <w:tc>
          <w:tcPr>
            <w:tcW w:w="642" w:type="dxa"/>
            <w:vAlign w:val="center"/>
          </w:tcPr>
          <w:p w14:paraId="29F4B849">
            <w:pPr>
              <w:jc w:val="center"/>
              <w:rPr>
                <w:sz w:val="15"/>
                <w:szCs w:val="15"/>
              </w:rPr>
            </w:pPr>
            <w:r>
              <w:rPr>
                <w:sz w:val="15"/>
                <w:szCs w:val="15"/>
              </w:rPr>
              <w:t>0.0045</w:t>
            </w:r>
          </w:p>
        </w:tc>
        <w:tc>
          <w:tcPr>
            <w:tcW w:w="630" w:type="dxa"/>
            <w:vAlign w:val="center"/>
          </w:tcPr>
          <w:p w14:paraId="6AEBC649">
            <w:pPr>
              <w:jc w:val="center"/>
              <w:rPr>
                <w:sz w:val="15"/>
                <w:szCs w:val="15"/>
              </w:rPr>
            </w:pPr>
            <w:r>
              <w:rPr>
                <w:sz w:val="15"/>
                <w:szCs w:val="15"/>
              </w:rPr>
              <w:t>0.0018</w:t>
            </w:r>
          </w:p>
        </w:tc>
        <w:tc>
          <w:tcPr>
            <w:tcW w:w="630" w:type="dxa"/>
            <w:vAlign w:val="center"/>
          </w:tcPr>
          <w:p w14:paraId="1112B9CC">
            <w:pPr>
              <w:jc w:val="center"/>
              <w:rPr>
                <w:sz w:val="15"/>
                <w:szCs w:val="15"/>
              </w:rPr>
            </w:pPr>
            <w:r>
              <w:rPr>
                <w:sz w:val="15"/>
                <w:szCs w:val="15"/>
              </w:rPr>
              <w:t>0.0018</w:t>
            </w:r>
          </w:p>
        </w:tc>
        <w:tc>
          <w:tcPr>
            <w:tcW w:w="665" w:type="dxa"/>
            <w:vAlign w:val="center"/>
          </w:tcPr>
          <w:p w14:paraId="47D962FF">
            <w:pPr>
              <w:jc w:val="center"/>
              <w:rPr>
                <w:sz w:val="15"/>
                <w:szCs w:val="15"/>
              </w:rPr>
            </w:pPr>
            <w:r>
              <w:rPr>
                <w:sz w:val="15"/>
                <w:szCs w:val="15"/>
              </w:rPr>
              <w:t>0.0018</w:t>
            </w:r>
          </w:p>
        </w:tc>
        <w:tc>
          <w:tcPr>
            <w:tcW w:w="630" w:type="dxa"/>
            <w:vAlign w:val="center"/>
          </w:tcPr>
          <w:p w14:paraId="60374B89">
            <w:pPr>
              <w:jc w:val="center"/>
              <w:rPr>
                <w:sz w:val="15"/>
                <w:szCs w:val="15"/>
              </w:rPr>
            </w:pPr>
            <w:r>
              <w:rPr>
                <w:sz w:val="15"/>
                <w:szCs w:val="15"/>
              </w:rPr>
              <w:t>0.0018</w:t>
            </w:r>
          </w:p>
        </w:tc>
        <w:tc>
          <w:tcPr>
            <w:tcW w:w="642" w:type="dxa"/>
            <w:vAlign w:val="center"/>
          </w:tcPr>
          <w:p w14:paraId="713A0C5C">
            <w:pPr>
              <w:jc w:val="center"/>
              <w:rPr>
                <w:sz w:val="15"/>
                <w:szCs w:val="15"/>
              </w:rPr>
            </w:pPr>
            <w:r>
              <w:rPr>
                <w:sz w:val="15"/>
                <w:szCs w:val="15"/>
              </w:rPr>
              <w:t>0.0000</w:t>
            </w:r>
          </w:p>
        </w:tc>
        <w:tc>
          <w:tcPr>
            <w:tcW w:w="844" w:type="dxa"/>
            <w:vAlign w:val="center"/>
          </w:tcPr>
          <w:p w14:paraId="4590FC15">
            <w:pPr>
              <w:jc w:val="center"/>
              <w:rPr>
                <w:sz w:val="15"/>
                <w:szCs w:val="15"/>
              </w:rPr>
            </w:pPr>
            <w:r>
              <w:rPr>
                <w:sz w:val="15"/>
                <w:szCs w:val="15"/>
              </w:rPr>
              <w:t>0.00000</w:t>
            </w:r>
          </w:p>
        </w:tc>
        <w:tc>
          <w:tcPr>
            <w:tcW w:w="705" w:type="dxa"/>
            <w:vAlign w:val="center"/>
          </w:tcPr>
          <w:p w14:paraId="4703F210">
            <w:pPr>
              <w:jc w:val="center"/>
              <w:rPr>
                <w:sz w:val="15"/>
                <w:szCs w:val="15"/>
              </w:rPr>
            </w:pPr>
            <w:r>
              <w:rPr>
                <w:sz w:val="15"/>
                <w:szCs w:val="15"/>
              </w:rPr>
              <w:t>0.00000</w:t>
            </w:r>
          </w:p>
        </w:tc>
        <w:tc>
          <w:tcPr>
            <w:tcW w:w="705" w:type="dxa"/>
            <w:vAlign w:val="center"/>
          </w:tcPr>
          <w:p w14:paraId="12CCD45A">
            <w:pPr>
              <w:jc w:val="center"/>
              <w:rPr>
                <w:sz w:val="15"/>
                <w:szCs w:val="15"/>
              </w:rPr>
            </w:pPr>
            <w:r>
              <w:rPr>
                <w:sz w:val="15"/>
                <w:szCs w:val="15"/>
              </w:rPr>
              <w:t>0.00000</w:t>
            </w:r>
          </w:p>
        </w:tc>
        <w:tc>
          <w:tcPr>
            <w:tcW w:w="754" w:type="dxa"/>
            <w:vAlign w:val="center"/>
          </w:tcPr>
          <w:p w14:paraId="012057D1">
            <w:pPr>
              <w:jc w:val="center"/>
              <w:rPr>
                <w:sz w:val="15"/>
                <w:szCs w:val="15"/>
              </w:rPr>
            </w:pPr>
            <w:r>
              <w:rPr>
                <w:sz w:val="15"/>
                <w:szCs w:val="15"/>
              </w:rPr>
              <w:t>0.00000</w:t>
            </w:r>
          </w:p>
        </w:tc>
      </w:tr>
      <w:tr w14:paraId="19C23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 w:type="dxa"/>
            <w:vAlign w:val="center"/>
          </w:tcPr>
          <w:p w14:paraId="0029A864">
            <w:pPr>
              <w:pStyle w:val="26"/>
              <w:widowControl w:val="0"/>
              <w:ind w:firstLine="0" w:firstLineChars="0"/>
              <w:rPr>
                <w:rFonts w:ascii="Times New Roman"/>
                <w:sz w:val="18"/>
                <w:szCs w:val="18"/>
              </w:rPr>
            </w:pPr>
            <w:r>
              <w:rPr>
                <w:rFonts w:ascii="Times New Roman"/>
                <w:sz w:val="18"/>
                <w:szCs w:val="18"/>
              </w:rPr>
              <w:t>6</w:t>
            </w:r>
          </w:p>
        </w:tc>
        <w:tc>
          <w:tcPr>
            <w:tcW w:w="629" w:type="dxa"/>
            <w:vAlign w:val="center"/>
          </w:tcPr>
          <w:p w14:paraId="4169509A">
            <w:pPr>
              <w:jc w:val="center"/>
              <w:rPr>
                <w:sz w:val="15"/>
                <w:szCs w:val="15"/>
              </w:rPr>
            </w:pPr>
            <w:r>
              <w:rPr>
                <w:sz w:val="15"/>
                <w:szCs w:val="15"/>
              </w:rPr>
              <w:t>0.3150</w:t>
            </w:r>
          </w:p>
        </w:tc>
        <w:tc>
          <w:tcPr>
            <w:tcW w:w="673" w:type="dxa"/>
            <w:vAlign w:val="center"/>
          </w:tcPr>
          <w:p w14:paraId="00D80A79">
            <w:pPr>
              <w:jc w:val="center"/>
              <w:rPr>
                <w:sz w:val="15"/>
                <w:szCs w:val="15"/>
              </w:rPr>
            </w:pPr>
            <w:r>
              <w:rPr>
                <w:sz w:val="15"/>
                <w:szCs w:val="15"/>
              </w:rPr>
              <w:t>0.1800</w:t>
            </w:r>
          </w:p>
        </w:tc>
        <w:tc>
          <w:tcPr>
            <w:tcW w:w="664" w:type="dxa"/>
            <w:vAlign w:val="center"/>
          </w:tcPr>
          <w:p w14:paraId="448DB478">
            <w:pPr>
              <w:jc w:val="center"/>
              <w:rPr>
                <w:sz w:val="15"/>
                <w:szCs w:val="15"/>
              </w:rPr>
            </w:pPr>
            <w:r>
              <w:rPr>
                <w:sz w:val="15"/>
                <w:szCs w:val="15"/>
              </w:rPr>
              <w:t>0.4050</w:t>
            </w:r>
          </w:p>
        </w:tc>
        <w:tc>
          <w:tcPr>
            <w:tcW w:w="642" w:type="dxa"/>
            <w:vAlign w:val="center"/>
          </w:tcPr>
          <w:p w14:paraId="701585D2">
            <w:pPr>
              <w:jc w:val="center"/>
              <w:rPr>
                <w:sz w:val="15"/>
                <w:szCs w:val="15"/>
              </w:rPr>
            </w:pPr>
            <w:r>
              <w:rPr>
                <w:sz w:val="15"/>
                <w:szCs w:val="15"/>
              </w:rPr>
              <w:t>0.0000</w:t>
            </w:r>
          </w:p>
        </w:tc>
        <w:tc>
          <w:tcPr>
            <w:tcW w:w="630" w:type="dxa"/>
            <w:vAlign w:val="center"/>
          </w:tcPr>
          <w:p w14:paraId="4AE9DA29">
            <w:pPr>
              <w:jc w:val="center"/>
              <w:rPr>
                <w:sz w:val="15"/>
                <w:szCs w:val="15"/>
              </w:rPr>
            </w:pPr>
            <w:r>
              <w:rPr>
                <w:sz w:val="15"/>
                <w:szCs w:val="15"/>
              </w:rPr>
              <w:t>0.0000</w:t>
            </w:r>
          </w:p>
        </w:tc>
        <w:tc>
          <w:tcPr>
            <w:tcW w:w="630" w:type="dxa"/>
            <w:vAlign w:val="center"/>
          </w:tcPr>
          <w:p w14:paraId="5C010A60">
            <w:pPr>
              <w:jc w:val="center"/>
              <w:rPr>
                <w:sz w:val="15"/>
                <w:szCs w:val="15"/>
              </w:rPr>
            </w:pPr>
            <w:r>
              <w:rPr>
                <w:sz w:val="15"/>
                <w:szCs w:val="15"/>
              </w:rPr>
              <w:t>0.0000</w:t>
            </w:r>
          </w:p>
        </w:tc>
        <w:tc>
          <w:tcPr>
            <w:tcW w:w="665" w:type="dxa"/>
            <w:vAlign w:val="center"/>
          </w:tcPr>
          <w:p w14:paraId="0F0543DB">
            <w:pPr>
              <w:jc w:val="center"/>
              <w:rPr>
                <w:sz w:val="15"/>
                <w:szCs w:val="15"/>
              </w:rPr>
            </w:pPr>
            <w:r>
              <w:rPr>
                <w:sz w:val="15"/>
                <w:szCs w:val="15"/>
              </w:rPr>
              <w:t>0.0000</w:t>
            </w:r>
          </w:p>
        </w:tc>
        <w:tc>
          <w:tcPr>
            <w:tcW w:w="630" w:type="dxa"/>
            <w:vAlign w:val="center"/>
          </w:tcPr>
          <w:p w14:paraId="3B4C2674">
            <w:pPr>
              <w:jc w:val="center"/>
              <w:rPr>
                <w:sz w:val="15"/>
                <w:szCs w:val="15"/>
              </w:rPr>
            </w:pPr>
            <w:r>
              <w:rPr>
                <w:sz w:val="15"/>
                <w:szCs w:val="15"/>
              </w:rPr>
              <w:t>0.0000</w:t>
            </w:r>
          </w:p>
        </w:tc>
        <w:tc>
          <w:tcPr>
            <w:tcW w:w="642" w:type="dxa"/>
            <w:vAlign w:val="center"/>
          </w:tcPr>
          <w:p w14:paraId="19D23AC8">
            <w:pPr>
              <w:jc w:val="center"/>
              <w:rPr>
                <w:sz w:val="15"/>
                <w:szCs w:val="15"/>
              </w:rPr>
            </w:pPr>
            <w:r>
              <w:rPr>
                <w:sz w:val="15"/>
                <w:szCs w:val="15"/>
              </w:rPr>
              <w:t>0.0000</w:t>
            </w:r>
          </w:p>
        </w:tc>
        <w:tc>
          <w:tcPr>
            <w:tcW w:w="844" w:type="dxa"/>
            <w:vAlign w:val="center"/>
          </w:tcPr>
          <w:p w14:paraId="186CB5F0">
            <w:pPr>
              <w:jc w:val="center"/>
              <w:rPr>
                <w:sz w:val="15"/>
                <w:szCs w:val="15"/>
              </w:rPr>
            </w:pPr>
            <w:r>
              <w:rPr>
                <w:sz w:val="15"/>
                <w:szCs w:val="15"/>
              </w:rPr>
              <w:t>0.00000</w:t>
            </w:r>
          </w:p>
        </w:tc>
        <w:tc>
          <w:tcPr>
            <w:tcW w:w="705" w:type="dxa"/>
            <w:vAlign w:val="center"/>
          </w:tcPr>
          <w:p w14:paraId="4089EF9F">
            <w:pPr>
              <w:jc w:val="center"/>
              <w:rPr>
                <w:sz w:val="15"/>
                <w:szCs w:val="15"/>
              </w:rPr>
            </w:pPr>
            <w:r>
              <w:rPr>
                <w:sz w:val="15"/>
                <w:szCs w:val="15"/>
              </w:rPr>
              <w:t>0.00000</w:t>
            </w:r>
          </w:p>
        </w:tc>
        <w:tc>
          <w:tcPr>
            <w:tcW w:w="705" w:type="dxa"/>
            <w:vAlign w:val="center"/>
          </w:tcPr>
          <w:p w14:paraId="4870A59F">
            <w:pPr>
              <w:jc w:val="center"/>
              <w:rPr>
                <w:sz w:val="15"/>
                <w:szCs w:val="15"/>
              </w:rPr>
            </w:pPr>
            <w:r>
              <w:rPr>
                <w:sz w:val="15"/>
                <w:szCs w:val="15"/>
              </w:rPr>
              <w:t>0.00000</w:t>
            </w:r>
          </w:p>
        </w:tc>
        <w:tc>
          <w:tcPr>
            <w:tcW w:w="754" w:type="dxa"/>
            <w:vAlign w:val="center"/>
          </w:tcPr>
          <w:p w14:paraId="6D7177AA">
            <w:pPr>
              <w:jc w:val="center"/>
              <w:rPr>
                <w:sz w:val="15"/>
                <w:szCs w:val="15"/>
              </w:rPr>
            </w:pPr>
            <w:r>
              <w:rPr>
                <w:sz w:val="15"/>
                <w:szCs w:val="15"/>
              </w:rPr>
              <w:t>0.00000</w:t>
            </w:r>
          </w:p>
        </w:tc>
      </w:tr>
      <w:tr w14:paraId="2D016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 w:type="dxa"/>
            <w:vAlign w:val="center"/>
          </w:tcPr>
          <w:p w14:paraId="3FB618F7">
            <w:pPr>
              <w:pStyle w:val="26"/>
              <w:widowControl w:val="0"/>
              <w:ind w:firstLine="0" w:firstLineChars="0"/>
              <w:rPr>
                <w:rFonts w:ascii="Times New Roman"/>
                <w:sz w:val="18"/>
                <w:szCs w:val="18"/>
              </w:rPr>
            </w:pPr>
            <w:r>
              <w:rPr>
                <w:rFonts w:ascii="Times New Roman"/>
                <w:sz w:val="18"/>
                <w:szCs w:val="18"/>
              </w:rPr>
              <w:t>7</w:t>
            </w:r>
          </w:p>
        </w:tc>
        <w:tc>
          <w:tcPr>
            <w:tcW w:w="629" w:type="dxa"/>
            <w:vAlign w:val="center"/>
          </w:tcPr>
          <w:p w14:paraId="5F4E7C97">
            <w:pPr>
              <w:jc w:val="center"/>
              <w:rPr>
                <w:sz w:val="15"/>
                <w:szCs w:val="15"/>
              </w:rPr>
            </w:pPr>
            <w:r>
              <w:rPr>
                <w:sz w:val="15"/>
                <w:szCs w:val="15"/>
              </w:rPr>
              <w:t>0.4050</w:t>
            </w:r>
          </w:p>
        </w:tc>
        <w:tc>
          <w:tcPr>
            <w:tcW w:w="673" w:type="dxa"/>
            <w:vAlign w:val="center"/>
          </w:tcPr>
          <w:p w14:paraId="4B886B40">
            <w:pPr>
              <w:jc w:val="center"/>
              <w:rPr>
                <w:sz w:val="15"/>
                <w:szCs w:val="15"/>
              </w:rPr>
            </w:pPr>
            <w:r>
              <w:rPr>
                <w:sz w:val="15"/>
                <w:szCs w:val="15"/>
              </w:rPr>
              <w:t>0.3150</w:t>
            </w:r>
          </w:p>
        </w:tc>
        <w:tc>
          <w:tcPr>
            <w:tcW w:w="664" w:type="dxa"/>
            <w:vAlign w:val="center"/>
          </w:tcPr>
          <w:p w14:paraId="152A33CB">
            <w:pPr>
              <w:jc w:val="center"/>
              <w:rPr>
                <w:sz w:val="15"/>
                <w:szCs w:val="15"/>
              </w:rPr>
            </w:pPr>
            <w:r>
              <w:rPr>
                <w:sz w:val="15"/>
                <w:szCs w:val="15"/>
              </w:rPr>
              <w:t>0.1800</w:t>
            </w:r>
          </w:p>
        </w:tc>
        <w:tc>
          <w:tcPr>
            <w:tcW w:w="642" w:type="dxa"/>
            <w:vAlign w:val="center"/>
          </w:tcPr>
          <w:p w14:paraId="5F21E6CF">
            <w:pPr>
              <w:jc w:val="center"/>
              <w:rPr>
                <w:sz w:val="15"/>
                <w:szCs w:val="15"/>
              </w:rPr>
            </w:pPr>
            <w:r>
              <w:rPr>
                <w:sz w:val="15"/>
                <w:szCs w:val="15"/>
              </w:rPr>
              <w:t>0.0000</w:t>
            </w:r>
          </w:p>
        </w:tc>
        <w:tc>
          <w:tcPr>
            <w:tcW w:w="630" w:type="dxa"/>
            <w:vAlign w:val="center"/>
          </w:tcPr>
          <w:p w14:paraId="13AABBFF">
            <w:pPr>
              <w:jc w:val="center"/>
              <w:rPr>
                <w:sz w:val="15"/>
                <w:szCs w:val="15"/>
              </w:rPr>
            </w:pPr>
            <w:r>
              <w:rPr>
                <w:sz w:val="15"/>
                <w:szCs w:val="15"/>
              </w:rPr>
              <w:t>0.0000</w:t>
            </w:r>
          </w:p>
        </w:tc>
        <w:tc>
          <w:tcPr>
            <w:tcW w:w="630" w:type="dxa"/>
            <w:vAlign w:val="center"/>
          </w:tcPr>
          <w:p w14:paraId="777D497A">
            <w:pPr>
              <w:jc w:val="center"/>
              <w:rPr>
                <w:sz w:val="15"/>
                <w:szCs w:val="15"/>
              </w:rPr>
            </w:pPr>
            <w:r>
              <w:rPr>
                <w:sz w:val="15"/>
                <w:szCs w:val="15"/>
              </w:rPr>
              <w:t>0.0000</w:t>
            </w:r>
          </w:p>
        </w:tc>
        <w:tc>
          <w:tcPr>
            <w:tcW w:w="665" w:type="dxa"/>
            <w:vAlign w:val="center"/>
          </w:tcPr>
          <w:p w14:paraId="69F87287">
            <w:pPr>
              <w:jc w:val="center"/>
              <w:rPr>
                <w:sz w:val="15"/>
                <w:szCs w:val="15"/>
              </w:rPr>
            </w:pPr>
            <w:r>
              <w:rPr>
                <w:sz w:val="15"/>
                <w:szCs w:val="15"/>
              </w:rPr>
              <w:t>0.0000</w:t>
            </w:r>
          </w:p>
        </w:tc>
        <w:tc>
          <w:tcPr>
            <w:tcW w:w="630" w:type="dxa"/>
            <w:vAlign w:val="center"/>
          </w:tcPr>
          <w:p w14:paraId="0F97D1EA">
            <w:pPr>
              <w:jc w:val="center"/>
              <w:rPr>
                <w:sz w:val="15"/>
                <w:szCs w:val="15"/>
              </w:rPr>
            </w:pPr>
            <w:r>
              <w:rPr>
                <w:sz w:val="15"/>
                <w:szCs w:val="15"/>
              </w:rPr>
              <w:t>0.0000</w:t>
            </w:r>
          </w:p>
        </w:tc>
        <w:tc>
          <w:tcPr>
            <w:tcW w:w="642" w:type="dxa"/>
            <w:vAlign w:val="center"/>
          </w:tcPr>
          <w:p w14:paraId="48CB3C00">
            <w:pPr>
              <w:jc w:val="center"/>
              <w:rPr>
                <w:sz w:val="15"/>
                <w:szCs w:val="15"/>
              </w:rPr>
            </w:pPr>
            <w:r>
              <w:rPr>
                <w:sz w:val="15"/>
                <w:szCs w:val="15"/>
              </w:rPr>
              <w:t>0.0000</w:t>
            </w:r>
          </w:p>
        </w:tc>
        <w:tc>
          <w:tcPr>
            <w:tcW w:w="844" w:type="dxa"/>
            <w:vAlign w:val="center"/>
          </w:tcPr>
          <w:p w14:paraId="5667DE9B">
            <w:pPr>
              <w:jc w:val="center"/>
              <w:rPr>
                <w:sz w:val="15"/>
                <w:szCs w:val="15"/>
              </w:rPr>
            </w:pPr>
            <w:r>
              <w:rPr>
                <w:sz w:val="15"/>
                <w:szCs w:val="15"/>
              </w:rPr>
              <w:t>0.00000</w:t>
            </w:r>
          </w:p>
        </w:tc>
        <w:tc>
          <w:tcPr>
            <w:tcW w:w="705" w:type="dxa"/>
            <w:vAlign w:val="center"/>
          </w:tcPr>
          <w:p w14:paraId="7A39E326">
            <w:pPr>
              <w:jc w:val="center"/>
              <w:rPr>
                <w:sz w:val="15"/>
                <w:szCs w:val="15"/>
              </w:rPr>
            </w:pPr>
            <w:r>
              <w:rPr>
                <w:sz w:val="15"/>
                <w:szCs w:val="15"/>
              </w:rPr>
              <w:t>0.00000</w:t>
            </w:r>
          </w:p>
        </w:tc>
        <w:tc>
          <w:tcPr>
            <w:tcW w:w="705" w:type="dxa"/>
            <w:vAlign w:val="center"/>
          </w:tcPr>
          <w:p w14:paraId="1C77719D">
            <w:pPr>
              <w:jc w:val="center"/>
              <w:rPr>
                <w:sz w:val="15"/>
                <w:szCs w:val="15"/>
              </w:rPr>
            </w:pPr>
            <w:r>
              <w:rPr>
                <w:sz w:val="15"/>
                <w:szCs w:val="15"/>
              </w:rPr>
              <w:t>0.00000</w:t>
            </w:r>
          </w:p>
        </w:tc>
        <w:tc>
          <w:tcPr>
            <w:tcW w:w="754" w:type="dxa"/>
            <w:vAlign w:val="center"/>
          </w:tcPr>
          <w:p w14:paraId="70ED3FFA">
            <w:pPr>
              <w:jc w:val="center"/>
              <w:rPr>
                <w:sz w:val="15"/>
                <w:szCs w:val="15"/>
              </w:rPr>
            </w:pPr>
            <w:r>
              <w:rPr>
                <w:sz w:val="15"/>
                <w:szCs w:val="15"/>
              </w:rPr>
              <w:t>0.00000</w:t>
            </w:r>
          </w:p>
        </w:tc>
      </w:tr>
      <w:tr w14:paraId="28D92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 w:type="dxa"/>
            <w:vAlign w:val="center"/>
          </w:tcPr>
          <w:p w14:paraId="073FCEFB">
            <w:pPr>
              <w:pStyle w:val="26"/>
              <w:widowControl w:val="0"/>
              <w:ind w:firstLine="0" w:firstLineChars="0"/>
              <w:rPr>
                <w:rFonts w:ascii="Times New Roman"/>
                <w:sz w:val="18"/>
                <w:szCs w:val="18"/>
              </w:rPr>
            </w:pPr>
            <w:r>
              <w:rPr>
                <w:rFonts w:ascii="Times New Roman"/>
                <w:sz w:val="18"/>
                <w:szCs w:val="18"/>
              </w:rPr>
              <w:t>8</w:t>
            </w:r>
          </w:p>
        </w:tc>
        <w:tc>
          <w:tcPr>
            <w:tcW w:w="629" w:type="dxa"/>
            <w:vAlign w:val="center"/>
          </w:tcPr>
          <w:p w14:paraId="03342BF3">
            <w:pPr>
              <w:jc w:val="center"/>
              <w:rPr>
                <w:sz w:val="15"/>
                <w:szCs w:val="15"/>
              </w:rPr>
            </w:pPr>
            <w:r>
              <w:rPr>
                <w:sz w:val="15"/>
                <w:szCs w:val="15"/>
              </w:rPr>
              <w:t>0.3600</w:t>
            </w:r>
          </w:p>
        </w:tc>
        <w:tc>
          <w:tcPr>
            <w:tcW w:w="673" w:type="dxa"/>
            <w:vAlign w:val="center"/>
          </w:tcPr>
          <w:p w14:paraId="0A4A19ED">
            <w:pPr>
              <w:jc w:val="center"/>
              <w:rPr>
                <w:sz w:val="15"/>
                <w:szCs w:val="15"/>
              </w:rPr>
            </w:pPr>
            <w:r>
              <w:rPr>
                <w:sz w:val="15"/>
                <w:szCs w:val="15"/>
              </w:rPr>
              <w:t>0.1350</w:t>
            </w:r>
          </w:p>
        </w:tc>
        <w:tc>
          <w:tcPr>
            <w:tcW w:w="664" w:type="dxa"/>
            <w:vAlign w:val="center"/>
          </w:tcPr>
          <w:p w14:paraId="5EF47B46">
            <w:pPr>
              <w:jc w:val="center"/>
              <w:rPr>
                <w:sz w:val="15"/>
                <w:szCs w:val="15"/>
              </w:rPr>
            </w:pPr>
            <w:r>
              <w:rPr>
                <w:sz w:val="15"/>
                <w:szCs w:val="15"/>
              </w:rPr>
              <w:t>0.4050</w:t>
            </w:r>
          </w:p>
        </w:tc>
        <w:tc>
          <w:tcPr>
            <w:tcW w:w="642" w:type="dxa"/>
            <w:vAlign w:val="center"/>
          </w:tcPr>
          <w:p w14:paraId="7A5E10DD">
            <w:pPr>
              <w:jc w:val="center"/>
              <w:rPr>
                <w:sz w:val="15"/>
                <w:szCs w:val="15"/>
              </w:rPr>
            </w:pPr>
            <w:r>
              <w:rPr>
                <w:sz w:val="15"/>
                <w:szCs w:val="15"/>
              </w:rPr>
              <w:t>0.0000</w:t>
            </w:r>
          </w:p>
        </w:tc>
        <w:tc>
          <w:tcPr>
            <w:tcW w:w="630" w:type="dxa"/>
            <w:vAlign w:val="center"/>
          </w:tcPr>
          <w:p w14:paraId="5BCB1E21">
            <w:pPr>
              <w:jc w:val="center"/>
              <w:rPr>
                <w:sz w:val="15"/>
                <w:szCs w:val="15"/>
              </w:rPr>
            </w:pPr>
            <w:r>
              <w:rPr>
                <w:sz w:val="15"/>
                <w:szCs w:val="15"/>
              </w:rPr>
              <w:t>0.0000</w:t>
            </w:r>
          </w:p>
        </w:tc>
        <w:tc>
          <w:tcPr>
            <w:tcW w:w="630" w:type="dxa"/>
            <w:vAlign w:val="center"/>
          </w:tcPr>
          <w:p w14:paraId="7D0B5984">
            <w:pPr>
              <w:jc w:val="center"/>
              <w:rPr>
                <w:sz w:val="15"/>
                <w:szCs w:val="15"/>
              </w:rPr>
            </w:pPr>
            <w:r>
              <w:rPr>
                <w:sz w:val="15"/>
                <w:szCs w:val="15"/>
              </w:rPr>
              <w:t>0.0000</w:t>
            </w:r>
          </w:p>
        </w:tc>
        <w:tc>
          <w:tcPr>
            <w:tcW w:w="665" w:type="dxa"/>
            <w:vAlign w:val="center"/>
          </w:tcPr>
          <w:p w14:paraId="4DF25919">
            <w:pPr>
              <w:jc w:val="center"/>
              <w:rPr>
                <w:sz w:val="15"/>
                <w:szCs w:val="15"/>
              </w:rPr>
            </w:pPr>
            <w:r>
              <w:rPr>
                <w:sz w:val="15"/>
                <w:szCs w:val="15"/>
              </w:rPr>
              <w:t>0.0000</w:t>
            </w:r>
          </w:p>
        </w:tc>
        <w:tc>
          <w:tcPr>
            <w:tcW w:w="630" w:type="dxa"/>
            <w:vAlign w:val="center"/>
          </w:tcPr>
          <w:p w14:paraId="5147CE56">
            <w:pPr>
              <w:jc w:val="center"/>
              <w:rPr>
                <w:sz w:val="15"/>
                <w:szCs w:val="15"/>
              </w:rPr>
            </w:pPr>
            <w:r>
              <w:rPr>
                <w:sz w:val="15"/>
                <w:szCs w:val="15"/>
              </w:rPr>
              <w:t>0.0000</w:t>
            </w:r>
          </w:p>
        </w:tc>
        <w:tc>
          <w:tcPr>
            <w:tcW w:w="642" w:type="dxa"/>
            <w:vAlign w:val="center"/>
          </w:tcPr>
          <w:p w14:paraId="01583E7E">
            <w:pPr>
              <w:jc w:val="center"/>
              <w:rPr>
                <w:sz w:val="15"/>
                <w:szCs w:val="15"/>
              </w:rPr>
            </w:pPr>
            <w:r>
              <w:rPr>
                <w:sz w:val="15"/>
                <w:szCs w:val="15"/>
              </w:rPr>
              <w:t>0.0000</w:t>
            </w:r>
          </w:p>
        </w:tc>
        <w:tc>
          <w:tcPr>
            <w:tcW w:w="844" w:type="dxa"/>
            <w:vAlign w:val="center"/>
          </w:tcPr>
          <w:p w14:paraId="36BA2237">
            <w:pPr>
              <w:jc w:val="center"/>
              <w:rPr>
                <w:sz w:val="15"/>
                <w:szCs w:val="15"/>
              </w:rPr>
            </w:pPr>
            <w:r>
              <w:rPr>
                <w:sz w:val="15"/>
                <w:szCs w:val="15"/>
              </w:rPr>
              <w:t>0.00000</w:t>
            </w:r>
          </w:p>
        </w:tc>
        <w:tc>
          <w:tcPr>
            <w:tcW w:w="705" w:type="dxa"/>
            <w:vAlign w:val="center"/>
          </w:tcPr>
          <w:p w14:paraId="123058DD">
            <w:pPr>
              <w:jc w:val="center"/>
              <w:rPr>
                <w:sz w:val="15"/>
                <w:szCs w:val="15"/>
              </w:rPr>
            </w:pPr>
            <w:r>
              <w:rPr>
                <w:sz w:val="15"/>
                <w:szCs w:val="15"/>
              </w:rPr>
              <w:t>0.00000</w:t>
            </w:r>
          </w:p>
        </w:tc>
        <w:tc>
          <w:tcPr>
            <w:tcW w:w="705" w:type="dxa"/>
            <w:vAlign w:val="center"/>
          </w:tcPr>
          <w:p w14:paraId="486CA4F8">
            <w:pPr>
              <w:jc w:val="center"/>
              <w:rPr>
                <w:sz w:val="15"/>
                <w:szCs w:val="15"/>
              </w:rPr>
            </w:pPr>
            <w:r>
              <w:rPr>
                <w:sz w:val="15"/>
                <w:szCs w:val="15"/>
              </w:rPr>
              <w:t>0.00000</w:t>
            </w:r>
          </w:p>
        </w:tc>
        <w:tc>
          <w:tcPr>
            <w:tcW w:w="754" w:type="dxa"/>
            <w:vAlign w:val="center"/>
          </w:tcPr>
          <w:p w14:paraId="31A27EE4">
            <w:pPr>
              <w:jc w:val="center"/>
              <w:rPr>
                <w:sz w:val="15"/>
                <w:szCs w:val="15"/>
              </w:rPr>
            </w:pPr>
            <w:r>
              <w:rPr>
                <w:sz w:val="15"/>
                <w:szCs w:val="15"/>
              </w:rPr>
              <w:t>0.00000</w:t>
            </w:r>
          </w:p>
        </w:tc>
      </w:tr>
      <w:tr w14:paraId="644C6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 w:type="dxa"/>
            <w:vAlign w:val="center"/>
          </w:tcPr>
          <w:p w14:paraId="7C242C67">
            <w:pPr>
              <w:pStyle w:val="26"/>
              <w:widowControl w:val="0"/>
              <w:ind w:firstLine="0" w:firstLineChars="0"/>
              <w:rPr>
                <w:rFonts w:ascii="Times New Roman"/>
                <w:sz w:val="18"/>
                <w:szCs w:val="18"/>
              </w:rPr>
            </w:pPr>
            <w:r>
              <w:rPr>
                <w:rFonts w:ascii="Times New Roman"/>
                <w:sz w:val="18"/>
                <w:szCs w:val="18"/>
              </w:rPr>
              <w:t>9</w:t>
            </w:r>
          </w:p>
        </w:tc>
        <w:tc>
          <w:tcPr>
            <w:tcW w:w="629" w:type="dxa"/>
            <w:vAlign w:val="center"/>
          </w:tcPr>
          <w:p w14:paraId="186B6552">
            <w:pPr>
              <w:jc w:val="center"/>
              <w:rPr>
                <w:sz w:val="15"/>
                <w:szCs w:val="15"/>
              </w:rPr>
            </w:pPr>
            <w:r>
              <w:rPr>
                <w:sz w:val="15"/>
                <w:szCs w:val="15"/>
              </w:rPr>
              <w:t>0.3150</w:t>
            </w:r>
          </w:p>
        </w:tc>
        <w:tc>
          <w:tcPr>
            <w:tcW w:w="673" w:type="dxa"/>
            <w:vAlign w:val="center"/>
          </w:tcPr>
          <w:p w14:paraId="6B58EC3E">
            <w:pPr>
              <w:jc w:val="center"/>
              <w:rPr>
                <w:sz w:val="15"/>
                <w:szCs w:val="15"/>
              </w:rPr>
            </w:pPr>
            <w:r>
              <w:rPr>
                <w:sz w:val="15"/>
                <w:szCs w:val="15"/>
              </w:rPr>
              <w:t>0.2700</w:t>
            </w:r>
          </w:p>
        </w:tc>
        <w:tc>
          <w:tcPr>
            <w:tcW w:w="664" w:type="dxa"/>
            <w:vAlign w:val="center"/>
          </w:tcPr>
          <w:p w14:paraId="57C6713E">
            <w:pPr>
              <w:jc w:val="center"/>
              <w:rPr>
                <w:sz w:val="15"/>
                <w:szCs w:val="15"/>
              </w:rPr>
            </w:pPr>
            <w:r>
              <w:rPr>
                <w:sz w:val="15"/>
                <w:szCs w:val="15"/>
              </w:rPr>
              <w:t>0.3150</w:t>
            </w:r>
          </w:p>
        </w:tc>
        <w:tc>
          <w:tcPr>
            <w:tcW w:w="642" w:type="dxa"/>
            <w:vAlign w:val="center"/>
          </w:tcPr>
          <w:p w14:paraId="5835C2A9">
            <w:pPr>
              <w:jc w:val="center"/>
              <w:rPr>
                <w:sz w:val="15"/>
                <w:szCs w:val="15"/>
              </w:rPr>
            </w:pPr>
            <w:r>
              <w:rPr>
                <w:sz w:val="15"/>
                <w:szCs w:val="15"/>
              </w:rPr>
              <w:t>0.0000</w:t>
            </w:r>
          </w:p>
        </w:tc>
        <w:tc>
          <w:tcPr>
            <w:tcW w:w="630" w:type="dxa"/>
            <w:vAlign w:val="center"/>
          </w:tcPr>
          <w:p w14:paraId="5849EBD2">
            <w:pPr>
              <w:jc w:val="center"/>
              <w:rPr>
                <w:sz w:val="15"/>
                <w:szCs w:val="15"/>
              </w:rPr>
            </w:pPr>
            <w:r>
              <w:rPr>
                <w:sz w:val="15"/>
                <w:szCs w:val="15"/>
              </w:rPr>
              <w:t>0.0000</w:t>
            </w:r>
          </w:p>
        </w:tc>
        <w:tc>
          <w:tcPr>
            <w:tcW w:w="630" w:type="dxa"/>
            <w:vAlign w:val="center"/>
          </w:tcPr>
          <w:p w14:paraId="1A32B491">
            <w:pPr>
              <w:jc w:val="center"/>
              <w:rPr>
                <w:sz w:val="15"/>
                <w:szCs w:val="15"/>
              </w:rPr>
            </w:pPr>
            <w:r>
              <w:rPr>
                <w:sz w:val="15"/>
                <w:szCs w:val="15"/>
              </w:rPr>
              <w:t>0.0000</w:t>
            </w:r>
          </w:p>
        </w:tc>
        <w:tc>
          <w:tcPr>
            <w:tcW w:w="665" w:type="dxa"/>
            <w:vAlign w:val="center"/>
          </w:tcPr>
          <w:p w14:paraId="148545A3">
            <w:pPr>
              <w:jc w:val="center"/>
              <w:rPr>
                <w:sz w:val="15"/>
                <w:szCs w:val="15"/>
              </w:rPr>
            </w:pPr>
            <w:r>
              <w:rPr>
                <w:sz w:val="15"/>
                <w:szCs w:val="15"/>
              </w:rPr>
              <w:t>0.0000</w:t>
            </w:r>
          </w:p>
        </w:tc>
        <w:tc>
          <w:tcPr>
            <w:tcW w:w="630" w:type="dxa"/>
            <w:vAlign w:val="center"/>
          </w:tcPr>
          <w:p w14:paraId="58B6E145">
            <w:pPr>
              <w:jc w:val="center"/>
              <w:rPr>
                <w:sz w:val="15"/>
                <w:szCs w:val="15"/>
              </w:rPr>
            </w:pPr>
            <w:r>
              <w:rPr>
                <w:sz w:val="15"/>
                <w:szCs w:val="15"/>
              </w:rPr>
              <w:t>0.0000</w:t>
            </w:r>
          </w:p>
        </w:tc>
        <w:tc>
          <w:tcPr>
            <w:tcW w:w="642" w:type="dxa"/>
            <w:vAlign w:val="center"/>
          </w:tcPr>
          <w:p w14:paraId="1F613545">
            <w:pPr>
              <w:jc w:val="center"/>
              <w:rPr>
                <w:sz w:val="15"/>
                <w:szCs w:val="15"/>
              </w:rPr>
            </w:pPr>
            <w:r>
              <w:rPr>
                <w:sz w:val="15"/>
                <w:szCs w:val="15"/>
              </w:rPr>
              <w:t>0.0000</w:t>
            </w:r>
          </w:p>
        </w:tc>
        <w:tc>
          <w:tcPr>
            <w:tcW w:w="844" w:type="dxa"/>
            <w:vAlign w:val="center"/>
          </w:tcPr>
          <w:p w14:paraId="12C62AF3">
            <w:pPr>
              <w:jc w:val="center"/>
              <w:rPr>
                <w:sz w:val="15"/>
                <w:szCs w:val="15"/>
              </w:rPr>
            </w:pPr>
            <w:r>
              <w:rPr>
                <w:sz w:val="15"/>
                <w:szCs w:val="15"/>
              </w:rPr>
              <w:t>0.00000</w:t>
            </w:r>
          </w:p>
        </w:tc>
        <w:tc>
          <w:tcPr>
            <w:tcW w:w="705" w:type="dxa"/>
            <w:vAlign w:val="center"/>
          </w:tcPr>
          <w:p w14:paraId="6C6DC086">
            <w:pPr>
              <w:jc w:val="center"/>
              <w:rPr>
                <w:sz w:val="15"/>
                <w:szCs w:val="15"/>
              </w:rPr>
            </w:pPr>
            <w:r>
              <w:rPr>
                <w:sz w:val="15"/>
                <w:szCs w:val="15"/>
              </w:rPr>
              <w:t>0.00000</w:t>
            </w:r>
          </w:p>
        </w:tc>
        <w:tc>
          <w:tcPr>
            <w:tcW w:w="705" w:type="dxa"/>
            <w:vAlign w:val="center"/>
          </w:tcPr>
          <w:p w14:paraId="19A81ED2">
            <w:pPr>
              <w:jc w:val="center"/>
              <w:rPr>
                <w:sz w:val="15"/>
                <w:szCs w:val="15"/>
              </w:rPr>
            </w:pPr>
            <w:r>
              <w:rPr>
                <w:sz w:val="15"/>
                <w:szCs w:val="15"/>
              </w:rPr>
              <w:t>0.00000</w:t>
            </w:r>
          </w:p>
        </w:tc>
        <w:tc>
          <w:tcPr>
            <w:tcW w:w="754" w:type="dxa"/>
            <w:vAlign w:val="center"/>
          </w:tcPr>
          <w:p w14:paraId="0DD60679">
            <w:pPr>
              <w:jc w:val="center"/>
              <w:rPr>
                <w:sz w:val="15"/>
                <w:szCs w:val="15"/>
              </w:rPr>
            </w:pPr>
            <w:r>
              <w:rPr>
                <w:sz w:val="15"/>
                <w:szCs w:val="15"/>
              </w:rPr>
              <w:t>0.00000</w:t>
            </w:r>
          </w:p>
        </w:tc>
      </w:tr>
      <w:tr w14:paraId="359BE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 w:type="dxa"/>
            <w:vAlign w:val="center"/>
          </w:tcPr>
          <w:p w14:paraId="23A570C8">
            <w:pPr>
              <w:pStyle w:val="26"/>
              <w:widowControl w:val="0"/>
              <w:ind w:firstLine="0" w:firstLineChars="0"/>
              <w:rPr>
                <w:rFonts w:ascii="Times New Roman"/>
                <w:sz w:val="18"/>
                <w:szCs w:val="18"/>
              </w:rPr>
            </w:pPr>
            <w:r>
              <w:rPr>
                <w:rFonts w:ascii="Times New Roman"/>
                <w:sz w:val="18"/>
                <w:szCs w:val="18"/>
              </w:rPr>
              <w:t>10</w:t>
            </w:r>
          </w:p>
        </w:tc>
        <w:tc>
          <w:tcPr>
            <w:tcW w:w="629" w:type="dxa"/>
            <w:vAlign w:val="center"/>
          </w:tcPr>
          <w:p w14:paraId="4F9872E8">
            <w:pPr>
              <w:jc w:val="center"/>
              <w:rPr>
                <w:sz w:val="15"/>
                <w:szCs w:val="15"/>
              </w:rPr>
            </w:pPr>
            <w:r>
              <w:rPr>
                <w:sz w:val="15"/>
                <w:szCs w:val="15"/>
              </w:rPr>
              <w:t>0.1620</w:t>
            </w:r>
          </w:p>
        </w:tc>
        <w:tc>
          <w:tcPr>
            <w:tcW w:w="673" w:type="dxa"/>
            <w:vAlign w:val="center"/>
          </w:tcPr>
          <w:p w14:paraId="2E756FE5">
            <w:pPr>
              <w:jc w:val="center"/>
              <w:rPr>
                <w:sz w:val="15"/>
                <w:szCs w:val="15"/>
              </w:rPr>
            </w:pPr>
            <w:r>
              <w:rPr>
                <w:sz w:val="15"/>
                <w:szCs w:val="15"/>
              </w:rPr>
              <w:t>0.2160</w:t>
            </w:r>
          </w:p>
        </w:tc>
        <w:tc>
          <w:tcPr>
            <w:tcW w:w="664" w:type="dxa"/>
            <w:vAlign w:val="center"/>
          </w:tcPr>
          <w:p w14:paraId="55993FC3">
            <w:pPr>
              <w:jc w:val="center"/>
              <w:rPr>
                <w:sz w:val="15"/>
                <w:szCs w:val="15"/>
              </w:rPr>
            </w:pPr>
            <w:r>
              <w:rPr>
                <w:sz w:val="15"/>
                <w:szCs w:val="15"/>
              </w:rPr>
              <w:t>0.5220</w:t>
            </w:r>
          </w:p>
        </w:tc>
        <w:tc>
          <w:tcPr>
            <w:tcW w:w="642" w:type="dxa"/>
            <w:vAlign w:val="center"/>
          </w:tcPr>
          <w:p w14:paraId="5E7B0715">
            <w:pPr>
              <w:jc w:val="center"/>
              <w:rPr>
                <w:sz w:val="15"/>
                <w:szCs w:val="15"/>
              </w:rPr>
            </w:pPr>
            <w:r>
              <w:rPr>
                <w:sz w:val="15"/>
                <w:szCs w:val="15"/>
              </w:rPr>
              <w:t>0.0000</w:t>
            </w:r>
          </w:p>
        </w:tc>
        <w:tc>
          <w:tcPr>
            <w:tcW w:w="630" w:type="dxa"/>
            <w:vAlign w:val="center"/>
          </w:tcPr>
          <w:p w14:paraId="0D5DE198">
            <w:pPr>
              <w:jc w:val="center"/>
              <w:rPr>
                <w:sz w:val="15"/>
                <w:szCs w:val="15"/>
              </w:rPr>
            </w:pPr>
            <w:r>
              <w:rPr>
                <w:sz w:val="15"/>
                <w:szCs w:val="15"/>
              </w:rPr>
              <w:t>0.0000</w:t>
            </w:r>
          </w:p>
        </w:tc>
        <w:tc>
          <w:tcPr>
            <w:tcW w:w="630" w:type="dxa"/>
            <w:vAlign w:val="center"/>
          </w:tcPr>
          <w:p w14:paraId="4561503D">
            <w:pPr>
              <w:jc w:val="center"/>
              <w:rPr>
                <w:sz w:val="15"/>
                <w:szCs w:val="15"/>
              </w:rPr>
            </w:pPr>
            <w:r>
              <w:rPr>
                <w:sz w:val="15"/>
                <w:szCs w:val="15"/>
              </w:rPr>
              <w:t>0.0000</w:t>
            </w:r>
          </w:p>
        </w:tc>
        <w:tc>
          <w:tcPr>
            <w:tcW w:w="665" w:type="dxa"/>
            <w:vAlign w:val="center"/>
          </w:tcPr>
          <w:p w14:paraId="3F9DFDC8">
            <w:pPr>
              <w:jc w:val="center"/>
              <w:rPr>
                <w:sz w:val="15"/>
                <w:szCs w:val="15"/>
              </w:rPr>
            </w:pPr>
            <w:r>
              <w:rPr>
                <w:sz w:val="15"/>
                <w:szCs w:val="15"/>
              </w:rPr>
              <w:t>0.0000</w:t>
            </w:r>
          </w:p>
        </w:tc>
        <w:tc>
          <w:tcPr>
            <w:tcW w:w="630" w:type="dxa"/>
            <w:vAlign w:val="center"/>
          </w:tcPr>
          <w:p w14:paraId="1D09A731">
            <w:pPr>
              <w:jc w:val="center"/>
              <w:rPr>
                <w:sz w:val="15"/>
                <w:szCs w:val="15"/>
              </w:rPr>
            </w:pPr>
            <w:r>
              <w:rPr>
                <w:sz w:val="15"/>
                <w:szCs w:val="15"/>
              </w:rPr>
              <w:t>0.0000</w:t>
            </w:r>
          </w:p>
        </w:tc>
        <w:tc>
          <w:tcPr>
            <w:tcW w:w="642" w:type="dxa"/>
            <w:vAlign w:val="center"/>
          </w:tcPr>
          <w:p w14:paraId="4254F655">
            <w:pPr>
              <w:jc w:val="center"/>
              <w:rPr>
                <w:sz w:val="15"/>
                <w:szCs w:val="15"/>
              </w:rPr>
            </w:pPr>
            <w:r>
              <w:rPr>
                <w:sz w:val="15"/>
                <w:szCs w:val="15"/>
              </w:rPr>
              <w:t>0.0000</w:t>
            </w:r>
          </w:p>
        </w:tc>
        <w:tc>
          <w:tcPr>
            <w:tcW w:w="844" w:type="dxa"/>
            <w:vAlign w:val="center"/>
          </w:tcPr>
          <w:p w14:paraId="78031A53">
            <w:pPr>
              <w:jc w:val="center"/>
              <w:rPr>
                <w:sz w:val="15"/>
                <w:szCs w:val="15"/>
              </w:rPr>
            </w:pPr>
            <w:r>
              <w:rPr>
                <w:sz w:val="15"/>
                <w:szCs w:val="15"/>
              </w:rPr>
              <w:t>0.00000</w:t>
            </w:r>
          </w:p>
        </w:tc>
        <w:tc>
          <w:tcPr>
            <w:tcW w:w="705" w:type="dxa"/>
            <w:vAlign w:val="center"/>
          </w:tcPr>
          <w:p w14:paraId="55DB4FDD">
            <w:pPr>
              <w:jc w:val="center"/>
              <w:rPr>
                <w:sz w:val="15"/>
                <w:szCs w:val="15"/>
              </w:rPr>
            </w:pPr>
            <w:r>
              <w:rPr>
                <w:sz w:val="15"/>
                <w:szCs w:val="15"/>
              </w:rPr>
              <w:t>0.00000</w:t>
            </w:r>
          </w:p>
        </w:tc>
        <w:tc>
          <w:tcPr>
            <w:tcW w:w="705" w:type="dxa"/>
            <w:vAlign w:val="center"/>
          </w:tcPr>
          <w:p w14:paraId="68C38FE8">
            <w:pPr>
              <w:jc w:val="center"/>
              <w:rPr>
                <w:sz w:val="15"/>
                <w:szCs w:val="15"/>
              </w:rPr>
            </w:pPr>
            <w:r>
              <w:rPr>
                <w:sz w:val="15"/>
                <w:szCs w:val="15"/>
              </w:rPr>
              <w:t>0.00000</w:t>
            </w:r>
          </w:p>
        </w:tc>
        <w:tc>
          <w:tcPr>
            <w:tcW w:w="754" w:type="dxa"/>
            <w:vAlign w:val="center"/>
          </w:tcPr>
          <w:p w14:paraId="734E19B0">
            <w:pPr>
              <w:jc w:val="center"/>
              <w:rPr>
                <w:sz w:val="15"/>
                <w:szCs w:val="15"/>
              </w:rPr>
            </w:pPr>
            <w:r>
              <w:rPr>
                <w:sz w:val="15"/>
                <w:szCs w:val="15"/>
              </w:rPr>
              <w:t>0.00000</w:t>
            </w:r>
          </w:p>
        </w:tc>
      </w:tr>
      <w:tr w14:paraId="3605F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9" w:type="dxa"/>
            <w:gridSpan w:val="14"/>
            <w:vAlign w:val="center"/>
          </w:tcPr>
          <w:p w14:paraId="5D73A35C">
            <w:pPr>
              <w:jc w:val="left"/>
              <w:rPr>
                <w:sz w:val="18"/>
                <w:szCs w:val="18"/>
              </w:rPr>
            </w:pPr>
            <w:r>
              <w:rPr>
                <w:sz w:val="18"/>
                <w:szCs w:val="18"/>
              </w:rPr>
              <w:t>a列显示为依据表C.2</w:t>
            </w:r>
            <w:r>
              <w:rPr>
                <w:rFonts w:hint="eastAsia"/>
                <w:sz w:val="18"/>
                <w:szCs w:val="18"/>
              </w:rPr>
              <w:t xml:space="preserve"> </w:t>
            </w:r>
            <w:r>
              <w:rPr>
                <w:sz w:val="18"/>
                <w:szCs w:val="18"/>
              </w:rPr>
              <w:t>Ni</w:t>
            </w:r>
            <w:r>
              <w:rPr>
                <w:rFonts w:hint="eastAsia"/>
                <w:sz w:val="18"/>
                <w:szCs w:val="18"/>
                <w:lang w:val="en-US" w:eastAsia="zh-CN"/>
              </w:rPr>
              <w:t>(</w:t>
            </w:r>
            <w:r>
              <w:rPr>
                <w:sz w:val="18"/>
                <w:szCs w:val="18"/>
              </w:rPr>
              <w:t>O</w:t>
            </w:r>
            <w:r>
              <w:rPr>
                <w:rFonts w:hint="eastAsia"/>
                <w:sz w:val="18"/>
                <w:szCs w:val="18"/>
                <w:lang w:val="en-US" w:eastAsia="zh-CN"/>
              </w:rPr>
              <w:t>H)</w:t>
            </w:r>
            <w:r>
              <w:rPr>
                <w:rFonts w:hint="eastAsia"/>
                <w:sz w:val="18"/>
                <w:szCs w:val="18"/>
                <w:vertAlign w:val="subscript"/>
                <w:lang w:val="en-US" w:eastAsia="zh-CN"/>
              </w:rPr>
              <w:t>2</w:t>
            </w:r>
            <w:r>
              <w:rPr>
                <w:sz w:val="18"/>
                <w:szCs w:val="18"/>
              </w:rPr>
              <w:t>形式所对应的</w:t>
            </w:r>
            <w:r>
              <w:rPr>
                <w:rFonts w:hint="eastAsia"/>
                <w:sz w:val="18"/>
                <w:szCs w:val="18"/>
                <w:lang w:val="en-US" w:eastAsia="zh-CN"/>
              </w:rPr>
              <w:t>氢</w:t>
            </w:r>
            <w:r>
              <w:rPr>
                <w:sz w:val="18"/>
                <w:szCs w:val="18"/>
              </w:rPr>
              <w:t>氧化物质量换算为N</w:t>
            </w:r>
            <w:r>
              <w:rPr>
                <w:rFonts w:hint="eastAsia"/>
                <w:sz w:val="18"/>
                <w:szCs w:val="18"/>
                <w:lang w:val="en-US" w:eastAsia="zh-CN"/>
              </w:rPr>
              <w:t>iO</w:t>
            </w:r>
            <w:r>
              <w:rPr>
                <w:sz w:val="18"/>
                <w:szCs w:val="18"/>
              </w:rPr>
              <w:t>的实际称取质量，换算系数为</w:t>
            </w:r>
            <w:r>
              <w:rPr>
                <w:rFonts w:hint="eastAsia"/>
                <w:sz w:val="18"/>
                <w:szCs w:val="18"/>
                <w:lang w:val="en-US" w:eastAsia="zh-CN"/>
              </w:rPr>
              <w:t>0.8057</w:t>
            </w:r>
            <w:r>
              <w:rPr>
                <w:sz w:val="18"/>
                <w:szCs w:val="18"/>
              </w:rPr>
              <w:t>。</w:t>
            </w:r>
          </w:p>
          <w:p w14:paraId="11699670">
            <w:pPr>
              <w:jc w:val="left"/>
              <w:rPr>
                <w:sz w:val="18"/>
                <w:szCs w:val="18"/>
              </w:rPr>
            </w:pPr>
            <w:r>
              <w:rPr>
                <w:rFonts w:hint="eastAsia"/>
                <w:sz w:val="18"/>
                <w:szCs w:val="18"/>
                <w:lang w:val="en-US" w:eastAsia="zh-CN"/>
              </w:rPr>
              <w:t>b</w:t>
            </w:r>
            <w:r>
              <w:rPr>
                <w:sz w:val="18"/>
                <w:szCs w:val="18"/>
              </w:rPr>
              <w:t>列显示为依据表C.2</w:t>
            </w:r>
            <w:r>
              <w:rPr>
                <w:rFonts w:hint="eastAsia"/>
                <w:sz w:val="18"/>
                <w:szCs w:val="18"/>
                <w:lang w:val="en-US" w:eastAsia="zh-CN"/>
              </w:rPr>
              <w:t xml:space="preserve"> Co(</w:t>
            </w:r>
            <w:r>
              <w:rPr>
                <w:sz w:val="18"/>
                <w:szCs w:val="18"/>
              </w:rPr>
              <w:t>O</w:t>
            </w:r>
            <w:r>
              <w:rPr>
                <w:rFonts w:hint="eastAsia"/>
                <w:sz w:val="18"/>
                <w:szCs w:val="18"/>
                <w:lang w:val="en-US" w:eastAsia="zh-CN"/>
              </w:rPr>
              <w:t>H)</w:t>
            </w:r>
            <w:r>
              <w:rPr>
                <w:rFonts w:hint="eastAsia"/>
                <w:sz w:val="18"/>
                <w:szCs w:val="18"/>
                <w:vertAlign w:val="subscript"/>
                <w:lang w:val="en-US" w:eastAsia="zh-CN"/>
              </w:rPr>
              <w:t>2</w:t>
            </w:r>
            <w:r>
              <w:rPr>
                <w:sz w:val="18"/>
                <w:szCs w:val="18"/>
              </w:rPr>
              <w:t>形式所对应的</w:t>
            </w:r>
            <w:r>
              <w:rPr>
                <w:rFonts w:hint="eastAsia"/>
                <w:sz w:val="18"/>
                <w:szCs w:val="18"/>
                <w:lang w:val="en-US" w:eastAsia="zh-CN"/>
              </w:rPr>
              <w:t>氢</w:t>
            </w:r>
            <w:r>
              <w:rPr>
                <w:sz w:val="18"/>
                <w:szCs w:val="18"/>
              </w:rPr>
              <w:t>氧化物质量换算为</w:t>
            </w:r>
            <w:r>
              <w:rPr>
                <w:rFonts w:hint="eastAsia"/>
                <w:sz w:val="18"/>
                <w:szCs w:val="18"/>
                <w:lang w:val="en-US" w:eastAsia="zh-CN"/>
              </w:rPr>
              <w:t>Co</w:t>
            </w:r>
            <w:r>
              <w:rPr>
                <w:rFonts w:hint="eastAsia"/>
                <w:sz w:val="18"/>
                <w:szCs w:val="18"/>
                <w:vertAlign w:val="subscript"/>
                <w:lang w:val="en-US" w:eastAsia="zh-CN"/>
              </w:rPr>
              <w:t>3</w:t>
            </w:r>
            <w:r>
              <w:rPr>
                <w:rFonts w:hint="eastAsia"/>
                <w:sz w:val="18"/>
                <w:szCs w:val="18"/>
                <w:lang w:val="en-US" w:eastAsia="zh-CN"/>
              </w:rPr>
              <w:t>O</w:t>
            </w:r>
            <w:r>
              <w:rPr>
                <w:rFonts w:hint="eastAsia"/>
                <w:sz w:val="18"/>
                <w:szCs w:val="18"/>
                <w:vertAlign w:val="subscript"/>
                <w:lang w:val="en-US" w:eastAsia="zh-CN"/>
              </w:rPr>
              <w:t>4</w:t>
            </w:r>
            <w:r>
              <w:rPr>
                <w:sz w:val="18"/>
                <w:szCs w:val="18"/>
              </w:rPr>
              <w:t>的实际称取质量，换算系数为</w:t>
            </w:r>
            <w:r>
              <w:rPr>
                <w:rFonts w:hint="eastAsia"/>
                <w:sz w:val="18"/>
                <w:szCs w:val="18"/>
                <w:lang w:val="en-US" w:eastAsia="zh-CN"/>
              </w:rPr>
              <w:t>2.5906</w:t>
            </w:r>
            <w:r>
              <w:rPr>
                <w:sz w:val="18"/>
                <w:szCs w:val="18"/>
              </w:rPr>
              <w:t>。</w:t>
            </w:r>
          </w:p>
          <w:p w14:paraId="3003853F">
            <w:pPr>
              <w:jc w:val="left"/>
              <w:rPr>
                <w:sz w:val="18"/>
                <w:szCs w:val="18"/>
              </w:rPr>
            </w:pPr>
            <w:r>
              <w:rPr>
                <w:rFonts w:hint="eastAsia"/>
                <w:sz w:val="18"/>
                <w:szCs w:val="18"/>
                <w:lang w:val="en-US" w:eastAsia="zh-CN"/>
              </w:rPr>
              <w:t>c</w:t>
            </w:r>
            <w:r>
              <w:rPr>
                <w:sz w:val="18"/>
                <w:szCs w:val="18"/>
              </w:rPr>
              <w:t>列显示为依据表C.2</w:t>
            </w:r>
            <w:r>
              <w:rPr>
                <w:rFonts w:hint="eastAsia"/>
                <w:sz w:val="18"/>
                <w:szCs w:val="18"/>
                <w:lang w:val="en-US" w:eastAsia="zh-CN"/>
              </w:rPr>
              <w:t>Mn(</w:t>
            </w:r>
            <w:r>
              <w:rPr>
                <w:sz w:val="18"/>
                <w:szCs w:val="18"/>
              </w:rPr>
              <w:t>O</w:t>
            </w:r>
            <w:r>
              <w:rPr>
                <w:rFonts w:hint="eastAsia"/>
                <w:sz w:val="18"/>
                <w:szCs w:val="18"/>
                <w:lang w:val="en-US" w:eastAsia="zh-CN"/>
              </w:rPr>
              <w:t>H)</w:t>
            </w:r>
            <w:r>
              <w:rPr>
                <w:rFonts w:hint="eastAsia"/>
                <w:sz w:val="18"/>
                <w:szCs w:val="18"/>
                <w:vertAlign w:val="subscript"/>
                <w:lang w:val="en-US" w:eastAsia="zh-CN"/>
              </w:rPr>
              <w:t>2</w:t>
            </w:r>
            <w:r>
              <w:rPr>
                <w:sz w:val="18"/>
                <w:szCs w:val="18"/>
              </w:rPr>
              <w:t>形式所对应的</w:t>
            </w:r>
            <w:r>
              <w:rPr>
                <w:rFonts w:hint="eastAsia"/>
                <w:sz w:val="18"/>
                <w:szCs w:val="18"/>
                <w:lang w:val="en-US" w:eastAsia="zh-CN"/>
              </w:rPr>
              <w:t>氢</w:t>
            </w:r>
            <w:r>
              <w:rPr>
                <w:sz w:val="18"/>
                <w:szCs w:val="18"/>
              </w:rPr>
              <w:t>氧化物质量换算为</w:t>
            </w:r>
            <w:r>
              <w:rPr>
                <w:rFonts w:hint="eastAsia"/>
                <w:sz w:val="18"/>
                <w:szCs w:val="18"/>
                <w:lang w:val="en-US" w:eastAsia="zh-CN"/>
              </w:rPr>
              <w:t>MnO</w:t>
            </w:r>
            <w:r>
              <w:rPr>
                <w:rFonts w:hint="eastAsia"/>
                <w:sz w:val="18"/>
                <w:szCs w:val="18"/>
                <w:vertAlign w:val="subscript"/>
                <w:lang w:val="en-US" w:eastAsia="zh-CN"/>
              </w:rPr>
              <w:t>2</w:t>
            </w:r>
            <w:r>
              <w:rPr>
                <w:sz w:val="18"/>
                <w:szCs w:val="18"/>
              </w:rPr>
              <w:t>的实际称取质量，换算系数为</w:t>
            </w:r>
            <w:r>
              <w:rPr>
                <w:rFonts w:hint="eastAsia"/>
                <w:sz w:val="18"/>
                <w:szCs w:val="18"/>
                <w:lang w:val="en-US" w:eastAsia="zh-CN"/>
              </w:rPr>
              <w:t>0.9773</w:t>
            </w:r>
            <w:r>
              <w:rPr>
                <w:sz w:val="18"/>
                <w:szCs w:val="18"/>
              </w:rPr>
              <w:t>。</w:t>
            </w:r>
          </w:p>
          <w:p w14:paraId="1D8449FF">
            <w:pPr>
              <w:jc w:val="left"/>
              <w:rPr>
                <w:sz w:val="18"/>
                <w:szCs w:val="18"/>
              </w:rPr>
            </w:pPr>
            <w:r>
              <w:rPr>
                <w:rFonts w:hint="eastAsia"/>
                <w:sz w:val="18"/>
                <w:szCs w:val="18"/>
                <w:lang w:val="en-US" w:eastAsia="zh-CN"/>
              </w:rPr>
              <w:t>d</w:t>
            </w:r>
            <w:r>
              <w:rPr>
                <w:sz w:val="18"/>
                <w:szCs w:val="18"/>
              </w:rPr>
              <w:t>列显示为依据表C.2</w:t>
            </w:r>
            <w:r>
              <w:rPr>
                <w:rFonts w:hint="eastAsia"/>
                <w:sz w:val="18"/>
                <w:szCs w:val="18"/>
              </w:rPr>
              <w:t xml:space="preserve"> </w:t>
            </w:r>
            <w:r>
              <w:rPr>
                <w:sz w:val="18"/>
                <w:szCs w:val="18"/>
              </w:rPr>
              <w:t>Na</w:t>
            </w:r>
            <w:r>
              <w:rPr>
                <w:rFonts w:hint="eastAsia"/>
                <w:sz w:val="18"/>
                <w:szCs w:val="18"/>
                <w:vertAlign w:val="subscript"/>
                <w:lang w:val="en-US" w:eastAsia="zh-CN"/>
              </w:rPr>
              <w:t>2</w:t>
            </w:r>
            <w:r>
              <w:rPr>
                <w:sz w:val="18"/>
                <w:szCs w:val="18"/>
              </w:rPr>
              <w:t>O形式所对应的</w:t>
            </w:r>
            <w:r>
              <w:rPr>
                <w:rFonts w:hint="eastAsia"/>
                <w:sz w:val="18"/>
                <w:szCs w:val="18"/>
                <w:lang w:val="en-US" w:eastAsia="zh-CN"/>
              </w:rPr>
              <w:t>氧化物</w:t>
            </w:r>
            <w:r>
              <w:rPr>
                <w:sz w:val="18"/>
                <w:szCs w:val="18"/>
              </w:rPr>
              <w:t>质量换算为N</w:t>
            </w:r>
            <w:r>
              <w:rPr>
                <w:rFonts w:hint="eastAsia"/>
                <w:sz w:val="18"/>
                <w:szCs w:val="18"/>
                <w:lang w:val="en-US" w:eastAsia="zh-CN"/>
              </w:rPr>
              <w:t>i</w:t>
            </w:r>
            <w:r>
              <w:rPr>
                <w:rFonts w:hint="eastAsia"/>
                <w:sz w:val="18"/>
                <w:szCs w:val="18"/>
                <w:vertAlign w:val="subscript"/>
                <w:lang w:val="en-US" w:eastAsia="zh-CN"/>
              </w:rPr>
              <w:t>2</w:t>
            </w:r>
            <w:r>
              <w:rPr>
                <w:rFonts w:hint="eastAsia"/>
                <w:sz w:val="18"/>
                <w:szCs w:val="18"/>
                <w:lang w:val="en-US" w:eastAsia="zh-CN"/>
              </w:rPr>
              <w:t>CO</w:t>
            </w:r>
            <w:r>
              <w:rPr>
                <w:rFonts w:hint="eastAsia"/>
                <w:sz w:val="18"/>
                <w:szCs w:val="18"/>
                <w:vertAlign w:val="subscript"/>
                <w:lang w:val="en-US" w:eastAsia="zh-CN"/>
              </w:rPr>
              <w:t>3</w:t>
            </w:r>
            <w:r>
              <w:rPr>
                <w:sz w:val="18"/>
                <w:szCs w:val="18"/>
              </w:rPr>
              <w:t>的实际称取质量，换算系数为1.7097。</w:t>
            </w:r>
          </w:p>
        </w:tc>
      </w:tr>
    </w:tbl>
    <w:p w14:paraId="68B7F44F">
      <w:pPr>
        <w:pStyle w:val="26"/>
        <w:ind w:firstLine="420"/>
        <w:rPr>
          <w:rFonts w:hint="eastAsia" w:hAnsi="宋体"/>
        </w:rPr>
      </w:pPr>
    </w:p>
    <w:p w14:paraId="3BF90E4D">
      <w:pPr>
        <w:pStyle w:val="26"/>
        <w:ind w:firstLine="420"/>
        <w:jc w:val="center"/>
        <w:rPr>
          <w:rFonts w:hint="eastAsia" w:ascii="黑体" w:hAnsi="黑体" w:eastAsia="黑体"/>
        </w:rPr>
      </w:pPr>
      <w:r>
        <w:rPr>
          <w:rFonts w:hint="eastAsia" w:ascii="黑体" w:hAnsi="黑体" w:eastAsia="黑体"/>
        </w:rPr>
        <w:t>C.2 推荐的校准曲线中标准样品各组分氧化物的百分含量</w:t>
      </w:r>
    </w:p>
    <w:p w14:paraId="2C75EC3A">
      <w:pPr>
        <w:pStyle w:val="26"/>
        <w:ind w:firstLine="360"/>
        <w:jc w:val="right"/>
        <w:rPr>
          <w:rFonts w:hint="eastAsia" w:hAnsi="宋体"/>
          <w:sz w:val="18"/>
          <w:szCs w:val="18"/>
        </w:rPr>
      </w:pPr>
      <w:r>
        <w:rPr>
          <w:rFonts w:hint="eastAsia" w:hAnsi="宋体"/>
          <w:sz w:val="18"/>
          <w:szCs w:val="18"/>
        </w:rPr>
        <w:t>（%，质量分数）</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
        <w:gridCol w:w="886"/>
        <w:gridCol w:w="903"/>
        <w:gridCol w:w="962"/>
        <w:gridCol w:w="642"/>
        <w:gridCol w:w="579"/>
        <w:gridCol w:w="608"/>
        <w:gridCol w:w="665"/>
        <w:gridCol w:w="591"/>
        <w:gridCol w:w="642"/>
        <w:gridCol w:w="640"/>
        <w:gridCol w:w="598"/>
        <w:gridCol w:w="590"/>
        <w:gridCol w:w="584"/>
      </w:tblGrid>
      <w:tr w14:paraId="30D91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dxa"/>
          </w:tcPr>
          <w:p w14:paraId="371CCEB5">
            <w:pPr>
              <w:pStyle w:val="26"/>
              <w:widowControl w:val="0"/>
              <w:ind w:firstLine="0" w:firstLineChars="0"/>
              <w:rPr>
                <w:rFonts w:hint="eastAsia" w:hAnsi="宋体"/>
                <w:sz w:val="18"/>
                <w:szCs w:val="18"/>
              </w:rPr>
            </w:pPr>
            <w:r>
              <w:rPr>
                <w:rFonts w:hint="eastAsia" w:hAnsi="宋体"/>
                <w:sz w:val="18"/>
                <w:szCs w:val="18"/>
              </w:rPr>
              <w:t>序号</w:t>
            </w:r>
          </w:p>
        </w:tc>
        <w:tc>
          <w:tcPr>
            <w:tcW w:w="636" w:type="dxa"/>
            <w:vAlign w:val="center"/>
          </w:tcPr>
          <w:p w14:paraId="4030090C">
            <w:pPr>
              <w:widowControl/>
              <w:jc w:val="center"/>
              <w:rPr>
                <w:rFonts w:hint="default"/>
                <w:kern w:val="0"/>
                <w:sz w:val="18"/>
                <w:szCs w:val="18"/>
                <w:lang w:val="en-US"/>
              </w:rPr>
            </w:pPr>
            <w:r>
              <w:rPr>
                <w:sz w:val="18"/>
                <w:szCs w:val="18"/>
              </w:rPr>
              <w:t>Ni</w:t>
            </w:r>
            <w:r>
              <w:rPr>
                <w:rFonts w:hint="eastAsia"/>
                <w:sz w:val="18"/>
                <w:szCs w:val="18"/>
                <w:lang w:val="en-US" w:eastAsia="zh-CN"/>
              </w:rPr>
              <w:t>(</w:t>
            </w:r>
            <w:r>
              <w:rPr>
                <w:sz w:val="18"/>
                <w:szCs w:val="18"/>
              </w:rPr>
              <w:t>O</w:t>
            </w:r>
            <w:r>
              <w:rPr>
                <w:rFonts w:hint="eastAsia"/>
                <w:sz w:val="18"/>
                <w:szCs w:val="18"/>
                <w:lang w:val="en-US" w:eastAsia="zh-CN"/>
              </w:rPr>
              <w:t>H)</w:t>
            </w:r>
            <w:r>
              <w:rPr>
                <w:rFonts w:hint="eastAsia"/>
                <w:sz w:val="18"/>
                <w:szCs w:val="18"/>
                <w:vertAlign w:val="subscript"/>
                <w:lang w:val="en-US" w:eastAsia="zh-CN"/>
              </w:rPr>
              <w:t>2</w:t>
            </w:r>
            <w:r>
              <w:rPr>
                <w:rFonts w:hint="eastAsia"/>
                <w:sz w:val="18"/>
                <w:szCs w:val="18"/>
                <w:vertAlign w:val="superscript"/>
                <w:lang w:val="en-US" w:eastAsia="zh-CN"/>
              </w:rPr>
              <w:t>e</w:t>
            </w:r>
          </w:p>
        </w:tc>
        <w:tc>
          <w:tcPr>
            <w:tcW w:w="659" w:type="dxa"/>
            <w:vAlign w:val="center"/>
          </w:tcPr>
          <w:p w14:paraId="68D625D1">
            <w:pPr>
              <w:jc w:val="center"/>
              <w:rPr>
                <w:rFonts w:hint="default"/>
                <w:sz w:val="18"/>
                <w:szCs w:val="18"/>
                <w:lang w:val="en-US"/>
              </w:rPr>
            </w:pPr>
            <w:r>
              <w:rPr>
                <w:sz w:val="18"/>
                <w:szCs w:val="18"/>
              </w:rPr>
              <w:t>Co</w:t>
            </w:r>
            <w:r>
              <w:rPr>
                <w:rFonts w:hint="eastAsia"/>
                <w:sz w:val="18"/>
                <w:szCs w:val="18"/>
                <w:lang w:val="en-US" w:eastAsia="zh-CN"/>
              </w:rPr>
              <w:t>(</w:t>
            </w:r>
            <w:r>
              <w:rPr>
                <w:sz w:val="18"/>
                <w:szCs w:val="18"/>
              </w:rPr>
              <w:t>O</w:t>
            </w:r>
            <w:r>
              <w:rPr>
                <w:rFonts w:hint="eastAsia"/>
                <w:sz w:val="18"/>
                <w:szCs w:val="18"/>
                <w:lang w:val="en-US" w:eastAsia="zh-CN"/>
              </w:rPr>
              <w:t>H)</w:t>
            </w:r>
            <w:r>
              <w:rPr>
                <w:rFonts w:hint="eastAsia"/>
                <w:sz w:val="18"/>
                <w:szCs w:val="18"/>
                <w:vertAlign w:val="subscript"/>
                <w:lang w:val="en-US" w:eastAsia="zh-CN"/>
              </w:rPr>
              <w:t>2</w:t>
            </w:r>
            <w:r>
              <w:rPr>
                <w:rFonts w:hint="eastAsia"/>
                <w:sz w:val="18"/>
                <w:szCs w:val="18"/>
                <w:vertAlign w:val="superscript"/>
                <w:lang w:val="en-US" w:eastAsia="zh-CN"/>
              </w:rPr>
              <w:t>f</w:t>
            </w:r>
          </w:p>
        </w:tc>
        <w:tc>
          <w:tcPr>
            <w:tcW w:w="693" w:type="dxa"/>
            <w:vAlign w:val="center"/>
          </w:tcPr>
          <w:p w14:paraId="4C3806EE">
            <w:pPr>
              <w:jc w:val="center"/>
              <w:rPr>
                <w:rFonts w:hint="default"/>
                <w:sz w:val="18"/>
                <w:szCs w:val="18"/>
                <w:lang w:val="en-US"/>
              </w:rPr>
            </w:pPr>
            <w:r>
              <w:rPr>
                <w:sz w:val="18"/>
                <w:szCs w:val="18"/>
              </w:rPr>
              <w:t>Mn</w:t>
            </w:r>
            <w:r>
              <w:rPr>
                <w:rFonts w:hint="eastAsia"/>
                <w:sz w:val="18"/>
                <w:szCs w:val="18"/>
                <w:lang w:val="en-US" w:eastAsia="zh-CN"/>
              </w:rPr>
              <w:t>(</w:t>
            </w:r>
            <w:r>
              <w:rPr>
                <w:sz w:val="18"/>
                <w:szCs w:val="18"/>
              </w:rPr>
              <w:t>O</w:t>
            </w:r>
            <w:r>
              <w:rPr>
                <w:rFonts w:hint="eastAsia"/>
                <w:sz w:val="18"/>
                <w:szCs w:val="18"/>
                <w:lang w:val="en-US" w:eastAsia="zh-CN"/>
              </w:rPr>
              <w:t>H)</w:t>
            </w:r>
            <w:r>
              <w:rPr>
                <w:rFonts w:hint="eastAsia"/>
                <w:sz w:val="18"/>
                <w:szCs w:val="18"/>
                <w:vertAlign w:val="subscript"/>
                <w:lang w:val="en-US" w:eastAsia="zh-CN"/>
              </w:rPr>
              <w:t>2</w:t>
            </w:r>
            <w:r>
              <w:rPr>
                <w:rFonts w:hint="eastAsia"/>
                <w:sz w:val="18"/>
                <w:szCs w:val="18"/>
                <w:vertAlign w:val="superscript"/>
                <w:lang w:val="en-US" w:eastAsia="zh-CN"/>
              </w:rPr>
              <w:t>g</w:t>
            </w:r>
          </w:p>
        </w:tc>
        <w:tc>
          <w:tcPr>
            <w:tcW w:w="637" w:type="dxa"/>
            <w:vAlign w:val="center"/>
          </w:tcPr>
          <w:p w14:paraId="2735BB5B">
            <w:pPr>
              <w:jc w:val="center"/>
              <w:rPr>
                <w:sz w:val="18"/>
                <w:szCs w:val="18"/>
              </w:rPr>
            </w:pPr>
            <w:r>
              <w:rPr>
                <w:sz w:val="18"/>
                <w:szCs w:val="18"/>
              </w:rPr>
              <w:t>Al</w:t>
            </w:r>
            <w:r>
              <w:rPr>
                <w:sz w:val="18"/>
                <w:szCs w:val="18"/>
                <w:vertAlign w:val="subscript"/>
              </w:rPr>
              <w:t>2</w:t>
            </w:r>
            <w:r>
              <w:rPr>
                <w:sz w:val="18"/>
                <w:szCs w:val="18"/>
              </w:rPr>
              <w:t>O</w:t>
            </w:r>
            <w:r>
              <w:rPr>
                <w:sz w:val="18"/>
                <w:szCs w:val="18"/>
                <w:vertAlign w:val="subscript"/>
              </w:rPr>
              <w:t>3</w:t>
            </w:r>
          </w:p>
        </w:tc>
        <w:tc>
          <w:tcPr>
            <w:tcW w:w="637" w:type="dxa"/>
            <w:vAlign w:val="center"/>
          </w:tcPr>
          <w:p w14:paraId="2E806360">
            <w:pPr>
              <w:jc w:val="center"/>
              <w:rPr>
                <w:sz w:val="18"/>
                <w:szCs w:val="18"/>
              </w:rPr>
            </w:pPr>
            <w:r>
              <w:rPr>
                <w:sz w:val="18"/>
                <w:szCs w:val="18"/>
              </w:rPr>
              <w:t>TiO</w:t>
            </w:r>
            <w:r>
              <w:rPr>
                <w:sz w:val="18"/>
                <w:szCs w:val="18"/>
                <w:vertAlign w:val="subscript"/>
              </w:rPr>
              <w:t>2</w:t>
            </w:r>
          </w:p>
        </w:tc>
        <w:tc>
          <w:tcPr>
            <w:tcW w:w="637" w:type="dxa"/>
            <w:vAlign w:val="center"/>
          </w:tcPr>
          <w:p w14:paraId="26A35901">
            <w:pPr>
              <w:jc w:val="center"/>
              <w:rPr>
                <w:sz w:val="18"/>
                <w:szCs w:val="18"/>
              </w:rPr>
            </w:pPr>
            <w:r>
              <w:rPr>
                <w:sz w:val="18"/>
                <w:szCs w:val="18"/>
              </w:rPr>
              <w:t>MgO</w:t>
            </w:r>
          </w:p>
        </w:tc>
        <w:tc>
          <w:tcPr>
            <w:tcW w:w="637" w:type="dxa"/>
            <w:vAlign w:val="center"/>
          </w:tcPr>
          <w:p w14:paraId="64C27499">
            <w:pPr>
              <w:jc w:val="center"/>
              <w:rPr>
                <w:sz w:val="18"/>
                <w:szCs w:val="18"/>
              </w:rPr>
            </w:pPr>
            <w:r>
              <w:rPr>
                <w:sz w:val="18"/>
                <w:szCs w:val="18"/>
              </w:rPr>
              <w:t>SrSO</w:t>
            </w:r>
            <w:r>
              <w:rPr>
                <w:sz w:val="18"/>
                <w:szCs w:val="18"/>
                <w:vertAlign w:val="subscript"/>
              </w:rPr>
              <w:t>4</w:t>
            </w:r>
          </w:p>
        </w:tc>
        <w:tc>
          <w:tcPr>
            <w:tcW w:w="637" w:type="dxa"/>
            <w:vAlign w:val="center"/>
          </w:tcPr>
          <w:p w14:paraId="56A2798A">
            <w:pPr>
              <w:jc w:val="center"/>
              <w:rPr>
                <w:sz w:val="18"/>
                <w:szCs w:val="18"/>
              </w:rPr>
            </w:pPr>
            <w:r>
              <w:rPr>
                <w:sz w:val="18"/>
                <w:szCs w:val="18"/>
              </w:rPr>
              <w:t>ZrO</w:t>
            </w:r>
            <w:r>
              <w:rPr>
                <w:sz w:val="18"/>
                <w:szCs w:val="18"/>
                <w:vertAlign w:val="subscript"/>
              </w:rPr>
              <w:t>2</w:t>
            </w:r>
          </w:p>
        </w:tc>
        <w:tc>
          <w:tcPr>
            <w:tcW w:w="637" w:type="dxa"/>
            <w:vAlign w:val="center"/>
          </w:tcPr>
          <w:p w14:paraId="27A40FB7">
            <w:pPr>
              <w:jc w:val="center"/>
              <w:rPr>
                <w:sz w:val="18"/>
                <w:szCs w:val="18"/>
              </w:rPr>
            </w:pPr>
            <w:r>
              <w:rPr>
                <w:sz w:val="18"/>
                <w:szCs w:val="18"/>
              </w:rPr>
              <w:t>Fe</w:t>
            </w:r>
            <w:r>
              <w:rPr>
                <w:sz w:val="18"/>
                <w:szCs w:val="18"/>
                <w:vertAlign w:val="subscript"/>
              </w:rPr>
              <w:t>2</w:t>
            </w:r>
            <w:r>
              <w:rPr>
                <w:sz w:val="18"/>
                <w:szCs w:val="18"/>
              </w:rPr>
              <w:t>O</w:t>
            </w:r>
            <w:r>
              <w:rPr>
                <w:sz w:val="18"/>
                <w:szCs w:val="18"/>
                <w:vertAlign w:val="subscript"/>
              </w:rPr>
              <w:t>3</w:t>
            </w:r>
          </w:p>
        </w:tc>
        <w:tc>
          <w:tcPr>
            <w:tcW w:w="714" w:type="dxa"/>
            <w:vAlign w:val="center"/>
          </w:tcPr>
          <w:p w14:paraId="6FD30A17">
            <w:pPr>
              <w:jc w:val="center"/>
              <w:rPr>
                <w:sz w:val="18"/>
                <w:szCs w:val="18"/>
              </w:rPr>
            </w:pPr>
            <w:r>
              <w:rPr>
                <w:sz w:val="18"/>
                <w:szCs w:val="18"/>
              </w:rPr>
              <w:t>Na</w:t>
            </w:r>
            <w:r>
              <w:rPr>
                <w:sz w:val="18"/>
                <w:szCs w:val="18"/>
                <w:vertAlign w:val="subscript"/>
              </w:rPr>
              <w:t>2</w:t>
            </w:r>
            <w:r>
              <w:rPr>
                <w:sz w:val="18"/>
                <w:szCs w:val="18"/>
              </w:rPr>
              <w:t>O</w:t>
            </w:r>
          </w:p>
        </w:tc>
        <w:tc>
          <w:tcPr>
            <w:tcW w:w="714" w:type="dxa"/>
            <w:vAlign w:val="center"/>
          </w:tcPr>
          <w:p w14:paraId="5FC1C5D2">
            <w:pPr>
              <w:jc w:val="center"/>
              <w:rPr>
                <w:sz w:val="18"/>
                <w:szCs w:val="18"/>
              </w:rPr>
            </w:pPr>
            <w:r>
              <w:rPr>
                <w:sz w:val="18"/>
                <w:szCs w:val="18"/>
              </w:rPr>
              <w:t>CuO</w:t>
            </w:r>
          </w:p>
        </w:tc>
        <w:tc>
          <w:tcPr>
            <w:tcW w:w="714" w:type="dxa"/>
            <w:vAlign w:val="center"/>
          </w:tcPr>
          <w:p w14:paraId="56A5ED39">
            <w:pPr>
              <w:jc w:val="center"/>
              <w:rPr>
                <w:sz w:val="18"/>
                <w:szCs w:val="18"/>
              </w:rPr>
            </w:pPr>
            <w:r>
              <w:rPr>
                <w:sz w:val="18"/>
                <w:szCs w:val="18"/>
              </w:rPr>
              <w:t>ZnO</w:t>
            </w:r>
          </w:p>
        </w:tc>
        <w:tc>
          <w:tcPr>
            <w:tcW w:w="714" w:type="dxa"/>
            <w:vAlign w:val="center"/>
          </w:tcPr>
          <w:p w14:paraId="7CECAD84">
            <w:pPr>
              <w:jc w:val="center"/>
              <w:rPr>
                <w:sz w:val="18"/>
                <w:szCs w:val="18"/>
              </w:rPr>
            </w:pPr>
            <w:r>
              <w:rPr>
                <w:sz w:val="18"/>
                <w:szCs w:val="18"/>
              </w:rPr>
              <w:t>PbO</w:t>
            </w:r>
          </w:p>
        </w:tc>
      </w:tr>
      <w:tr w14:paraId="2B118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dxa"/>
          </w:tcPr>
          <w:p w14:paraId="48B43C98">
            <w:pPr>
              <w:pStyle w:val="26"/>
              <w:widowControl w:val="0"/>
              <w:ind w:firstLine="0" w:firstLineChars="0"/>
              <w:rPr>
                <w:rFonts w:ascii="Times New Roman"/>
                <w:sz w:val="18"/>
                <w:szCs w:val="18"/>
              </w:rPr>
            </w:pPr>
            <w:r>
              <w:rPr>
                <w:rFonts w:ascii="Times New Roman"/>
                <w:sz w:val="18"/>
                <w:szCs w:val="18"/>
              </w:rPr>
              <w:t>1</w:t>
            </w:r>
          </w:p>
        </w:tc>
        <w:tc>
          <w:tcPr>
            <w:tcW w:w="636" w:type="dxa"/>
            <w:vAlign w:val="bottom"/>
          </w:tcPr>
          <w:p w14:paraId="62218D41">
            <w:pPr>
              <w:keepNext w:val="0"/>
              <w:keepLines w:val="0"/>
              <w:widowControl/>
              <w:suppressLineNumbers w:val="0"/>
              <w:jc w:val="center"/>
              <w:textAlignment w:val="bottom"/>
              <w:rPr>
                <w:rFonts w:hint="default" w:ascii="Times New Roman" w:hAnsi="Times New Roman" w:cs="Times New Roman"/>
                <w:kern w:val="0"/>
                <w:sz w:val="18"/>
                <w:szCs w:val="18"/>
              </w:rPr>
            </w:pPr>
            <w:r>
              <w:rPr>
                <w:rFonts w:hint="default" w:ascii="Times New Roman" w:hAnsi="Times New Roman" w:eastAsia="Ubuntu" w:cs="Times New Roman"/>
                <w:i w:val="0"/>
                <w:iCs w:val="0"/>
                <w:color w:val="000000"/>
                <w:kern w:val="0"/>
                <w:sz w:val="18"/>
                <w:szCs w:val="18"/>
                <w:u w:val="none"/>
                <w:lang w:val="en-US" w:eastAsia="zh-CN" w:bidi="ar"/>
              </w:rPr>
              <w:t>93.16</w:t>
            </w:r>
          </w:p>
        </w:tc>
        <w:tc>
          <w:tcPr>
            <w:tcW w:w="659" w:type="dxa"/>
            <w:vAlign w:val="bottom"/>
          </w:tcPr>
          <w:p w14:paraId="294CFC59">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1.65</w:t>
            </w:r>
          </w:p>
        </w:tc>
        <w:tc>
          <w:tcPr>
            <w:tcW w:w="693" w:type="dxa"/>
            <w:vAlign w:val="bottom"/>
          </w:tcPr>
          <w:p w14:paraId="7E3FAB09">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2.19</w:t>
            </w:r>
          </w:p>
        </w:tc>
        <w:tc>
          <w:tcPr>
            <w:tcW w:w="637" w:type="dxa"/>
            <w:vAlign w:val="bottom"/>
          </w:tcPr>
          <w:p w14:paraId="3DAC3F68">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0.50</w:t>
            </w:r>
          </w:p>
        </w:tc>
        <w:tc>
          <w:tcPr>
            <w:tcW w:w="637" w:type="dxa"/>
            <w:vAlign w:val="bottom"/>
          </w:tcPr>
          <w:p w14:paraId="47AA7756">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0.50</w:t>
            </w:r>
          </w:p>
        </w:tc>
        <w:tc>
          <w:tcPr>
            <w:tcW w:w="637" w:type="dxa"/>
            <w:vAlign w:val="bottom"/>
          </w:tcPr>
          <w:p w14:paraId="0686EAC8">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0.50</w:t>
            </w:r>
          </w:p>
        </w:tc>
        <w:tc>
          <w:tcPr>
            <w:tcW w:w="637" w:type="dxa"/>
            <w:vAlign w:val="bottom"/>
          </w:tcPr>
          <w:p w14:paraId="1E387A1F">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0.50</w:t>
            </w:r>
          </w:p>
        </w:tc>
        <w:tc>
          <w:tcPr>
            <w:tcW w:w="637" w:type="dxa"/>
            <w:vAlign w:val="bottom"/>
          </w:tcPr>
          <w:p w14:paraId="0555B391">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0.50</w:t>
            </w:r>
          </w:p>
        </w:tc>
        <w:tc>
          <w:tcPr>
            <w:tcW w:w="637" w:type="dxa"/>
            <w:vAlign w:val="bottom"/>
          </w:tcPr>
          <w:p w14:paraId="3F051EF0">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0.10</w:t>
            </w:r>
          </w:p>
        </w:tc>
        <w:tc>
          <w:tcPr>
            <w:tcW w:w="714" w:type="dxa"/>
            <w:vAlign w:val="bottom"/>
          </w:tcPr>
          <w:p w14:paraId="0242B369">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0.10</w:t>
            </w:r>
          </w:p>
        </w:tc>
        <w:tc>
          <w:tcPr>
            <w:tcW w:w="714" w:type="dxa"/>
            <w:vAlign w:val="bottom"/>
          </w:tcPr>
          <w:p w14:paraId="74CFCD09">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0.10</w:t>
            </w:r>
          </w:p>
        </w:tc>
        <w:tc>
          <w:tcPr>
            <w:tcW w:w="714" w:type="dxa"/>
            <w:vAlign w:val="bottom"/>
          </w:tcPr>
          <w:p w14:paraId="0938A17D">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0.10</w:t>
            </w:r>
          </w:p>
        </w:tc>
        <w:tc>
          <w:tcPr>
            <w:tcW w:w="714" w:type="dxa"/>
            <w:vAlign w:val="bottom"/>
          </w:tcPr>
          <w:p w14:paraId="2EF6EA10">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0.10</w:t>
            </w:r>
          </w:p>
        </w:tc>
      </w:tr>
      <w:tr w14:paraId="29103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dxa"/>
          </w:tcPr>
          <w:p w14:paraId="7C472317">
            <w:pPr>
              <w:pStyle w:val="26"/>
              <w:widowControl w:val="0"/>
              <w:ind w:firstLine="0" w:firstLineChars="0"/>
              <w:rPr>
                <w:rFonts w:ascii="Times New Roman"/>
                <w:sz w:val="18"/>
                <w:szCs w:val="18"/>
              </w:rPr>
            </w:pPr>
            <w:r>
              <w:rPr>
                <w:rFonts w:ascii="Times New Roman"/>
                <w:sz w:val="18"/>
                <w:szCs w:val="18"/>
              </w:rPr>
              <w:t>2</w:t>
            </w:r>
          </w:p>
        </w:tc>
        <w:tc>
          <w:tcPr>
            <w:tcW w:w="636" w:type="dxa"/>
            <w:vAlign w:val="bottom"/>
          </w:tcPr>
          <w:p w14:paraId="6D9E662F">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92.19</w:t>
            </w:r>
          </w:p>
        </w:tc>
        <w:tc>
          <w:tcPr>
            <w:tcW w:w="659" w:type="dxa"/>
            <w:vAlign w:val="bottom"/>
          </w:tcPr>
          <w:p w14:paraId="1B52BFCE">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4.33</w:t>
            </w:r>
          </w:p>
        </w:tc>
        <w:tc>
          <w:tcPr>
            <w:tcW w:w="693" w:type="dxa"/>
            <w:vAlign w:val="bottom"/>
          </w:tcPr>
          <w:p w14:paraId="0DF39B1F">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0.73</w:t>
            </w:r>
          </w:p>
        </w:tc>
        <w:tc>
          <w:tcPr>
            <w:tcW w:w="637" w:type="dxa"/>
            <w:vAlign w:val="bottom"/>
          </w:tcPr>
          <w:p w14:paraId="7037B795">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0.50</w:t>
            </w:r>
          </w:p>
        </w:tc>
        <w:tc>
          <w:tcPr>
            <w:tcW w:w="637" w:type="dxa"/>
            <w:vAlign w:val="bottom"/>
          </w:tcPr>
          <w:p w14:paraId="58B03CA1">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0.50</w:t>
            </w:r>
          </w:p>
        </w:tc>
        <w:tc>
          <w:tcPr>
            <w:tcW w:w="637" w:type="dxa"/>
            <w:vAlign w:val="bottom"/>
          </w:tcPr>
          <w:p w14:paraId="2BA9C832">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0.50</w:t>
            </w:r>
          </w:p>
        </w:tc>
        <w:tc>
          <w:tcPr>
            <w:tcW w:w="637" w:type="dxa"/>
            <w:vAlign w:val="bottom"/>
          </w:tcPr>
          <w:p w14:paraId="6628533D">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0.50</w:t>
            </w:r>
          </w:p>
        </w:tc>
        <w:tc>
          <w:tcPr>
            <w:tcW w:w="637" w:type="dxa"/>
            <w:vAlign w:val="bottom"/>
          </w:tcPr>
          <w:p w14:paraId="50428764">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0.50</w:t>
            </w:r>
          </w:p>
        </w:tc>
        <w:tc>
          <w:tcPr>
            <w:tcW w:w="637" w:type="dxa"/>
            <w:vAlign w:val="bottom"/>
          </w:tcPr>
          <w:p w14:paraId="42F376F9">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0.05</w:t>
            </w:r>
          </w:p>
        </w:tc>
        <w:tc>
          <w:tcPr>
            <w:tcW w:w="714" w:type="dxa"/>
            <w:vAlign w:val="bottom"/>
          </w:tcPr>
          <w:p w14:paraId="6281E574">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0.05</w:t>
            </w:r>
          </w:p>
        </w:tc>
        <w:tc>
          <w:tcPr>
            <w:tcW w:w="714" w:type="dxa"/>
            <w:vAlign w:val="bottom"/>
          </w:tcPr>
          <w:p w14:paraId="172EC4DD">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0.05</w:t>
            </w:r>
          </w:p>
        </w:tc>
        <w:tc>
          <w:tcPr>
            <w:tcW w:w="714" w:type="dxa"/>
            <w:vAlign w:val="bottom"/>
          </w:tcPr>
          <w:p w14:paraId="756E85E8">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0.05</w:t>
            </w:r>
          </w:p>
        </w:tc>
        <w:tc>
          <w:tcPr>
            <w:tcW w:w="714" w:type="dxa"/>
            <w:vAlign w:val="bottom"/>
          </w:tcPr>
          <w:p w14:paraId="76A5AB2E">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0.05</w:t>
            </w:r>
          </w:p>
        </w:tc>
      </w:tr>
      <w:tr w14:paraId="41E1E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dxa"/>
          </w:tcPr>
          <w:p w14:paraId="23779B43">
            <w:pPr>
              <w:pStyle w:val="26"/>
              <w:widowControl w:val="0"/>
              <w:ind w:firstLine="0" w:firstLineChars="0"/>
              <w:rPr>
                <w:rFonts w:ascii="Times New Roman"/>
                <w:sz w:val="18"/>
                <w:szCs w:val="18"/>
              </w:rPr>
            </w:pPr>
            <w:r>
              <w:rPr>
                <w:rFonts w:ascii="Times New Roman"/>
                <w:sz w:val="18"/>
                <w:szCs w:val="18"/>
              </w:rPr>
              <w:t>3</w:t>
            </w:r>
          </w:p>
        </w:tc>
        <w:tc>
          <w:tcPr>
            <w:tcW w:w="636" w:type="dxa"/>
            <w:vAlign w:val="bottom"/>
          </w:tcPr>
          <w:p w14:paraId="51629C64">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85.87</w:t>
            </w:r>
          </w:p>
        </w:tc>
        <w:tc>
          <w:tcPr>
            <w:tcW w:w="659" w:type="dxa"/>
            <w:vAlign w:val="bottom"/>
          </w:tcPr>
          <w:p w14:paraId="033AA8C6">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5.68</w:t>
            </w:r>
          </w:p>
        </w:tc>
        <w:tc>
          <w:tcPr>
            <w:tcW w:w="693" w:type="dxa"/>
            <w:vAlign w:val="bottom"/>
          </w:tcPr>
          <w:p w14:paraId="6D4D5145">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5.85</w:t>
            </w:r>
          </w:p>
        </w:tc>
        <w:tc>
          <w:tcPr>
            <w:tcW w:w="637" w:type="dxa"/>
            <w:vAlign w:val="bottom"/>
          </w:tcPr>
          <w:p w14:paraId="52170A7C">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0.50</w:t>
            </w:r>
          </w:p>
        </w:tc>
        <w:tc>
          <w:tcPr>
            <w:tcW w:w="637" w:type="dxa"/>
            <w:vAlign w:val="bottom"/>
          </w:tcPr>
          <w:p w14:paraId="01C6168F">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0.50</w:t>
            </w:r>
          </w:p>
        </w:tc>
        <w:tc>
          <w:tcPr>
            <w:tcW w:w="637" w:type="dxa"/>
            <w:vAlign w:val="bottom"/>
          </w:tcPr>
          <w:p w14:paraId="68C62718">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0.50</w:t>
            </w:r>
          </w:p>
        </w:tc>
        <w:tc>
          <w:tcPr>
            <w:tcW w:w="637" w:type="dxa"/>
            <w:vAlign w:val="bottom"/>
          </w:tcPr>
          <w:p w14:paraId="7D9046E3">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0.50</w:t>
            </w:r>
          </w:p>
        </w:tc>
        <w:tc>
          <w:tcPr>
            <w:tcW w:w="637" w:type="dxa"/>
            <w:vAlign w:val="bottom"/>
          </w:tcPr>
          <w:p w14:paraId="3BA8B46A">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0.50</w:t>
            </w:r>
          </w:p>
        </w:tc>
        <w:tc>
          <w:tcPr>
            <w:tcW w:w="637" w:type="dxa"/>
            <w:vAlign w:val="bottom"/>
          </w:tcPr>
          <w:p w14:paraId="0B6CC688">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0.02</w:t>
            </w:r>
          </w:p>
        </w:tc>
        <w:tc>
          <w:tcPr>
            <w:tcW w:w="714" w:type="dxa"/>
            <w:vAlign w:val="bottom"/>
          </w:tcPr>
          <w:p w14:paraId="0EF76A9F">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0.02</w:t>
            </w:r>
          </w:p>
        </w:tc>
        <w:tc>
          <w:tcPr>
            <w:tcW w:w="714" w:type="dxa"/>
            <w:vAlign w:val="bottom"/>
          </w:tcPr>
          <w:p w14:paraId="50253A8E">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0.02</w:t>
            </w:r>
          </w:p>
        </w:tc>
        <w:tc>
          <w:tcPr>
            <w:tcW w:w="714" w:type="dxa"/>
            <w:vAlign w:val="bottom"/>
          </w:tcPr>
          <w:p w14:paraId="72FF9A4E">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0.02</w:t>
            </w:r>
          </w:p>
        </w:tc>
        <w:tc>
          <w:tcPr>
            <w:tcW w:w="714" w:type="dxa"/>
            <w:vAlign w:val="bottom"/>
          </w:tcPr>
          <w:p w14:paraId="794DA931">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0.02</w:t>
            </w:r>
          </w:p>
        </w:tc>
      </w:tr>
      <w:tr w14:paraId="74420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dxa"/>
          </w:tcPr>
          <w:p w14:paraId="4D1B38E9">
            <w:pPr>
              <w:pStyle w:val="26"/>
              <w:widowControl w:val="0"/>
              <w:ind w:firstLine="0" w:firstLineChars="0"/>
              <w:rPr>
                <w:rFonts w:ascii="Times New Roman"/>
                <w:sz w:val="18"/>
                <w:szCs w:val="18"/>
              </w:rPr>
            </w:pPr>
            <w:r>
              <w:rPr>
                <w:rFonts w:ascii="Times New Roman"/>
                <w:sz w:val="18"/>
                <w:szCs w:val="18"/>
              </w:rPr>
              <w:t>4</w:t>
            </w:r>
          </w:p>
        </w:tc>
        <w:tc>
          <w:tcPr>
            <w:tcW w:w="636" w:type="dxa"/>
            <w:vAlign w:val="bottom"/>
          </w:tcPr>
          <w:p w14:paraId="2E61A11A">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72.57</w:t>
            </w:r>
          </w:p>
        </w:tc>
        <w:tc>
          <w:tcPr>
            <w:tcW w:w="659" w:type="dxa"/>
            <w:vAlign w:val="bottom"/>
          </w:tcPr>
          <w:p w14:paraId="40882DC3">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13.23</w:t>
            </w:r>
          </w:p>
        </w:tc>
        <w:tc>
          <w:tcPr>
            <w:tcW w:w="693" w:type="dxa"/>
            <w:vAlign w:val="bottom"/>
          </w:tcPr>
          <w:p w14:paraId="4507EC12">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11.15</w:t>
            </w:r>
          </w:p>
        </w:tc>
        <w:tc>
          <w:tcPr>
            <w:tcW w:w="637" w:type="dxa"/>
            <w:vAlign w:val="bottom"/>
          </w:tcPr>
          <w:p w14:paraId="4F2BF8BC">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1.00</w:t>
            </w:r>
          </w:p>
        </w:tc>
        <w:tc>
          <w:tcPr>
            <w:tcW w:w="637" w:type="dxa"/>
            <w:vAlign w:val="bottom"/>
          </w:tcPr>
          <w:p w14:paraId="738DA373">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0.50</w:t>
            </w:r>
          </w:p>
        </w:tc>
        <w:tc>
          <w:tcPr>
            <w:tcW w:w="637" w:type="dxa"/>
            <w:vAlign w:val="bottom"/>
          </w:tcPr>
          <w:p w14:paraId="04259A96">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0.50</w:t>
            </w:r>
          </w:p>
        </w:tc>
        <w:tc>
          <w:tcPr>
            <w:tcW w:w="637" w:type="dxa"/>
            <w:vAlign w:val="bottom"/>
          </w:tcPr>
          <w:p w14:paraId="077598BE">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0.50</w:t>
            </w:r>
          </w:p>
        </w:tc>
        <w:tc>
          <w:tcPr>
            <w:tcW w:w="637" w:type="dxa"/>
            <w:vAlign w:val="bottom"/>
          </w:tcPr>
          <w:p w14:paraId="140B4155">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0.50</w:t>
            </w:r>
          </w:p>
        </w:tc>
        <w:tc>
          <w:tcPr>
            <w:tcW w:w="637" w:type="dxa"/>
            <w:vAlign w:val="bottom"/>
          </w:tcPr>
          <w:p w14:paraId="2828AEE7">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0.01</w:t>
            </w:r>
          </w:p>
        </w:tc>
        <w:tc>
          <w:tcPr>
            <w:tcW w:w="714" w:type="dxa"/>
            <w:vAlign w:val="bottom"/>
          </w:tcPr>
          <w:p w14:paraId="0F308413">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0.01</w:t>
            </w:r>
          </w:p>
        </w:tc>
        <w:tc>
          <w:tcPr>
            <w:tcW w:w="714" w:type="dxa"/>
            <w:vAlign w:val="bottom"/>
          </w:tcPr>
          <w:p w14:paraId="6151A725">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0.01</w:t>
            </w:r>
          </w:p>
        </w:tc>
        <w:tc>
          <w:tcPr>
            <w:tcW w:w="714" w:type="dxa"/>
            <w:vAlign w:val="bottom"/>
          </w:tcPr>
          <w:p w14:paraId="503BBB1C">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0.01</w:t>
            </w:r>
          </w:p>
        </w:tc>
        <w:tc>
          <w:tcPr>
            <w:tcW w:w="714" w:type="dxa"/>
            <w:vAlign w:val="bottom"/>
          </w:tcPr>
          <w:p w14:paraId="550E606B">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0.01</w:t>
            </w:r>
          </w:p>
        </w:tc>
      </w:tr>
      <w:tr w14:paraId="18ECB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dxa"/>
          </w:tcPr>
          <w:p w14:paraId="4BB0304E">
            <w:pPr>
              <w:pStyle w:val="26"/>
              <w:widowControl w:val="0"/>
              <w:ind w:firstLine="0" w:firstLineChars="0"/>
              <w:rPr>
                <w:rFonts w:ascii="Times New Roman"/>
                <w:sz w:val="18"/>
                <w:szCs w:val="18"/>
              </w:rPr>
            </w:pPr>
            <w:r>
              <w:rPr>
                <w:rFonts w:ascii="Times New Roman"/>
                <w:sz w:val="18"/>
                <w:szCs w:val="18"/>
              </w:rPr>
              <w:t>5</w:t>
            </w:r>
          </w:p>
        </w:tc>
        <w:tc>
          <w:tcPr>
            <w:tcW w:w="636" w:type="dxa"/>
            <w:vAlign w:val="bottom"/>
          </w:tcPr>
          <w:p w14:paraId="369E0248">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61.05</w:t>
            </w:r>
          </w:p>
        </w:tc>
        <w:tc>
          <w:tcPr>
            <w:tcW w:w="659" w:type="dxa"/>
            <w:vAlign w:val="bottom"/>
          </w:tcPr>
          <w:p w14:paraId="4F976E4E">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23.50</w:t>
            </w:r>
          </w:p>
        </w:tc>
        <w:tc>
          <w:tcPr>
            <w:tcW w:w="693" w:type="dxa"/>
            <w:vAlign w:val="bottom"/>
          </w:tcPr>
          <w:p w14:paraId="1E2C43BB">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14.15</w:t>
            </w:r>
          </w:p>
        </w:tc>
        <w:tc>
          <w:tcPr>
            <w:tcW w:w="637" w:type="dxa"/>
            <w:vAlign w:val="bottom"/>
          </w:tcPr>
          <w:p w14:paraId="2749D12E">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0.50</w:t>
            </w:r>
          </w:p>
        </w:tc>
        <w:tc>
          <w:tcPr>
            <w:tcW w:w="637" w:type="dxa"/>
            <w:vAlign w:val="bottom"/>
          </w:tcPr>
          <w:p w14:paraId="21C4011D">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0.20</w:t>
            </w:r>
          </w:p>
        </w:tc>
        <w:tc>
          <w:tcPr>
            <w:tcW w:w="637" w:type="dxa"/>
            <w:vAlign w:val="bottom"/>
          </w:tcPr>
          <w:p w14:paraId="4EFB059C">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0.20</w:t>
            </w:r>
          </w:p>
        </w:tc>
        <w:tc>
          <w:tcPr>
            <w:tcW w:w="637" w:type="dxa"/>
            <w:vAlign w:val="bottom"/>
          </w:tcPr>
          <w:p w14:paraId="3F31C359">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0.20</w:t>
            </w:r>
          </w:p>
        </w:tc>
        <w:tc>
          <w:tcPr>
            <w:tcW w:w="637" w:type="dxa"/>
            <w:vAlign w:val="bottom"/>
          </w:tcPr>
          <w:p w14:paraId="2DA7E700">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0.20</w:t>
            </w:r>
          </w:p>
        </w:tc>
        <w:tc>
          <w:tcPr>
            <w:tcW w:w="637" w:type="dxa"/>
            <w:vAlign w:val="bottom"/>
          </w:tcPr>
          <w:p w14:paraId="7C863526">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714" w:type="dxa"/>
            <w:vAlign w:val="bottom"/>
          </w:tcPr>
          <w:p w14:paraId="66ADFA71">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714" w:type="dxa"/>
            <w:vAlign w:val="bottom"/>
          </w:tcPr>
          <w:p w14:paraId="2B1A0349">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714" w:type="dxa"/>
            <w:vAlign w:val="bottom"/>
          </w:tcPr>
          <w:p w14:paraId="322CC4EC">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714" w:type="dxa"/>
            <w:vAlign w:val="bottom"/>
          </w:tcPr>
          <w:p w14:paraId="71755AA2">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r>
      <w:tr w14:paraId="6A71E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dxa"/>
          </w:tcPr>
          <w:p w14:paraId="0D56AD10">
            <w:pPr>
              <w:pStyle w:val="26"/>
              <w:widowControl w:val="0"/>
              <w:ind w:firstLine="0" w:firstLineChars="0"/>
              <w:rPr>
                <w:rFonts w:ascii="Times New Roman"/>
                <w:sz w:val="18"/>
                <w:szCs w:val="18"/>
              </w:rPr>
            </w:pPr>
            <w:r>
              <w:rPr>
                <w:rFonts w:ascii="Times New Roman"/>
                <w:sz w:val="18"/>
                <w:szCs w:val="18"/>
              </w:rPr>
              <w:t>6</w:t>
            </w:r>
          </w:p>
        </w:tc>
        <w:tc>
          <w:tcPr>
            <w:tcW w:w="636" w:type="dxa"/>
            <w:vAlign w:val="bottom"/>
          </w:tcPr>
          <w:p w14:paraId="1279AD61">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47.87</w:t>
            </w:r>
          </w:p>
        </w:tc>
        <w:tc>
          <w:tcPr>
            <w:tcW w:w="659" w:type="dxa"/>
            <w:vAlign w:val="bottom"/>
          </w:tcPr>
          <w:p w14:paraId="23BB46C0">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22.33</w:t>
            </w:r>
          </w:p>
        </w:tc>
        <w:tc>
          <w:tcPr>
            <w:tcW w:w="693" w:type="dxa"/>
            <w:vAlign w:val="bottom"/>
          </w:tcPr>
          <w:p w14:paraId="38F89150">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29.80</w:t>
            </w:r>
          </w:p>
        </w:tc>
        <w:tc>
          <w:tcPr>
            <w:tcW w:w="637" w:type="dxa"/>
            <w:vAlign w:val="bottom"/>
          </w:tcPr>
          <w:p w14:paraId="16958A83">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637" w:type="dxa"/>
            <w:vAlign w:val="bottom"/>
          </w:tcPr>
          <w:p w14:paraId="131B9AF1">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637" w:type="dxa"/>
            <w:vAlign w:val="bottom"/>
          </w:tcPr>
          <w:p w14:paraId="322CB43A">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637" w:type="dxa"/>
            <w:vAlign w:val="bottom"/>
          </w:tcPr>
          <w:p w14:paraId="63D1CE19">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637" w:type="dxa"/>
            <w:vAlign w:val="bottom"/>
          </w:tcPr>
          <w:p w14:paraId="4AF187FF">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637" w:type="dxa"/>
            <w:vAlign w:val="bottom"/>
          </w:tcPr>
          <w:p w14:paraId="68CD50AC">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714" w:type="dxa"/>
            <w:vAlign w:val="bottom"/>
          </w:tcPr>
          <w:p w14:paraId="34A7F923">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714" w:type="dxa"/>
            <w:vAlign w:val="bottom"/>
          </w:tcPr>
          <w:p w14:paraId="29849D83">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714" w:type="dxa"/>
            <w:vAlign w:val="bottom"/>
          </w:tcPr>
          <w:p w14:paraId="0D9BC4FE">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714" w:type="dxa"/>
            <w:vAlign w:val="bottom"/>
          </w:tcPr>
          <w:p w14:paraId="656C3DBE">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r>
      <w:tr w14:paraId="45D89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dxa"/>
          </w:tcPr>
          <w:p w14:paraId="2BADB559">
            <w:pPr>
              <w:pStyle w:val="26"/>
              <w:widowControl w:val="0"/>
              <w:ind w:firstLine="0" w:firstLineChars="0"/>
              <w:rPr>
                <w:rFonts w:ascii="Times New Roman"/>
                <w:sz w:val="18"/>
                <w:szCs w:val="18"/>
              </w:rPr>
            </w:pPr>
            <w:r>
              <w:rPr>
                <w:rFonts w:ascii="Times New Roman"/>
                <w:sz w:val="18"/>
                <w:szCs w:val="18"/>
              </w:rPr>
              <w:t>7</w:t>
            </w:r>
          </w:p>
        </w:tc>
        <w:tc>
          <w:tcPr>
            <w:tcW w:w="636" w:type="dxa"/>
            <w:vAlign w:val="bottom"/>
          </w:tcPr>
          <w:p w14:paraId="5A6FF26E">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35.46</w:t>
            </w:r>
          </w:p>
        </w:tc>
        <w:tc>
          <w:tcPr>
            <w:tcW w:w="659" w:type="dxa"/>
            <w:vAlign w:val="bottom"/>
          </w:tcPr>
          <w:p w14:paraId="5498E27B">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31.74</w:t>
            </w:r>
          </w:p>
        </w:tc>
        <w:tc>
          <w:tcPr>
            <w:tcW w:w="693" w:type="dxa"/>
            <w:vAlign w:val="bottom"/>
          </w:tcPr>
          <w:p w14:paraId="7863D9AB">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32.80</w:t>
            </w:r>
          </w:p>
        </w:tc>
        <w:tc>
          <w:tcPr>
            <w:tcW w:w="637" w:type="dxa"/>
            <w:vAlign w:val="bottom"/>
          </w:tcPr>
          <w:p w14:paraId="5D33935D">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637" w:type="dxa"/>
            <w:vAlign w:val="bottom"/>
          </w:tcPr>
          <w:p w14:paraId="55DEE047">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637" w:type="dxa"/>
            <w:vAlign w:val="bottom"/>
          </w:tcPr>
          <w:p w14:paraId="379E7EC0">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637" w:type="dxa"/>
            <w:vAlign w:val="bottom"/>
          </w:tcPr>
          <w:p w14:paraId="22DF2AC4">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637" w:type="dxa"/>
            <w:vAlign w:val="bottom"/>
          </w:tcPr>
          <w:p w14:paraId="7944D4F6">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637" w:type="dxa"/>
            <w:vAlign w:val="bottom"/>
          </w:tcPr>
          <w:p w14:paraId="45B1DBCF">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714" w:type="dxa"/>
            <w:vAlign w:val="bottom"/>
          </w:tcPr>
          <w:p w14:paraId="041FB58F">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714" w:type="dxa"/>
            <w:vAlign w:val="bottom"/>
          </w:tcPr>
          <w:p w14:paraId="3FBF5BE4">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714" w:type="dxa"/>
            <w:vAlign w:val="bottom"/>
          </w:tcPr>
          <w:p w14:paraId="04A41475">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714" w:type="dxa"/>
            <w:vAlign w:val="bottom"/>
          </w:tcPr>
          <w:p w14:paraId="46461416">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r>
      <w:tr w14:paraId="37D25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dxa"/>
          </w:tcPr>
          <w:p w14:paraId="3973D1FA">
            <w:pPr>
              <w:pStyle w:val="26"/>
              <w:widowControl w:val="0"/>
              <w:ind w:firstLine="0" w:firstLineChars="0"/>
              <w:rPr>
                <w:rFonts w:ascii="Times New Roman"/>
                <w:sz w:val="18"/>
                <w:szCs w:val="18"/>
              </w:rPr>
            </w:pPr>
            <w:r>
              <w:rPr>
                <w:rFonts w:ascii="Times New Roman"/>
                <w:sz w:val="18"/>
                <w:szCs w:val="18"/>
              </w:rPr>
              <w:t>8</w:t>
            </w:r>
          </w:p>
        </w:tc>
        <w:tc>
          <w:tcPr>
            <w:tcW w:w="636" w:type="dxa"/>
            <w:vAlign w:val="bottom"/>
          </w:tcPr>
          <w:p w14:paraId="4756F81F">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26.59</w:t>
            </w:r>
          </w:p>
        </w:tc>
        <w:tc>
          <w:tcPr>
            <w:tcW w:w="659" w:type="dxa"/>
            <w:vAlign w:val="bottom"/>
          </w:tcPr>
          <w:p w14:paraId="3BF42B3B">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34.74</w:t>
            </w:r>
          </w:p>
        </w:tc>
        <w:tc>
          <w:tcPr>
            <w:tcW w:w="693" w:type="dxa"/>
            <w:vAlign w:val="bottom"/>
          </w:tcPr>
          <w:p w14:paraId="03889E01">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38.67</w:t>
            </w:r>
          </w:p>
        </w:tc>
        <w:tc>
          <w:tcPr>
            <w:tcW w:w="637" w:type="dxa"/>
            <w:vAlign w:val="bottom"/>
          </w:tcPr>
          <w:p w14:paraId="50C29374">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637" w:type="dxa"/>
            <w:vAlign w:val="bottom"/>
          </w:tcPr>
          <w:p w14:paraId="6F71C05E">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637" w:type="dxa"/>
            <w:vAlign w:val="bottom"/>
          </w:tcPr>
          <w:p w14:paraId="6A441D15">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637" w:type="dxa"/>
            <w:vAlign w:val="bottom"/>
          </w:tcPr>
          <w:p w14:paraId="18894B45">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637" w:type="dxa"/>
            <w:vAlign w:val="bottom"/>
          </w:tcPr>
          <w:p w14:paraId="6DA3B7A3">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637" w:type="dxa"/>
            <w:vAlign w:val="bottom"/>
          </w:tcPr>
          <w:p w14:paraId="46662AA1">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714" w:type="dxa"/>
            <w:vAlign w:val="bottom"/>
          </w:tcPr>
          <w:p w14:paraId="1798C300">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714" w:type="dxa"/>
            <w:vAlign w:val="bottom"/>
          </w:tcPr>
          <w:p w14:paraId="0750111B">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714" w:type="dxa"/>
            <w:vAlign w:val="bottom"/>
          </w:tcPr>
          <w:p w14:paraId="3C4A5EED">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714" w:type="dxa"/>
            <w:vAlign w:val="bottom"/>
          </w:tcPr>
          <w:p w14:paraId="125C6074">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r>
      <w:tr w14:paraId="31C31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dxa"/>
          </w:tcPr>
          <w:p w14:paraId="2AE2CF42">
            <w:pPr>
              <w:pStyle w:val="26"/>
              <w:widowControl w:val="0"/>
              <w:ind w:firstLine="0" w:firstLineChars="0"/>
              <w:rPr>
                <w:rFonts w:ascii="Times New Roman"/>
                <w:sz w:val="18"/>
                <w:szCs w:val="18"/>
              </w:rPr>
            </w:pPr>
            <w:r>
              <w:rPr>
                <w:rFonts w:ascii="Times New Roman"/>
                <w:sz w:val="18"/>
                <w:szCs w:val="18"/>
              </w:rPr>
              <w:t>9</w:t>
            </w:r>
          </w:p>
        </w:tc>
        <w:tc>
          <w:tcPr>
            <w:tcW w:w="636" w:type="dxa"/>
            <w:vAlign w:val="bottom"/>
          </w:tcPr>
          <w:p w14:paraId="4EB3A967">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35.00</w:t>
            </w:r>
          </w:p>
        </w:tc>
        <w:tc>
          <w:tcPr>
            <w:tcW w:w="659" w:type="dxa"/>
            <w:vAlign w:val="bottom"/>
          </w:tcPr>
          <w:p w14:paraId="5E4F0771">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30.00</w:t>
            </w:r>
          </w:p>
        </w:tc>
        <w:tc>
          <w:tcPr>
            <w:tcW w:w="693" w:type="dxa"/>
            <w:vAlign w:val="bottom"/>
          </w:tcPr>
          <w:p w14:paraId="2806DEDE">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35.00</w:t>
            </w:r>
          </w:p>
        </w:tc>
        <w:tc>
          <w:tcPr>
            <w:tcW w:w="637" w:type="dxa"/>
            <w:vAlign w:val="bottom"/>
          </w:tcPr>
          <w:p w14:paraId="07CD6A59">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637" w:type="dxa"/>
            <w:vAlign w:val="bottom"/>
          </w:tcPr>
          <w:p w14:paraId="4A9BCBCD">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637" w:type="dxa"/>
            <w:vAlign w:val="bottom"/>
          </w:tcPr>
          <w:p w14:paraId="274C454C">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637" w:type="dxa"/>
            <w:vAlign w:val="bottom"/>
          </w:tcPr>
          <w:p w14:paraId="4D0EC914">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637" w:type="dxa"/>
            <w:vAlign w:val="bottom"/>
          </w:tcPr>
          <w:p w14:paraId="69585DF4">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637" w:type="dxa"/>
            <w:vAlign w:val="bottom"/>
          </w:tcPr>
          <w:p w14:paraId="738BB3A5">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714" w:type="dxa"/>
            <w:vAlign w:val="bottom"/>
          </w:tcPr>
          <w:p w14:paraId="1ACB4A60">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714" w:type="dxa"/>
            <w:vAlign w:val="bottom"/>
          </w:tcPr>
          <w:p w14:paraId="027EF926">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714" w:type="dxa"/>
            <w:vAlign w:val="bottom"/>
          </w:tcPr>
          <w:p w14:paraId="0209B62B">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714" w:type="dxa"/>
            <w:vAlign w:val="bottom"/>
          </w:tcPr>
          <w:p w14:paraId="428159E0">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r>
      <w:tr w14:paraId="575F9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dxa"/>
          </w:tcPr>
          <w:p w14:paraId="56D021F3">
            <w:pPr>
              <w:pStyle w:val="26"/>
              <w:widowControl w:val="0"/>
              <w:ind w:firstLine="0" w:firstLineChars="0"/>
              <w:rPr>
                <w:rFonts w:ascii="Times New Roman"/>
                <w:sz w:val="18"/>
                <w:szCs w:val="18"/>
              </w:rPr>
            </w:pPr>
            <w:r>
              <w:rPr>
                <w:rFonts w:ascii="Times New Roman"/>
                <w:sz w:val="18"/>
                <w:szCs w:val="18"/>
              </w:rPr>
              <w:t>10</w:t>
            </w:r>
          </w:p>
        </w:tc>
        <w:tc>
          <w:tcPr>
            <w:tcW w:w="636" w:type="dxa"/>
            <w:vAlign w:val="bottom"/>
          </w:tcPr>
          <w:p w14:paraId="7EC5A775">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18.00</w:t>
            </w:r>
          </w:p>
        </w:tc>
        <w:tc>
          <w:tcPr>
            <w:tcW w:w="659" w:type="dxa"/>
            <w:vAlign w:val="bottom"/>
          </w:tcPr>
          <w:p w14:paraId="37D5C31B">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24.00</w:t>
            </w:r>
          </w:p>
        </w:tc>
        <w:tc>
          <w:tcPr>
            <w:tcW w:w="693" w:type="dxa"/>
            <w:vAlign w:val="bottom"/>
          </w:tcPr>
          <w:p w14:paraId="46E8905C">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58.00</w:t>
            </w:r>
          </w:p>
        </w:tc>
        <w:tc>
          <w:tcPr>
            <w:tcW w:w="637" w:type="dxa"/>
            <w:vAlign w:val="bottom"/>
          </w:tcPr>
          <w:p w14:paraId="61BCA8A8">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637" w:type="dxa"/>
            <w:vAlign w:val="bottom"/>
          </w:tcPr>
          <w:p w14:paraId="622B18CE">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637" w:type="dxa"/>
            <w:vAlign w:val="bottom"/>
          </w:tcPr>
          <w:p w14:paraId="3A0CBE61">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637" w:type="dxa"/>
            <w:vAlign w:val="bottom"/>
          </w:tcPr>
          <w:p w14:paraId="21FEE8D9">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637" w:type="dxa"/>
            <w:vAlign w:val="bottom"/>
          </w:tcPr>
          <w:p w14:paraId="24AA7B43">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637" w:type="dxa"/>
            <w:vAlign w:val="bottom"/>
          </w:tcPr>
          <w:p w14:paraId="4E8C9FEE">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714" w:type="dxa"/>
            <w:vAlign w:val="bottom"/>
          </w:tcPr>
          <w:p w14:paraId="69D0E376">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714" w:type="dxa"/>
            <w:vAlign w:val="bottom"/>
          </w:tcPr>
          <w:p w14:paraId="6198A021">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714" w:type="dxa"/>
            <w:vAlign w:val="bottom"/>
          </w:tcPr>
          <w:p w14:paraId="57D577C1">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714" w:type="dxa"/>
            <w:vAlign w:val="bottom"/>
          </w:tcPr>
          <w:p w14:paraId="2EB71133">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r>
      <w:tr w14:paraId="1B633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gridSpan w:val="14"/>
          </w:tcPr>
          <w:p w14:paraId="606AC094">
            <w:pPr>
              <w:jc w:val="left"/>
              <w:rPr>
                <w:rFonts w:hint="default" w:eastAsia="宋体"/>
                <w:sz w:val="18"/>
                <w:szCs w:val="18"/>
                <w:lang w:val="en-US" w:eastAsia="zh-CN"/>
              </w:rPr>
            </w:pPr>
            <w:r>
              <w:rPr>
                <w:rFonts w:hint="eastAsia"/>
                <w:sz w:val="18"/>
                <w:szCs w:val="18"/>
                <w:lang w:val="en-US" w:eastAsia="zh-CN"/>
              </w:rPr>
              <w:t>e</w:t>
            </w:r>
            <w:r>
              <w:rPr>
                <w:rFonts w:hint="eastAsia"/>
                <w:sz w:val="18"/>
                <w:szCs w:val="18"/>
              </w:rPr>
              <w:t>列Ni</w:t>
            </w:r>
            <w:r>
              <w:rPr>
                <w:rFonts w:hint="eastAsia"/>
                <w:sz w:val="18"/>
                <w:szCs w:val="18"/>
                <w:lang w:val="en-US" w:eastAsia="zh-CN"/>
              </w:rPr>
              <w:t>(</w:t>
            </w:r>
            <w:r>
              <w:rPr>
                <w:rFonts w:hint="eastAsia"/>
                <w:sz w:val="18"/>
                <w:szCs w:val="18"/>
              </w:rPr>
              <w:t>O</w:t>
            </w:r>
            <w:r>
              <w:rPr>
                <w:rFonts w:hint="eastAsia"/>
                <w:sz w:val="18"/>
                <w:szCs w:val="18"/>
                <w:lang w:val="en-US" w:eastAsia="zh-CN"/>
              </w:rPr>
              <w:t>H)</w:t>
            </w:r>
            <w:r>
              <w:rPr>
                <w:rFonts w:hint="eastAsia"/>
                <w:sz w:val="18"/>
                <w:szCs w:val="18"/>
                <w:vertAlign w:val="subscript"/>
                <w:lang w:val="en-US" w:eastAsia="zh-CN"/>
              </w:rPr>
              <w:t>2</w:t>
            </w:r>
            <w:r>
              <w:rPr>
                <w:rFonts w:hint="eastAsia"/>
                <w:sz w:val="18"/>
                <w:szCs w:val="18"/>
              </w:rPr>
              <w:t>—Ni的换算系数为0.</w:t>
            </w:r>
            <w:r>
              <w:rPr>
                <w:rFonts w:hint="eastAsia"/>
                <w:sz w:val="18"/>
                <w:szCs w:val="18"/>
                <w:lang w:val="en-US" w:eastAsia="zh-CN"/>
              </w:rPr>
              <w:t>6331</w:t>
            </w:r>
          </w:p>
          <w:p w14:paraId="72761F1B">
            <w:pPr>
              <w:jc w:val="left"/>
              <w:rPr>
                <w:rFonts w:hint="default" w:eastAsia="宋体"/>
                <w:sz w:val="18"/>
                <w:szCs w:val="18"/>
                <w:lang w:val="en-US" w:eastAsia="zh-CN"/>
              </w:rPr>
            </w:pPr>
            <w:r>
              <w:rPr>
                <w:rFonts w:hint="eastAsia"/>
                <w:sz w:val="18"/>
                <w:szCs w:val="18"/>
                <w:lang w:val="en-US" w:eastAsia="zh-CN"/>
              </w:rPr>
              <w:t>f</w:t>
            </w:r>
            <w:r>
              <w:rPr>
                <w:rFonts w:hint="eastAsia"/>
                <w:sz w:val="18"/>
                <w:szCs w:val="18"/>
              </w:rPr>
              <w:t>列</w:t>
            </w:r>
            <w:r>
              <w:rPr>
                <w:rFonts w:hint="eastAsia"/>
                <w:sz w:val="18"/>
                <w:szCs w:val="18"/>
                <w:lang w:val="en-US" w:eastAsia="zh-CN"/>
              </w:rPr>
              <w:t>Co(</w:t>
            </w:r>
            <w:r>
              <w:rPr>
                <w:rFonts w:hint="eastAsia"/>
                <w:sz w:val="18"/>
                <w:szCs w:val="18"/>
              </w:rPr>
              <w:t>O</w:t>
            </w:r>
            <w:r>
              <w:rPr>
                <w:rFonts w:hint="eastAsia"/>
                <w:sz w:val="18"/>
                <w:szCs w:val="18"/>
                <w:lang w:val="en-US" w:eastAsia="zh-CN"/>
              </w:rPr>
              <w:t>H)</w:t>
            </w:r>
            <w:r>
              <w:rPr>
                <w:rFonts w:hint="eastAsia"/>
                <w:sz w:val="18"/>
                <w:szCs w:val="18"/>
                <w:vertAlign w:val="subscript"/>
                <w:lang w:val="en-US" w:eastAsia="zh-CN"/>
              </w:rPr>
              <w:t>2</w:t>
            </w:r>
            <w:r>
              <w:rPr>
                <w:rFonts w:hint="eastAsia"/>
                <w:sz w:val="18"/>
                <w:szCs w:val="18"/>
              </w:rPr>
              <w:t>—Co的换算系数为0.</w:t>
            </w:r>
            <w:r>
              <w:rPr>
                <w:rFonts w:hint="eastAsia"/>
                <w:sz w:val="18"/>
                <w:szCs w:val="18"/>
                <w:lang w:val="en-US" w:eastAsia="zh-CN"/>
              </w:rPr>
              <w:t>6340</w:t>
            </w:r>
          </w:p>
          <w:p w14:paraId="2DA3FABC">
            <w:pPr>
              <w:jc w:val="left"/>
              <w:rPr>
                <w:rFonts w:hint="default" w:eastAsia="宋体"/>
                <w:sz w:val="18"/>
                <w:szCs w:val="18"/>
                <w:lang w:val="en-US" w:eastAsia="zh-CN"/>
              </w:rPr>
            </w:pPr>
            <w:r>
              <w:rPr>
                <w:rFonts w:hint="eastAsia"/>
                <w:sz w:val="18"/>
                <w:szCs w:val="18"/>
                <w:lang w:val="en-US" w:eastAsia="zh-CN"/>
              </w:rPr>
              <w:t>g</w:t>
            </w:r>
            <w:r>
              <w:rPr>
                <w:rFonts w:hint="eastAsia"/>
                <w:sz w:val="18"/>
                <w:szCs w:val="18"/>
              </w:rPr>
              <w:t>列</w:t>
            </w:r>
            <w:r>
              <w:rPr>
                <w:rFonts w:hint="eastAsia"/>
                <w:sz w:val="18"/>
                <w:szCs w:val="18"/>
                <w:lang w:val="en-US" w:eastAsia="zh-CN"/>
              </w:rPr>
              <w:t>Mn(</w:t>
            </w:r>
            <w:r>
              <w:rPr>
                <w:rFonts w:hint="eastAsia"/>
                <w:sz w:val="18"/>
                <w:szCs w:val="18"/>
              </w:rPr>
              <w:t>O</w:t>
            </w:r>
            <w:r>
              <w:rPr>
                <w:rFonts w:hint="eastAsia"/>
                <w:sz w:val="18"/>
                <w:szCs w:val="18"/>
                <w:lang w:val="en-US" w:eastAsia="zh-CN"/>
              </w:rPr>
              <w:t>H)</w:t>
            </w:r>
            <w:r>
              <w:rPr>
                <w:rFonts w:hint="eastAsia"/>
                <w:sz w:val="18"/>
                <w:szCs w:val="18"/>
                <w:vertAlign w:val="subscript"/>
                <w:lang w:val="en-US" w:eastAsia="zh-CN"/>
              </w:rPr>
              <w:t>2</w:t>
            </w:r>
            <w:r>
              <w:rPr>
                <w:rFonts w:hint="eastAsia"/>
                <w:sz w:val="18"/>
                <w:szCs w:val="18"/>
              </w:rPr>
              <w:t>—Mn的换算系数为0.</w:t>
            </w:r>
            <w:r>
              <w:rPr>
                <w:rFonts w:hint="eastAsia"/>
                <w:sz w:val="18"/>
                <w:szCs w:val="18"/>
                <w:lang w:val="en-US" w:eastAsia="zh-CN"/>
              </w:rPr>
              <w:t>6176</w:t>
            </w:r>
          </w:p>
        </w:tc>
      </w:tr>
    </w:tbl>
    <w:p w14:paraId="347B06FB">
      <w:pPr>
        <w:pStyle w:val="26"/>
        <w:ind w:firstLine="420"/>
        <w:rPr>
          <w:rFonts w:hint="eastAsia" w:hAnsi="宋体"/>
        </w:rPr>
      </w:pPr>
      <w:bookmarkStart w:id="5" w:name="_GoBack"/>
      <w:r>
        <w:rPr>
          <w:sz w:val="21"/>
        </w:rPr>
        <mc:AlternateContent>
          <mc:Choice Requires="wps">
            <w:drawing>
              <wp:anchor distT="0" distB="0" distL="114300" distR="114300" simplePos="0" relativeHeight="251669504" behindDoc="0" locked="0" layoutInCell="1" allowOverlap="1">
                <wp:simplePos x="0" y="0"/>
                <wp:positionH relativeFrom="column">
                  <wp:posOffset>501015</wp:posOffset>
                </wp:positionH>
                <wp:positionV relativeFrom="paragraph">
                  <wp:posOffset>213995</wp:posOffset>
                </wp:positionV>
                <wp:extent cx="4029710" cy="0"/>
                <wp:effectExtent l="0" t="9525" r="8890" b="13335"/>
                <wp:wrapNone/>
                <wp:docPr id="1" name="直接连接符 1"/>
                <wp:cNvGraphicFramePr/>
                <a:graphic xmlns:a="http://schemas.openxmlformats.org/drawingml/2006/main">
                  <a:graphicData uri="http://schemas.microsoft.com/office/word/2010/wordprocessingShape">
                    <wps:wsp>
                      <wps:cNvCnPr/>
                      <wps:spPr>
                        <a:xfrm>
                          <a:off x="1401445" y="9762490"/>
                          <a:ext cx="4029710" cy="0"/>
                        </a:xfrm>
                        <a:prstGeom prst="line">
                          <a:avLst/>
                        </a:prstGeom>
                        <a:ln>
                          <a:solidFill>
                            <a:schemeClr val="tx1"/>
                          </a:solidFill>
                        </a:ln>
                      </wps:spPr>
                      <wps:style>
                        <a:lnRef idx="3">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39.45pt;margin-top:16.85pt;height:0pt;width:317.3pt;z-index:251669504;mso-width-relative:page;mso-height-relative:page;" filled="f" stroked="t" coordsize="21600,21600" o:gfxdata="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aGVx09cAAAAIAQAADwAAAAAAAAABACAAAAAiAAAAZHJzL2Rvd25yZXYueG1sUEsBAhQAFAAA&#10;AAgAh07iQAXdy1/wAQAAvgMAAA4AAAAAAAAAAQAgAAAAJgEAAGRycy9lMm9Eb2MueG1sUEsFBgAA&#10;AAAGAAYAWQEAAIgFAAAAAA==&#10;">
                <v:fill on="f" focussize="0,0"/>
                <v:stroke weight="1.5pt" color="#000000 [3213]" miterlimit="8" joinstyle="miter"/>
                <v:imagedata o:title=""/>
                <o:lock v:ext="edit" aspectratio="f"/>
              </v:line>
            </w:pict>
          </mc:Fallback>
        </mc:AlternateContent>
      </w:r>
      <w:bookmarkEnd w:id="5"/>
    </w:p>
    <w:sectPr>
      <w:headerReference r:id="rId8" w:type="default"/>
      <w:footerReference r:id="rId9" w:type="default"/>
      <w:footerReference r:id="rId10" w:type="even"/>
      <w:pgSz w:w="11906" w:h="16838"/>
      <w:pgMar w:top="1361" w:right="1418" w:bottom="1361"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Ubuntu">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B4A92">
    <w:pPr>
      <w:pStyle w:val="36"/>
      <w:rPr>
        <w:rStyle w:val="14"/>
      </w:rPr>
    </w:pPr>
    <w:r>
      <w:rPr>
        <w:rStyle w:val="14"/>
      </w:rPr>
      <w:fldChar w:fldCharType="begin"/>
    </w:r>
    <w:r>
      <w:rPr>
        <w:rStyle w:val="14"/>
      </w:rPr>
      <w:instrText xml:space="preserve">PAGE  </w:instrText>
    </w:r>
    <w:r>
      <w:rPr>
        <w:rStyle w:val="14"/>
      </w:rPr>
      <w:fldChar w:fldCharType="separate"/>
    </w:r>
    <w:r>
      <w:rPr>
        <w:rStyle w:val="14"/>
      </w:rPr>
      <w:t>1</w:t>
    </w:r>
    <w:r>
      <w:rPr>
        <w:rStyle w:val="1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0F2AB">
    <w:pPr>
      <w:pStyle w:val="35"/>
      <w:rPr>
        <w:rStyle w:val="14"/>
      </w:rPr>
    </w:pPr>
    <w:r>
      <w:rPr>
        <w:rStyle w:val="14"/>
      </w:rPr>
      <w:fldChar w:fldCharType="begin"/>
    </w:r>
    <w:r>
      <w:rPr>
        <w:rStyle w:val="14"/>
      </w:rPr>
      <w:instrText xml:space="preserve">PAGE  </w:instrText>
    </w:r>
    <w:r>
      <w:rPr>
        <w:rStyle w:val="1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D55299">
    <w:pPr>
      <w:pStyle w:val="8"/>
      <w:framePr w:wrap="around" w:vAnchor="text" w:hAnchor="margin" w:xAlign="right" w:y="1"/>
      <w:rPr>
        <w:rStyle w:val="14"/>
      </w:rPr>
    </w:pPr>
    <w:r>
      <w:fldChar w:fldCharType="begin"/>
    </w:r>
    <w:r>
      <w:rPr>
        <w:rStyle w:val="14"/>
      </w:rPr>
      <w:instrText xml:space="preserve">PAGE  </w:instrText>
    </w:r>
    <w:r>
      <w:fldChar w:fldCharType="separate"/>
    </w:r>
    <w:r>
      <w:rPr>
        <w:rStyle w:val="14"/>
      </w:rPr>
      <w:t>8</w:t>
    </w:r>
    <w:r>
      <w:fldChar w:fldCharType="end"/>
    </w:r>
  </w:p>
  <w:p w14:paraId="553F9B9C">
    <w:pPr>
      <w:pStyle w:val="36"/>
      <w:ind w:right="360"/>
      <w:rPr>
        <w:rStyle w:val="1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4EE94">
    <w:pPr>
      <w:pStyle w:val="8"/>
      <w:framePr w:wrap="around" w:vAnchor="text" w:hAnchor="margin" w:xAlign="right" w:y="1"/>
      <w:rPr>
        <w:rStyle w:val="14"/>
      </w:rPr>
    </w:pPr>
    <w:r>
      <w:fldChar w:fldCharType="begin"/>
    </w:r>
    <w:r>
      <w:rPr>
        <w:rStyle w:val="14"/>
      </w:rPr>
      <w:instrText xml:space="preserve">PAGE  </w:instrText>
    </w:r>
    <w:r>
      <w:fldChar w:fldCharType="separate"/>
    </w:r>
    <w:r>
      <w:fldChar w:fldCharType="end"/>
    </w:r>
  </w:p>
  <w:p w14:paraId="0088149A">
    <w:pPr>
      <w:pStyle w:val="35"/>
      <w:ind w:right="360"/>
      <w:rPr>
        <w:rStyle w:val="1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89781">
    <w:pPr>
      <w:pStyle w:val="34"/>
    </w:pPr>
    <w:r>
      <w:t>SN/T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42B04A">
    <w:pPr>
      <w:pStyle w:val="33"/>
    </w:pPr>
    <w:r>
      <w:t>SN/T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5CFCFE">
    <w:pPr>
      <w:pStyle w:val="37"/>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D0DD2">
    <w:pPr>
      <w:pStyle w:val="34"/>
    </w:pPr>
    <w:r>
      <w:rPr>
        <w:rFonts w:hint="eastAsia"/>
      </w:rPr>
      <w:t>YS</w:t>
    </w:r>
    <w:r>
      <w:t>/T</w:t>
    </w:r>
    <w:r>
      <w:rPr>
        <w:rFonts w:hint="eastAsia"/>
      </w:rPr>
      <w:t xml:space="preserve"> XXXX</w:t>
    </w:r>
    <w:r>
      <w:t>—</w:t>
    </w:r>
    <w:r>
      <w:rPr>
        <w:rFonts w:hint="eastAsia"/>
      </w:rPr>
      <w:t>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62"/>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pStyle w:val="58"/>
      <w:suff w:val="nothing"/>
      <w:lvlText w:val="%1%2.%3.%4.%5　"/>
      <w:lvlJc w:val="left"/>
      <w:pPr>
        <w:ind w:left="0" w:firstLine="0"/>
      </w:pPr>
      <w:rPr>
        <w:rFonts w:hint="eastAsia" w:ascii="黑体" w:hAnsi="Times New Roman" w:eastAsia="黑体"/>
        <w:b w:val="0"/>
        <w:i w:val="0"/>
        <w:sz w:val="21"/>
      </w:rPr>
    </w:lvl>
    <w:lvl w:ilvl="5" w:tentative="0">
      <w:start w:val="1"/>
      <w:numFmt w:val="decimal"/>
      <w:pStyle w:val="60"/>
      <w:suff w:val="nothing"/>
      <w:lvlText w:val="%1%2.%3.%4.%5.%6　"/>
      <w:lvlJc w:val="left"/>
      <w:pPr>
        <w:ind w:left="0" w:firstLine="0"/>
      </w:pPr>
      <w:rPr>
        <w:rFonts w:hint="eastAsia" w:ascii="黑体" w:hAnsi="Times New Roman" w:eastAsia="黑体"/>
        <w:b w:val="0"/>
        <w:i w:val="0"/>
        <w:sz w:val="21"/>
      </w:rPr>
    </w:lvl>
    <w:lvl w:ilvl="6" w:tentative="0">
      <w:start w:val="1"/>
      <w:numFmt w:val="decimal"/>
      <w:pStyle w:val="61"/>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0AE367E9"/>
    <w:multiLevelType w:val="multilevel"/>
    <w:tmpl w:val="0AE367E9"/>
    <w:lvl w:ilvl="0" w:tentative="0">
      <w:start w:val="1"/>
      <w:numFmt w:val="none"/>
      <w:pStyle w:val="59"/>
      <w:lvlText w:val="%1示例"/>
      <w:lvlJc w:val="left"/>
      <w:pPr>
        <w:tabs>
          <w:tab w:val="left" w:pos="1120"/>
        </w:tabs>
        <w:ind w:left="0" w:firstLine="400"/>
      </w:pPr>
      <w:rPr>
        <w:rFonts w:hint="eastAsia" w:ascii="宋体"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127D751C"/>
    <w:multiLevelType w:val="multilevel"/>
    <w:tmpl w:val="127D751C"/>
    <w:lvl w:ilvl="0" w:tentative="0">
      <w:start w:val="1"/>
      <w:numFmt w:val="decimal"/>
      <w:lvlText w:val="%1"/>
      <w:lvlJc w:val="left"/>
      <w:pPr>
        <w:ind w:left="42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407E65F9"/>
    <w:multiLevelType w:val="multilevel"/>
    <w:tmpl w:val="407E65F9"/>
    <w:lvl w:ilvl="0" w:tentative="0">
      <w:start w:val="1"/>
      <w:numFmt w:val="none"/>
      <w:pStyle w:val="57"/>
      <w:lvlText w:val="%1·　"/>
      <w:lvlJc w:val="left"/>
      <w:pPr>
        <w:tabs>
          <w:tab w:val="left" w:pos="1140"/>
        </w:tabs>
        <w:ind w:left="737" w:hanging="317"/>
      </w:pPr>
      <w:rPr>
        <w:rFonts w:hint="eastAsia" w:ascii="宋体" w:hAnsi="Times New Roman" w:eastAsia="宋体"/>
        <w:b w:val="0"/>
        <w:i w:val="0"/>
        <w:sz w:val="21"/>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
    <w:nsid w:val="46806F7D"/>
    <w:multiLevelType w:val="multilevel"/>
    <w:tmpl w:val="46806F7D"/>
    <w:lvl w:ilvl="0" w:tentative="0">
      <w:start w:val="1"/>
      <w:numFmt w:val="none"/>
      <w:pStyle w:val="71"/>
      <w:lvlText w:val="图"/>
      <w:lvlJc w:val="left"/>
      <w:pPr>
        <w:tabs>
          <w:tab w:val="left" w:pos="360"/>
        </w:tabs>
        <w:ind w:left="0" w:firstLine="0"/>
      </w:pPr>
      <w:rPr>
        <w:rFonts w:hint="eastAsia" w:ascii="黑体" w:eastAsia="黑体"/>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496E4D7B"/>
    <w:multiLevelType w:val="multilevel"/>
    <w:tmpl w:val="496E4D7B"/>
    <w:lvl w:ilvl="0" w:tentative="0">
      <w:start w:val="1"/>
      <w:numFmt w:val="none"/>
      <w:pStyle w:val="65"/>
      <w:lvlText w:val="%1注"/>
      <w:lvlJc w:val="left"/>
      <w:pPr>
        <w:tabs>
          <w:tab w:val="left" w:pos="900"/>
        </w:tabs>
        <w:ind w:left="900" w:hanging="500"/>
      </w:pPr>
      <w:rPr>
        <w:rFonts w:hint="eastAsia" w:ascii="宋体" w:hAnsi="Times New Roman"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557C2AF5"/>
    <w:multiLevelType w:val="multilevel"/>
    <w:tmpl w:val="557C2AF5"/>
    <w:lvl w:ilvl="0" w:tentative="0">
      <w:start w:val="1"/>
      <w:numFmt w:val="decimal"/>
      <w:pStyle w:val="64"/>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7">
    <w:nsid w:val="5CA85E0D"/>
    <w:multiLevelType w:val="multilevel"/>
    <w:tmpl w:val="5CA85E0D"/>
    <w:lvl w:ilvl="0" w:tentative="0">
      <w:start w:val="1"/>
      <w:numFmt w:val="decimal"/>
      <w:lvlText w:val="%1."/>
      <w:lvlJc w:val="left"/>
      <w:pPr>
        <w:tabs>
          <w:tab w:val="left" w:pos="780"/>
        </w:tabs>
        <w:ind w:left="780" w:hanging="360"/>
      </w:pPr>
      <w:rPr>
        <w:rFonts w:hint="default" w:ascii="Arial" w:hAnsi="Arial"/>
        <w:b w:val="0"/>
        <w:i w:val="0"/>
        <w:sz w:val="21"/>
      </w:rPr>
    </w:lvl>
    <w:lvl w:ilvl="1" w:tentative="0">
      <w:start w:val="1"/>
      <w:numFmt w:val="lowerLetter"/>
      <w:pStyle w:val="25"/>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646260FA"/>
    <w:multiLevelType w:val="multilevel"/>
    <w:tmpl w:val="646260FA"/>
    <w:lvl w:ilvl="0" w:tentative="0">
      <w:start w:val="1"/>
      <w:numFmt w:val="decimal"/>
      <w:pStyle w:val="63"/>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6CEA2025"/>
    <w:multiLevelType w:val="multilevel"/>
    <w:tmpl w:val="6CEA2025"/>
    <w:lvl w:ilvl="0" w:tentative="0">
      <w:start w:val="1"/>
      <w:numFmt w:val="none"/>
      <w:pStyle w:val="28"/>
      <w:suff w:val="nothing"/>
      <w:lvlText w:val="%1"/>
      <w:lvlJc w:val="left"/>
      <w:pPr>
        <w:ind w:left="0" w:firstLine="0"/>
      </w:pPr>
      <w:rPr>
        <w:rFonts w:hint="default" w:ascii="Times New Roman" w:hAnsi="Times New Roman"/>
        <w:b/>
        <w:i w:val="0"/>
        <w:sz w:val="21"/>
      </w:rPr>
    </w:lvl>
    <w:lvl w:ilvl="1" w:tentative="0">
      <w:start w:val="1"/>
      <w:numFmt w:val="decimal"/>
      <w:suff w:val="nothing"/>
      <w:lvlText w:val="%1%2　"/>
      <w:lvlJc w:val="left"/>
      <w:pPr>
        <w:ind w:left="0" w:firstLine="0"/>
      </w:pPr>
      <w:rPr>
        <w:rFonts w:hint="eastAsia" w:ascii="黑体" w:hAnsi="Times New Roman" w:eastAsia="黑体"/>
        <w:b w:val="0"/>
        <w:i w:val="0"/>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0">
    <w:nsid w:val="76155C30"/>
    <w:multiLevelType w:val="multilevel"/>
    <w:tmpl w:val="76155C30"/>
    <w:lvl w:ilvl="0" w:tentative="0">
      <w:start w:val="5"/>
      <w:numFmt w:val="decimal"/>
      <w:lvlText w:val="%1"/>
      <w:lvlJc w:val="left"/>
      <w:pPr>
        <w:ind w:left="648" w:hanging="648"/>
      </w:pPr>
      <w:rPr>
        <w:rFonts w:hint="default" w:ascii="黑体" w:hAnsi="黑体" w:eastAsia="黑体"/>
      </w:rPr>
    </w:lvl>
    <w:lvl w:ilvl="1" w:tentative="0">
      <w:start w:val="2"/>
      <w:numFmt w:val="decimal"/>
      <w:lvlText w:val="%1.%2"/>
      <w:lvlJc w:val="left"/>
      <w:pPr>
        <w:ind w:left="648" w:hanging="648"/>
      </w:pPr>
      <w:rPr>
        <w:rFonts w:hint="default" w:ascii="黑体" w:hAnsi="黑体" w:eastAsia="黑体"/>
      </w:rPr>
    </w:lvl>
    <w:lvl w:ilvl="2" w:tentative="0">
      <w:start w:val="17"/>
      <w:numFmt w:val="decimal"/>
      <w:lvlText w:val="%1.%2.%3"/>
      <w:lvlJc w:val="left"/>
      <w:pPr>
        <w:ind w:left="720" w:hanging="720"/>
      </w:pPr>
      <w:rPr>
        <w:rFonts w:hint="default" w:ascii="黑体" w:hAnsi="黑体" w:eastAsia="黑体"/>
      </w:rPr>
    </w:lvl>
    <w:lvl w:ilvl="3" w:tentative="0">
      <w:start w:val="1"/>
      <w:numFmt w:val="decimal"/>
      <w:lvlText w:val="%1.%2.%3.%4"/>
      <w:lvlJc w:val="left"/>
      <w:pPr>
        <w:ind w:left="1080" w:hanging="1080"/>
      </w:pPr>
      <w:rPr>
        <w:rFonts w:hint="default" w:ascii="黑体" w:hAnsi="黑体" w:eastAsia="黑体"/>
      </w:rPr>
    </w:lvl>
    <w:lvl w:ilvl="4" w:tentative="0">
      <w:start w:val="1"/>
      <w:numFmt w:val="decimal"/>
      <w:lvlText w:val="%1.%2.%3.%4.%5"/>
      <w:lvlJc w:val="left"/>
      <w:pPr>
        <w:ind w:left="1080" w:hanging="1080"/>
      </w:pPr>
      <w:rPr>
        <w:rFonts w:hint="default" w:ascii="黑体" w:hAnsi="黑体" w:eastAsia="黑体"/>
      </w:rPr>
    </w:lvl>
    <w:lvl w:ilvl="5" w:tentative="0">
      <w:start w:val="1"/>
      <w:numFmt w:val="decimal"/>
      <w:lvlText w:val="%1.%2.%3.%4.%5.%6"/>
      <w:lvlJc w:val="left"/>
      <w:pPr>
        <w:ind w:left="1440" w:hanging="1440"/>
      </w:pPr>
      <w:rPr>
        <w:rFonts w:hint="default" w:ascii="黑体" w:hAnsi="黑体" w:eastAsia="黑体"/>
      </w:rPr>
    </w:lvl>
    <w:lvl w:ilvl="6" w:tentative="0">
      <w:start w:val="1"/>
      <w:numFmt w:val="decimal"/>
      <w:lvlText w:val="%1.%2.%3.%4.%5.%6.%7"/>
      <w:lvlJc w:val="left"/>
      <w:pPr>
        <w:ind w:left="1440" w:hanging="1440"/>
      </w:pPr>
      <w:rPr>
        <w:rFonts w:hint="default" w:ascii="黑体" w:hAnsi="黑体" w:eastAsia="黑体"/>
      </w:rPr>
    </w:lvl>
    <w:lvl w:ilvl="7" w:tentative="0">
      <w:start w:val="1"/>
      <w:numFmt w:val="decimal"/>
      <w:lvlText w:val="%1.%2.%3.%4.%5.%6.%7.%8"/>
      <w:lvlJc w:val="left"/>
      <w:pPr>
        <w:ind w:left="1800" w:hanging="1800"/>
      </w:pPr>
      <w:rPr>
        <w:rFonts w:hint="default" w:ascii="黑体" w:hAnsi="黑体" w:eastAsia="黑体"/>
      </w:rPr>
    </w:lvl>
    <w:lvl w:ilvl="8" w:tentative="0">
      <w:start w:val="1"/>
      <w:numFmt w:val="decimal"/>
      <w:lvlText w:val="%1.%2.%3.%4.%5.%6.%7.%8.%9"/>
      <w:lvlJc w:val="left"/>
      <w:pPr>
        <w:ind w:left="1800" w:hanging="1800"/>
      </w:pPr>
      <w:rPr>
        <w:rFonts w:hint="default" w:ascii="黑体" w:hAnsi="黑体" w:eastAsia="黑体"/>
      </w:rPr>
    </w:lvl>
  </w:abstractNum>
  <w:abstractNum w:abstractNumId="11">
    <w:nsid w:val="76933334"/>
    <w:multiLevelType w:val="multilevel"/>
    <w:tmpl w:val="76933334"/>
    <w:lvl w:ilvl="0" w:tentative="0">
      <w:start w:val="1"/>
      <w:numFmt w:val="none"/>
      <w:pStyle w:val="77"/>
      <w:lvlText w:val="%1——"/>
      <w:lvlJc w:val="left"/>
      <w:pPr>
        <w:tabs>
          <w:tab w:val="left" w:pos="11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7"/>
  </w:num>
  <w:num w:numId="2">
    <w:abstractNumId w:val="9"/>
  </w:num>
  <w:num w:numId="3">
    <w:abstractNumId w:val="3"/>
  </w:num>
  <w:num w:numId="4">
    <w:abstractNumId w:val="0"/>
  </w:num>
  <w:num w:numId="5">
    <w:abstractNumId w:val="1"/>
  </w:num>
  <w:num w:numId="6">
    <w:abstractNumId w:val="8"/>
  </w:num>
  <w:num w:numId="7">
    <w:abstractNumId w:val="6"/>
  </w:num>
  <w:num w:numId="8">
    <w:abstractNumId w:val="5"/>
  </w:num>
  <w:num w:numId="9">
    <w:abstractNumId w:val="4"/>
  </w:num>
  <w:num w:numId="10">
    <w:abstractNumId w:val="11"/>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UwODFkZmRjNGU5MDAxY2UzYjY0YWZmYzhkZGZlNjMifQ=="/>
  </w:docVars>
  <w:rsids>
    <w:rsidRoot w:val="00B96F64"/>
    <w:rsid w:val="00003473"/>
    <w:rsid w:val="000075BE"/>
    <w:rsid w:val="00014873"/>
    <w:rsid w:val="000150B4"/>
    <w:rsid w:val="000167F5"/>
    <w:rsid w:val="00017811"/>
    <w:rsid w:val="00023610"/>
    <w:rsid w:val="00030BA6"/>
    <w:rsid w:val="0004548F"/>
    <w:rsid w:val="000509E5"/>
    <w:rsid w:val="00051EC3"/>
    <w:rsid w:val="000535DD"/>
    <w:rsid w:val="00062520"/>
    <w:rsid w:val="00062A7A"/>
    <w:rsid w:val="00063DD4"/>
    <w:rsid w:val="00076913"/>
    <w:rsid w:val="00076F1C"/>
    <w:rsid w:val="000812D2"/>
    <w:rsid w:val="00091603"/>
    <w:rsid w:val="00094065"/>
    <w:rsid w:val="00096B74"/>
    <w:rsid w:val="000A21AE"/>
    <w:rsid w:val="000B03BB"/>
    <w:rsid w:val="000B1726"/>
    <w:rsid w:val="000C0DCA"/>
    <w:rsid w:val="000C1696"/>
    <w:rsid w:val="000C1D26"/>
    <w:rsid w:val="000C3510"/>
    <w:rsid w:val="000C46C7"/>
    <w:rsid w:val="000C616E"/>
    <w:rsid w:val="000C6B0F"/>
    <w:rsid w:val="000D1060"/>
    <w:rsid w:val="000D119E"/>
    <w:rsid w:val="000D3B3C"/>
    <w:rsid w:val="000E1B3E"/>
    <w:rsid w:val="000E7FBB"/>
    <w:rsid w:val="000F1607"/>
    <w:rsid w:val="000F37CF"/>
    <w:rsid w:val="00101FB1"/>
    <w:rsid w:val="001101CE"/>
    <w:rsid w:val="001204AE"/>
    <w:rsid w:val="00122007"/>
    <w:rsid w:val="001228EE"/>
    <w:rsid w:val="00122974"/>
    <w:rsid w:val="00123D33"/>
    <w:rsid w:val="001243AB"/>
    <w:rsid w:val="00127280"/>
    <w:rsid w:val="00135745"/>
    <w:rsid w:val="00137E05"/>
    <w:rsid w:val="00141C39"/>
    <w:rsid w:val="001445C2"/>
    <w:rsid w:val="00162370"/>
    <w:rsid w:val="00181C2D"/>
    <w:rsid w:val="001A45C7"/>
    <w:rsid w:val="001A596C"/>
    <w:rsid w:val="001A7DA5"/>
    <w:rsid w:val="001B2353"/>
    <w:rsid w:val="001B63F5"/>
    <w:rsid w:val="001B74C2"/>
    <w:rsid w:val="001C0DDE"/>
    <w:rsid w:val="001C2A20"/>
    <w:rsid w:val="001C510B"/>
    <w:rsid w:val="001D18BC"/>
    <w:rsid w:val="001D5471"/>
    <w:rsid w:val="001E182D"/>
    <w:rsid w:val="001E282F"/>
    <w:rsid w:val="001E4819"/>
    <w:rsid w:val="001E7CA5"/>
    <w:rsid w:val="001F07F9"/>
    <w:rsid w:val="001F199E"/>
    <w:rsid w:val="001F4EE4"/>
    <w:rsid w:val="001F66FE"/>
    <w:rsid w:val="001F6F06"/>
    <w:rsid w:val="00202F6D"/>
    <w:rsid w:val="00211F32"/>
    <w:rsid w:val="00213C14"/>
    <w:rsid w:val="00213E0B"/>
    <w:rsid w:val="002175C6"/>
    <w:rsid w:val="0022409B"/>
    <w:rsid w:val="00225031"/>
    <w:rsid w:val="002322DC"/>
    <w:rsid w:val="00235CC3"/>
    <w:rsid w:val="00251E1B"/>
    <w:rsid w:val="00260662"/>
    <w:rsid w:val="00260975"/>
    <w:rsid w:val="002619DB"/>
    <w:rsid w:val="00261ABF"/>
    <w:rsid w:val="00261D54"/>
    <w:rsid w:val="00261DD5"/>
    <w:rsid w:val="00272BEB"/>
    <w:rsid w:val="0028392D"/>
    <w:rsid w:val="00287C80"/>
    <w:rsid w:val="00290B9D"/>
    <w:rsid w:val="002A1F2A"/>
    <w:rsid w:val="002A3FA9"/>
    <w:rsid w:val="002B261E"/>
    <w:rsid w:val="002C2E9E"/>
    <w:rsid w:val="002C31B6"/>
    <w:rsid w:val="002D004A"/>
    <w:rsid w:val="002D1962"/>
    <w:rsid w:val="002D3420"/>
    <w:rsid w:val="002D5E1C"/>
    <w:rsid w:val="002D6AAC"/>
    <w:rsid w:val="002E6B45"/>
    <w:rsid w:val="002F1827"/>
    <w:rsid w:val="002F67C5"/>
    <w:rsid w:val="002F6A6B"/>
    <w:rsid w:val="0030269F"/>
    <w:rsid w:val="00305333"/>
    <w:rsid w:val="00317B1D"/>
    <w:rsid w:val="00321D15"/>
    <w:rsid w:val="003234D4"/>
    <w:rsid w:val="00326947"/>
    <w:rsid w:val="00337504"/>
    <w:rsid w:val="003441EB"/>
    <w:rsid w:val="003454BB"/>
    <w:rsid w:val="0034609D"/>
    <w:rsid w:val="00357A03"/>
    <w:rsid w:val="00366193"/>
    <w:rsid w:val="003714AC"/>
    <w:rsid w:val="00371E83"/>
    <w:rsid w:val="003770D5"/>
    <w:rsid w:val="003802BF"/>
    <w:rsid w:val="003804E2"/>
    <w:rsid w:val="00380E82"/>
    <w:rsid w:val="00385DD9"/>
    <w:rsid w:val="003872C6"/>
    <w:rsid w:val="00387DE8"/>
    <w:rsid w:val="00392C6D"/>
    <w:rsid w:val="003939B4"/>
    <w:rsid w:val="003962E6"/>
    <w:rsid w:val="003A029A"/>
    <w:rsid w:val="003A67AA"/>
    <w:rsid w:val="003A7CC2"/>
    <w:rsid w:val="003B7AE5"/>
    <w:rsid w:val="003D2370"/>
    <w:rsid w:val="003D7331"/>
    <w:rsid w:val="003E2DA2"/>
    <w:rsid w:val="003E303A"/>
    <w:rsid w:val="003E3A35"/>
    <w:rsid w:val="003E7C83"/>
    <w:rsid w:val="003F1963"/>
    <w:rsid w:val="003F25CF"/>
    <w:rsid w:val="003F74B9"/>
    <w:rsid w:val="004036EE"/>
    <w:rsid w:val="00403CE7"/>
    <w:rsid w:val="004109FD"/>
    <w:rsid w:val="00411651"/>
    <w:rsid w:val="00411801"/>
    <w:rsid w:val="00411D9C"/>
    <w:rsid w:val="004134F2"/>
    <w:rsid w:val="00414BA0"/>
    <w:rsid w:val="00417B76"/>
    <w:rsid w:val="00421990"/>
    <w:rsid w:val="00425CE0"/>
    <w:rsid w:val="00426880"/>
    <w:rsid w:val="00426CBA"/>
    <w:rsid w:val="00427A38"/>
    <w:rsid w:val="00430F3C"/>
    <w:rsid w:val="004369C2"/>
    <w:rsid w:val="004404BB"/>
    <w:rsid w:val="00442A33"/>
    <w:rsid w:val="00444149"/>
    <w:rsid w:val="00447705"/>
    <w:rsid w:val="00454626"/>
    <w:rsid w:val="0045551C"/>
    <w:rsid w:val="0045631A"/>
    <w:rsid w:val="004607E1"/>
    <w:rsid w:val="0046083E"/>
    <w:rsid w:val="00460FDB"/>
    <w:rsid w:val="004648B5"/>
    <w:rsid w:val="00464BA1"/>
    <w:rsid w:val="004653F3"/>
    <w:rsid w:val="0048589C"/>
    <w:rsid w:val="00485E0E"/>
    <w:rsid w:val="00487DC2"/>
    <w:rsid w:val="00491FEF"/>
    <w:rsid w:val="004A1830"/>
    <w:rsid w:val="004A22AE"/>
    <w:rsid w:val="004A35CA"/>
    <w:rsid w:val="004A6E72"/>
    <w:rsid w:val="004B07C5"/>
    <w:rsid w:val="004B59A4"/>
    <w:rsid w:val="004C533E"/>
    <w:rsid w:val="004C5EF4"/>
    <w:rsid w:val="004D322D"/>
    <w:rsid w:val="004D7063"/>
    <w:rsid w:val="004E0759"/>
    <w:rsid w:val="004E2496"/>
    <w:rsid w:val="004E4BA7"/>
    <w:rsid w:val="004E6183"/>
    <w:rsid w:val="004E68FF"/>
    <w:rsid w:val="004F54D9"/>
    <w:rsid w:val="00501E66"/>
    <w:rsid w:val="005027A6"/>
    <w:rsid w:val="0051080C"/>
    <w:rsid w:val="005161FB"/>
    <w:rsid w:val="00520AD4"/>
    <w:rsid w:val="00527F4D"/>
    <w:rsid w:val="00536357"/>
    <w:rsid w:val="00537F51"/>
    <w:rsid w:val="00542F64"/>
    <w:rsid w:val="0054429F"/>
    <w:rsid w:val="00544B05"/>
    <w:rsid w:val="00544F05"/>
    <w:rsid w:val="005517C3"/>
    <w:rsid w:val="005545E0"/>
    <w:rsid w:val="00561C71"/>
    <w:rsid w:val="00562B2E"/>
    <w:rsid w:val="00563A24"/>
    <w:rsid w:val="00564F6D"/>
    <w:rsid w:val="00567480"/>
    <w:rsid w:val="00572CFE"/>
    <w:rsid w:val="00572EA8"/>
    <w:rsid w:val="0057346C"/>
    <w:rsid w:val="0057516B"/>
    <w:rsid w:val="0057579E"/>
    <w:rsid w:val="005758E9"/>
    <w:rsid w:val="00582295"/>
    <w:rsid w:val="00583E57"/>
    <w:rsid w:val="00584DE5"/>
    <w:rsid w:val="00594506"/>
    <w:rsid w:val="00594675"/>
    <w:rsid w:val="0059608D"/>
    <w:rsid w:val="0059785F"/>
    <w:rsid w:val="005A266F"/>
    <w:rsid w:val="005B6F93"/>
    <w:rsid w:val="005C02AD"/>
    <w:rsid w:val="005C0EB9"/>
    <w:rsid w:val="005C5144"/>
    <w:rsid w:val="005E72C2"/>
    <w:rsid w:val="005F1519"/>
    <w:rsid w:val="005F347E"/>
    <w:rsid w:val="00601FEF"/>
    <w:rsid w:val="00602A90"/>
    <w:rsid w:val="00604964"/>
    <w:rsid w:val="00604FA5"/>
    <w:rsid w:val="00606D6E"/>
    <w:rsid w:val="00624453"/>
    <w:rsid w:val="00630A2D"/>
    <w:rsid w:val="00632528"/>
    <w:rsid w:val="0063523D"/>
    <w:rsid w:val="00636950"/>
    <w:rsid w:val="00636E0B"/>
    <w:rsid w:val="00637BEA"/>
    <w:rsid w:val="0064107B"/>
    <w:rsid w:val="00645F15"/>
    <w:rsid w:val="00646CDF"/>
    <w:rsid w:val="00646F56"/>
    <w:rsid w:val="00650946"/>
    <w:rsid w:val="00650D0C"/>
    <w:rsid w:val="00650D8C"/>
    <w:rsid w:val="00654C4F"/>
    <w:rsid w:val="00655F6B"/>
    <w:rsid w:val="00671330"/>
    <w:rsid w:val="006716C0"/>
    <w:rsid w:val="0067342A"/>
    <w:rsid w:val="00680D83"/>
    <w:rsid w:val="00682286"/>
    <w:rsid w:val="00683899"/>
    <w:rsid w:val="00685377"/>
    <w:rsid w:val="006865BC"/>
    <w:rsid w:val="006953E8"/>
    <w:rsid w:val="006A2084"/>
    <w:rsid w:val="006A474A"/>
    <w:rsid w:val="006B1AC6"/>
    <w:rsid w:val="006B2C8E"/>
    <w:rsid w:val="006B50B4"/>
    <w:rsid w:val="006B5A15"/>
    <w:rsid w:val="006B79A5"/>
    <w:rsid w:val="006C2A4A"/>
    <w:rsid w:val="006D1074"/>
    <w:rsid w:val="006D499A"/>
    <w:rsid w:val="006E009D"/>
    <w:rsid w:val="006F725F"/>
    <w:rsid w:val="007013B6"/>
    <w:rsid w:val="00705113"/>
    <w:rsid w:val="00705342"/>
    <w:rsid w:val="00705970"/>
    <w:rsid w:val="007074C2"/>
    <w:rsid w:val="00707DD1"/>
    <w:rsid w:val="00712502"/>
    <w:rsid w:val="0071434E"/>
    <w:rsid w:val="0071462D"/>
    <w:rsid w:val="00717D22"/>
    <w:rsid w:val="0072072C"/>
    <w:rsid w:val="007223C0"/>
    <w:rsid w:val="00724C04"/>
    <w:rsid w:val="00726E31"/>
    <w:rsid w:val="00730079"/>
    <w:rsid w:val="00730E22"/>
    <w:rsid w:val="0073191E"/>
    <w:rsid w:val="007409BC"/>
    <w:rsid w:val="00743272"/>
    <w:rsid w:val="0074348B"/>
    <w:rsid w:val="00744FFA"/>
    <w:rsid w:val="00754DDC"/>
    <w:rsid w:val="007607D2"/>
    <w:rsid w:val="00762C10"/>
    <w:rsid w:val="007636CE"/>
    <w:rsid w:val="0076489E"/>
    <w:rsid w:val="00773C2A"/>
    <w:rsid w:val="007749AA"/>
    <w:rsid w:val="00783156"/>
    <w:rsid w:val="00784BD1"/>
    <w:rsid w:val="00785B67"/>
    <w:rsid w:val="007871C3"/>
    <w:rsid w:val="0078756E"/>
    <w:rsid w:val="0079001D"/>
    <w:rsid w:val="00790A72"/>
    <w:rsid w:val="00795297"/>
    <w:rsid w:val="00797DED"/>
    <w:rsid w:val="007A39E8"/>
    <w:rsid w:val="007A6230"/>
    <w:rsid w:val="007B0FA6"/>
    <w:rsid w:val="007B2941"/>
    <w:rsid w:val="007B33BF"/>
    <w:rsid w:val="007C2CF0"/>
    <w:rsid w:val="007C354E"/>
    <w:rsid w:val="007C4AE3"/>
    <w:rsid w:val="007C5367"/>
    <w:rsid w:val="007C7397"/>
    <w:rsid w:val="007D44E8"/>
    <w:rsid w:val="007F1094"/>
    <w:rsid w:val="00806313"/>
    <w:rsid w:val="008122B9"/>
    <w:rsid w:val="00821558"/>
    <w:rsid w:val="00831EB5"/>
    <w:rsid w:val="00835CC4"/>
    <w:rsid w:val="00837B40"/>
    <w:rsid w:val="008475F5"/>
    <w:rsid w:val="00851574"/>
    <w:rsid w:val="0086000A"/>
    <w:rsid w:val="008667B0"/>
    <w:rsid w:val="00876790"/>
    <w:rsid w:val="008879A7"/>
    <w:rsid w:val="00892E0C"/>
    <w:rsid w:val="00892EB1"/>
    <w:rsid w:val="008A1789"/>
    <w:rsid w:val="008A26BA"/>
    <w:rsid w:val="008A4B1D"/>
    <w:rsid w:val="008A5C10"/>
    <w:rsid w:val="008B3674"/>
    <w:rsid w:val="008C0A76"/>
    <w:rsid w:val="008C3055"/>
    <w:rsid w:val="008C5E13"/>
    <w:rsid w:val="008C7570"/>
    <w:rsid w:val="008D22A8"/>
    <w:rsid w:val="008D306B"/>
    <w:rsid w:val="008E5831"/>
    <w:rsid w:val="008F3D00"/>
    <w:rsid w:val="00900D01"/>
    <w:rsid w:val="00905764"/>
    <w:rsid w:val="009063E8"/>
    <w:rsid w:val="00906EEE"/>
    <w:rsid w:val="0091186B"/>
    <w:rsid w:val="00912A1B"/>
    <w:rsid w:val="00913BCD"/>
    <w:rsid w:val="0092096F"/>
    <w:rsid w:val="0093600B"/>
    <w:rsid w:val="0093729A"/>
    <w:rsid w:val="00940B82"/>
    <w:rsid w:val="009411A1"/>
    <w:rsid w:val="009415B7"/>
    <w:rsid w:val="00942B58"/>
    <w:rsid w:val="00943A11"/>
    <w:rsid w:val="00950A52"/>
    <w:rsid w:val="00952F1E"/>
    <w:rsid w:val="00955197"/>
    <w:rsid w:val="0095586D"/>
    <w:rsid w:val="009571E1"/>
    <w:rsid w:val="009622AC"/>
    <w:rsid w:val="009626DD"/>
    <w:rsid w:val="00962E66"/>
    <w:rsid w:val="00963FCC"/>
    <w:rsid w:val="00970CEA"/>
    <w:rsid w:val="00972044"/>
    <w:rsid w:val="0097320E"/>
    <w:rsid w:val="00977234"/>
    <w:rsid w:val="00977481"/>
    <w:rsid w:val="0098065C"/>
    <w:rsid w:val="009814E8"/>
    <w:rsid w:val="009828DC"/>
    <w:rsid w:val="00986C8C"/>
    <w:rsid w:val="00991A80"/>
    <w:rsid w:val="0099785D"/>
    <w:rsid w:val="009A09EF"/>
    <w:rsid w:val="009A58BE"/>
    <w:rsid w:val="009A5A30"/>
    <w:rsid w:val="009B006A"/>
    <w:rsid w:val="009B2CC0"/>
    <w:rsid w:val="009B2E5A"/>
    <w:rsid w:val="009C09ED"/>
    <w:rsid w:val="009C1CDA"/>
    <w:rsid w:val="009D115C"/>
    <w:rsid w:val="009D5321"/>
    <w:rsid w:val="009E0505"/>
    <w:rsid w:val="009E4DA2"/>
    <w:rsid w:val="009F1507"/>
    <w:rsid w:val="009F1FA1"/>
    <w:rsid w:val="009F4A27"/>
    <w:rsid w:val="009F5189"/>
    <w:rsid w:val="00A05B85"/>
    <w:rsid w:val="00A100E1"/>
    <w:rsid w:val="00A10D96"/>
    <w:rsid w:val="00A138D9"/>
    <w:rsid w:val="00A15F0F"/>
    <w:rsid w:val="00A16904"/>
    <w:rsid w:val="00A20209"/>
    <w:rsid w:val="00A20C3D"/>
    <w:rsid w:val="00A37E23"/>
    <w:rsid w:val="00A42AF9"/>
    <w:rsid w:val="00A4614C"/>
    <w:rsid w:val="00A510D4"/>
    <w:rsid w:val="00A52519"/>
    <w:rsid w:val="00A54F1D"/>
    <w:rsid w:val="00A578E7"/>
    <w:rsid w:val="00A60A55"/>
    <w:rsid w:val="00A73596"/>
    <w:rsid w:val="00A80D69"/>
    <w:rsid w:val="00A8395A"/>
    <w:rsid w:val="00A87591"/>
    <w:rsid w:val="00A910F1"/>
    <w:rsid w:val="00A91C0E"/>
    <w:rsid w:val="00A92DB8"/>
    <w:rsid w:val="00AA3917"/>
    <w:rsid w:val="00AA4142"/>
    <w:rsid w:val="00AB4E53"/>
    <w:rsid w:val="00AC6E81"/>
    <w:rsid w:val="00AD0B56"/>
    <w:rsid w:val="00AD3CB5"/>
    <w:rsid w:val="00AD56A0"/>
    <w:rsid w:val="00AE3A73"/>
    <w:rsid w:val="00AE67FA"/>
    <w:rsid w:val="00AE68FD"/>
    <w:rsid w:val="00AF0E81"/>
    <w:rsid w:val="00AF163F"/>
    <w:rsid w:val="00AF1B6F"/>
    <w:rsid w:val="00AF7ACD"/>
    <w:rsid w:val="00B01F4A"/>
    <w:rsid w:val="00B0230E"/>
    <w:rsid w:val="00B026B6"/>
    <w:rsid w:val="00B042E0"/>
    <w:rsid w:val="00B0644B"/>
    <w:rsid w:val="00B06C1D"/>
    <w:rsid w:val="00B077AD"/>
    <w:rsid w:val="00B077EB"/>
    <w:rsid w:val="00B15836"/>
    <w:rsid w:val="00B20773"/>
    <w:rsid w:val="00B23059"/>
    <w:rsid w:val="00B24E12"/>
    <w:rsid w:val="00B37F2B"/>
    <w:rsid w:val="00B43779"/>
    <w:rsid w:val="00B43FE6"/>
    <w:rsid w:val="00B45CC6"/>
    <w:rsid w:val="00B6055F"/>
    <w:rsid w:val="00B606A3"/>
    <w:rsid w:val="00B60C62"/>
    <w:rsid w:val="00B63071"/>
    <w:rsid w:val="00B63CA0"/>
    <w:rsid w:val="00B76D3D"/>
    <w:rsid w:val="00B921F5"/>
    <w:rsid w:val="00B940D9"/>
    <w:rsid w:val="00B965CE"/>
    <w:rsid w:val="00B96F64"/>
    <w:rsid w:val="00BA06DE"/>
    <w:rsid w:val="00BA3BBA"/>
    <w:rsid w:val="00BA70C4"/>
    <w:rsid w:val="00BA73F2"/>
    <w:rsid w:val="00BB3DB3"/>
    <w:rsid w:val="00BB7477"/>
    <w:rsid w:val="00BC0DA3"/>
    <w:rsid w:val="00BC238A"/>
    <w:rsid w:val="00BC3937"/>
    <w:rsid w:val="00BE22A5"/>
    <w:rsid w:val="00BE2C9D"/>
    <w:rsid w:val="00BE31C1"/>
    <w:rsid w:val="00BE37DF"/>
    <w:rsid w:val="00C13218"/>
    <w:rsid w:val="00C20921"/>
    <w:rsid w:val="00C32406"/>
    <w:rsid w:val="00C40E43"/>
    <w:rsid w:val="00C464B2"/>
    <w:rsid w:val="00C53CFD"/>
    <w:rsid w:val="00C661B7"/>
    <w:rsid w:val="00C67898"/>
    <w:rsid w:val="00C74E92"/>
    <w:rsid w:val="00C770DE"/>
    <w:rsid w:val="00C81339"/>
    <w:rsid w:val="00C83D07"/>
    <w:rsid w:val="00C91687"/>
    <w:rsid w:val="00C96C58"/>
    <w:rsid w:val="00CA07E5"/>
    <w:rsid w:val="00CA583A"/>
    <w:rsid w:val="00CA5FAD"/>
    <w:rsid w:val="00CA7D66"/>
    <w:rsid w:val="00CA7F0F"/>
    <w:rsid w:val="00CB5CA0"/>
    <w:rsid w:val="00CB6932"/>
    <w:rsid w:val="00CB7B1C"/>
    <w:rsid w:val="00CC2118"/>
    <w:rsid w:val="00CD0881"/>
    <w:rsid w:val="00CD27F7"/>
    <w:rsid w:val="00CD597C"/>
    <w:rsid w:val="00CD5BE2"/>
    <w:rsid w:val="00CE049A"/>
    <w:rsid w:val="00CE6F29"/>
    <w:rsid w:val="00CF462C"/>
    <w:rsid w:val="00D00B0D"/>
    <w:rsid w:val="00D04F46"/>
    <w:rsid w:val="00D0537F"/>
    <w:rsid w:val="00D11F87"/>
    <w:rsid w:val="00D16017"/>
    <w:rsid w:val="00D161C3"/>
    <w:rsid w:val="00D16DD1"/>
    <w:rsid w:val="00D1795C"/>
    <w:rsid w:val="00D23189"/>
    <w:rsid w:val="00D270D0"/>
    <w:rsid w:val="00D32DF3"/>
    <w:rsid w:val="00D338CC"/>
    <w:rsid w:val="00D339C5"/>
    <w:rsid w:val="00D40D45"/>
    <w:rsid w:val="00D426AF"/>
    <w:rsid w:val="00D507CB"/>
    <w:rsid w:val="00D5623B"/>
    <w:rsid w:val="00D609DD"/>
    <w:rsid w:val="00D64A6A"/>
    <w:rsid w:val="00D65485"/>
    <w:rsid w:val="00D857B8"/>
    <w:rsid w:val="00D87923"/>
    <w:rsid w:val="00D94CDC"/>
    <w:rsid w:val="00DA1054"/>
    <w:rsid w:val="00DB2E01"/>
    <w:rsid w:val="00DB33A1"/>
    <w:rsid w:val="00DB7D1F"/>
    <w:rsid w:val="00DC413D"/>
    <w:rsid w:val="00DD17F5"/>
    <w:rsid w:val="00DD395E"/>
    <w:rsid w:val="00DE101D"/>
    <w:rsid w:val="00DE63BE"/>
    <w:rsid w:val="00DE7242"/>
    <w:rsid w:val="00DF39BC"/>
    <w:rsid w:val="00DF470D"/>
    <w:rsid w:val="00E001C5"/>
    <w:rsid w:val="00E01F24"/>
    <w:rsid w:val="00E04602"/>
    <w:rsid w:val="00E068C6"/>
    <w:rsid w:val="00E11E4B"/>
    <w:rsid w:val="00E15886"/>
    <w:rsid w:val="00E23733"/>
    <w:rsid w:val="00E23A13"/>
    <w:rsid w:val="00E23DE4"/>
    <w:rsid w:val="00E254D6"/>
    <w:rsid w:val="00E37FE6"/>
    <w:rsid w:val="00E41576"/>
    <w:rsid w:val="00E44BB8"/>
    <w:rsid w:val="00E515C5"/>
    <w:rsid w:val="00E52D4E"/>
    <w:rsid w:val="00E61ABD"/>
    <w:rsid w:val="00E67A72"/>
    <w:rsid w:val="00E720C5"/>
    <w:rsid w:val="00E7396C"/>
    <w:rsid w:val="00E80C69"/>
    <w:rsid w:val="00E80E95"/>
    <w:rsid w:val="00E817EC"/>
    <w:rsid w:val="00E873A6"/>
    <w:rsid w:val="00EA0485"/>
    <w:rsid w:val="00EA32E2"/>
    <w:rsid w:val="00EA6088"/>
    <w:rsid w:val="00EB2AF6"/>
    <w:rsid w:val="00EB6B52"/>
    <w:rsid w:val="00EC1723"/>
    <w:rsid w:val="00EC3AFF"/>
    <w:rsid w:val="00EC4BB9"/>
    <w:rsid w:val="00EC732B"/>
    <w:rsid w:val="00ED577D"/>
    <w:rsid w:val="00EE16B4"/>
    <w:rsid w:val="00EE331D"/>
    <w:rsid w:val="00F03DC8"/>
    <w:rsid w:val="00F1105D"/>
    <w:rsid w:val="00F200E8"/>
    <w:rsid w:val="00F25DA5"/>
    <w:rsid w:val="00F2601D"/>
    <w:rsid w:val="00F3264B"/>
    <w:rsid w:val="00F42B41"/>
    <w:rsid w:val="00F463D3"/>
    <w:rsid w:val="00F51998"/>
    <w:rsid w:val="00F61BD2"/>
    <w:rsid w:val="00F6296A"/>
    <w:rsid w:val="00F72F39"/>
    <w:rsid w:val="00F81074"/>
    <w:rsid w:val="00F84FF7"/>
    <w:rsid w:val="00F86197"/>
    <w:rsid w:val="00F90025"/>
    <w:rsid w:val="00F95C30"/>
    <w:rsid w:val="00F97051"/>
    <w:rsid w:val="00F970AA"/>
    <w:rsid w:val="00FA7B13"/>
    <w:rsid w:val="00FB35DF"/>
    <w:rsid w:val="00FB3F02"/>
    <w:rsid w:val="00FB5DDD"/>
    <w:rsid w:val="00FB6992"/>
    <w:rsid w:val="00FC02DE"/>
    <w:rsid w:val="00FC5004"/>
    <w:rsid w:val="00FC6598"/>
    <w:rsid w:val="00FD6014"/>
    <w:rsid w:val="00FD60AD"/>
    <w:rsid w:val="00FD7A0B"/>
    <w:rsid w:val="00FE1293"/>
    <w:rsid w:val="02731091"/>
    <w:rsid w:val="03D738A7"/>
    <w:rsid w:val="04726D78"/>
    <w:rsid w:val="05CD22AC"/>
    <w:rsid w:val="07106873"/>
    <w:rsid w:val="071D4AEC"/>
    <w:rsid w:val="07283098"/>
    <w:rsid w:val="084D5046"/>
    <w:rsid w:val="0CE51C08"/>
    <w:rsid w:val="0DDE3227"/>
    <w:rsid w:val="0E296153"/>
    <w:rsid w:val="0E813BB2"/>
    <w:rsid w:val="0EDC703A"/>
    <w:rsid w:val="0F444E69"/>
    <w:rsid w:val="0F9811B3"/>
    <w:rsid w:val="106F0166"/>
    <w:rsid w:val="109202F8"/>
    <w:rsid w:val="12B91B2F"/>
    <w:rsid w:val="14F52C04"/>
    <w:rsid w:val="15DF1929"/>
    <w:rsid w:val="1ABE3B06"/>
    <w:rsid w:val="1B6603B7"/>
    <w:rsid w:val="1BBB0703"/>
    <w:rsid w:val="1BCA303C"/>
    <w:rsid w:val="1BD71E70"/>
    <w:rsid w:val="1D4B5AB7"/>
    <w:rsid w:val="1E450758"/>
    <w:rsid w:val="1ECE1168"/>
    <w:rsid w:val="2035036D"/>
    <w:rsid w:val="20A60D67"/>
    <w:rsid w:val="22196184"/>
    <w:rsid w:val="22622A13"/>
    <w:rsid w:val="22B1460E"/>
    <w:rsid w:val="23020158"/>
    <w:rsid w:val="237E154E"/>
    <w:rsid w:val="24F829C8"/>
    <w:rsid w:val="295D729E"/>
    <w:rsid w:val="2A5F0DF4"/>
    <w:rsid w:val="2ADF3CE2"/>
    <w:rsid w:val="2B9D1BD3"/>
    <w:rsid w:val="2CCD4235"/>
    <w:rsid w:val="2E905A1F"/>
    <w:rsid w:val="30283F91"/>
    <w:rsid w:val="30CD2F5B"/>
    <w:rsid w:val="30E3361F"/>
    <w:rsid w:val="31BE0AF5"/>
    <w:rsid w:val="33010868"/>
    <w:rsid w:val="36190EDD"/>
    <w:rsid w:val="371C5EE7"/>
    <w:rsid w:val="37D83F93"/>
    <w:rsid w:val="38D83580"/>
    <w:rsid w:val="38F66DC7"/>
    <w:rsid w:val="39ED1F78"/>
    <w:rsid w:val="3BC82C9D"/>
    <w:rsid w:val="3D4A76E1"/>
    <w:rsid w:val="3DB334D8"/>
    <w:rsid w:val="3EBC63BD"/>
    <w:rsid w:val="3EFD08F7"/>
    <w:rsid w:val="3FB24F2F"/>
    <w:rsid w:val="3FB77C48"/>
    <w:rsid w:val="40464721"/>
    <w:rsid w:val="40E72D0D"/>
    <w:rsid w:val="42DD5FE9"/>
    <w:rsid w:val="460A3EB2"/>
    <w:rsid w:val="47675E98"/>
    <w:rsid w:val="492928A1"/>
    <w:rsid w:val="49844CA6"/>
    <w:rsid w:val="49B33379"/>
    <w:rsid w:val="4AFB52B4"/>
    <w:rsid w:val="4CE35B60"/>
    <w:rsid w:val="4D5123C6"/>
    <w:rsid w:val="4F536875"/>
    <w:rsid w:val="4FD14C64"/>
    <w:rsid w:val="521340EE"/>
    <w:rsid w:val="524F15CA"/>
    <w:rsid w:val="52B21B59"/>
    <w:rsid w:val="539C3A03"/>
    <w:rsid w:val="55FB7373"/>
    <w:rsid w:val="57665A24"/>
    <w:rsid w:val="58CF5213"/>
    <w:rsid w:val="5999137D"/>
    <w:rsid w:val="5AC95C92"/>
    <w:rsid w:val="5B18172D"/>
    <w:rsid w:val="5C8C341B"/>
    <w:rsid w:val="5D6F2B20"/>
    <w:rsid w:val="6094289E"/>
    <w:rsid w:val="61DA0784"/>
    <w:rsid w:val="62D96C8E"/>
    <w:rsid w:val="62F43016"/>
    <w:rsid w:val="670C13E0"/>
    <w:rsid w:val="679338AF"/>
    <w:rsid w:val="68335F5A"/>
    <w:rsid w:val="6C923CA4"/>
    <w:rsid w:val="6E755ABD"/>
    <w:rsid w:val="6E942EAF"/>
    <w:rsid w:val="70E138DD"/>
    <w:rsid w:val="7358775B"/>
    <w:rsid w:val="73AB01D2"/>
    <w:rsid w:val="744E14FF"/>
    <w:rsid w:val="74994582"/>
    <w:rsid w:val="75AB40F9"/>
    <w:rsid w:val="777F624F"/>
    <w:rsid w:val="784175DB"/>
    <w:rsid w:val="7A293BFF"/>
    <w:rsid w:val="7B0B41B3"/>
    <w:rsid w:val="7B187EFC"/>
    <w:rsid w:val="7BB66E58"/>
    <w:rsid w:val="7C044826"/>
    <w:rsid w:val="7D292894"/>
    <w:rsid w:val="7DFE367C"/>
    <w:rsid w:val="7E576F8D"/>
    <w:rsid w:val="7FBB79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name="toc 4"/>
    <w:lsdException w:qFormat="1" w:unhideWhenUsed="0" w:uiPriority="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caption"/>
    <w:basedOn w:val="1"/>
    <w:next w:val="1"/>
    <w:unhideWhenUsed/>
    <w:qFormat/>
    <w:uiPriority w:val="0"/>
    <w:rPr>
      <w:rFonts w:eastAsia="黑体" w:asciiTheme="majorHAnsi" w:hAnsiTheme="majorHAnsi" w:cstheme="majorBidi"/>
      <w:sz w:val="20"/>
    </w:rPr>
  </w:style>
  <w:style w:type="paragraph" w:styleId="3">
    <w:name w:val="toc 5"/>
    <w:basedOn w:val="4"/>
    <w:semiHidden/>
    <w:qFormat/>
    <w:uiPriority w:val="0"/>
    <w:pPr>
      <w:widowControl/>
      <w:ind w:left="0" w:leftChars="0"/>
    </w:pPr>
    <w:rPr>
      <w:rFonts w:ascii="宋体"/>
      <w:kern w:val="0"/>
    </w:rPr>
  </w:style>
  <w:style w:type="paragraph" w:styleId="4">
    <w:name w:val="toc 4"/>
    <w:basedOn w:val="1"/>
    <w:next w:val="1"/>
    <w:semiHidden/>
    <w:qFormat/>
    <w:uiPriority w:val="0"/>
    <w:pPr>
      <w:ind w:left="1260" w:leftChars="600"/>
    </w:pPr>
  </w:style>
  <w:style w:type="paragraph" w:styleId="5">
    <w:name w:val="Plain Text"/>
    <w:basedOn w:val="1"/>
    <w:link w:val="23"/>
    <w:qFormat/>
    <w:uiPriority w:val="0"/>
    <w:rPr>
      <w:rFonts w:ascii="宋体" w:hAnsi="Courier New"/>
    </w:rPr>
  </w:style>
  <w:style w:type="paragraph" w:styleId="6">
    <w:name w:val="Date"/>
    <w:basedOn w:val="1"/>
    <w:next w:val="1"/>
    <w:qFormat/>
    <w:uiPriority w:val="0"/>
    <w:pPr>
      <w:ind w:left="100" w:leftChars="2500"/>
    </w:pPr>
    <w:rPr>
      <w:rFonts w:ascii="宋体" w:cs="宋体"/>
      <w:kern w:val="0"/>
      <w:sz w:val="24"/>
      <w:szCs w:val="24"/>
    </w:rPr>
  </w:style>
  <w:style w:type="paragraph" w:styleId="7">
    <w:name w:val="Balloon Text"/>
    <w:basedOn w:val="1"/>
    <w:link w:val="24"/>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footnote text"/>
    <w:basedOn w:val="1"/>
    <w:semiHidden/>
    <w:qFormat/>
    <w:uiPriority w:val="0"/>
    <w:pPr>
      <w:snapToGrid w:val="0"/>
      <w:jc w:val="left"/>
    </w:pPr>
    <w:rPr>
      <w:sz w:val="18"/>
      <w:szCs w:val="18"/>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qFormat/>
    <w:uiPriority w:val="0"/>
    <w:rPr>
      <w:rFonts w:ascii="Times New Roman" w:hAnsi="Times New Roman" w:eastAsia="宋体"/>
      <w:sz w:val="18"/>
    </w:rPr>
  </w:style>
  <w:style w:type="character" w:styleId="15">
    <w:name w:val="FollowedHyperlink"/>
    <w:basedOn w:val="13"/>
    <w:qFormat/>
    <w:uiPriority w:val="0"/>
    <w:rPr>
      <w:color w:val="000000"/>
      <w:sz w:val="14"/>
      <w:szCs w:val="14"/>
      <w:u w:val="none"/>
    </w:rPr>
  </w:style>
  <w:style w:type="character" w:styleId="16">
    <w:name w:val="HTML Typewriter"/>
    <w:basedOn w:val="13"/>
    <w:qFormat/>
    <w:uiPriority w:val="0"/>
    <w:rPr>
      <w:rFonts w:hint="default" w:ascii="monospace" w:hAnsi="monospace" w:eastAsia="monospace" w:cs="monospace"/>
      <w:sz w:val="20"/>
    </w:rPr>
  </w:style>
  <w:style w:type="character" w:styleId="17">
    <w:name w:val="HTML Variable"/>
    <w:qFormat/>
    <w:uiPriority w:val="0"/>
    <w:rPr>
      <w:i/>
      <w:iCs/>
    </w:rPr>
  </w:style>
  <w:style w:type="character" w:styleId="18">
    <w:name w:val="Hyperlink"/>
    <w:qFormat/>
    <w:uiPriority w:val="0"/>
    <w:rPr>
      <w:color w:val="0000FF"/>
      <w:u w:val="single"/>
    </w:rPr>
  </w:style>
  <w:style w:type="character" w:styleId="19">
    <w:name w:val="HTML Code"/>
    <w:basedOn w:val="13"/>
    <w:qFormat/>
    <w:uiPriority w:val="0"/>
    <w:rPr>
      <w:rFonts w:ascii="monospace" w:hAnsi="monospace" w:eastAsia="monospace" w:cs="monospace"/>
      <w:sz w:val="20"/>
    </w:rPr>
  </w:style>
  <w:style w:type="character" w:styleId="20">
    <w:name w:val="footnote reference"/>
    <w:semiHidden/>
    <w:qFormat/>
    <w:uiPriority w:val="0"/>
    <w:rPr>
      <w:vertAlign w:val="superscript"/>
    </w:rPr>
  </w:style>
  <w:style w:type="character" w:styleId="21">
    <w:name w:val="HTML Keyboard"/>
    <w:basedOn w:val="13"/>
    <w:qFormat/>
    <w:uiPriority w:val="0"/>
    <w:rPr>
      <w:rFonts w:hint="default" w:ascii="monospace" w:hAnsi="monospace" w:eastAsia="monospace" w:cs="monospace"/>
      <w:sz w:val="20"/>
    </w:rPr>
  </w:style>
  <w:style w:type="character" w:styleId="22">
    <w:name w:val="HTML Sample"/>
    <w:basedOn w:val="13"/>
    <w:qFormat/>
    <w:uiPriority w:val="0"/>
    <w:rPr>
      <w:rFonts w:hint="default" w:ascii="monospace" w:hAnsi="monospace" w:eastAsia="monospace" w:cs="monospace"/>
    </w:rPr>
  </w:style>
  <w:style w:type="character" w:customStyle="1" w:styleId="23">
    <w:name w:val="纯文本 字符"/>
    <w:link w:val="5"/>
    <w:qFormat/>
    <w:uiPriority w:val="0"/>
    <w:rPr>
      <w:rFonts w:ascii="宋体" w:hAnsi="Courier New" w:eastAsia="宋体"/>
      <w:kern w:val="2"/>
      <w:sz w:val="21"/>
      <w:lang w:val="en-US" w:eastAsia="zh-CN" w:bidi="ar-SA"/>
    </w:rPr>
  </w:style>
  <w:style w:type="character" w:customStyle="1" w:styleId="24">
    <w:name w:val="批注框文本 字符"/>
    <w:link w:val="7"/>
    <w:qFormat/>
    <w:uiPriority w:val="0"/>
    <w:rPr>
      <w:kern w:val="2"/>
      <w:sz w:val="18"/>
      <w:szCs w:val="18"/>
    </w:rPr>
  </w:style>
  <w:style w:type="paragraph" w:customStyle="1" w:styleId="25">
    <w:name w:val="章标题"/>
    <w:next w:val="26"/>
    <w:qFormat/>
    <w:uiPriority w:val="0"/>
    <w:pPr>
      <w:numPr>
        <w:ilvl w:val="1"/>
        <w:numId w:val="1"/>
      </w:numPr>
      <w:spacing w:before="50" w:beforeLines="50" w:after="50" w:afterLines="50"/>
      <w:jc w:val="both"/>
      <w:outlineLvl w:val="1"/>
    </w:pPr>
    <w:rPr>
      <w:rFonts w:ascii="黑体" w:hAnsi="Times New Roman" w:eastAsia="黑体" w:cs="Times New Roman"/>
      <w:sz w:val="21"/>
      <w:lang w:val="en-US" w:eastAsia="zh-CN" w:bidi="ar-SA"/>
    </w:rPr>
  </w:style>
  <w:style w:type="paragraph" w:customStyle="1" w:styleId="26">
    <w:name w:val="段"/>
    <w:link w:val="27"/>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27">
    <w:name w:val="段 Char"/>
    <w:link w:val="26"/>
    <w:qFormat/>
    <w:uiPriority w:val="0"/>
    <w:rPr>
      <w:rFonts w:ascii="宋体"/>
      <w:sz w:val="21"/>
      <w:lang w:val="en-US" w:eastAsia="zh-CN" w:bidi="ar-SA"/>
    </w:rPr>
  </w:style>
  <w:style w:type="paragraph" w:customStyle="1" w:styleId="28">
    <w:name w:val="前言、引言标题"/>
    <w:next w:val="1"/>
    <w:qFormat/>
    <w:uiPriority w:val="0"/>
    <w:pPr>
      <w:numPr>
        <w:ilvl w:val="0"/>
        <w:numId w:val="2"/>
      </w:numPr>
      <w:shd w:val="clear" w:color="FFFFFF" w:fill="FFFFFF"/>
      <w:tabs>
        <w:tab w:val="left" w:pos="780"/>
      </w:tabs>
      <w:spacing w:before="640" w:after="560"/>
      <w:ind w:left="780" w:hanging="360"/>
      <w:jc w:val="center"/>
      <w:outlineLvl w:val="0"/>
    </w:pPr>
    <w:rPr>
      <w:rFonts w:ascii="黑体" w:hAnsi="Times New Roman" w:eastAsia="黑体" w:cs="Times New Roman"/>
      <w:sz w:val="32"/>
      <w:lang w:val="en-US" w:eastAsia="zh-CN" w:bidi="ar-SA"/>
    </w:rPr>
  </w:style>
  <w:style w:type="paragraph" w:customStyle="1" w:styleId="29">
    <w:name w:val="附录标识"/>
    <w:basedOn w:val="28"/>
    <w:qFormat/>
    <w:uiPriority w:val="0"/>
    <w:pPr>
      <w:numPr>
        <w:numId w:val="0"/>
      </w:numPr>
      <w:tabs>
        <w:tab w:val="left" w:pos="360"/>
        <w:tab w:val="left" w:pos="795"/>
        <w:tab w:val="left" w:pos="6405"/>
        <w:tab w:val="clear" w:pos="780"/>
      </w:tabs>
      <w:spacing w:after="200"/>
      <w:ind w:left="795" w:hanging="360"/>
    </w:pPr>
    <w:rPr>
      <w:sz w:val="21"/>
    </w:rPr>
  </w:style>
  <w:style w:type="paragraph" w:customStyle="1" w:styleId="30">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31">
    <w:name w:val="封面正文"/>
    <w:qFormat/>
    <w:uiPriority w:val="0"/>
    <w:pPr>
      <w:jc w:val="both"/>
    </w:pPr>
    <w:rPr>
      <w:rFonts w:ascii="Times New Roman" w:hAnsi="Times New Roman" w:eastAsia="宋体" w:cs="Times New Roman"/>
      <w:lang w:val="en-US" w:eastAsia="zh-CN" w:bidi="ar-SA"/>
    </w:rPr>
  </w:style>
  <w:style w:type="paragraph" w:customStyle="1" w:styleId="32">
    <w:name w:val="目次、标准名称标题"/>
    <w:basedOn w:val="1"/>
    <w:next w:val="26"/>
    <w:qFormat/>
    <w:uiPriority w:val="0"/>
    <w:pPr>
      <w:widowControl/>
      <w:shd w:val="clear" w:color="FFFFFF" w:fill="FFFFFF"/>
      <w:spacing w:before="640" w:after="560" w:line="460" w:lineRule="exact"/>
      <w:jc w:val="center"/>
      <w:outlineLvl w:val="0"/>
    </w:pPr>
    <w:rPr>
      <w:rFonts w:ascii="黑体" w:eastAsia="黑体"/>
      <w:kern w:val="0"/>
      <w:sz w:val="32"/>
    </w:rPr>
  </w:style>
  <w:style w:type="paragraph" w:customStyle="1" w:styleId="33">
    <w:name w:val="标准书眉_偶数页"/>
    <w:basedOn w:val="34"/>
    <w:next w:val="1"/>
    <w:qFormat/>
    <w:uiPriority w:val="0"/>
    <w:pPr>
      <w:tabs>
        <w:tab w:val="center" w:pos="4154"/>
        <w:tab w:val="right" w:pos="8306"/>
      </w:tabs>
      <w:jc w:val="left"/>
    </w:pPr>
  </w:style>
  <w:style w:type="paragraph" w:customStyle="1" w:styleId="34">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35">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36">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37">
    <w:name w:val="标准书眉一"/>
    <w:qFormat/>
    <w:uiPriority w:val="0"/>
    <w:pPr>
      <w:jc w:val="both"/>
    </w:pPr>
    <w:rPr>
      <w:rFonts w:ascii="Times New Roman" w:hAnsi="Times New Roman" w:eastAsia="宋体" w:cs="Times New Roman"/>
      <w:lang w:val="en-US" w:eastAsia="zh-CN" w:bidi="ar-SA"/>
    </w:rPr>
  </w:style>
  <w:style w:type="paragraph" w:customStyle="1" w:styleId="38">
    <w:name w:val="发布部门"/>
    <w:next w:val="26"/>
    <w:qFormat/>
    <w:uiPriority w:val="0"/>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character" w:customStyle="1" w:styleId="39">
    <w:name w:val="发布"/>
    <w:qFormat/>
    <w:uiPriority w:val="0"/>
    <w:rPr>
      <w:rFonts w:ascii="黑体" w:eastAsia="黑体"/>
      <w:spacing w:val="22"/>
      <w:w w:val="100"/>
      <w:position w:val="3"/>
      <w:sz w:val="28"/>
    </w:rPr>
  </w:style>
  <w:style w:type="paragraph" w:customStyle="1" w:styleId="40">
    <w:name w:val="实施日期"/>
    <w:basedOn w:val="41"/>
    <w:qFormat/>
    <w:uiPriority w:val="0"/>
    <w:pPr>
      <w:framePr w:hSpace="0" w:wrap="around" w:xAlign="right"/>
      <w:jc w:val="right"/>
    </w:pPr>
  </w:style>
  <w:style w:type="paragraph" w:customStyle="1" w:styleId="41">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42">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43">
    <w:name w:val="封面一致性程度标识"/>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4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45">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46">
    <w:name w:val="封面标准号2"/>
    <w:basedOn w:val="1"/>
    <w:qFormat/>
    <w:uiPriority w:val="0"/>
    <w:pPr>
      <w:framePr w:w="9138" w:h="1244" w:hRule="exact" w:wrap="auto" w:vAnchor="page" w:hAnchor="margin" w:y="2908" w:anchorLock="1"/>
      <w:kinsoku w:val="0"/>
      <w:overflowPunct w:val="0"/>
      <w:autoSpaceDE w:val="0"/>
      <w:autoSpaceDN w:val="0"/>
      <w:adjustRightInd w:val="0"/>
      <w:spacing w:before="357" w:line="280" w:lineRule="exact"/>
      <w:jc w:val="right"/>
      <w:textAlignment w:val="center"/>
    </w:pPr>
    <w:rPr>
      <w:kern w:val="0"/>
      <w:sz w:val="28"/>
    </w:rPr>
  </w:style>
  <w:style w:type="paragraph" w:customStyle="1" w:styleId="47">
    <w:name w:val="封面标准代替信息"/>
    <w:basedOn w:val="46"/>
    <w:qFormat/>
    <w:uiPriority w:val="0"/>
    <w:pPr>
      <w:spacing w:before="57"/>
    </w:pPr>
    <w:rPr>
      <w:rFonts w:ascii="宋体"/>
      <w:sz w:val="21"/>
    </w:rPr>
  </w:style>
  <w:style w:type="paragraph" w:customStyle="1" w:styleId="48">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49">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50">
    <w:name w:val="一级条标题"/>
    <w:basedOn w:val="25"/>
    <w:next w:val="26"/>
    <w:link w:val="51"/>
    <w:qFormat/>
    <w:uiPriority w:val="0"/>
    <w:pPr>
      <w:numPr>
        <w:ilvl w:val="0"/>
        <w:numId w:val="0"/>
      </w:numPr>
      <w:tabs>
        <w:tab w:val="left" w:pos="720"/>
        <w:tab w:val="clear" w:pos="840"/>
      </w:tabs>
      <w:spacing w:before="0" w:beforeLines="0" w:after="0" w:afterLines="0"/>
      <w:ind w:left="720" w:hanging="720"/>
      <w:outlineLvl w:val="2"/>
    </w:pPr>
  </w:style>
  <w:style w:type="character" w:customStyle="1" w:styleId="51">
    <w:name w:val="一级条标题 Char"/>
    <w:link w:val="50"/>
    <w:qFormat/>
    <w:uiPriority w:val="0"/>
    <w:rPr>
      <w:rFonts w:ascii="黑体" w:eastAsia="黑体"/>
      <w:sz w:val="21"/>
      <w:lang w:val="en-US" w:eastAsia="zh-CN" w:bidi="ar-SA"/>
    </w:rPr>
  </w:style>
  <w:style w:type="paragraph" w:customStyle="1" w:styleId="52">
    <w:name w:val="二级条标题"/>
    <w:basedOn w:val="50"/>
    <w:next w:val="26"/>
    <w:qFormat/>
    <w:uiPriority w:val="0"/>
    <w:pPr>
      <w:outlineLvl w:val="3"/>
    </w:pPr>
  </w:style>
  <w:style w:type="paragraph" w:customStyle="1" w:styleId="53">
    <w:name w:val="三级条标题"/>
    <w:basedOn w:val="52"/>
    <w:next w:val="26"/>
    <w:qFormat/>
    <w:uiPriority w:val="0"/>
    <w:pPr>
      <w:tabs>
        <w:tab w:val="clear" w:pos="720"/>
      </w:tabs>
      <w:ind w:left="0" w:firstLine="0"/>
      <w:outlineLvl w:val="4"/>
    </w:pPr>
  </w:style>
  <w:style w:type="paragraph" w:customStyle="1" w:styleId="54">
    <w:name w:val="四级条标题"/>
    <w:basedOn w:val="53"/>
    <w:next w:val="26"/>
    <w:qFormat/>
    <w:uiPriority w:val="0"/>
    <w:pPr>
      <w:tabs>
        <w:tab w:val="left" w:pos="2520"/>
      </w:tabs>
      <w:ind w:left="2520" w:hanging="420"/>
      <w:outlineLvl w:val="5"/>
    </w:pPr>
  </w:style>
  <w:style w:type="paragraph" w:customStyle="1" w:styleId="55">
    <w:name w:val="五级条标题"/>
    <w:basedOn w:val="54"/>
    <w:next w:val="26"/>
    <w:qFormat/>
    <w:uiPriority w:val="0"/>
    <w:pPr>
      <w:tabs>
        <w:tab w:val="left" w:pos="2940"/>
        <w:tab w:val="clear" w:pos="2520"/>
      </w:tabs>
      <w:ind w:left="2940"/>
      <w:outlineLvl w:val="6"/>
    </w:pPr>
  </w:style>
  <w:style w:type="paragraph" w:customStyle="1" w:styleId="56">
    <w:name w:val="二级无标题条"/>
    <w:basedOn w:val="1"/>
    <w:qFormat/>
    <w:uiPriority w:val="0"/>
  </w:style>
  <w:style w:type="paragraph" w:customStyle="1" w:styleId="57">
    <w:name w:val="列项·"/>
    <w:qFormat/>
    <w:uiPriority w:val="0"/>
    <w:pPr>
      <w:numPr>
        <w:ilvl w:val="0"/>
        <w:numId w:val="3"/>
      </w:numPr>
      <w:tabs>
        <w:tab w:val="left" w:pos="840"/>
        <w:tab w:val="clear" w:pos="1140"/>
      </w:tabs>
      <w:ind w:left="840" w:leftChars="200" w:hanging="420" w:hangingChars="200"/>
      <w:jc w:val="both"/>
    </w:pPr>
    <w:rPr>
      <w:rFonts w:ascii="宋体" w:hAnsi="Times New Roman" w:eastAsia="宋体" w:cs="Times New Roman"/>
      <w:sz w:val="21"/>
      <w:lang w:val="en-US" w:eastAsia="zh-CN" w:bidi="ar-SA"/>
    </w:rPr>
  </w:style>
  <w:style w:type="paragraph" w:customStyle="1" w:styleId="58">
    <w:name w:val="三级无标题条"/>
    <w:basedOn w:val="1"/>
    <w:qFormat/>
    <w:uiPriority w:val="0"/>
    <w:pPr>
      <w:numPr>
        <w:ilvl w:val="4"/>
        <w:numId w:val="4"/>
      </w:numPr>
    </w:pPr>
  </w:style>
  <w:style w:type="paragraph" w:customStyle="1" w:styleId="59">
    <w:name w:val="示例"/>
    <w:next w:val="26"/>
    <w:qFormat/>
    <w:uiPriority w:val="0"/>
    <w:pPr>
      <w:numPr>
        <w:ilvl w:val="0"/>
        <w:numId w:val="5"/>
      </w:numPr>
      <w:tabs>
        <w:tab w:val="left" w:pos="816"/>
        <w:tab w:val="clear" w:pos="1120"/>
      </w:tabs>
      <w:ind w:firstLine="419" w:firstLineChars="233"/>
      <w:jc w:val="both"/>
    </w:pPr>
    <w:rPr>
      <w:rFonts w:ascii="宋体" w:hAnsi="Times New Roman" w:eastAsia="宋体" w:cs="Times New Roman"/>
      <w:sz w:val="18"/>
      <w:lang w:val="en-US" w:eastAsia="zh-CN" w:bidi="ar-SA"/>
    </w:rPr>
  </w:style>
  <w:style w:type="paragraph" w:customStyle="1" w:styleId="60">
    <w:name w:val="四级无标题条"/>
    <w:basedOn w:val="1"/>
    <w:qFormat/>
    <w:uiPriority w:val="0"/>
    <w:pPr>
      <w:numPr>
        <w:ilvl w:val="5"/>
        <w:numId w:val="4"/>
      </w:numPr>
    </w:pPr>
  </w:style>
  <w:style w:type="paragraph" w:customStyle="1" w:styleId="61">
    <w:name w:val="五级无标题条"/>
    <w:basedOn w:val="1"/>
    <w:qFormat/>
    <w:uiPriority w:val="0"/>
    <w:pPr>
      <w:numPr>
        <w:ilvl w:val="6"/>
        <w:numId w:val="4"/>
      </w:numPr>
    </w:pPr>
  </w:style>
  <w:style w:type="paragraph" w:customStyle="1" w:styleId="62">
    <w:name w:val="一级无标题条"/>
    <w:basedOn w:val="1"/>
    <w:qFormat/>
    <w:uiPriority w:val="0"/>
    <w:pPr>
      <w:numPr>
        <w:ilvl w:val="2"/>
        <w:numId w:val="4"/>
      </w:numPr>
    </w:pPr>
  </w:style>
  <w:style w:type="paragraph" w:customStyle="1" w:styleId="63">
    <w:name w:val="正文表标题"/>
    <w:next w:val="26"/>
    <w:qFormat/>
    <w:uiPriority w:val="0"/>
    <w:pPr>
      <w:numPr>
        <w:ilvl w:val="0"/>
        <w:numId w:val="6"/>
      </w:numPr>
      <w:jc w:val="center"/>
    </w:pPr>
    <w:rPr>
      <w:rFonts w:ascii="黑体" w:hAnsi="Times New Roman" w:eastAsia="黑体" w:cs="Times New Roman"/>
      <w:sz w:val="21"/>
      <w:lang w:val="en-US" w:eastAsia="zh-CN" w:bidi="ar-SA"/>
    </w:rPr>
  </w:style>
  <w:style w:type="paragraph" w:customStyle="1" w:styleId="64">
    <w:name w:val="正文图标题"/>
    <w:next w:val="26"/>
    <w:qFormat/>
    <w:uiPriority w:val="0"/>
    <w:pPr>
      <w:numPr>
        <w:ilvl w:val="0"/>
        <w:numId w:val="7"/>
      </w:numPr>
      <w:jc w:val="center"/>
    </w:pPr>
    <w:rPr>
      <w:rFonts w:ascii="黑体" w:hAnsi="Times New Roman" w:eastAsia="黑体" w:cs="Times New Roman"/>
      <w:sz w:val="21"/>
      <w:lang w:val="en-US" w:eastAsia="zh-CN" w:bidi="ar-SA"/>
    </w:rPr>
  </w:style>
  <w:style w:type="paragraph" w:customStyle="1" w:styleId="65">
    <w:name w:val="注×："/>
    <w:qFormat/>
    <w:uiPriority w:val="0"/>
    <w:pPr>
      <w:widowControl w:val="0"/>
      <w:numPr>
        <w:ilvl w:val="0"/>
        <w:numId w:val="8"/>
      </w:numPr>
      <w:tabs>
        <w:tab w:val="left" w:pos="630"/>
        <w:tab w:val="clear" w:pos="900"/>
      </w:tabs>
      <w:autoSpaceDE w:val="0"/>
      <w:autoSpaceDN w:val="0"/>
      <w:jc w:val="both"/>
    </w:pPr>
    <w:rPr>
      <w:rFonts w:ascii="宋体" w:hAnsi="Times New Roman" w:eastAsia="宋体" w:cs="Times New Roman"/>
      <w:sz w:val="18"/>
      <w:lang w:val="en-US" w:eastAsia="zh-CN" w:bidi="ar-SA"/>
    </w:rPr>
  </w:style>
  <w:style w:type="paragraph" w:customStyle="1" w:styleId="66">
    <w:name w:val="xl3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kern w:val="0"/>
      <w:sz w:val="36"/>
      <w:szCs w:val="36"/>
    </w:rPr>
  </w:style>
  <w:style w:type="paragraph" w:customStyle="1" w:styleId="67">
    <w:name w:val="附录一级条标题"/>
    <w:basedOn w:val="1"/>
    <w:next w:val="26"/>
    <w:qFormat/>
    <w:uiPriority w:val="0"/>
    <w:pPr>
      <w:widowControl/>
      <w:wordWrap w:val="0"/>
      <w:overflowPunct w:val="0"/>
      <w:autoSpaceDE w:val="0"/>
      <w:autoSpaceDN w:val="0"/>
      <w:textAlignment w:val="baseline"/>
      <w:outlineLvl w:val="2"/>
    </w:pPr>
    <w:rPr>
      <w:rFonts w:ascii="黑体" w:eastAsia="黑体"/>
      <w:kern w:val="21"/>
    </w:rPr>
  </w:style>
  <w:style w:type="paragraph" w:customStyle="1" w:styleId="68">
    <w:name w:val="附录二级条标题"/>
    <w:basedOn w:val="67"/>
    <w:next w:val="26"/>
    <w:qFormat/>
    <w:uiPriority w:val="0"/>
    <w:pPr>
      <w:outlineLvl w:val="3"/>
    </w:pPr>
  </w:style>
  <w:style w:type="paragraph" w:customStyle="1" w:styleId="69">
    <w:name w:val="附录三级条标题"/>
    <w:basedOn w:val="68"/>
    <w:next w:val="26"/>
    <w:qFormat/>
    <w:uiPriority w:val="0"/>
    <w:pPr>
      <w:outlineLvl w:val="4"/>
    </w:pPr>
  </w:style>
  <w:style w:type="paragraph" w:customStyle="1" w:styleId="70">
    <w:name w:val="附录四级条标题"/>
    <w:basedOn w:val="69"/>
    <w:next w:val="26"/>
    <w:qFormat/>
    <w:uiPriority w:val="0"/>
    <w:pPr>
      <w:outlineLvl w:val="5"/>
    </w:pPr>
  </w:style>
  <w:style w:type="paragraph" w:customStyle="1" w:styleId="71">
    <w:name w:val="附录图标题"/>
    <w:next w:val="26"/>
    <w:qFormat/>
    <w:uiPriority w:val="0"/>
    <w:pPr>
      <w:numPr>
        <w:ilvl w:val="0"/>
        <w:numId w:val="9"/>
      </w:numPr>
      <w:jc w:val="center"/>
    </w:pPr>
    <w:rPr>
      <w:rFonts w:ascii="黑体" w:hAnsi="Times New Roman" w:eastAsia="黑体" w:cs="Times New Roman"/>
      <w:sz w:val="21"/>
      <w:lang w:val="en-US" w:eastAsia="zh-CN" w:bidi="ar-SA"/>
    </w:rPr>
  </w:style>
  <w:style w:type="character" w:customStyle="1" w:styleId="72">
    <w:name w:val="个人答复风格"/>
    <w:qFormat/>
    <w:uiPriority w:val="0"/>
    <w:rPr>
      <w:rFonts w:ascii="Arial" w:hAnsi="Arial" w:eastAsia="宋体" w:cs="Arial"/>
      <w:color w:val="auto"/>
      <w:sz w:val="20"/>
    </w:rPr>
  </w:style>
  <w:style w:type="paragraph" w:customStyle="1" w:styleId="73">
    <w:name w:val="其他发布部门"/>
    <w:basedOn w:val="38"/>
    <w:qFormat/>
    <w:uiPriority w:val="0"/>
    <w:pPr>
      <w:framePr w:w="0" w:hRule="auto" w:hSpace="0" w:vSpace="0" w:wrap="auto" w:hAnchor="text" w:xAlign="left" w:yAlign="inline" w:anchorLock="0"/>
      <w:spacing w:line="0" w:lineRule="atLeast"/>
    </w:pPr>
    <w:rPr>
      <w:rFonts w:ascii="黑体" w:eastAsia="黑体"/>
      <w:b w:val="0"/>
    </w:rPr>
  </w:style>
  <w:style w:type="paragraph" w:customStyle="1" w:styleId="74">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75">
    <w:name w:val="标准标志"/>
    <w:next w:val="1"/>
    <w:qFormat/>
    <w:uiPriority w:val="0"/>
    <w:pPr>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76">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77">
    <w:name w:val="列项——"/>
    <w:qFormat/>
    <w:uiPriority w:val="0"/>
    <w:pPr>
      <w:widowControl w:val="0"/>
      <w:numPr>
        <w:ilvl w:val="0"/>
        <w:numId w:val="10"/>
      </w:numPr>
      <w:tabs>
        <w:tab w:val="left" w:pos="854"/>
        <w:tab w:val="clear" w:pos="1140"/>
      </w:tabs>
      <w:ind w:left="200" w:leftChars="200" w:hanging="200" w:hangingChars="200"/>
      <w:jc w:val="both"/>
    </w:pPr>
    <w:rPr>
      <w:rFonts w:ascii="宋体" w:hAnsi="Times New Roman" w:eastAsia="宋体" w:cs="Times New Roman"/>
      <w:sz w:val="21"/>
      <w:lang w:val="en-US" w:eastAsia="zh-CN" w:bidi="ar-SA"/>
    </w:rPr>
  </w:style>
  <w:style w:type="paragraph" w:customStyle="1" w:styleId="78">
    <w:name w:val="附录章标题"/>
    <w:next w:val="26"/>
    <w:qFormat/>
    <w:uiPriority w:val="0"/>
    <w:pPr>
      <w:wordWrap w:val="0"/>
      <w:overflowPunct w:val="0"/>
      <w:autoSpaceDE w:val="0"/>
      <w:spacing w:before="50" w:beforeLines="50" w:after="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79">
    <w:name w:val="附录五级条标题"/>
    <w:basedOn w:val="70"/>
    <w:next w:val="26"/>
    <w:qFormat/>
    <w:uiPriority w:val="0"/>
    <w:pPr>
      <w:outlineLvl w:val="6"/>
    </w:pPr>
  </w:style>
  <w:style w:type="paragraph" w:customStyle="1" w:styleId="80">
    <w:name w:val="附录公式"/>
    <w:basedOn w:val="26"/>
    <w:next w:val="26"/>
    <w:link w:val="81"/>
    <w:qFormat/>
    <w:uiPriority w:val="0"/>
    <w:pPr>
      <w:tabs>
        <w:tab w:val="center" w:pos="4201"/>
        <w:tab w:val="right" w:leader="dot" w:pos="9298"/>
      </w:tabs>
      <w:ind w:firstLine="420"/>
    </w:pPr>
  </w:style>
  <w:style w:type="character" w:customStyle="1" w:styleId="81">
    <w:name w:val="附录公式 Char"/>
    <w:basedOn w:val="27"/>
    <w:link w:val="80"/>
    <w:qFormat/>
    <w:uiPriority w:val="0"/>
    <w:rPr>
      <w:rFonts w:ascii="宋体"/>
      <w:sz w:val="21"/>
      <w:lang w:val="en-US" w:eastAsia="zh-CN" w:bidi="ar-SA"/>
    </w:rPr>
  </w:style>
  <w:style w:type="character" w:customStyle="1" w:styleId="82">
    <w:name w:val="warnicon"/>
    <w:basedOn w:val="13"/>
    <w:qFormat/>
    <w:uiPriority w:val="0"/>
  </w:style>
  <w:style w:type="character" w:customStyle="1" w:styleId="83">
    <w:name w:val="infoicon"/>
    <w:basedOn w:val="13"/>
    <w:qFormat/>
    <w:uiPriority w:val="0"/>
  </w:style>
  <w:style w:type="character" w:customStyle="1" w:styleId="84">
    <w:name w:val="hlpicon"/>
    <w:basedOn w:val="13"/>
    <w:qFormat/>
    <w:uiPriority w:val="0"/>
  </w:style>
  <w:style w:type="character" w:customStyle="1" w:styleId="85">
    <w:name w:val="tipicon"/>
    <w:basedOn w:val="13"/>
    <w:qFormat/>
    <w:uiPriority w:val="0"/>
  </w:style>
  <w:style w:type="character" w:customStyle="1" w:styleId="86">
    <w:name w:val="blckicon"/>
    <w:basedOn w:val="13"/>
    <w:qFormat/>
    <w:uiPriority w:val="0"/>
  </w:style>
  <w:style w:type="character" w:customStyle="1" w:styleId="87">
    <w:name w:val="alrticon"/>
    <w:basedOn w:val="13"/>
    <w:qFormat/>
    <w:uiPriority w:val="0"/>
  </w:style>
  <w:style w:type="character" w:styleId="88">
    <w:name w:val="Placeholder Text"/>
    <w:basedOn w:val="13"/>
    <w:unhideWhenUsed/>
    <w:qFormat/>
    <w:uiPriority w:val="99"/>
    <w:rPr>
      <w:color w:val="666666"/>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biaozhun</Company>
  <Pages>10</Pages>
  <Words>4623</Words>
  <Characters>6497</Characters>
  <Lines>54</Lines>
  <Paragraphs>15</Paragraphs>
  <TotalTime>0</TotalTime>
  <ScaleCrop>false</ScaleCrop>
  <LinksUpToDate>false</LinksUpToDate>
  <CharactersWithSpaces>6633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2024-09-26T06:21:00Z</dcterms:created>
  <dc:creator>xulu</dc:creator>
  <cp:lastModifiedBy>企业用户_1312718406</cp:lastModifiedBy>
  <cp:lastPrinted>2023-12-26T03:12:00Z</cp:lastPrinted>
  <dcterms:modified xsi:type="dcterms:W3CDTF">2025-08-13T06:01:34Z</dcterms:modified>
  <dc:title> </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F3661663F6A84451BB7327214C07A6B9_13</vt:lpwstr>
  </property>
  <property fmtid="{D5CDD505-2E9C-101B-9397-08002B2CF9AE}" pid="4" name="KSOTemplateDocerSaveRecord">
    <vt:lpwstr>eyJoZGlkIjoiNTBiYTQxOWY0ZjA4NmFmZDhmOGZmY2Y5Y2NlM2U3MjEiLCJ1c2VySWQiOiIxNTcwNDkxMjY0In0=</vt:lpwstr>
  </property>
</Properties>
</file>