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B66905A">
      <w:pPr>
        <w:pStyle w:val="59"/>
        <w:jc w:val="right"/>
      </w:pPr>
      <w:bookmarkStart w:id="0" w:name="SectionMark0"/>
      <w:r>
        <w:rPr>
          <w:rFonts w:ascii="Times New Roman" w:hAnsi="Times New Roman" w:cs="Times New Roman"/>
        </w:rPr>
        <w:drawing>
          <wp:inline distT="0" distB="0" distL="0" distR="0">
            <wp:extent cx="3028950" cy="81915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028950" cy="819150"/>
                    </a:xfrm>
                    <a:prstGeom prst="rect">
                      <a:avLst/>
                    </a:prstGeom>
                    <a:noFill/>
                  </pic:spPr>
                </pic:pic>
              </a:graphicData>
            </a:graphic>
          </wp:inline>
        </w:drawing>
      </w:r>
    </w:p>
    <w:p w14:paraId="1F3952A6">
      <w:pPr>
        <w:pStyle w:val="59"/>
        <w:tabs>
          <w:tab w:val="left" w:pos="8260"/>
        </w:tabs>
      </w:pPr>
      <w:r>
        <w:tab/>
      </w:r>
      <w:r>
        <w:br w:type="textWrapping"/>
      </w:r>
      <w: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2273300</wp:posOffset>
                </wp:positionV>
                <wp:extent cx="6121400" cy="635"/>
                <wp:effectExtent l="0" t="0" r="0" b="0"/>
                <wp:wrapNone/>
                <wp:docPr id="8" name="直线 5"/>
                <wp:cNvGraphicFramePr/>
                <a:graphic xmlns:a="http://schemas.openxmlformats.org/drawingml/2006/main">
                  <a:graphicData uri="http://schemas.microsoft.com/office/word/2010/wordprocessingShape">
                    <wps:wsp>
                      <wps:cNvCnPr/>
                      <wps:spPr>
                        <a:xfrm>
                          <a:off x="0" y="0"/>
                          <a:ext cx="6121400" cy="63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直线 5" o:spid="_x0000_s1026" o:spt="20" style="position:absolute;left:0pt;margin-left:0pt;margin-top:179pt;height:0.05pt;width:482pt;z-index:251665408;mso-width-relative:page;mso-height-relative:page;" filled="f" stroked="t" coordsize="21600,21600" o:gfxdata="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E1VZ07UAAAACAEAAA8A&#10;AAAAAAAAAQAgAAAAIgAAAGRycy9kb3ducmV2LnhtbFBLAQIUABQAAAAIAIdO4kDTAynO4gEAANID&#10;AAAOAAAAAAAAAAEAIAAAACMBAABkcnMvZTJvRG9jLnhtbFBLBQYAAAAABgAGAFkBAAB3BQAAAAA=&#10;">
                <v:fill on="f" focussize="0,0"/>
                <v:stroke weight="1.5pt" color="#000000" joinstyle="round"/>
                <v:imagedata o:title=""/>
                <o:lock v:ext="edit" aspectratio="f"/>
              </v:line>
            </w:pict>
          </mc:Fallback>
        </mc:AlternateContent>
      </w:r>
      <w:r>
        <mc:AlternateContent>
          <mc:Choice Requires="wps">
            <w:drawing>
              <wp:anchor distT="0" distB="0" distL="114300" distR="114300" simplePos="0" relativeHeight="251664384" behindDoc="0" locked="1" layoutInCell="1" allowOverlap="1">
                <wp:simplePos x="0" y="0"/>
                <wp:positionH relativeFrom="margin">
                  <wp:posOffset>4084320</wp:posOffset>
                </wp:positionH>
                <wp:positionV relativeFrom="margin">
                  <wp:posOffset>8402320</wp:posOffset>
                </wp:positionV>
                <wp:extent cx="2019300" cy="312420"/>
                <wp:effectExtent l="0" t="0" r="0" b="11430"/>
                <wp:wrapNone/>
                <wp:docPr id="7" name="fmFrame6"/>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14:paraId="308D538E">
                            <w:pPr>
                              <w:pStyle w:val="29"/>
                              <w:ind w:firstLine="1120" w:firstLineChars="400"/>
                              <w:jc w:val="both"/>
                              <w:rPr>
                                <w:rFonts w:hint="eastAsia" w:ascii="黑体" w:hAnsi="黑体" w:eastAsia="黑体" w:cs="黑体"/>
                              </w:rPr>
                            </w:pPr>
                            <w:r>
                              <w:rPr>
                                <w:rFonts w:hint="eastAsia" w:ascii="黑体" w:hAnsi="黑体" w:eastAsia="黑体" w:cs="黑体"/>
                              </w:rPr>
                              <w:t>20××-××-××实施</w:t>
                            </w:r>
                          </w:p>
                          <w:p w14:paraId="18371447"/>
                        </w:txbxContent>
                      </wps:txbx>
                      <wps:bodyPr lIns="0" tIns="0" rIns="0" bIns="0" upright="1"/>
                    </wps:wsp>
                  </a:graphicData>
                </a:graphic>
              </wp:anchor>
            </w:drawing>
          </mc:Choice>
          <mc:Fallback>
            <w:pict>
              <v:shape id="fmFrame6" o:spid="_x0000_s1026" o:spt="202" type="#_x0000_t202" style="position:absolute;left:0pt;margin-left:321.6pt;margin-top:661.6pt;height:24.6pt;width:159pt;mso-position-horizontal-relative:margin;mso-position-vertical-relative:margin;z-index:251664384;mso-width-relative:page;mso-height-relative:page;" fillcolor="#FFFFFF" filled="t" stroked="f" coordsize="21600,21600" o:gfxdata="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qgASw9kAAAANAQAADwAAAAAAAAABACAAAAAiAAAAZHJzL2Rvd25yZXYueG1s&#10;UEsBAhQAFAAAAAgAh07iQJFKnkW+AQAAmAMAAA4AAAAAAAAAAQAgAAAAKAEAAGRycy9lMm9Eb2Mu&#10;eG1sUEsFBgAAAAAGAAYAWQEAAFgFAAAAAA==&#10;">
                <v:fill on="t" focussize="0,0"/>
                <v:stroke on="f"/>
                <v:imagedata o:title=""/>
                <o:lock v:ext="edit" aspectratio="f"/>
                <v:textbox inset="0mm,0mm,0mm,0mm">
                  <w:txbxContent>
                    <w:p w14:paraId="308D538E">
                      <w:pPr>
                        <w:pStyle w:val="29"/>
                        <w:ind w:firstLine="1120" w:firstLineChars="400"/>
                        <w:jc w:val="both"/>
                        <w:rPr>
                          <w:rFonts w:hint="eastAsia" w:ascii="黑体" w:hAnsi="黑体" w:eastAsia="黑体" w:cs="黑体"/>
                        </w:rPr>
                      </w:pPr>
                      <w:r>
                        <w:rPr>
                          <w:rFonts w:hint="eastAsia" w:ascii="黑体" w:hAnsi="黑体" w:eastAsia="黑体" w:cs="黑体"/>
                        </w:rPr>
                        <w:t>20××-××-××实施</w:t>
                      </w:r>
                    </w:p>
                    <w:p w14:paraId="18371447"/>
                  </w:txbxContent>
                </v:textbox>
                <w10:anchorlock/>
              </v:shape>
            </w:pict>
          </mc:Fallback>
        </mc:AlternateContent>
      </w:r>
      <w:r>
        <mc:AlternateContent>
          <mc:Choice Requires="wps">
            <w:drawing>
              <wp:anchor distT="0" distB="0" distL="114300" distR="114300" simplePos="0" relativeHeight="251663360" behindDoc="0" locked="1" layoutInCell="1" allowOverlap="1">
                <wp:simplePos x="0" y="0"/>
                <wp:positionH relativeFrom="margin">
                  <wp:posOffset>36830</wp:posOffset>
                </wp:positionH>
                <wp:positionV relativeFrom="margin">
                  <wp:posOffset>8395970</wp:posOffset>
                </wp:positionV>
                <wp:extent cx="2019300" cy="312420"/>
                <wp:effectExtent l="0" t="0" r="0" b="11430"/>
                <wp:wrapNone/>
                <wp:docPr id="5" name="fmFrame5"/>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14:paraId="2FBC90C7">
                            <w:pPr>
                              <w:pStyle w:val="30"/>
                              <w:rPr>
                                <w:rFonts w:hint="eastAsia" w:ascii="黑体" w:hAnsi="黑体" w:eastAsia="黑体" w:cs="黑体"/>
                              </w:rPr>
                            </w:pPr>
                            <w:r>
                              <w:rPr>
                                <w:rFonts w:hint="eastAsia" w:ascii="黑体" w:hAnsi="黑体" w:eastAsia="黑体" w:cs="黑体"/>
                              </w:rPr>
                              <w:t>20××-××-××发布</w:t>
                            </w:r>
                          </w:p>
                          <w:p w14:paraId="313DF2BE"/>
                        </w:txbxContent>
                      </wps:txbx>
                      <wps:bodyPr lIns="0" tIns="0" rIns="0" bIns="0" upright="1"/>
                    </wps:wsp>
                  </a:graphicData>
                </a:graphic>
              </wp:anchor>
            </w:drawing>
          </mc:Choice>
          <mc:Fallback>
            <w:pict>
              <v:shape id="fmFrame5" o:spid="_x0000_s1026" o:spt="202" type="#_x0000_t202" style="position:absolute;left:0pt;margin-left:2.9pt;margin-top:661.1pt;height:24.6pt;width:159pt;mso-position-horizontal-relative:margin;mso-position-vertical-relative:margin;z-index:251663360;mso-width-relative:page;mso-height-relative:page;" fillcolor="#FFFFFF" filled="t" stroked="f" coordsize="21600,21600" o:gfxdata="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EOd2z2AAAAAsBAAAPAAAAAAAAAAEAIAAAACIAAABkcnMvZG93bnJldi54bWxQ&#10;SwECFAAUAAAACACHTuJA+h4SHr4BAACYAwAADgAAAAAAAAABACAAAAAnAQAAZHJzL2Uyb0RvYy54&#10;bWxQSwUGAAAAAAYABgBZAQAAVwUAAAAA&#10;">
                <v:fill on="t" focussize="0,0"/>
                <v:stroke on="f"/>
                <v:imagedata o:title=""/>
                <o:lock v:ext="edit" aspectratio="f"/>
                <v:textbox inset="0mm,0mm,0mm,0mm">
                  <w:txbxContent>
                    <w:p w14:paraId="2FBC90C7">
                      <w:pPr>
                        <w:pStyle w:val="30"/>
                        <w:rPr>
                          <w:rFonts w:hint="eastAsia" w:ascii="黑体" w:hAnsi="黑体" w:eastAsia="黑体" w:cs="黑体"/>
                        </w:rPr>
                      </w:pPr>
                      <w:r>
                        <w:rPr>
                          <w:rFonts w:hint="eastAsia" w:ascii="黑体" w:hAnsi="黑体" w:eastAsia="黑体" w:cs="黑体"/>
                        </w:rPr>
                        <w:t>20××-××-××发布</w:t>
                      </w:r>
                    </w:p>
                    <w:p w14:paraId="313DF2BE"/>
                  </w:txbxContent>
                </v:textbox>
                <w10:anchorlock/>
              </v:shape>
            </w:pict>
          </mc:Fallback>
        </mc:AlternateContent>
      </w:r>
      <w:r>
        <mc:AlternateContent>
          <mc:Choice Requires="wps">
            <w:drawing>
              <wp:anchor distT="0" distB="0" distL="114300" distR="114300" simplePos="0" relativeHeight="251662336" behindDoc="0" locked="1" layoutInCell="1" allowOverlap="1">
                <wp:simplePos x="0" y="0"/>
                <wp:positionH relativeFrom="margin">
                  <wp:posOffset>0</wp:posOffset>
                </wp:positionH>
                <wp:positionV relativeFrom="margin">
                  <wp:posOffset>3635375</wp:posOffset>
                </wp:positionV>
                <wp:extent cx="5969000" cy="4681220"/>
                <wp:effectExtent l="0" t="0" r="12700" b="5080"/>
                <wp:wrapNone/>
                <wp:docPr id="4" name="fmFrame4"/>
                <wp:cNvGraphicFramePr/>
                <a:graphic xmlns:a="http://schemas.openxmlformats.org/drawingml/2006/main">
                  <a:graphicData uri="http://schemas.microsoft.com/office/word/2010/wordprocessingShape">
                    <wps:wsp>
                      <wps:cNvSpPr txBox="1"/>
                      <wps:spPr>
                        <a:xfrm>
                          <a:off x="0" y="0"/>
                          <a:ext cx="5969000" cy="4681220"/>
                        </a:xfrm>
                        <a:prstGeom prst="rect">
                          <a:avLst/>
                        </a:prstGeom>
                        <a:solidFill>
                          <a:srgbClr val="FFFFFF"/>
                        </a:solidFill>
                        <a:ln>
                          <a:noFill/>
                        </a:ln>
                      </wps:spPr>
                      <wps:txbx>
                        <w:txbxContent>
                          <w:p w14:paraId="4E14E1FF">
                            <w:pPr>
                              <w:pStyle w:val="13"/>
                              <w:spacing w:after="0" w:line="240" w:lineRule="auto"/>
                              <w:ind w:left="0" w:firstLine="0"/>
                              <w:jc w:val="center"/>
                              <w:rPr>
                                <w:rFonts w:ascii="黑体" w:hAnsi="黑体" w:eastAsia="黑体" w:cs="Times New Roman"/>
                                <w:sz w:val="52"/>
                              </w:rPr>
                            </w:pPr>
                          </w:p>
                          <w:p w14:paraId="2B5932EF">
                            <w:pPr>
                              <w:pStyle w:val="13"/>
                              <w:spacing w:after="0" w:line="240" w:lineRule="auto"/>
                              <w:ind w:left="0" w:firstLine="0"/>
                              <w:jc w:val="center"/>
                              <w:rPr>
                                <w:rFonts w:ascii="黑体" w:hAnsi="黑体" w:eastAsia="黑体" w:cs="Times New Roman"/>
                                <w:sz w:val="52"/>
                              </w:rPr>
                            </w:pPr>
                          </w:p>
                          <w:p w14:paraId="31109BFA">
                            <w:pPr>
                              <w:pStyle w:val="60"/>
                            </w:pPr>
                            <w:r>
                              <w:rPr>
                                <w:rFonts w:hint="eastAsia"/>
                                <w:lang w:val="en-US" w:eastAsia="zh-CN"/>
                              </w:rPr>
                              <w:t>锂离子电池用钴基复合氢氧化物</w:t>
                            </w:r>
                          </w:p>
                          <w:p w14:paraId="7D5D6718">
                            <w:pPr>
                              <w:pStyle w:val="45"/>
                              <w:rPr>
                                <w:rFonts w:hint="default" w:ascii="黑体" w:hAnsi="黑体" w:eastAsia="黑体" w:cs="黑体"/>
                                <w:lang w:val="en-US"/>
                              </w:rPr>
                            </w:pPr>
                            <w:r>
                              <w:rPr>
                                <w:rFonts w:hint="eastAsia" w:ascii="黑体" w:hAnsi="黑体" w:eastAsia="黑体" w:cs="黑体"/>
                                <w:lang w:val="en-US" w:eastAsia="zh-CN"/>
                              </w:rPr>
                              <w:t xml:space="preserve"> Cobalt-based compound hydroxide for lithium-ion battery </w:t>
                            </w:r>
                          </w:p>
                          <w:p w14:paraId="02DFC118">
                            <w:pPr>
                              <w:pStyle w:val="46"/>
                              <w:spacing w:before="0" w:line="240" w:lineRule="atLeast"/>
                              <w:rPr>
                                <w:rFonts w:eastAsia="黑体"/>
                                <w:szCs w:val="28"/>
                              </w:rPr>
                            </w:pPr>
                          </w:p>
                        </w:txbxContent>
                      </wps:txbx>
                      <wps:bodyPr lIns="0" tIns="0" rIns="0" bIns="0" upright="1"/>
                    </wps:wsp>
                  </a:graphicData>
                </a:graphic>
              </wp:anchor>
            </w:drawing>
          </mc:Choice>
          <mc:Fallback>
            <w:pict>
              <v:shape id="fmFrame4" o:spid="_x0000_s1026" o:spt="202" type="#_x0000_t202" style="position:absolute;left:0pt;margin-left:0pt;margin-top:286.25pt;height:368.6pt;width:470pt;mso-position-horizontal-relative:margin;mso-position-vertical-relative:margin;z-index:251662336;mso-width-relative:page;mso-height-relative:page;" fillcolor="#FFFFFF" filled="t" stroked="f" coordsize="21600,21600" o:gfxdata="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FRXn3HYAAAACQEAAA8AAAAAAAAAAQAgAAAAIgAAAGRycy9kb3ducmV2Lnht&#10;bFBLAQIUABQAAAAIAIdO4kCQVHPswAEAAJkDAAAOAAAAAAAAAAEAIAAAACcBAABkcnMvZTJvRG9j&#10;LnhtbFBLBQYAAAAABgAGAFkBAABZBQAAAAA=&#10;">
                <v:fill on="t" focussize="0,0"/>
                <v:stroke on="f"/>
                <v:imagedata o:title=""/>
                <o:lock v:ext="edit" aspectratio="f"/>
                <v:textbox inset="0mm,0mm,0mm,0mm">
                  <w:txbxContent>
                    <w:p w14:paraId="4E14E1FF">
                      <w:pPr>
                        <w:pStyle w:val="13"/>
                        <w:spacing w:after="0" w:line="240" w:lineRule="auto"/>
                        <w:ind w:left="0" w:firstLine="0"/>
                        <w:jc w:val="center"/>
                        <w:rPr>
                          <w:rFonts w:ascii="黑体" w:hAnsi="黑体" w:eastAsia="黑体" w:cs="Times New Roman"/>
                          <w:sz w:val="52"/>
                        </w:rPr>
                      </w:pPr>
                    </w:p>
                    <w:p w14:paraId="2B5932EF">
                      <w:pPr>
                        <w:pStyle w:val="13"/>
                        <w:spacing w:after="0" w:line="240" w:lineRule="auto"/>
                        <w:ind w:left="0" w:firstLine="0"/>
                        <w:jc w:val="center"/>
                        <w:rPr>
                          <w:rFonts w:ascii="黑体" w:hAnsi="黑体" w:eastAsia="黑体" w:cs="Times New Roman"/>
                          <w:sz w:val="52"/>
                        </w:rPr>
                      </w:pPr>
                    </w:p>
                    <w:p w14:paraId="31109BFA">
                      <w:pPr>
                        <w:pStyle w:val="60"/>
                      </w:pPr>
                      <w:r>
                        <w:rPr>
                          <w:rFonts w:hint="eastAsia"/>
                          <w:lang w:val="en-US" w:eastAsia="zh-CN"/>
                        </w:rPr>
                        <w:t>锂离子电池用钴基复合氢氧化物</w:t>
                      </w:r>
                    </w:p>
                    <w:p w14:paraId="7D5D6718">
                      <w:pPr>
                        <w:pStyle w:val="45"/>
                        <w:rPr>
                          <w:rFonts w:hint="default" w:ascii="黑体" w:hAnsi="黑体" w:eastAsia="黑体" w:cs="黑体"/>
                          <w:lang w:val="en-US"/>
                        </w:rPr>
                      </w:pPr>
                      <w:r>
                        <w:rPr>
                          <w:rFonts w:hint="eastAsia" w:ascii="黑体" w:hAnsi="黑体" w:eastAsia="黑体" w:cs="黑体"/>
                          <w:lang w:val="en-US" w:eastAsia="zh-CN"/>
                        </w:rPr>
                        <w:t xml:space="preserve"> Cobalt-based compound hydroxide for lithium-ion battery </w:t>
                      </w:r>
                    </w:p>
                    <w:p w14:paraId="02DFC118">
                      <w:pPr>
                        <w:pStyle w:val="46"/>
                        <w:spacing w:before="0" w:line="240" w:lineRule="atLeast"/>
                        <w:rPr>
                          <w:rFonts w:eastAsia="黑体"/>
                          <w:szCs w:val="28"/>
                        </w:rPr>
                      </w:pPr>
                    </w:p>
                  </w:txbxContent>
                </v:textbox>
                <w10:anchorlock/>
              </v:shape>
            </w:pict>
          </mc:Fallback>
        </mc:AlternateContent>
      </w:r>
      <w:r>
        <mc:AlternateContent>
          <mc:Choice Requires="wps">
            <w:drawing>
              <wp:anchor distT="0" distB="0" distL="114300" distR="114300" simplePos="0" relativeHeight="251661312" behindDoc="0" locked="1" layoutInCell="1" allowOverlap="1">
                <wp:simplePos x="0" y="0"/>
                <wp:positionH relativeFrom="margin">
                  <wp:posOffset>0</wp:posOffset>
                </wp:positionH>
                <wp:positionV relativeFrom="margin">
                  <wp:posOffset>1772285</wp:posOffset>
                </wp:positionV>
                <wp:extent cx="5862320" cy="581025"/>
                <wp:effectExtent l="0" t="0" r="5080" b="9525"/>
                <wp:wrapNone/>
                <wp:docPr id="3" name="fmFrame3"/>
                <wp:cNvGraphicFramePr/>
                <a:graphic xmlns:a="http://schemas.openxmlformats.org/drawingml/2006/main">
                  <a:graphicData uri="http://schemas.microsoft.com/office/word/2010/wordprocessingShape">
                    <wps:wsp>
                      <wps:cNvSpPr txBox="1"/>
                      <wps:spPr>
                        <a:xfrm>
                          <a:off x="0" y="0"/>
                          <a:ext cx="5862320" cy="581025"/>
                        </a:xfrm>
                        <a:prstGeom prst="rect">
                          <a:avLst/>
                        </a:prstGeom>
                        <a:solidFill>
                          <a:srgbClr val="FFFFFF"/>
                        </a:solidFill>
                        <a:ln>
                          <a:noFill/>
                        </a:ln>
                      </wps:spPr>
                      <wps:txbx>
                        <w:txbxContent>
                          <w:p w14:paraId="24185BB6">
                            <w:pPr>
                              <w:pStyle w:val="57"/>
                              <w:spacing w:before="0" w:beforeAutospacing="0" w:after="0" w:afterAutospacing="0"/>
                              <w:ind w:right="210"/>
                              <w:rPr>
                                <w:rFonts w:hint="eastAsia" w:ascii="黑体" w:hAnsi="黑体" w:eastAsia="黑体" w:cs="黑体"/>
                              </w:rPr>
                            </w:pPr>
                            <w:bookmarkStart w:id="8" w:name="OLE_LINK5"/>
                            <w:bookmarkStart w:id="9" w:name="OLE_LINK6"/>
                            <w:r>
                              <w:rPr>
                                <w:rFonts w:hint="eastAsia" w:ascii="黑体" w:hAnsi="黑体" w:eastAsia="黑体" w:cs="黑体"/>
                              </w:rPr>
                              <w:t xml:space="preserve">YS/T </w:t>
                            </w:r>
                            <w:r>
                              <w:rPr>
                                <w:rFonts w:hint="eastAsia" w:ascii="黑体" w:hAnsi="黑体" w:eastAsia="黑体" w:cs="黑体"/>
                                <w:lang w:val="en-US" w:eastAsia="zh-CN"/>
                              </w:rPr>
                              <w:t>X</w:t>
                            </w:r>
                            <w:r>
                              <w:rPr>
                                <w:rFonts w:hint="eastAsia" w:ascii="黑体" w:hAnsi="黑体" w:eastAsia="黑体" w:cs="黑体"/>
                              </w:rPr>
                              <w:t>XXX—20</w:t>
                            </w:r>
                            <w:bookmarkEnd w:id="8"/>
                            <w:bookmarkEnd w:id="9"/>
                            <w:r>
                              <w:rPr>
                                <w:rFonts w:hint="eastAsia" w:ascii="黑体" w:hAnsi="黑体" w:eastAsia="黑体" w:cs="黑体"/>
                              </w:rPr>
                              <w:t>XX</w:t>
                            </w:r>
                          </w:p>
                          <w:p w14:paraId="769EEF4D">
                            <w:pPr>
                              <w:pStyle w:val="57"/>
                              <w:spacing w:before="0" w:beforeAutospacing="0" w:after="0" w:afterAutospacing="0"/>
                              <w:rPr>
                                <w:rFonts w:eastAsia="黑体"/>
                              </w:rPr>
                            </w:pPr>
                          </w:p>
                          <w:p w14:paraId="71E1C4B4">
                            <w:pPr>
                              <w:pStyle w:val="57"/>
                              <w:rPr>
                                <w:rFonts w:eastAsia="黑体"/>
                              </w:rPr>
                            </w:pPr>
                          </w:p>
                          <w:p w14:paraId="657789B4">
                            <w:pPr>
                              <w:pStyle w:val="57"/>
                              <w:rPr>
                                <w:rFonts w:eastAsia="黑体"/>
                              </w:rPr>
                            </w:pPr>
                          </w:p>
                          <w:p w14:paraId="1E6945D4">
                            <w:pPr>
                              <w:pStyle w:val="57"/>
                              <w:rPr>
                                <w:rFonts w:eastAsia="黑体"/>
                              </w:rPr>
                            </w:pPr>
                          </w:p>
                          <w:p w14:paraId="6A5BDEAB">
                            <w:pPr>
                              <w:pStyle w:val="57"/>
                              <w:rPr>
                                <w:rFonts w:eastAsia="黑体"/>
                              </w:rPr>
                            </w:pPr>
                            <w:r>
                              <w:rPr>
                                <w:rFonts w:eastAsia="黑体"/>
                              </w:rPr>
                              <w:t xml:space="preserve">    </w:t>
                            </w:r>
                          </w:p>
                          <w:p w14:paraId="04585B0B">
                            <w:pPr>
                              <w:pStyle w:val="57"/>
                              <w:rPr>
                                <w:rFonts w:eastAsia="黑体"/>
                              </w:rPr>
                            </w:pPr>
                          </w:p>
                        </w:txbxContent>
                      </wps:txbx>
                      <wps:bodyPr lIns="0" tIns="0" rIns="0" bIns="0" upright="1"/>
                    </wps:wsp>
                  </a:graphicData>
                </a:graphic>
              </wp:anchor>
            </w:drawing>
          </mc:Choice>
          <mc:Fallback>
            <w:pict>
              <v:shape id="fmFrame3" o:spid="_x0000_s1026" o:spt="202" type="#_x0000_t202" style="position:absolute;left:0pt;margin-left:0pt;margin-top:139.55pt;height:45.75pt;width:461.6pt;mso-position-horizontal-relative:margin;mso-position-vertical-relative:margin;z-index:251661312;mso-width-relative:page;mso-height-relative:page;" fillcolor="#FFFFFF" filled="t" stroked="f" coordsize="21600,21600" o:gfxdata="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H39uRnYAAAACAEAAA8AAAAAAAAAAQAgAAAAIgAAAGRycy9kb3ducmV2LnhtbFBL&#10;AQIUABQAAAAIAIdO4kBQ0F3EvQEAAJgDAAAOAAAAAAAAAAEAIAAAACcBAABkcnMvZTJvRG9jLnht&#10;bFBLBQYAAAAABgAGAFkBAABWBQAAAAA=&#10;">
                <v:fill on="t" focussize="0,0"/>
                <v:stroke on="f"/>
                <v:imagedata o:title=""/>
                <o:lock v:ext="edit" aspectratio="f"/>
                <v:textbox inset="0mm,0mm,0mm,0mm">
                  <w:txbxContent>
                    <w:p w14:paraId="24185BB6">
                      <w:pPr>
                        <w:pStyle w:val="57"/>
                        <w:spacing w:before="0" w:beforeAutospacing="0" w:after="0" w:afterAutospacing="0"/>
                        <w:ind w:right="210"/>
                        <w:rPr>
                          <w:rFonts w:hint="eastAsia" w:ascii="黑体" w:hAnsi="黑体" w:eastAsia="黑体" w:cs="黑体"/>
                        </w:rPr>
                      </w:pPr>
                      <w:bookmarkStart w:id="8" w:name="OLE_LINK5"/>
                      <w:bookmarkStart w:id="9" w:name="OLE_LINK6"/>
                      <w:r>
                        <w:rPr>
                          <w:rFonts w:hint="eastAsia" w:ascii="黑体" w:hAnsi="黑体" w:eastAsia="黑体" w:cs="黑体"/>
                        </w:rPr>
                        <w:t xml:space="preserve">YS/T </w:t>
                      </w:r>
                      <w:r>
                        <w:rPr>
                          <w:rFonts w:hint="eastAsia" w:ascii="黑体" w:hAnsi="黑体" w:eastAsia="黑体" w:cs="黑体"/>
                          <w:lang w:val="en-US" w:eastAsia="zh-CN"/>
                        </w:rPr>
                        <w:t>X</w:t>
                      </w:r>
                      <w:r>
                        <w:rPr>
                          <w:rFonts w:hint="eastAsia" w:ascii="黑体" w:hAnsi="黑体" w:eastAsia="黑体" w:cs="黑体"/>
                        </w:rPr>
                        <w:t>XXX—20</w:t>
                      </w:r>
                      <w:bookmarkEnd w:id="8"/>
                      <w:bookmarkEnd w:id="9"/>
                      <w:r>
                        <w:rPr>
                          <w:rFonts w:hint="eastAsia" w:ascii="黑体" w:hAnsi="黑体" w:eastAsia="黑体" w:cs="黑体"/>
                        </w:rPr>
                        <w:t>XX</w:t>
                      </w:r>
                    </w:p>
                    <w:p w14:paraId="769EEF4D">
                      <w:pPr>
                        <w:pStyle w:val="57"/>
                        <w:spacing w:before="0" w:beforeAutospacing="0" w:after="0" w:afterAutospacing="0"/>
                        <w:rPr>
                          <w:rFonts w:eastAsia="黑体"/>
                        </w:rPr>
                      </w:pPr>
                    </w:p>
                    <w:p w14:paraId="71E1C4B4">
                      <w:pPr>
                        <w:pStyle w:val="57"/>
                        <w:rPr>
                          <w:rFonts w:eastAsia="黑体"/>
                        </w:rPr>
                      </w:pPr>
                    </w:p>
                    <w:p w14:paraId="657789B4">
                      <w:pPr>
                        <w:pStyle w:val="57"/>
                        <w:rPr>
                          <w:rFonts w:eastAsia="黑体"/>
                        </w:rPr>
                      </w:pPr>
                    </w:p>
                    <w:p w14:paraId="1E6945D4">
                      <w:pPr>
                        <w:pStyle w:val="57"/>
                        <w:rPr>
                          <w:rFonts w:eastAsia="黑体"/>
                        </w:rPr>
                      </w:pPr>
                    </w:p>
                    <w:p w14:paraId="6A5BDEAB">
                      <w:pPr>
                        <w:pStyle w:val="57"/>
                        <w:rPr>
                          <w:rFonts w:eastAsia="黑体"/>
                        </w:rPr>
                      </w:pPr>
                      <w:r>
                        <w:rPr>
                          <w:rFonts w:eastAsia="黑体"/>
                        </w:rPr>
                        <w:t xml:space="preserve">    </w:t>
                      </w:r>
                    </w:p>
                    <w:p w14:paraId="04585B0B">
                      <w:pPr>
                        <w:pStyle w:val="57"/>
                        <w:rPr>
                          <w:rFonts w:eastAsia="黑体"/>
                        </w:rPr>
                      </w:pPr>
                    </w:p>
                  </w:txbxContent>
                </v:textbox>
                <w10:anchorlock/>
              </v:shape>
            </w:pict>
          </mc:Fallback>
        </mc:AlternateContent>
      </w:r>
      <w:r>
        <mc:AlternateContent>
          <mc:Choice Requires="wps">
            <w:drawing>
              <wp:anchor distT="0" distB="0" distL="114300" distR="114300" simplePos="0" relativeHeight="251660288" behindDoc="0" locked="1" layoutInCell="1" allowOverlap="1">
                <wp:simplePos x="0" y="0"/>
                <wp:positionH relativeFrom="margin">
                  <wp:posOffset>0</wp:posOffset>
                </wp:positionH>
                <wp:positionV relativeFrom="margin">
                  <wp:posOffset>1010920</wp:posOffset>
                </wp:positionV>
                <wp:extent cx="6120130" cy="457835"/>
                <wp:effectExtent l="0" t="0" r="13970" b="18415"/>
                <wp:wrapNone/>
                <wp:docPr id="2" name="fmFrame2"/>
                <wp:cNvGraphicFramePr/>
                <a:graphic xmlns:a="http://schemas.openxmlformats.org/drawingml/2006/main">
                  <a:graphicData uri="http://schemas.microsoft.com/office/word/2010/wordprocessingShape">
                    <wps:wsp>
                      <wps:cNvSpPr txBox="1"/>
                      <wps:spPr>
                        <a:xfrm>
                          <a:off x="0" y="0"/>
                          <a:ext cx="6120130" cy="457835"/>
                        </a:xfrm>
                        <a:prstGeom prst="rect">
                          <a:avLst/>
                        </a:prstGeom>
                        <a:solidFill>
                          <a:srgbClr val="FFFFFF"/>
                        </a:solidFill>
                        <a:ln>
                          <a:noFill/>
                        </a:ln>
                      </wps:spPr>
                      <wps:txbx>
                        <w:txbxContent>
                          <w:p w14:paraId="10761044">
                            <w:pPr>
                              <w:jc w:val="center"/>
                              <w:rPr>
                                <w:rFonts w:hint="eastAsia" w:ascii="宋体" w:hAnsi="宋体" w:eastAsia="宋体" w:cs="宋体"/>
                                <w:b/>
                                <w:spacing w:val="20"/>
                                <w:w w:val="148"/>
                                <w:kern w:val="0"/>
                                <w:sz w:val="36"/>
                                <w:szCs w:val="36"/>
                              </w:rPr>
                            </w:pPr>
                            <w:r>
                              <w:rPr>
                                <w:rFonts w:hint="eastAsia" w:ascii="宋体" w:hAnsi="宋体" w:eastAsia="宋体" w:cs="宋体"/>
                                <w:b/>
                                <w:spacing w:val="20"/>
                                <w:w w:val="148"/>
                                <w:kern w:val="0"/>
                                <w:sz w:val="36"/>
                                <w:szCs w:val="36"/>
                              </w:rPr>
                              <w:t>中华人民共和国有色金属行业标准</w:t>
                            </w:r>
                          </w:p>
                          <w:p w14:paraId="501B198A">
                            <w:pPr>
                              <w:jc w:val="center"/>
                              <w:rPr>
                                <w:rFonts w:hint="eastAsia" w:ascii="宋体" w:hAnsi="宋体" w:eastAsia="宋体" w:cs="宋体"/>
                                <w:sz w:val="36"/>
                                <w:szCs w:val="36"/>
                              </w:rPr>
                            </w:pPr>
                          </w:p>
                        </w:txbxContent>
                      </wps:txbx>
                      <wps:bodyPr lIns="0" tIns="0" rIns="0" bIns="0" upright="1"/>
                    </wps:wsp>
                  </a:graphicData>
                </a:graphic>
              </wp:anchor>
            </w:drawing>
          </mc:Choice>
          <mc:Fallback>
            <w:pict>
              <v:shape id="fmFrame2" o:spid="_x0000_s1026" o:spt="202" type="#_x0000_t202" style="position:absolute;left:0pt;margin-left:0pt;margin-top:79.6pt;height:36.05pt;width:481.9pt;mso-position-horizontal-relative:margin;mso-position-vertical-relative:margin;z-index:251660288;mso-width-relative:page;mso-height-relative:page;" fillcolor="#FFFFFF" filled="t" stroked="f" coordsize="21600,21600" o:gfxdata="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yLQ1V1wAAAAgBAAAPAAAAAAAAAAEAIAAAACIAAABkcnMvZG93bnJldi54bWxQSwEC&#10;FAAUAAAACACHTuJAZ5Pi6rwBAACYAwAADgAAAAAAAAABACAAAAAmAQAAZHJzL2Uyb0RvYy54bWxQ&#10;SwUGAAAAAAYABgBZAQAAVAUAAAAA&#10;">
                <v:fill on="t" focussize="0,0"/>
                <v:stroke on="f"/>
                <v:imagedata o:title=""/>
                <o:lock v:ext="edit" aspectratio="f"/>
                <v:textbox inset="0mm,0mm,0mm,0mm">
                  <w:txbxContent>
                    <w:p w14:paraId="10761044">
                      <w:pPr>
                        <w:jc w:val="center"/>
                        <w:rPr>
                          <w:rFonts w:hint="eastAsia" w:ascii="宋体" w:hAnsi="宋体" w:eastAsia="宋体" w:cs="宋体"/>
                          <w:b/>
                          <w:spacing w:val="20"/>
                          <w:w w:val="148"/>
                          <w:kern w:val="0"/>
                          <w:sz w:val="36"/>
                          <w:szCs w:val="36"/>
                        </w:rPr>
                      </w:pPr>
                      <w:r>
                        <w:rPr>
                          <w:rFonts w:hint="eastAsia" w:ascii="宋体" w:hAnsi="宋体" w:eastAsia="宋体" w:cs="宋体"/>
                          <w:b/>
                          <w:spacing w:val="20"/>
                          <w:w w:val="148"/>
                          <w:kern w:val="0"/>
                          <w:sz w:val="36"/>
                          <w:szCs w:val="36"/>
                        </w:rPr>
                        <w:t>中华人民共和国有色金属行业标准</w:t>
                      </w:r>
                    </w:p>
                    <w:p w14:paraId="501B198A">
                      <w:pPr>
                        <w:jc w:val="center"/>
                        <w:rPr>
                          <w:rFonts w:hint="eastAsia" w:ascii="宋体" w:hAnsi="宋体" w:eastAsia="宋体" w:cs="宋体"/>
                          <w:sz w:val="36"/>
                          <w:szCs w:val="36"/>
                        </w:rPr>
                      </w:pPr>
                    </w:p>
                  </w:txbxContent>
                </v:textbox>
                <w10:anchorlock/>
              </v:shape>
            </w:pict>
          </mc:Fallback>
        </mc:AlternateContent>
      </w:r>
      <w:r>
        <mc:AlternateContent>
          <mc:Choice Requires="wps">
            <w:drawing>
              <wp:anchor distT="0" distB="0" distL="114300" distR="114300" simplePos="0" relativeHeight="251659264" behindDoc="0" locked="1" layoutInCell="1" allowOverlap="1">
                <wp:simplePos x="0" y="0"/>
                <wp:positionH relativeFrom="margin">
                  <wp:posOffset>0</wp:posOffset>
                </wp:positionH>
                <wp:positionV relativeFrom="margin">
                  <wp:posOffset>0</wp:posOffset>
                </wp:positionV>
                <wp:extent cx="2528570" cy="657860"/>
                <wp:effectExtent l="0" t="0" r="5080" b="8890"/>
                <wp:wrapNone/>
                <wp:docPr id="1" name="fmFrame1"/>
                <wp:cNvGraphicFramePr/>
                <a:graphic xmlns:a="http://schemas.openxmlformats.org/drawingml/2006/main">
                  <a:graphicData uri="http://schemas.microsoft.com/office/word/2010/wordprocessingShape">
                    <wps:wsp>
                      <wps:cNvSpPr txBox="1"/>
                      <wps:spPr>
                        <a:xfrm>
                          <a:off x="0" y="0"/>
                          <a:ext cx="2528570" cy="657860"/>
                        </a:xfrm>
                        <a:prstGeom prst="rect">
                          <a:avLst/>
                        </a:prstGeom>
                        <a:solidFill>
                          <a:srgbClr val="FFFFFF"/>
                        </a:solidFill>
                        <a:ln>
                          <a:noFill/>
                        </a:ln>
                      </wps:spPr>
                      <wps:txbx>
                        <w:txbxContent>
                          <w:p w14:paraId="1201E2DA">
                            <w:pPr>
                              <w:rPr>
                                <w:rFonts w:hint="eastAsia" w:ascii="黑体" w:hAnsi="黑体" w:eastAsia="黑体" w:cs="黑体"/>
                                <w:color w:val="auto"/>
                                <w:lang w:val="en-US" w:eastAsia="zh-CN"/>
                              </w:rPr>
                            </w:pPr>
                            <w:r>
                              <w:rPr>
                                <w:rFonts w:hint="eastAsia" w:ascii="黑体" w:hAnsi="黑体" w:eastAsia="黑体" w:cs="黑体"/>
                              </w:rPr>
                              <w:t>I</w:t>
                            </w:r>
                            <w:r>
                              <w:rPr>
                                <w:rFonts w:hint="eastAsia" w:ascii="黑体" w:hAnsi="黑体" w:eastAsia="黑体" w:cs="黑体"/>
                                <w:color w:val="auto"/>
                              </w:rPr>
                              <w:t>CS 77.1</w:t>
                            </w:r>
                            <w:r>
                              <w:rPr>
                                <w:rFonts w:hint="eastAsia" w:ascii="黑体" w:hAnsi="黑体" w:eastAsia="黑体" w:cs="黑体"/>
                                <w:color w:val="auto"/>
                                <w:lang w:val="en-US" w:eastAsia="zh-CN"/>
                              </w:rPr>
                              <w:t>5</w:t>
                            </w:r>
                            <w:r>
                              <w:rPr>
                                <w:rFonts w:hint="eastAsia" w:ascii="黑体" w:hAnsi="黑体" w:eastAsia="黑体" w:cs="黑体"/>
                                <w:color w:val="auto"/>
                              </w:rPr>
                              <w:t>0.</w:t>
                            </w:r>
                            <w:r>
                              <w:rPr>
                                <w:rFonts w:hint="eastAsia" w:ascii="黑体" w:hAnsi="黑体" w:eastAsia="黑体" w:cs="黑体"/>
                                <w:color w:val="auto"/>
                                <w:lang w:val="en-US" w:eastAsia="zh-CN"/>
                              </w:rPr>
                              <w:t>70</w:t>
                            </w:r>
                          </w:p>
                          <w:p w14:paraId="651D53BC">
                            <w:pPr>
                              <w:rPr>
                                <w:rFonts w:hint="default" w:ascii="黑体" w:hAnsi="黑体" w:eastAsia="黑体" w:cs="黑体"/>
                                <w:color w:val="auto"/>
                                <w:lang w:val="en-US" w:eastAsia="zh-CN"/>
                              </w:rPr>
                            </w:pPr>
                            <w:r>
                              <w:rPr>
                                <w:rFonts w:hint="eastAsia" w:ascii="黑体" w:hAnsi="黑体" w:eastAsia="黑体" w:cs="黑体"/>
                                <w:color w:val="auto"/>
                                <w:szCs w:val="21"/>
                              </w:rPr>
                              <w:t xml:space="preserve">CCS </w:t>
                            </w:r>
                            <w:r>
                              <w:rPr>
                                <w:rFonts w:hint="eastAsia" w:ascii="黑体" w:hAnsi="黑体" w:eastAsia="黑体" w:cs="黑体"/>
                                <w:color w:val="auto"/>
                              </w:rPr>
                              <w:t>H</w:t>
                            </w:r>
                            <w:r>
                              <w:rPr>
                                <w:rFonts w:hint="eastAsia" w:ascii="黑体" w:hAnsi="黑体" w:eastAsia="黑体" w:cs="黑体"/>
                                <w:color w:val="auto"/>
                                <w:lang w:val="en-US" w:eastAsia="zh-CN"/>
                              </w:rPr>
                              <w:t xml:space="preserve"> 62</w:t>
                            </w:r>
                          </w:p>
                        </w:txbxContent>
                      </wps:txbx>
                      <wps:bodyPr lIns="0" tIns="0" rIns="0" bIns="0" upright="1"/>
                    </wps:wsp>
                  </a:graphicData>
                </a:graphic>
              </wp:anchor>
            </w:drawing>
          </mc:Choice>
          <mc:Fallback>
            <w:pict>
              <v:shape id="fmFrame1" o:spid="_x0000_s1026" o:spt="202" type="#_x0000_t202" style="position:absolute;left:0pt;margin-left:0pt;margin-top:0pt;height:51.8pt;width:199.1pt;mso-position-horizontal-relative:margin;mso-position-vertical-relative:margin;z-index:251659264;mso-width-relative:page;mso-height-relative:page;" fillcolor="#FFFFFF" filled="t" stroked="f" coordsize="21600,21600" o:gfxdata="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jtN1h1QAAAAUBAAAPAAAAAAAAAAEAIAAAACIAAABkcnMvZG93bnJldi54bWxQSwEC&#10;FAAUAAAACACHTuJAdG54z74BAACYAwAADgAAAAAAAAABACAAAAAkAQAAZHJzL2Uyb0RvYy54bWxQ&#10;SwUGAAAAAAYABgBZAQAAVAUAAAAA&#10;">
                <v:fill on="t" focussize="0,0"/>
                <v:stroke on="f"/>
                <v:imagedata o:title=""/>
                <o:lock v:ext="edit" aspectratio="f"/>
                <v:textbox inset="0mm,0mm,0mm,0mm">
                  <w:txbxContent>
                    <w:p w14:paraId="1201E2DA">
                      <w:pPr>
                        <w:rPr>
                          <w:rFonts w:hint="eastAsia" w:ascii="黑体" w:hAnsi="黑体" w:eastAsia="黑体" w:cs="黑体"/>
                          <w:color w:val="auto"/>
                          <w:lang w:val="en-US" w:eastAsia="zh-CN"/>
                        </w:rPr>
                      </w:pPr>
                      <w:r>
                        <w:rPr>
                          <w:rFonts w:hint="eastAsia" w:ascii="黑体" w:hAnsi="黑体" w:eastAsia="黑体" w:cs="黑体"/>
                        </w:rPr>
                        <w:t>I</w:t>
                      </w:r>
                      <w:r>
                        <w:rPr>
                          <w:rFonts w:hint="eastAsia" w:ascii="黑体" w:hAnsi="黑体" w:eastAsia="黑体" w:cs="黑体"/>
                          <w:color w:val="auto"/>
                        </w:rPr>
                        <w:t>CS 77.1</w:t>
                      </w:r>
                      <w:r>
                        <w:rPr>
                          <w:rFonts w:hint="eastAsia" w:ascii="黑体" w:hAnsi="黑体" w:eastAsia="黑体" w:cs="黑体"/>
                          <w:color w:val="auto"/>
                          <w:lang w:val="en-US" w:eastAsia="zh-CN"/>
                        </w:rPr>
                        <w:t>5</w:t>
                      </w:r>
                      <w:r>
                        <w:rPr>
                          <w:rFonts w:hint="eastAsia" w:ascii="黑体" w:hAnsi="黑体" w:eastAsia="黑体" w:cs="黑体"/>
                          <w:color w:val="auto"/>
                        </w:rPr>
                        <w:t>0.</w:t>
                      </w:r>
                      <w:r>
                        <w:rPr>
                          <w:rFonts w:hint="eastAsia" w:ascii="黑体" w:hAnsi="黑体" w:eastAsia="黑体" w:cs="黑体"/>
                          <w:color w:val="auto"/>
                          <w:lang w:val="en-US" w:eastAsia="zh-CN"/>
                        </w:rPr>
                        <w:t>70</w:t>
                      </w:r>
                    </w:p>
                    <w:p w14:paraId="651D53BC">
                      <w:pPr>
                        <w:rPr>
                          <w:rFonts w:hint="default" w:ascii="黑体" w:hAnsi="黑体" w:eastAsia="黑体" w:cs="黑体"/>
                          <w:color w:val="auto"/>
                          <w:lang w:val="en-US" w:eastAsia="zh-CN"/>
                        </w:rPr>
                      </w:pPr>
                      <w:r>
                        <w:rPr>
                          <w:rFonts w:hint="eastAsia" w:ascii="黑体" w:hAnsi="黑体" w:eastAsia="黑体" w:cs="黑体"/>
                          <w:color w:val="auto"/>
                          <w:szCs w:val="21"/>
                        </w:rPr>
                        <w:t xml:space="preserve">CCS </w:t>
                      </w:r>
                      <w:r>
                        <w:rPr>
                          <w:rFonts w:hint="eastAsia" w:ascii="黑体" w:hAnsi="黑体" w:eastAsia="黑体" w:cs="黑体"/>
                          <w:color w:val="auto"/>
                        </w:rPr>
                        <w:t>H</w:t>
                      </w:r>
                      <w:r>
                        <w:rPr>
                          <w:rFonts w:hint="eastAsia" w:ascii="黑体" w:hAnsi="黑体" w:eastAsia="黑体" w:cs="黑体"/>
                          <w:color w:val="auto"/>
                          <w:lang w:val="en-US" w:eastAsia="zh-CN"/>
                        </w:rPr>
                        <w:t xml:space="preserve"> 62</w:t>
                      </w:r>
                    </w:p>
                  </w:txbxContent>
                </v:textbox>
                <w10:anchorlock/>
              </v:shape>
            </w:pict>
          </mc:Fallback>
        </mc:AlternateContent>
      </w:r>
      <w:r>
        <w:t>T</w:t>
      </w:r>
    </w:p>
    <w:p w14:paraId="1D845C36">
      <w:pPr>
        <w:pStyle w:val="59"/>
        <w:sectPr>
          <w:headerReference r:id="rId5" w:type="first"/>
          <w:footerReference r:id="rId8" w:type="first"/>
          <w:headerReference r:id="rId3" w:type="default"/>
          <w:footerReference r:id="rId6" w:type="default"/>
          <w:headerReference r:id="rId4" w:type="even"/>
          <w:footerReference r:id="rId7" w:type="even"/>
          <w:pgSz w:w="11907" w:h="16839"/>
          <w:pgMar w:top="567" w:right="851" w:bottom="1361" w:left="1418" w:header="0" w:footer="0" w:gutter="0"/>
          <w:pgNumType w:fmt="upperRoman" w:start="1"/>
          <w:cols w:space="720" w:num="1"/>
          <w:titlePg/>
          <w:docGrid w:type="lines" w:linePitch="312" w:charSpace="0"/>
        </w:sectPr>
      </w:pPr>
      <w:r>
        <mc:AlternateContent>
          <mc:Choice Requires="wps">
            <w:drawing>
              <wp:anchor distT="0" distB="0" distL="114300" distR="114300" simplePos="0" relativeHeight="251667456" behindDoc="0" locked="0" layoutInCell="1" allowOverlap="1">
                <wp:simplePos x="0" y="0"/>
                <wp:positionH relativeFrom="column">
                  <wp:posOffset>481965</wp:posOffset>
                </wp:positionH>
                <wp:positionV relativeFrom="paragraph">
                  <wp:posOffset>8111490</wp:posOffset>
                </wp:positionV>
                <wp:extent cx="5047615" cy="440690"/>
                <wp:effectExtent l="5080" t="4445" r="14605" b="12065"/>
                <wp:wrapNone/>
                <wp:docPr id="11" name="文本框 26"/>
                <wp:cNvGraphicFramePr/>
                <a:graphic xmlns:a="http://schemas.openxmlformats.org/drawingml/2006/main">
                  <a:graphicData uri="http://schemas.microsoft.com/office/word/2010/wordprocessingShape">
                    <wps:wsp>
                      <wps:cNvSpPr txBox="1"/>
                      <wps:spPr>
                        <a:xfrm>
                          <a:off x="0" y="0"/>
                          <a:ext cx="5047615" cy="440690"/>
                        </a:xfrm>
                        <a:prstGeom prst="rect">
                          <a:avLst/>
                        </a:prstGeom>
                        <a:solidFill>
                          <a:srgbClr val="FFFFFF">
                            <a:alpha val="0"/>
                          </a:srgbClr>
                        </a:solidFill>
                        <a:ln w="9525" cap="flat" cmpd="sng">
                          <a:solidFill>
                            <a:srgbClr val="FFFFFF"/>
                          </a:solidFill>
                          <a:prstDash val="solid"/>
                          <a:miter/>
                          <a:headEnd type="none" w="med" len="med"/>
                          <a:tailEnd type="none" w="med" len="med"/>
                        </a:ln>
                      </wps:spPr>
                      <wps:txbx>
                        <w:txbxContent>
                          <w:p w14:paraId="2C2AD435">
                            <w:pPr>
                              <w:pStyle w:val="59"/>
                              <w:widowControl w:val="0"/>
                              <w:spacing w:line="240" w:lineRule="atLeast"/>
                              <w:jc w:val="distribute"/>
                              <w:rPr>
                                <w:rFonts w:ascii="黑体" w:hAnsi="黑体" w:eastAsia="黑体"/>
                                <w:color w:val="000000"/>
                                <w:sz w:val="28"/>
                                <w:szCs w:val="28"/>
                              </w:rPr>
                            </w:pPr>
                            <w:r>
                              <w:rPr>
                                <w:rFonts w:hint="eastAsia"/>
                                <w:b/>
                                <w:color w:val="000000"/>
                                <w:sz w:val="36"/>
                                <w:szCs w:val="36"/>
                              </w:rPr>
                              <w:t xml:space="preserve">中华人民共和国工业和信息化部 </w:t>
                            </w:r>
                            <w:r>
                              <w:rPr>
                                <w:rFonts w:ascii="黑体" w:hAnsi="黑体" w:eastAsia="黑体"/>
                                <w:color w:val="000000"/>
                                <w:sz w:val="28"/>
                                <w:szCs w:val="28"/>
                              </w:rPr>
                              <w:t>发布</w:t>
                            </w:r>
                          </w:p>
                          <w:p w14:paraId="56A3014D">
                            <w:pPr>
                              <w:spacing w:line="340" w:lineRule="exact"/>
                              <w:rPr>
                                <w:b/>
                                <w:color w:val="000000"/>
                                <w:sz w:val="36"/>
                                <w:szCs w:val="36"/>
                              </w:rPr>
                            </w:pPr>
                          </w:p>
                        </w:txbxContent>
                      </wps:txbx>
                      <wps:bodyPr upright="1"/>
                    </wps:wsp>
                  </a:graphicData>
                </a:graphic>
              </wp:anchor>
            </w:drawing>
          </mc:Choice>
          <mc:Fallback>
            <w:pict>
              <v:shape id="文本框 26" o:spid="_x0000_s1026" o:spt="202" type="#_x0000_t202" style="position:absolute;left:0pt;margin-left:37.95pt;margin-top:638.7pt;height:34.7pt;width:397.45pt;z-index:251667456;mso-width-relative:page;mso-height-relative:page;" fillcolor="#FFFFFF" filled="t" stroked="t" coordsize="21600,21600" o:gfxdata="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OUptrzaAAAADAEA&#10;AA8AAAAAAAAAAQAgAAAAIgAAAGRycy9kb3ducmV2LnhtbFBLAQIUABQAAAAIAIdO4kBuaLFJGAIA&#10;AFUEAAAOAAAAAAAAAAEAIAAAACkBAABkcnMvZTJvRG9jLnhtbFBLBQYAAAAABgAGAFkBAACzBQAA&#10;AAA=&#10;">
                <v:fill on="t" opacity="0f" focussize="0,0"/>
                <v:stroke color="#FFFFFF" joinstyle="miter"/>
                <v:imagedata o:title=""/>
                <o:lock v:ext="edit" aspectratio="f"/>
                <v:textbox>
                  <w:txbxContent>
                    <w:p w14:paraId="2C2AD435">
                      <w:pPr>
                        <w:pStyle w:val="59"/>
                        <w:widowControl w:val="0"/>
                        <w:spacing w:line="240" w:lineRule="atLeast"/>
                        <w:jc w:val="distribute"/>
                        <w:rPr>
                          <w:rFonts w:ascii="黑体" w:hAnsi="黑体" w:eastAsia="黑体"/>
                          <w:color w:val="000000"/>
                          <w:sz w:val="28"/>
                          <w:szCs w:val="28"/>
                        </w:rPr>
                      </w:pPr>
                      <w:r>
                        <w:rPr>
                          <w:rFonts w:hint="eastAsia"/>
                          <w:b/>
                          <w:color w:val="000000"/>
                          <w:sz w:val="36"/>
                          <w:szCs w:val="36"/>
                        </w:rPr>
                        <w:t xml:space="preserve">中华人民共和国工业和信息化部 </w:t>
                      </w:r>
                      <w:r>
                        <w:rPr>
                          <w:rFonts w:ascii="黑体" w:hAnsi="黑体" w:eastAsia="黑体"/>
                          <w:color w:val="000000"/>
                          <w:sz w:val="28"/>
                          <w:szCs w:val="28"/>
                        </w:rPr>
                        <w:t>发布</w:t>
                      </w:r>
                    </w:p>
                    <w:p w14:paraId="56A3014D">
                      <w:pPr>
                        <w:spacing w:line="340" w:lineRule="exact"/>
                        <w:rPr>
                          <w:b/>
                          <w:color w:val="000000"/>
                          <w:sz w:val="36"/>
                          <w:szCs w:val="36"/>
                        </w:rPr>
                      </w:pP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53975</wp:posOffset>
                </wp:positionH>
                <wp:positionV relativeFrom="paragraph">
                  <wp:posOffset>7731760</wp:posOffset>
                </wp:positionV>
                <wp:extent cx="6121400" cy="635"/>
                <wp:effectExtent l="0" t="0" r="0" b="0"/>
                <wp:wrapNone/>
                <wp:docPr id="9" name="直线 2"/>
                <wp:cNvGraphicFramePr/>
                <a:graphic xmlns:a="http://schemas.openxmlformats.org/drawingml/2006/main">
                  <a:graphicData uri="http://schemas.microsoft.com/office/word/2010/wordprocessingShape">
                    <wps:wsp>
                      <wps:cNvCnPr/>
                      <wps:spPr>
                        <a:xfrm>
                          <a:off x="0" y="0"/>
                          <a:ext cx="6121400" cy="63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直线 2" o:spid="_x0000_s1026" o:spt="20" style="position:absolute;left:0pt;margin-left:4.25pt;margin-top:608.8pt;height:0.05pt;width:482pt;z-index:251666432;mso-width-relative:page;mso-height-relative:page;" filled="f" stroked="t" coordsize="21600,21600" o:gfxdata="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PN/lfDWAAAACwEAAA8A&#10;AAAAAAAAAQAgAAAAIgAAAGRycy9kb3ducmV2LnhtbFBLAQIUABQAAAAIAIdO4kCwQ7i34AEAANID&#10;AAAOAAAAAAAAAAEAIAAAACUBAABkcnMvZTJvRG9jLnhtbFBLBQYAAAAABgAGAFkBAAB3BQAAAAA=&#10;">
                <v:fill on="f" focussize="0,0"/>
                <v:stroke weight="1.5pt" color="#000000" joinstyle="round"/>
                <v:imagedata o:title=""/>
                <o:lock v:ext="edit" aspectratio="f"/>
              </v:line>
            </w:pict>
          </mc:Fallback>
        </mc:AlternateContent>
      </w:r>
    </w:p>
    <w:bookmarkEnd w:id="0"/>
    <w:p w14:paraId="05BF20E3">
      <w:pPr>
        <w:pStyle w:val="33"/>
        <w:ind w:firstLine="0" w:firstLineChars="0"/>
        <w:jc w:val="center"/>
        <w:rPr>
          <w:rFonts w:ascii="Times New Roman" w:eastAsia="黑体"/>
          <w:sz w:val="32"/>
          <w:szCs w:val="32"/>
        </w:rPr>
      </w:pPr>
      <w:bookmarkStart w:id="1" w:name="SectionMark2"/>
    </w:p>
    <w:p w14:paraId="30B0EFC0">
      <w:pPr>
        <w:pStyle w:val="33"/>
        <w:ind w:firstLine="0" w:firstLineChars="0"/>
        <w:jc w:val="center"/>
        <w:rPr>
          <w:rFonts w:ascii="Times New Roman" w:eastAsia="黑体"/>
          <w:sz w:val="32"/>
          <w:szCs w:val="32"/>
        </w:rPr>
      </w:pPr>
      <w:r>
        <w:rPr>
          <w:rFonts w:ascii="Times New Roman" w:eastAsia="黑体"/>
          <w:sz w:val="32"/>
          <w:szCs w:val="32"/>
        </w:rPr>
        <w:t>前  言</w:t>
      </w:r>
    </w:p>
    <w:p w14:paraId="546CFFD1">
      <w:pPr>
        <w:pStyle w:val="33"/>
        <w:ind w:firstLine="420"/>
        <w:rPr>
          <w:rFonts w:ascii="Times New Roman"/>
          <w:szCs w:val="21"/>
        </w:rPr>
      </w:pPr>
    </w:p>
    <w:p w14:paraId="6729BC50">
      <w:pPr>
        <w:spacing w:line="360" w:lineRule="auto"/>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本文件按照GB/T 1.1-2020《标准化工作导则 第1部分：标准化文件的结构和起草规则》给出的规则起草。</w:t>
      </w:r>
    </w:p>
    <w:p w14:paraId="0201DB25">
      <w:pPr>
        <w:pStyle w:val="33"/>
        <w:spacing w:line="360" w:lineRule="auto"/>
        <w:ind w:firstLine="420"/>
        <w:rPr>
          <w:rFonts w:hint="default" w:ascii="Times New Roman" w:hAnsi="Times New Roman" w:eastAsia="宋体" w:cs="Times New Roman"/>
          <w:color w:val="auto"/>
          <w:kern w:val="2"/>
          <w:szCs w:val="24"/>
        </w:rPr>
      </w:pPr>
      <w:r>
        <w:rPr>
          <w:rFonts w:hint="default" w:ascii="Times New Roman" w:hAnsi="Times New Roman" w:eastAsia="宋体" w:cs="Times New Roman"/>
          <w:color w:val="auto"/>
          <w:kern w:val="2"/>
          <w:szCs w:val="24"/>
        </w:rPr>
        <w:t>请注意本文件的某些内容可能涉及专利。本文件的发布机构不承担识别专利的责任。</w:t>
      </w:r>
    </w:p>
    <w:p w14:paraId="24438BFD">
      <w:pPr>
        <w:pStyle w:val="33"/>
        <w:spacing w:line="360" w:lineRule="auto"/>
        <w:ind w:firstLine="420"/>
        <w:rPr>
          <w:rFonts w:hint="default" w:ascii="Times New Roman" w:hAnsi="Times New Roman" w:eastAsia="宋体" w:cs="Times New Roman"/>
          <w:color w:val="auto"/>
        </w:rPr>
      </w:pPr>
      <w:r>
        <w:rPr>
          <w:rFonts w:hint="default" w:ascii="Times New Roman" w:hAnsi="Times New Roman" w:eastAsia="宋体" w:cs="Times New Roman"/>
          <w:color w:val="auto"/>
        </w:rPr>
        <w:t>本</w:t>
      </w:r>
      <w:r>
        <w:rPr>
          <w:rFonts w:hint="default" w:ascii="Times New Roman" w:hAnsi="Times New Roman" w:eastAsia="宋体" w:cs="Times New Roman"/>
          <w:color w:val="auto"/>
          <w:szCs w:val="21"/>
        </w:rPr>
        <w:t>文件</w:t>
      </w:r>
      <w:r>
        <w:rPr>
          <w:rFonts w:hint="default" w:ascii="Times New Roman" w:hAnsi="Times New Roman" w:eastAsia="宋体" w:cs="Times New Roman"/>
          <w:color w:val="auto"/>
        </w:rPr>
        <w:t>由全国有色金属标准化技术委员会（SAC/TC243）提出并归口。</w:t>
      </w:r>
    </w:p>
    <w:p w14:paraId="0269C1E0">
      <w:pPr>
        <w:pStyle w:val="33"/>
        <w:spacing w:line="360" w:lineRule="auto"/>
        <w:ind w:firstLine="420"/>
        <w:rPr>
          <w:rFonts w:hint="default" w:ascii="Times New Roman" w:hAnsi="Times New Roman" w:eastAsia="宋体" w:cs="Times New Roman"/>
          <w:color w:val="auto"/>
          <w:kern w:val="2"/>
          <w:szCs w:val="24"/>
          <w:highlight w:val="none"/>
        </w:rPr>
      </w:pPr>
      <w:r>
        <w:rPr>
          <w:rFonts w:hint="default" w:ascii="Times New Roman" w:hAnsi="Times New Roman" w:eastAsia="宋体" w:cs="Times New Roman"/>
          <w:color w:val="auto"/>
          <w:kern w:val="2"/>
          <w:szCs w:val="24"/>
        </w:rPr>
        <w:t>本文件起草单位：</w:t>
      </w:r>
    </w:p>
    <w:p w14:paraId="3B15040B">
      <w:pPr>
        <w:spacing w:line="360" w:lineRule="auto"/>
        <w:ind w:firstLine="420" w:firstLineChars="200"/>
        <w:rPr>
          <w:rFonts w:hint="default" w:ascii="Times New Roman" w:hAnsi="Times New Roman" w:eastAsia="宋体" w:cs="Times New Roman"/>
          <w:color w:val="FF0000"/>
          <w:szCs w:val="21"/>
        </w:rPr>
        <w:sectPr>
          <w:footerReference r:id="rId9" w:type="default"/>
          <w:footerReference r:id="rId10" w:type="even"/>
          <w:pgSz w:w="11907" w:h="16839"/>
          <w:pgMar w:top="1418" w:right="1134" w:bottom="1134" w:left="1418" w:header="1418" w:footer="851" w:gutter="0"/>
          <w:pgNumType w:start="1"/>
          <w:cols w:space="720" w:num="1"/>
          <w:docGrid w:type="lines" w:linePitch="312" w:charSpace="0"/>
        </w:sectPr>
      </w:pPr>
      <w:r>
        <w:rPr>
          <w:rFonts w:hint="default" w:ascii="Times New Roman" w:hAnsi="Times New Roman" w:eastAsia="宋体" w:cs="Times New Roman"/>
          <w:color w:val="auto"/>
          <w:szCs w:val="21"/>
        </w:rPr>
        <w:t>本文件主要起草人：</w:t>
      </w:r>
      <w:bookmarkEnd w:id="1"/>
      <w:bookmarkStart w:id="2" w:name="SectionMark4"/>
      <w:r>
        <w:rPr>
          <w:rFonts w:hint="default" w:ascii="Times New Roman" w:hAnsi="Times New Roman" w:eastAsia="宋体" w:cs="Times New Roman"/>
          <w:color w:val="FF0000"/>
          <w:szCs w:val="21"/>
        </w:rPr>
        <w:t xml:space="preserve"> </w:t>
      </w:r>
    </w:p>
    <w:p w14:paraId="1E2DE812">
      <w:pPr>
        <w:pStyle w:val="47"/>
        <w:keepNext w:val="0"/>
        <w:keepLines w:val="0"/>
        <w:pageBreakBefore w:val="0"/>
        <w:kinsoku/>
        <w:wordWrap/>
        <w:overflowPunct/>
        <w:topLinePunct w:val="0"/>
        <w:bidi w:val="0"/>
        <w:adjustRightInd/>
        <w:spacing w:line="240" w:lineRule="auto"/>
        <w:outlineLvl w:val="9"/>
        <w:rPr>
          <w:rFonts w:hAnsi="黑体"/>
        </w:rPr>
      </w:pPr>
      <w:bookmarkStart w:id="3" w:name="_Toc65050653"/>
      <w:bookmarkStart w:id="4" w:name="_Toc55210702"/>
      <w:r>
        <w:rPr>
          <w:rFonts w:hint="eastAsia" w:hAnsi="黑体" w:cs="Times New Roman"/>
          <w:lang w:val="en-US" w:eastAsia="zh-CN"/>
        </w:rPr>
        <w:t>锂离子电池用钴基复合氢氧化物</w:t>
      </w:r>
    </w:p>
    <w:p w14:paraId="649DADC6">
      <w:pPr>
        <w:pStyle w:val="43"/>
        <w:keepNext w:val="0"/>
        <w:keepLines w:val="0"/>
        <w:pageBreakBefore w:val="0"/>
        <w:kinsoku/>
        <w:wordWrap/>
        <w:overflowPunct/>
        <w:topLinePunct w:val="0"/>
        <w:bidi w:val="0"/>
        <w:adjustRightInd/>
        <w:spacing w:before="312" w:beforeLines="100" w:after="312" w:afterLines="100" w:line="240" w:lineRule="auto"/>
        <w:rPr>
          <w:rFonts w:hint="eastAsia" w:ascii="Times New Roman" w:hAnsi="Times New Roman" w:eastAsia="宋体" w:cs="Times New Roman"/>
          <w:kern w:val="2"/>
          <w:sz w:val="21"/>
          <w:lang w:val="en-US" w:eastAsia="zh-CN" w:bidi="ar-SA"/>
        </w:rPr>
      </w:pPr>
      <w:r>
        <w:rPr>
          <w:rFonts w:hint="eastAsia" w:ascii="黑体" w:hAnsi="黑体" w:eastAsia="黑体" w:cs="黑体"/>
          <w:bCs/>
        </w:rPr>
        <w:t xml:space="preserve">1  </w:t>
      </w:r>
      <w:r>
        <w:rPr>
          <w:rFonts w:hint="eastAsia" w:ascii="黑体" w:hAnsi="黑体" w:eastAsia="黑体" w:cs="黑体"/>
        </w:rPr>
        <w:t>范围</w:t>
      </w:r>
      <w:bookmarkEnd w:id="3"/>
      <w:bookmarkEnd w:id="4"/>
    </w:p>
    <w:p w14:paraId="079B33B2">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宋体" w:cs="Times New Roman"/>
          <w:kern w:val="2"/>
          <w:sz w:val="21"/>
          <w:lang w:val="en-US" w:eastAsia="zh-CN" w:bidi="ar-SA"/>
        </w:rPr>
      </w:pPr>
      <w:r>
        <w:rPr>
          <w:rFonts w:hint="default" w:ascii="Times New Roman" w:hAnsi="Times New Roman" w:eastAsia="宋体" w:cs="Times New Roman"/>
          <w:kern w:val="2"/>
          <w:sz w:val="21"/>
          <w:lang w:val="en-US" w:eastAsia="zh-CN" w:bidi="ar-SA"/>
        </w:rPr>
        <w:t>本文件规定了</w:t>
      </w:r>
      <w:r>
        <w:rPr>
          <w:rFonts w:hint="eastAsia" w:cs="Times New Roman"/>
          <w:kern w:val="2"/>
          <w:sz w:val="21"/>
          <w:lang w:val="en-US" w:eastAsia="zh-CN" w:bidi="ar-SA"/>
        </w:rPr>
        <w:t>锂离子电池用钴基复合氢氧化物</w:t>
      </w:r>
      <w:r>
        <w:rPr>
          <w:rFonts w:hint="default" w:ascii="Times New Roman" w:hAnsi="Times New Roman" w:eastAsia="宋体" w:cs="Times New Roman"/>
          <w:kern w:val="2"/>
          <w:sz w:val="21"/>
          <w:lang w:val="en-US" w:eastAsia="zh-CN" w:bidi="ar-SA"/>
        </w:rPr>
        <w:t>的</w:t>
      </w:r>
      <w:r>
        <w:rPr>
          <w:rFonts w:hint="eastAsia" w:ascii="Times New Roman" w:hAnsi="Times New Roman" w:eastAsia="宋体" w:cs="Times New Roman"/>
          <w:kern w:val="2"/>
          <w:sz w:val="21"/>
          <w:lang w:val="en-US" w:eastAsia="zh-CN" w:bidi="ar-SA"/>
        </w:rPr>
        <w:t>技术</w:t>
      </w:r>
      <w:r>
        <w:rPr>
          <w:rFonts w:hint="default" w:ascii="Times New Roman" w:hAnsi="Times New Roman" w:eastAsia="宋体" w:cs="Times New Roman"/>
          <w:kern w:val="2"/>
          <w:sz w:val="21"/>
          <w:lang w:val="en-US" w:eastAsia="zh-CN" w:bidi="ar-SA"/>
        </w:rPr>
        <w:t>要求、试验方法、检验规则</w:t>
      </w:r>
      <w:r>
        <w:rPr>
          <w:rFonts w:hint="eastAsia" w:cs="Times New Roman"/>
          <w:kern w:val="2"/>
          <w:sz w:val="21"/>
          <w:lang w:val="en-US" w:eastAsia="zh-CN" w:bidi="ar-SA"/>
        </w:rPr>
        <w:t>、</w:t>
      </w:r>
      <w:r>
        <w:rPr>
          <w:rFonts w:hint="eastAsia" w:ascii="Times New Roman" w:hAnsi="Times New Roman" w:eastAsia="宋体" w:cs="Times New Roman"/>
          <w:kern w:val="2"/>
          <w:sz w:val="21"/>
          <w:lang w:val="en-US" w:eastAsia="zh-CN" w:bidi="ar-SA"/>
        </w:rPr>
        <w:t>标志、包装、运输、贮存</w:t>
      </w:r>
      <w:r>
        <w:rPr>
          <w:rFonts w:hint="eastAsia" w:cs="Times New Roman"/>
          <w:kern w:val="2"/>
          <w:sz w:val="21"/>
          <w:lang w:val="en-US" w:eastAsia="zh-CN" w:bidi="ar-SA"/>
        </w:rPr>
        <w:t>及</w:t>
      </w:r>
      <w:r>
        <w:rPr>
          <w:rFonts w:hint="eastAsia" w:ascii="Times New Roman" w:hAnsi="Times New Roman" w:eastAsia="宋体" w:cs="Times New Roman"/>
          <w:kern w:val="2"/>
          <w:sz w:val="21"/>
          <w:lang w:val="en-US" w:eastAsia="zh-CN" w:bidi="ar-SA"/>
        </w:rPr>
        <w:t>随行文件</w:t>
      </w:r>
      <w:r>
        <w:rPr>
          <w:rFonts w:hint="eastAsia" w:cs="Times New Roman"/>
          <w:kern w:val="2"/>
          <w:sz w:val="21"/>
          <w:lang w:val="en-US" w:eastAsia="zh-CN" w:bidi="ar-SA"/>
        </w:rPr>
        <w:t>和</w:t>
      </w:r>
      <w:r>
        <w:rPr>
          <w:rFonts w:hint="eastAsia" w:ascii="Times New Roman" w:hAnsi="Times New Roman" w:eastAsia="宋体" w:cs="Times New Roman"/>
          <w:kern w:val="2"/>
          <w:sz w:val="21"/>
          <w:lang w:val="en-US" w:eastAsia="zh-CN" w:bidi="ar-SA"/>
        </w:rPr>
        <w:t>订货单内容。</w:t>
      </w:r>
    </w:p>
    <w:p w14:paraId="532BB59A">
      <w:pPr>
        <w:keepNext w:val="0"/>
        <w:keepLines w:val="0"/>
        <w:pageBreakBefore w:val="0"/>
        <w:kinsoku/>
        <w:wordWrap/>
        <w:overflowPunct/>
        <w:topLinePunct w:val="0"/>
        <w:bidi w:val="0"/>
        <w:adjustRightInd/>
        <w:spacing w:line="240" w:lineRule="auto"/>
        <w:ind w:firstLine="420" w:firstLineChars="20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本文件适用于</w:t>
      </w:r>
      <w:bookmarkStart w:id="5" w:name="_Hlk72328930"/>
      <w:r>
        <w:rPr>
          <w:rFonts w:hint="eastAsia" w:cs="Times New Roman"/>
          <w:color w:val="auto"/>
          <w:lang w:val="en-US" w:eastAsia="zh-CN"/>
        </w:rPr>
        <w:t>锂离子电池用钴基复合氢氧化物，主要用作高电压正极材料的包覆材料、</w:t>
      </w:r>
      <w:r>
        <w:rPr>
          <w:rFonts w:hint="default" w:ascii="Times New Roman" w:hAnsi="Times New Roman" w:eastAsia="宋体" w:cs="Times New Roman"/>
          <w:color w:val="auto"/>
          <w:kern w:val="2"/>
          <w:sz w:val="21"/>
          <w:szCs w:val="21"/>
          <w:lang w:val="en-US" w:eastAsia="zh-CN" w:bidi="ar-SA"/>
        </w:rPr>
        <w:t>锂离子电池正极材料前驱体</w:t>
      </w:r>
      <w:r>
        <w:rPr>
          <w:rFonts w:hint="eastAsia" w:cs="Times New Roman"/>
          <w:color w:val="auto"/>
          <w:kern w:val="2"/>
          <w:sz w:val="21"/>
          <w:szCs w:val="21"/>
          <w:lang w:val="en-US" w:eastAsia="zh-CN" w:bidi="ar-SA"/>
        </w:rPr>
        <w:t>等</w:t>
      </w:r>
      <w:r>
        <w:rPr>
          <w:rFonts w:hint="default" w:ascii="Times New Roman" w:hAnsi="Times New Roman" w:eastAsia="宋体" w:cs="Times New Roman"/>
          <w:color w:val="auto"/>
          <w:lang w:val="en-US" w:eastAsia="zh-CN"/>
        </w:rPr>
        <w:t>。</w:t>
      </w:r>
    </w:p>
    <w:bookmarkEnd w:id="5"/>
    <w:p w14:paraId="337EF971">
      <w:pPr>
        <w:pStyle w:val="43"/>
        <w:keepNext w:val="0"/>
        <w:keepLines w:val="0"/>
        <w:pageBreakBefore w:val="0"/>
        <w:kinsoku/>
        <w:wordWrap/>
        <w:overflowPunct/>
        <w:topLinePunct w:val="0"/>
        <w:bidi w:val="0"/>
        <w:adjustRightInd/>
        <w:spacing w:before="312" w:beforeLines="100" w:after="312" w:afterLines="100" w:line="240" w:lineRule="auto"/>
        <w:rPr>
          <w:rFonts w:hint="eastAsia" w:ascii="黑体" w:hAnsi="黑体" w:eastAsia="黑体" w:cs="黑体"/>
          <w:bCs/>
        </w:rPr>
      </w:pPr>
      <w:r>
        <w:rPr>
          <w:rFonts w:hint="eastAsia" w:ascii="黑体" w:hAnsi="黑体" w:eastAsia="黑体" w:cs="黑体"/>
          <w:bCs/>
        </w:rPr>
        <w:t>2  规范性引用文件</w:t>
      </w:r>
    </w:p>
    <w:p w14:paraId="1F35DB74">
      <w:pPr>
        <w:keepNext w:val="0"/>
        <w:keepLines w:val="0"/>
        <w:pageBreakBefore w:val="0"/>
        <w:kinsoku/>
        <w:wordWrap/>
        <w:overflowPunct/>
        <w:topLinePunct w:val="0"/>
        <w:bidi w:val="0"/>
        <w:adjustRightInd/>
        <w:spacing w:line="240" w:lineRule="auto"/>
        <w:ind w:firstLine="420" w:firstLineChars="200"/>
        <w:rPr>
          <w:rFonts w:hint="default" w:ascii="Times New Roman" w:hAnsi="Times New Roman" w:eastAsia="宋体" w:cs="Times New Roman"/>
        </w:rPr>
      </w:pPr>
      <w:r>
        <w:rPr>
          <w:rFonts w:hint="default" w:ascii="Times New Roman" w:hAnsi="Times New Roman" w:eastAsia="宋体" w:cs="Times New Roman"/>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3B5FD332">
      <w:pPr>
        <w:keepNext w:val="0"/>
        <w:keepLines w:val="0"/>
        <w:pageBreakBefore w:val="0"/>
        <w:kinsoku/>
        <w:wordWrap/>
        <w:overflowPunct/>
        <w:topLinePunct w:val="0"/>
        <w:bidi w:val="0"/>
        <w:adjustRightInd/>
        <w:spacing w:line="240" w:lineRule="auto"/>
        <w:ind w:firstLine="420" w:firstLineChars="200"/>
        <w:rPr>
          <w:rFonts w:hint="default" w:ascii="Times New Roman" w:hAnsi="Times New Roman" w:eastAsia="宋体" w:cs="Times New Roman"/>
          <w:color w:val="auto"/>
        </w:rPr>
      </w:pPr>
      <w:r>
        <w:rPr>
          <w:rFonts w:hint="default" w:ascii="Times New Roman" w:hAnsi="Times New Roman" w:eastAsia="宋体" w:cs="Times New Roman"/>
          <w:color w:val="auto"/>
        </w:rPr>
        <w:t>GB/T 191</w:t>
      </w:r>
      <w:r>
        <w:rPr>
          <w:rFonts w:hint="eastAsia" w:cs="Times New Roman"/>
          <w:color w:val="auto"/>
          <w:lang w:val="en-US" w:eastAsia="zh-CN"/>
        </w:rPr>
        <w:t xml:space="preserve">  </w:t>
      </w:r>
      <w:r>
        <w:rPr>
          <w:rFonts w:hint="default" w:ascii="Times New Roman" w:hAnsi="Times New Roman" w:eastAsia="宋体" w:cs="Times New Roman"/>
          <w:color w:val="auto"/>
        </w:rPr>
        <w:t>包装储运图示标志</w:t>
      </w:r>
    </w:p>
    <w:p w14:paraId="4320F75B">
      <w:pPr>
        <w:keepNext w:val="0"/>
        <w:keepLines w:val="0"/>
        <w:pageBreakBefore w:val="0"/>
        <w:kinsoku/>
        <w:wordWrap/>
        <w:overflowPunct/>
        <w:topLinePunct w:val="0"/>
        <w:bidi w:val="0"/>
        <w:adjustRightInd/>
        <w:spacing w:line="240" w:lineRule="auto"/>
        <w:ind w:firstLine="420" w:firstLineChars="200"/>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GB/T 1479</w:t>
      </w:r>
      <w:r>
        <w:rPr>
          <w:rFonts w:hint="eastAsia" w:cs="Times New Roman"/>
          <w:color w:val="auto"/>
          <w:lang w:val="en-US" w:eastAsia="zh-CN"/>
        </w:rPr>
        <w:t xml:space="preserve">（所有部分）  </w:t>
      </w:r>
      <w:r>
        <w:rPr>
          <w:rFonts w:hint="default" w:ascii="Times New Roman" w:hAnsi="Times New Roman" w:eastAsia="宋体" w:cs="Times New Roman"/>
          <w:color w:val="auto"/>
          <w:lang w:val="en-US" w:eastAsia="zh-CN"/>
        </w:rPr>
        <w:t>金属粉末</w:t>
      </w:r>
      <w:r>
        <w:rPr>
          <w:rFonts w:hint="eastAsia" w:cs="Times New Roman"/>
          <w:color w:val="auto"/>
          <w:lang w:val="en-US" w:eastAsia="zh-CN"/>
        </w:rPr>
        <w:t xml:space="preserve"> </w:t>
      </w:r>
      <w:r>
        <w:rPr>
          <w:rFonts w:hint="default" w:ascii="Times New Roman" w:hAnsi="Times New Roman" w:eastAsia="宋体" w:cs="Times New Roman"/>
          <w:color w:val="auto"/>
          <w:lang w:val="en-US" w:eastAsia="zh-CN"/>
        </w:rPr>
        <w:t>松装密度的测定</w:t>
      </w:r>
    </w:p>
    <w:p w14:paraId="45C4F3EF">
      <w:pPr>
        <w:keepNext w:val="0"/>
        <w:keepLines w:val="0"/>
        <w:pageBreakBefore w:val="0"/>
        <w:kinsoku/>
        <w:wordWrap/>
        <w:overflowPunct/>
        <w:topLinePunct w:val="0"/>
        <w:bidi w:val="0"/>
        <w:adjustRightInd/>
        <w:spacing w:line="240" w:lineRule="auto"/>
        <w:ind w:firstLine="420" w:firstLineChars="20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GB/T 5314</w:t>
      </w:r>
      <w:r>
        <w:rPr>
          <w:rFonts w:hint="eastAsia" w:eastAsia="宋体" w:cs="Times New Roman"/>
          <w:color w:val="auto"/>
          <w:lang w:val="en-US" w:eastAsia="zh-CN"/>
        </w:rPr>
        <w:t xml:space="preserve">  </w:t>
      </w:r>
      <w:r>
        <w:rPr>
          <w:rFonts w:hint="default" w:ascii="Times New Roman" w:hAnsi="Times New Roman" w:eastAsia="宋体" w:cs="Times New Roman"/>
          <w:b w:val="0"/>
          <w:i w:val="0"/>
          <w:caps w:val="0"/>
          <w:color w:val="auto"/>
          <w:spacing w:val="0"/>
          <w:sz w:val="21"/>
          <w:szCs w:val="20"/>
          <w:shd w:val="clear"/>
        </w:rPr>
        <w:t>粉末冶金用粉末 取样方法</w:t>
      </w:r>
    </w:p>
    <w:p w14:paraId="7DEDCB17">
      <w:pPr>
        <w:keepNext w:val="0"/>
        <w:keepLines w:val="0"/>
        <w:pageBreakBefore w:val="0"/>
        <w:kinsoku/>
        <w:wordWrap/>
        <w:overflowPunct/>
        <w:topLinePunct w:val="0"/>
        <w:bidi w:val="0"/>
        <w:adjustRightInd/>
        <w:spacing w:line="240" w:lineRule="auto"/>
        <w:ind w:firstLine="420" w:firstLineChars="20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GB/T 6284</w:t>
      </w:r>
      <w:r>
        <w:rPr>
          <w:rFonts w:hint="eastAsia" w:eastAsia="宋体" w:cs="Times New Roman"/>
          <w:color w:val="auto"/>
          <w:lang w:val="en-US" w:eastAsia="zh-CN"/>
        </w:rPr>
        <w:t xml:space="preserve">  </w:t>
      </w:r>
      <w:r>
        <w:rPr>
          <w:rFonts w:hint="default" w:ascii="Times New Roman" w:hAnsi="Times New Roman" w:eastAsia="宋体" w:cs="Times New Roman"/>
          <w:color w:val="auto"/>
          <w:lang w:val="en-US" w:eastAsia="zh-CN"/>
        </w:rPr>
        <w:t>化工产品中水分测定的通用方法 干燥减量法</w:t>
      </w:r>
    </w:p>
    <w:p w14:paraId="5E1F3DAE">
      <w:pPr>
        <w:keepNext w:val="0"/>
        <w:keepLines w:val="0"/>
        <w:pageBreakBefore w:val="0"/>
        <w:kinsoku/>
        <w:wordWrap/>
        <w:overflowPunct/>
        <w:topLinePunct w:val="0"/>
        <w:bidi w:val="0"/>
        <w:adjustRightInd/>
        <w:spacing w:line="240" w:lineRule="auto"/>
        <w:ind w:firstLine="420" w:firstLineChars="20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rPr>
        <w:t>GB/T 8170</w:t>
      </w:r>
      <w:r>
        <w:rPr>
          <w:rFonts w:hint="eastAsia" w:eastAsia="宋体" w:cs="Times New Roman"/>
          <w:color w:val="auto"/>
          <w:lang w:val="en-US" w:eastAsia="zh-CN"/>
        </w:rPr>
        <w:t xml:space="preserve">  </w:t>
      </w:r>
      <w:r>
        <w:rPr>
          <w:rFonts w:hint="default" w:ascii="Times New Roman" w:hAnsi="Times New Roman" w:eastAsia="宋体" w:cs="Times New Roman"/>
          <w:color w:val="auto"/>
        </w:rPr>
        <w:t>数值修约规则与极限数值的表示和判定</w:t>
      </w:r>
    </w:p>
    <w:p w14:paraId="767100BB">
      <w:pPr>
        <w:keepNext w:val="0"/>
        <w:keepLines w:val="0"/>
        <w:pageBreakBefore w:val="0"/>
        <w:kinsoku/>
        <w:wordWrap/>
        <w:overflowPunct/>
        <w:topLinePunct w:val="0"/>
        <w:bidi w:val="0"/>
        <w:adjustRightInd/>
        <w:spacing w:line="240" w:lineRule="auto"/>
        <w:ind w:firstLine="420" w:firstLineChars="20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rPr>
        <w:t>GB/T 19077</w:t>
      </w:r>
      <w:r>
        <w:rPr>
          <w:rFonts w:hint="eastAsia"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rPr>
        <w:t>粒度分析 激光衍射法</w:t>
      </w:r>
    </w:p>
    <w:p w14:paraId="4ED98208">
      <w:pPr>
        <w:keepNext w:val="0"/>
        <w:keepLines w:val="0"/>
        <w:pageBreakBefore w:val="0"/>
        <w:kinsoku/>
        <w:wordWrap/>
        <w:overflowPunct/>
        <w:topLinePunct w:val="0"/>
        <w:bidi w:val="0"/>
        <w:adjustRightInd/>
        <w:spacing w:line="240" w:lineRule="auto"/>
        <w:ind w:firstLine="420" w:firstLineChars="20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 xml:space="preserve">GB/T 19587 </w:t>
      </w:r>
      <w:r>
        <w:rPr>
          <w:rFonts w:hint="eastAsia" w:cs="Times New Roman"/>
          <w:color w:val="auto"/>
          <w:lang w:val="en-US" w:eastAsia="zh-CN"/>
        </w:rPr>
        <w:t xml:space="preserve"> </w:t>
      </w:r>
      <w:r>
        <w:rPr>
          <w:rFonts w:hint="default" w:ascii="Times New Roman" w:hAnsi="Times New Roman" w:eastAsia="宋体" w:cs="Times New Roman"/>
          <w:color w:val="auto"/>
          <w:lang w:val="en-US" w:eastAsia="zh-CN"/>
        </w:rPr>
        <w:t>气体吸附</w:t>
      </w:r>
      <w:r>
        <w:rPr>
          <w:rFonts w:hint="eastAsia" w:ascii="Times New Roman" w:hAnsi="Times New Roman" w:eastAsia="宋体" w:cs="Times New Roman"/>
          <w:color w:val="auto"/>
          <w:lang w:val="en-US" w:eastAsia="zh-CN"/>
        </w:rPr>
        <w:t>BET</w:t>
      </w:r>
      <w:r>
        <w:rPr>
          <w:rFonts w:hint="default" w:ascii="Times New Roman" w:hAnsi="Times New Roman" w:eastAsia="宋体" w:cs="Times New Roman"/>
          <w:color w:val="auto"/>
          <w:lang w:val="en-US" w:eastAsia="zh-CN"/>
        </w:rPr>
        <w:t>法测定固态物质比表面积</w:t>
      </w:r>
    </w:p>
    <w:p w14:paraId="12F6BCFD">
      <w:pPr>
        <w:keepNext w:val="0"/>
        <w:keepLines w:val="0"/>
        <w:pageBreakBefore w:val="0"/>
        <w:kinsoku/>
        <w:wordWrap/>
        <w:overflowPunct/>
        <w:topLinePunct w:val="0"/>
        <w:bidi w:val="0"/>
        <w:adjustRightInd/>
        <w:spacing w:line="240" w:lineRule="auto"/>
        <w:ind w:firstLine="420" w:firstLineChars="20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rPr>
        <w:t>GB/T 23367.</w:t>
      </w:r>
      <w:r>
        <w:rPr>
          <w:rFonts w:hint="default" w:ascii="Times New Roman" w:hAnsi="Times New Roman" w:eastAsia="宋体" w:cs="Times New Roman"/>
          <w:color w:val="auto"/>
          <w:lang w:val="en-US" w:eastAsia="zh-CN"/>
        </w:rPr>
        <w:t>1</w:t>
      </w:r>
      <w:r>
        <w:rPr>
          <w:rFonts w:hint="eastAsia" w:eastAsia="宋体" w:cs="Times New Roman"/>
          <w:color w:val="auto"/>
          <w:lang w:val="en-US" w:eastAsia="zh-CN"/>
        </w:rPr>
        <w:t xml:space="preserve">  </w:t>
      </w:r>
      <w:r>
        <w:rPr>
          <w:rFonts w:hint="default" w:ascii="Times New Roman" w:hAnsi="Times New Roman" w:eastAsia="宋体" w:cs="Times New Roman"/>
          <w:b w:val="0"/>
          <w:i w:val="0"/>
          <w:caps w:val="0"/>
          <w:color w:val="auto"/>
          <w:spacing w:val="0"/>
          <w:kern w:val="2"/>
          <w:sz w:val="21"/>
          <w:szCs w:val="21"/>
          <w:shd w:val="clear" w:color="auto" w:fill="auto"/>
          <w:lang w:bidi="ar"/>
        </w:rPr>
        <w:t>钴酸锂化学分析方法 第1部分：钴</w:t>
      </w:r>
      <w:r>
        <w:rPr>
          <w:rFonts w:hint="eastAsia" w:cs="Times New Roman"/>
          <w:b w:val="0"/>
          <w:i w:val="0"/>
          <w:caps w:val="0"/>
          <w:color w:val="auto"/>
          <w:spacing w:val="0"/>
          <w:kern w:val="2"/>
          <w:sz w:val="21"/>
          <w:szCs w:val="21"/>
          <w:shd w:val="clear" w:color="auto" w:fill="auto"/>
          <w:lang w:val="en-US" w:eastAsia="zh-CN" w:bidi="ar"/>
        </w:rPr>
        <w:t>含</w:t>
      </w:r>
      <w:r>
        <w:rPr>
          <w:rFonts w:hint="default" w:ascii="Times New Roman" w:hAnsi="Times New Roman" w:eastAsia="宋体" w:cs="Times New Roman"/>
          <w:b w:val="0"/>
          <w:i w:val="0"/>
          <w:caps w:val="0"/>
          <w:color w:val="auto"/>
          <w:spacing w:val="0"/>
          <w:kern w:val="2"/>
          <w:sz w:val="21"/>
          <w:szCs w:val="21"/>
          <w:shd w:val="clear" w:color="auto" w:fill="auto"/>
          <w:lang w:bidi="ar"/>
        </w:rPr>
        <w:t xml:space="preserve">量的测定 </w:t>
      </w:r>
      <w:r>
        <w:rPr>
          <w:rFonts w:ascii="Times New Roman" w:hAnsi="Times New Roman" w:eastAsia="宋体" w:cs="Times New Roman"/>
          <w:color w:val="auto"/>
          <w:kern w:val="2"/>
          <w:sz w:val="21"/>
          <w:szCs w:val="21"/>
          <w:shd w:val="clear" w:color="auto" w:fill="auto"/>
          <w:lang w:bidi="ar"/>
        </w:rPr>
        <w:t xml:space="preserve">EDTA </w:t>
      </w:r>
      <w:r>
        <w:rPr>
          <w:rFonts w:hint="default" w:ascii="Times New Roman" w:hAnsi="Times New Roman" w:eastAsia="宋体" w:cs="Times New Roman"/>
          <w:color w:val="auto"/>
          <w:kern w:val="2"/>
          <w:sz w:val="21"/>
          <w:szCs w:val="21"/>
          <w:shd w:val="clear" w:color="auto" w:fill="auto"/>
          <w:lang w:bidi="ar"/>
        </w:rPr>
        <w:t>滴定法和电位滴定法</w:t>
      </w:r>
    </w:p>
    <w:p w14:paraId="69B2B75D">
      <w:pPr>
        <w:keepNext w:val="0"/>
        <w:keepLines w:val="0"/>
        <w:pageBreakBefore w:val="0"/>
        <w:kinsoku/>
        <w:wordWrap/>
        <w:overflowPunct/>
        <w:topLinePunct w:val="0"/>
        <w:bidi w:val="0"/>
        <w:adjustRightInd/>
        <w:spacing w:line="240" w:lineRule="auto"/>
        <w:ind w:firstLine="420" w:firstLineChars="20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 xml:space="preserve">YS/T 1057 </w:t>
      </w:r>
      <w:r>
        <w:rPr>
          <w:rFonts w:hint="eastAsia"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lang w:val="en-US" w:eastAsia="zh-CN"/>
        </w:rPr>
        <w:t>四氧化三钴化学分析方法 磁性异物含量测定 磁选分离-电感耦合等离子体发射光谱法</w:t>
      </w:r>
    </w:p>
    <w:p w14:paraId="4A601125">
      <w:pPr>
        <w:keepNext w:val="0"/>
        <w:keepLines w:val="0"/>
        <w:pageBreakBefore w:val="0"/>
        <w:kinsoku/>
        <w:wordWrap/>
        <w:overflowPunct/>
        <w:topLinePunct w:val="0"/>
        <w:bidi w:val="0"/>
        <w:adjustRightInd/>
        <w:spacing w:line="240" w:lineRule="auto"/>
        <w:ind w:firstLine="420" w:firstLineChars="200"/>
        <w:rPr>
          <w:rFonts w:hint="default"/>
          <w:lang w:val="en-US" w:eastAsia="zh-CN"/>
        </w:rPr>
      </w:pPr>
      <w:r>
        <w:rPr>
          <w:rFonts w:hint="eastAsia" w:ascii="Times New Roman" w:hAnsi="Times New Roman" w:eastAsia="宋体" w:cs="Times New Roman"/>
          <w:color w:val="auto"/>
          <w:lang w:val="en-US" w:eastAsia="zh-CN"/>
        </w:rPr>
        <w:t xml:space="preserve">YS/T 1445.4  </w:t>
      </w:r>
      <w:r>
        <w:rPr>
          <w:rFonts w:hint="default" w:ascii="Times New Roman" w:hAnsi="Times New Roman" w:eastAsia="宋体" w:cs="Times New Roman"/>
          <w:color w:val="auto"/>
          <w:lang w:val="en-US" w:eastAsia="zh-CN"/>
        </w:rPr>
        <w:t>镍钴铝三元素复合氢氧化物化学分析方法 第4部分：氯离子含量的测定 氯化银比浊法</w:t>
      </w:r>
    </w:p>
    <w:p w14:paraId="2B041E24">
      <w:pPr>
        <w:keepNext w:val="0"/>
        <w:keepLines w:val="0"/>
        <w:pageBreakBefore w:val="0"/>
        <w:kinsoku/>
        <w:wordWrap/>
        <w:overflowPunct/>
        <w:topLinePunct w:val="0"/>
        <w:bidi w:val="0"/>
        <w:adjustRightInd/>
        <w:spacing w:line="240" w:lineRule="auto"/>
        <w:ind w:firstLine="420" w:firstLineChars="200"/>
        <w:rPr>
          <w:rFonts w:hint="default"/>
          <w:lang w:val="en-US" w:eastAsia="zh-CN"/>
        </w:rPr>
      </w:pPr>
      <w:r>
        <w:rPr>
          <w:rFonts w:hint="default" w:ascii="Times New Roman" w:hAnsi="Times New Roman" w:eastAsia="宋体" w:cs="Times New Roman"/>
          <w:color w:val="auto"/>
          <w:lang w:val="en-US" w:eastAsia="zh-CN"/>
        </w:rPr>
        <w:t xml:space="preserve">YS/T </w:t>
      </w:r>
      <w:r>
        <w:rPr>
          <w:rFonts w:hint="eastAsia" w:cs="Times New Roman"/>
          <w:color w:val="auto"/>
          <w:lang w:val="en-US" w:eastAsia="zh-CN"/>
        </w:rPr>
        <w:t>1756</w:t>
      </w:r>
      <w:r>
        <w:rPr>
          <w:rFonts w:hint="eastAsia" w:eastAsia="宋体" w:cs="Times New Roman"/>
          <w:color w:val="auto"/>
          <w:lang w:val="en-US" w:eastAsia="zh-CN"/>
        </w:rPr>
        <w:t xml:space="preserve">  </w:t>
      </w:r>
      <w:r>
        <w:rPr>
          <w:rFonts w:hint="default" w:ascii="Times New Roman" w:hAnsi="Times New Roman" w:eastAsia="宋体" w:cs="Times New Roman"/>
          <w:b w:val="0"/>
          <w:i w:val="0"/>
          <w:caps w:val="0"/>
          <w:color w:val="auto"/>
          <w:spacing w:val="0"/>
          <w:kern w:val="2"/>
          <w:sz w:val="21"/>
          <w:szCs w:val="21"/>
          <w:shd w:val="clear" w:color="auto" w:fill="auto"/>
        </w:rPr>
        <w:t>掺杂型四氧化三钴化学分析方法 铜、铁、钙、锌、铅、镉、铬、</w:t>
      </w:r>
      <w:r>
        <w:rPr>
          <w:rFonts w:hint="eastAsia" w:ascii="Times New Roman" w:hAnsi="Times New Roman" w:eastAsia="宋体" w:cs="Times New Roman"/>
          <w:b w:val="0"/>
          <w:i w:val="0"/>
          <w:caps w:val="0"/>
          <w:color w:val="auto"/>
          <w:spacing w:val="0"/>
          <w:kern w:val="2"/>
          <w:sz w:val="21"/>
          <w:szCs w:val="21"/>
          <w:shd w:val="clear" w:color="auto" w:fill="auto"/>
          <w:lang w:val="en-US" w:eastAsia="zh-CN"/>
        </w:rPr>
        <w:t>钠、硅、</w:t>
      </w:r>
      <w:r>
        <w:rPr>
          <w:rFonts w:hint="default" w:ascii="Times New Roman" w:hAnsi="Times New Roman" w:eastAsia="宋体" w:cs="Times New Roman"/>
          <w:b w:val="0"/>
          <w:i w:val="0"/>
          <w:caps w:val="0"/>
          <w:color w:val="auto"/>
          <w:spacing w:val="0"/>
          <w:kern w:val="2"/>
          <w:sz w:val="21"/>
          <w:szCs w:val="21"/>
          <w:shd w:val="clear" w:color="auto" w:fill="auto"/>
        </w:rPr>
        <w:t>锰、镍、铝、镁、镧、锆、钛、钇</w:t>
      </w:r>
      <w:r>
        <w:rPr>
          <w:rFonts w:hint="eastAsia" w:cs="Times New Roman"/>
          <w:b w:val="0"/>
          <w:i w:val="0"/>
          <w:caps w:val="0"/>
          <w:color w:val="auto"/>
          <w:spacing w:val="0"/>
          <w:kern w:val="2"/>
          <w:sz w:val="21"/>
          <w:szCs w:val="21"/>
          <w:shd w:val="clear" w:color="auto" w:fill="auto"/>
          <w:lang w:val="en-US" w:eastAsia="zh-CN"/>
        </w:rPr>
        <w:t>和</w:t>
      </w:r>
      <w:r>
        <w:rPr>
          <w:rFonts w:hint="default" w:ascii="Times New Roman" w:hAnsi="Times New Roman" w:eastAsia="宋体" w:cs="Times New Roman"/>
          <w:b w:val="0"/>
          <w:i w:val="0"/>
          <w:caps w:val="0"/>
          <w:color w:val="auto"/>
          <w:spacing w:val="0"/>
          <w:kern w:val="2"/>
          <w:sz w:val="21"/>
          <w:szCs w:val="21"/>
          <w:shd w:val="clear" w:color="auto" w:fill="auto"/>
        </w:rPr>
        <w:t>铈含量的测定 电感耦合等离子体原子发射光谱法</w:t>
      </w:r>
    </w:p>
    <w:p w14:paraId="5F57F086">
      <w:pPr>
        <w:pStyle w:val="43"/>
        <w:keepNext w:val="0"/>
        <w:keepLines w:val="0"/>
        <w:pageBreakBefore w:val="0"/>
        <w:kinsoku/>
        <w:wordWrap/>
        <w:overflowPunct/>
        <w:topLinePunct w:val="0"/>
        <w:bidi w:val="0"/>
        <w:adjustRightInd/>
        <w:spacing w:before="312" w:beforeLines="100" w:after="312" w:afterLines="100" w:line="240" w:lineRule="auto"/>
        <w:rPr>
          <w:rFonts w:hint="eastAsia" w:ascii="黑体" w:hAnsi="黑体" w:eastAsia="黑体" w:cs="黑体"/>
          <w:bCs/>
        </w:rPr>
      </w:pPr>
      <w:r>
        <w:rPr>
          <w:rFonts w:hint="eastAsia" w:ascii="黑体" w:hAnsi="黑体" w:eastAsia="黑体" w:cs="黑体"/>
          <w:bCs/>
        </w:rPr>
        <w:t>3  术语和定义</w:t>
      </w:r>
    </w:p>
    <w:p w14:paraId="079CC219">
      <w:pPr>
        <w:pStyle w:val="43"/>
        <w:keepNext w:val="0"/>
        <w:keepLines w:val="0"/>
        <w:pageBreakBefore w:val="0"/>
        <w:kinsoku/>
        <w:wordWrap/>
        <w:overflowPunct/>
        <w:topLinePunct w:val="0"/>
        <w:bidi w:val="0"/>
        <w:adjustRightInd/>
        <w:spacing w:beforeLines="0" w:afterLines="0" w:line="240" w:lineRule="auto"/>
        <w:ind w:firstLine="420" w:firstLineChars="200"/>
        <w:outlineLvl w:val="9"/>
        <w:rPr>
          <w:rFonts w:hint="default" w:ascii="Times New Roman" w:eastAsia="宋体" w:cs="Times New Roman"/>
          <w:szCs w:val="21"/>
          <w:lang w:val="en-US" w:eastAsia="zh-CN"/>
        </w:rPr>
      </w:pPr>
      <w:r>
        <w:rPr>
          <w:rFonts w:hint="default" w:ascii="Times New Roman" w:eastAsia="宋体" w:cs="Times New Roman"/>
          <w:szCs w:val="21"/>
          <w:lang w:val="en-US" w:eastAsia="zh-CN"/>
        </w:rPr>
        <w:t>本文件没有需要界定的术语和定义。</w:t>
      </w:r>
    </w:p>
    <w:p w14:paraId="708E4310">
      <w:pPr>
        <w:pStyle w:val="43"/>
        <w:keepNext w:val="0"/>
        <w:keepLines w:val="0"/>
        <w:pageBreakBefore w:val="0"/>
        <w:kinsoku/>
        <w:wordWrap/>
        <w:overflowPunct/>
        <w:topLinePunct w:val="0"/>
        <w:bidi w:val="0"/>
        <w:adjustRightInd/>
        <w:spacing w:before="312" w:beforeLines="100" w:after="312" w:afterLines="100" w:line="240" w:lineRule="auto"/>
        <w:rPr>
          <w:rFonts w:hint="eastAsia" w:ascii="黑体" w:hAnsi="黑体" w:eastAsia="黑体" w:cs="黑体"/>
          <w:bCs/>
        </w:rPr>
      </w:pPr>
      <w:r>
        <w:rPr>
          <w:rFonts w:hint="eastAsia" w:ascii="黑体" w:hAnsi="黑体" w:eastAsia="黑体" w:cs="黑体"/>
          <w:bCs/>
          <w:lang w:val="en-US" w:eastAsia="zh-CN"/>
        </w:rPr>
        <w:t>4</w:t>
      </w:r>
      <w:r>
        <w:rPr>
          <w:rFonts w:hint="eastAsia" w:ascii="黑体" w:hAnsi="黑体" w:eastAsia="黑体" w:cs="黑体"/>
          <w:bCs/>
        </w:rPr>
        <w:t xml:space="preserve">  技术要求</w:t>
      </w:r>
    </w:p>
    <w:p w14:paraId="5CAD8F87">
      <w:pPr>
        <w:pStyle w:val="33"/>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szCs w:val="21"/>
        </w:rPr>
      </w:pPr>
      <w:r>
        <w:rPr>
          <w:rFonts w:hint="eastAsia" w:ascii="黑体" w:hAnsi="黑体" w:eastAsia="黑体" w:cs="黑体"/>
          <w:szCs w:val="21"/>
          <w:lang w:val="en-US" w:eastAsia="zh-CN"/>
        </w:rPr>
        <w:t>4</w:t>
      </w:r>
      <w:r>
        <w:rPr>
          <w:rFonts w:hint="eastAsia" w:ascii="黑体" w:hAnsi="黑体" w:eastAsia="黑体" w:cs="黑体"/>
          <w:szCs w:val="21"/>
        </w:rPr>
        <w:t>.1  化学成分</w:t>
      </w:r>
    </w:p>
    <w:p w14:paraId="766676A1">
      <w:pPr>
        <w:pStyle w:val="43"/>
        <w:keepNext w:val="0"/>
        <w:keepLines w:val="0"/>
        <w:pageBreakBefore w:val="0"/>
        <w:kinsoku/>
        <w:wordWrap/>
        <w:overflowPunct/>
        <w:topLinePunct w:val="0"/>
        <w:bidi w:val="0"/>
        <w:adjustRightInd/>
        <w:spacing w:beforeLines="0" w:afterLines="0" w:line="240" w:lineRule="auto"/>
        <w:ind w:firstLine="420" w:firstLineChars="200"/>
        <w:outlineLvl w:val="9"/>
        <w:rPr>
          <w:rFonts w:hint="default" w:ascii="Times New Roman" w:hAnsi="Times New Roman" w:eastAsia="宋体" w:cs="Times New Roman"/>
        </w:rPr>
      </w:pPr>
      <w:r>
        <w:rPr>
          <w:rFonts w:hint="eastAsia" w:ascii="Times New Roman" w:eastAsia="宋体" w:cs="Times New Roman"/>
          <w:szCs w:val="21"/>
          <w:lang w:val="en-US" w:eastAsia="zh-CN"/>
        </w:rPr>
        <w:t>产品</w:t>
      </w:r>
      <w:r>
        <w:rPr>
          <w:rFonts w:hint="default" w:ascii="Times New Roman" w:hAnsi="Times New Roman" w:eastAsia="宋体" w:cs="Times New Roman"/>
          <w:szCs w:val="21"/>
        </w:rPr>
        <w:t>的化学成分应符合表1的规定。</w:t>
      </w:r>
    </w:p>
    <w:p w14:paraId="670ED8AE">
      <w:pPr>
        <w:pStyle w:val="33"/>
        <w:keepNext w:val="0"/>
        <w:keepLines w:val="0"/>
        <w:pageBreakBefore w:val="0"/>
        <w:kinsoku/>
        <w:wordWrap/>
        <w:overflowPunct/>
        <w:topLinePunct w:val="0"/>
        <w:bidi w:val="0"/>
        <w:adjustRightInd/>
        <w:spacing w:before="156" w:beforeLines="50" w:after="156" w:afterLines="50" w:line="240" w:lineRule="auto"/>
        <w:ind w:firstLine="0" w:firstLineChars="0"/>
        <w:jc w:val="center"/>
        <w:rPr>
          <w:rFonts w:hint="eastAsia" w:ascii="黑体" w:hAnsi="黑体" w:eastAsia="黑体" w:cs="黑体"/>
          <w:sz w:val="18"/>
          <w:szCs w:val="18"/>
        </w:rPr>
      </w:pPr>
    </w:p>
    <w:p w14:paraId="07419F07">
      <w:pPr>
        <w:pStyle w:val="33"/>
        <w:keepNext w:val="0"/>
        <w:keepLines w:val="0"/>
        <w:pageBreakBefore w:val="0"/>
        <w:kinsoku/>
        <w:wordWrap/>
        <w:overflowPunct/>
        <w:topLinePunct w:val="0"/>
        <w:bidi w:val="0"/>
        <w:adjustRightInd/>
        <w:spacing w:before="156" w:beforeLines="50" w:after="156" w:afterLines="50" w:line="240" w:lineRule="auto"/>
        <w:ind w:firstLine="0" w:firstLineChars="0"/>
        <w:jc w:val="center"/>
        <w:rPr>
          <w:rFonts w:hint="eastAsia" w:ascii="黑体" w:hAnsi="黑体" w:eastAsia="黑体" w:cs="黑体"/>
          <w:sz w:val="18"/>
          <w:szCs w:val="18"/>
        </w:rPr>
      </w:pPr>
    </w:p>
    <w:p w14:paraId="3B2E6420">
      <w:pPr>
        <w:pStyle w:val="33"/>
        <w:keepNext w:val="0"/>
        <w:keepLines w:val="0"/>
        <w:pageBreakBefore w:val="0"/>
        <w:kinsoku/>
        <w:wordWrap/>
        <w:overflowPunct/>
        <w:topLinePunct w:val="0"/>
        <w:bidi w:val="0"/>
        <w:adjustRightInd/>
        <w:spacing w:before="156" w:beforeLines="50" w:after="156" w:afterLines="50" w:line="240" w:lineRule="auto"/>
        <w:ind w:firstLine="0" w:firstLineChars="0"/>
        <w:jc w:val="center"/>
        <w:rPr>
          <w:rFonts w:hint="eastAsia" w:ascii="黑体" w:hAnsi="黑体" w:eastAsia="黑体" w:cs="黑体"/>
          <w:sz w:val="21"/>
          <w:szCs w:val="21"/>
          <w:lang w:val="en-US" w:eastAsia="zh-CN"/>
        </w:rPr>
      </w:pPr>
      <w:r>
        <w:rPr>
          <w:rFonts w:hint="eastAsia" w:ascii="黑体" w:hAnsi="黑体" w:eastAsia="黑体" w:cs="黑体"/>
          <w:sz w:val="21"/>
          <w:szCs w:val="21"/>
        </w:rPr>
        <w:t>表1</w:t>
      </w:r>
      <w:r>
        <w:rPr>
          <w:rFonts w:hint="eastAsia" w:ascii="黑体" w:hAnsi="黑体" w:eastAsia="黑体" w:cs="黑体"/>
          <w:sz w:val="21"/>
          <w:szCs w:val="21"/>
          <w:lang w:val="en-US" w:eastAsia="zh-CN"/>
        </w:rPr>
        <w:t xml:space="preserve"> </w:t>
      </w:r>
      <w:r>
        <w:rPr>
          <w:rFonts w:hint="eastAsia" w:ascii="黑体" w:hAnsi="黑体" w:eastAsia="黑体" w:cs="黑体"/>
          <w:bCs/>
          <w:sz w:val="21"/>
          <w:szCs w:val="21"/>
        </w:rPr>
        <w:t>化学成分</w:t>
      </w:r>
    </w:p>
    <w:tbl>
      <w:tblPr>
        <w:tblStyle w:val="16"/>
        <w:tblW w:w="9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89"/>
        <w:gridCol w:w="3189"/>
        <w:gridCol w:w="3189"/>
      </w:tblGrid>
      <w:tr w14:paraId="32304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6378" w:type="dxa"/>
            <w:gridSpan w:val="2"/>
            <w:shd w:val="clear" w:color="auto" w:fill="auto"/>
            <w:noWrap w:val="0"/>
            <w:vAlign w:val="center"/>
          </w:tcPr>
          <w:p w14:paraId="19F8F495">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项目</w:t>
            </w:r>
          </w:p>
        </w:tc>
        <w:tc>
          <w:tcPr>
            <w:tcW w:w="3189" w:type="dxa"/>
            <w:noWrap w:val="0"/>
            <w:vAlign w:val="center"/>
          </w:tcPr>
          <w:p w14:paraId="7ABB62A5">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含量</w:t>
            </w:r>
          </w:p>
        </w:tc>
      </w:tr>
      <w:tr w14:paraId="5BC82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89" w:type="dxa"/>
            <w:shd w:val="clear" w:color="auto" w:fill="auto"/>
            <w:noWrap w:val="0"/>
            <w:vAlign w:val="center"/>
          </w:tcPr>
          <w:p w14:paraId="7037EDDB">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主元素，质量分数</w:t>
            </w:r>
          </w:p>
          <w:p w14:paraId="42C76135">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w:t>
            </w:r>
          </w:p>
        </w:tc>
        <w:tc>
          <w:tcPr>
            <w:tcW w:w="3189" w:type="dxa"/>
            <w:shd w:val="clear" w:color="auto" w:fill="auto"/>
            <w:noWrap w:val="0"/>
            <w:vAlign w:val="center"/>
          </w:tcPr>
          <w:p w14:paraId="0D80ADAA">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kern w:val="0"/>
                <w:sz w:val="18"/>
                <w:szCs w:val="18"/>
                <w:lang w:val="en-US" w:eastAsia="zh-CN" w:bidi="ar"/>
              </w:rPr>
              <w:t>Co</w:t>
            </w:r>
          </w:p>
        </w:tc>
        <w:tc>
          <w:tcPr>
            <w:tcW w:w="3189" w:type="dxa"/>
            <w:noWrap w:val="0"/>
            <w:vAlign w:val="center"/>
          </w:tcPr>
          <w:p w14:paraId="241B1491">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highlight w:val="none"/>
                <w:lang w:val="en-US"/>
              </w:rPr>
            </w:pPr>
            <w:r>
              <w:rPr>
                <w:rFonts w:hint="default" w:ascii="Times New Roman" w:hAnsi="Times New Roman" w:cs="Times New Roman"/>
                <w:color w:val="auto"/>
                <w:sz w:val="18"/>
                <w:szCs w:val="18"/>
                <w:highlight w:val="none"/>
                <w:lang w:val="en-US" w:eastAsia="zh-CN"/>
              </w:rPr>
              <w:t>48.0</w:t>
            </w:r>
            <w:r>
              <w:rPr>
                <w:rFonts w:hint="default" w:ascii="Times New Roman" w:hAnsi="Times New Roman" w:eastAsia="宋体" w:cs="Times New Roman"/>
                <w:color w:val="auto"/>
                <w:sz w:val="18"/>
                <w:szCs w:val="18"/>
                <w:highlight w:val="none"/>
              </w:rPr>
              <w:t>~</w:t>
            </w:r>
            <w:r>
              <w:rPr>
                <w:rFonts w:hint="default" w:ascii="Times New Roman" w:hAnsi="Times New Roman" w:eastAsia="宋体" w:cs="Times New Roman"/>
                <w:color w:val="auto"/>
                <w:sz w:val="18"/>
                <w:szCs w:val="18"/>
                <w:highlight w:val="none"/>
                <w:lang w:val="en-US" w:eastAsia="zh-CN"/>
              </w:rPr>
              <w:t>6</w:t>
            </w:r>
            <w:r>
              <w:rPr>
                <w:rFonts w:hint="default" w:ascii="Times New Roman" w:hAnsi="Times New Roman" w:cs="Times New Roman"/>
                <w:color w:val="auto"/>
                <w:sz w:val="18"/>
                <w:szCs w:val="18"/>
                <w:highlight w:val="none"/>
                <w:lang w:val="en-US" w:eastAsia="zh-CN"/>
              </w:rPr>
              <w:t>3.0</w:t>
            </w:r>
          </w:p>
        </w:tc>
      </w:tr>
      <w:tr w14:paraId="40CC7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9" w:type="dxa"/>
            <w:shd w:val="clear" w:color="auto" w:fill="auto"/>
            <w:noWrap w:val="0"/>
            <w:vAlign w:val="center"/>
          </w:tcPr>
          <w:p w14:paraId="55C2B2E4">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单个</w:t>
            </w:r>
            <w:r>
              <w:rPr>
                <w:rFonts w:hint="eastAsia" w:cs="Times New Roman"/>
                <w:color w:val="auto"/>
                <w:sz w:val="18"/>
                <w:szCs w:val="18"/>
                <w:lang w:val="en-US" w:eastAsia="zh-CN"/>
              </w:rPr>
              <w:t>添加</w:t>
            </w:r>
            <w:r>
              <w:rPr>
                <w:rFonts w:hint="default" w:ascii="Times New Roman" w:hAnsi="Times New Roman" w:eastAsia="宋体" w:cs="Times New Roman"/>
                <w:color w:val="auto"/>
                <w:sz w:val="18"/>
                <w:szCs w:val="18"/>
                <w:lang w:val="en-US" w:eastAsia="zh-CN"/>
              </w:rPr>
              <w:t>元素</w:t>
            </w:r>
            <w:r>
              <w:rPr>
                <w:rFonts w:hint="default" w:ascii="Times New Roman" w:hAnsi="Times New Roman" w:eastAsia="宋体" w:cs="Times New Roman"/>
                <w:color w:val="auto"/>
                <w:sz w:val="18"/>
                <w:szCs w:val="18"/>
                <w:vertAlign w:val="superscript"/>
                <w:lang w:val="en-US" w:eastAsia="zh-CN"/>
              </w:rPr>
              <w:t>a</w:t>
            </w:r>
            <w:r>
              <w:rPr>
                <w:rFonts w:hint="default" w:ascii="Times New Roman" w:hAnsi="Times New Roman" w:eastAsia="宋体" w:cs="Times New Roman"/>
                <w:color w:val="auto"/>
                <w:sz w:val="18"/>
                <w:szCs w:val="18"/>
                <w:lang w:val="en-US" w:eastAsia="zh-CN"/>
              </w:rPr>
              <w:t>，质量分数</w:t>
            </w:r>
          </w:p>
          <w:p w14:paraId="20E9FCF3">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rPr>
              <w:t>%</w:t>
            </w:r>
          </w:p>
        </w:tc>
        <w:tc>
          <w:tcPr>
            <w:tcW w:w="3189" w:type="dxa"/>
            <w:shd w:val="clear" w:color="auto" w:fill="auto"/>
            <w:noWrap w:val="0"/>
            <w:vAlign w:val="center"/>
          </w:tcPr>
          <w:p w14:paraId="7F676D4D">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M</w:t>
            </w:r>
            <w:r>
              <w:rPr>
                <w:rFonts w:hint="default" w:ascii="Times New Roman" w:hAnsi="Times New Roman" w:eastAsia="宋体" w:cs="Times New Roman"/>
                <w:color w:val="auto"/>
                <w:sz w:val="18"/>
                <w:szCs w:val="18"/>
                <w:vertAlign w:val="subscript"/>
                <w:lang w:val="en-US" w:eastAsia="zh-CN"/>
              </w:rPr>
              <w:t>d</w:t>
            </w:r>
          </w:p>
        </w:tc>
        <w:tc>
          <w:tcPr>
            <w:tcW w:w="3189" w:type="dxa"/>
            <w:noWrap w:val="0"/>
            <w:vAlign w:val="center"/>
          </w:tcPr>
          <w:p w14:paraId="0678F553">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highlight w:val="none"/>
                <w:lang w:val="en-US"/>
              </w:rPr>
            </w:pPr>
            <w:r>
              <w:rPr>
                <w:rFonts w:hint="default" w:ascii="Times New Roman" w:hAnsi="Times New Roman" w:eastAsia="宋体" w:cs="Times New Roman"/>
                <w:color w:val="auto"/>
                <w:sz w:val="18"/>
                <w:szCs w:val="18"/>
                <w:highlight w:val="none"/>
              </w:rPr>
              <w:t>0.</w:t>
            </w:r>
            <w:r>
              <w:rPr>
                <w:rFonts w:hint="default" w:ascii="Times New Roman" w:hAnsi="Times New Roman" w:cs="Times New Roman"/>
                <w:color w:val="auto"/>
                <w:sz w:val="18"/>
                <w:szCs w:val="18"/>
                <w:highlight w:val="none"/>
                <w:lang w:val="en-US" w:eastAsia="zh-CN"/>
              </w:rPr>
              <w:t>1</w:t>
            </w:r>
            <w:r>
              <w:rPr>
                <w:rFonts w:hint="default" w:ascii="Times New Roman" w:hAnsi="Times New Roman" w:eastAsia="宋体" w:cs="Times New Roman"/>
                <w:color w:val="auto"/>
                <w:sz w:val="18"/>
                <w:szCs w:val="18"/>
                <w:highlight w:val="none"/>
              </w:rPr>
              <w:t>~</w:t>
            </w:r>
            <w:r>
              <w:rPr>
                <w:rFonts w:hint="default" w:ascii="Times New Roman" w:hAnsi="Times New Roman" w:cs="Times New Roman"/>
                <w:color w:val="auto"/>
                <w:sz w:val="18"/>
                <w:szCs w:val="18"/>
                <w:highlight w:val="none"/>
                <w:lang w:val="en-US" w:eastAsia="zh-CN"/>
              </w:rPr>
              <w:t>7.0</w:t>
            </w:r>
          </w:p>
        </w:tc>
      </w:tr>
      <w:tr w14:paraId="3A0E7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9" w:type="dxa"/>
            <w:shd w:val="clear" w:color="auto" w:fill="auto"/>
            <w:noWrap w:val="0"/>
            <w:vAlign w:val="center"/>
          </w:tcPr>
          <w:p w14:paraId="77CF19F6">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总</w:t>
            </w:r>
            <w:r>
              <w:rPr>
                <w:rFonts w:hint="eastAsia" w:cs="Times New Roman"/>
                <w:color w:val="auto"/>
                <w:sz w:val="18"/>
                <w:szCs w:val="18"/>
                <w:lang w:val="en-US" w:eastAsia="zh-CN"/>
              </w:rPr>
              <w:t>添加</w:t>
            </w:r>
            <w:r>
              <w:rPr>
                <w:rFonts w:hint="default" w:ascii="Times New Roman" w:hAnsi="Times New Roman" w:eastAsia="宋体" w:cs="Times New Roman"/>
                <w:color w:val="auto"/>
                <w:sz w:val="18"/>
                <w:szCs w:val="18"/>
                <w:lang w:val="en-US" w:eastAsia="zh-CN"/>
              </w:rPr>
              <w:t>元素</w:t>
            </w:r>
            <w:r>
              <w:rPr>
                <w:rFonts w:hint="default" w:ascii="Times New Roman" w:hAnsi="Times New Roman" w:eastAsia="宋体" w:cs="Times New Roman"/>
                <w:color w:val="auto"/>
                <w:sz w:val="18"/>
                <w:szCs w:val="18"/>
                <w:vertAlign w:val="superscript"/>
                <w:lang w:val="en-US" w:eastAsia="zh-CN"/>
              </w:rPr>
              <w:t>a</w:t>
            </w:r>
            <w:r>
              <w:rPr>
                <w:rFonts w:hint="default" w:ascii="Times New Roman" w:hAnsi="Times New Roman" w:eastAsia="宋体" w:cs="Times New Roman"/>
                <w:color w:val="auto"/>
                <w:sz w:val="18"/>
                <w:szCs w:val="18"/>
                <w:lang w:val="en-US" w:eastAsia="zh-CN"/>
              </w:rPr>
              <w:t>，质量分数</w:t>
            </w:r>
          </w:p>
          <w:p w14:paraId="308C1807">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lang w:val="en-US"/>
              </w:rPr>
            </w:pPr>
            <w:r>
              <w:rPr>
                <w:rFonts w:hint="default" w:ascii="Times New Roman" w:hAnsi="Times New Roman" w:eastAsia="宋体" w:cs="Times New Roman"/>
                <w:color w:val="auto"/>
                <w:sz w:val="18"/>
                <w:szCs w:val="18"/>
              </w:rPr>
              <w:t>%</w:t>
            </w:r>
          </w:p>
        </w:tc>
        <w:tc>
          <w:tcPr>
            <w:tcW w:w="3189" w:type="dxa"/>
            <w:shd w:val="clear" w:color="auto" w:fill="auto"/>
            <w:noWrap w:val="0"/>
            <w:vAlign w:val="center"/>
          </w:tcPr>
          <w:p w14:paraId="14327667">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M</w:t>
            </w:r>
            <w:r>
              <w:rPr>
                <w:rFonts w:hint="default" w:ascii="Times New Roman" w:hAnsi="Times New Roman" w:eastAsia="宋体" w:cs="Times New Roman"/>
                <w:color w:val="auto"/>
                <w:sz w:val="18"/>
                <w:szCs w:val="18"/>
                <w:vertAlign w:val="subscript"/>
                <w:lang w:val="en-US" w:eastAsia="zh-CN"/>
              </w:rPr>
              <w:t>z</w:t>
            </w:r>
          </w:p>
        </w:tc>
        <w:tc>
          <w:tcPr>
            <w:tcW w:w="3189" w:type="dxa"/>
            <w:noWrap w:val="0"/>
            <w:vAlign w:val="center"/>
          </w:tcPr>
          <w:p w14:paraId="77A03C0D">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highlight w:val="none"/>
                <w:lang w:val="en-US"/>
              </w:rPr>
            </w:pPr>
            <w:r>
              <w:rPr>
                <w:rFonts w:hint="default" w:ascii="Times New Roman" w:hAnsi="Times New Roman" w:eastAsia="宋体" w:cs="Times New Roman"/>
                <w:color w:val="auto"/>
                <w:sz w:val="18"/>
                <w:szCs w:val="18"/>
                <w:highlight w:val="none"/>
              </w:rPr>
              <w:t>0.</w:t>
            </w:r>
            <w:r>
              <w:rPr>
                <w:rFonts w:hint="default" w:ascii="Times New Roman" w:hAnsi="Times New Roman" w:cs="Times New Roman"/>
                <w:color w:val="auto"/>
                <w:sz w:val="18"/>
                <w:szCs w:val="18"/>
                <w:highlight w:val="none"/>
                <w:lang w:val="en-US" w:eastAsia="zh-CN"/>
              </w:rPr>
              <w:t>1</w:t>
            </w:r>
            <w:r>
              <w:rPr>
                <w:rFonts w:hint="default" w:ascii="Times New Roman" w:hAnsi="Times New Roman" w:eastAsia="宋体" w:cs="Times New Roman"/>
                <w:color w:val="auto"/>
                <w:sz w:val="18"/>
                <w:szCs w:val="18"/>
                <w:highlight w:val="none"/>
              </w:rPr>
              <w:t>~</w:t>
            </w:r>
            <w:r>
              <w:rPr>
                <w:rFonts w:hint="default" w:ascii="Times New Roman" w:hAnsi="Times New Roman" w:cs="Times New Roman"/>
                <w:color w:val="auto"/>
                <w:sz w:val="18"/>
                <w:szCs w:val="18"/>
                <w:highlight w:val="none"/>
                <w:lang w:val="en-US" w:eastAsia="zh-CN"/>
              </w:rPr>
              <w:t>13.0</w:t>
            </w:r>
          </w:p>
        </w:tc>
      </w:tr>
      <w:tr w14:paraId="12157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9" w:type="dxa"/>
            <w:vMerge w:val="restart"/>
            <w:shd w:val="clear" w:color="auto" w:fill="auto"/>
            <w:noWrap w:val="0"/>
            <w:vAlign w:val="center"/>
          </w:tcPr>
          <w:p w14:paraId="51B32096">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杂质元素</w:t>
            </w:r>
            <w:r>
              <w:rPr>
                <w:rFonts w:hint="default" w:ascii="Times New Roman" w:hAnsi="Times New Roman" w:eastAsia="宋体" w:cs="Times New Roman"/>
                <w:color w:val="auto"/>
                <w:sz w:val="18"/>
                <w:szCs w:val="18"/>
                <w:vertAlign w:val="superscript"/>
                <w:lang w:val="en-US" w:eastAsia="zh-CN"/>
              </w:rPr>
              <w:t>a</w:t>
            </w:r>
            <w:r>
              <w:rPr>
                <w:rFonts w:hint="default" w:ascii="Times New Roman" w:hAnsi="Times New Roman" w:eastAsia="宋体" w:cs="Times New Roman"/>
                <w:color w:val="auto"/>
                <w:sz w:val="18"/>
                <w:szCs w:val="18"/>
                <w:lang w:val="en-US" w:eastAsia="zh-CN"/>
              </w:rPr>
              <w:t>，质量分数</w:t>
            </w:r>
          </w:p>
          <w:p w14:paraId="64BA8CA2">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w:t>
            </w:r>
          </w:p>
        </w:tc>
        <w:tc>
          <w:tcPr>
            <w:tcW w:w="3189" w:type="dxa"/>
            <w:shd w:val="clear" w:color="auto" w:fill="auto"/>
            <w:noWrap w:val="0"/>
            <w:vAlign w:val="center"/>
          </w:tcPr>
          <w:p w14:paraId="4CE11F1C">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lang w:val="en-US" w:eastAsia="zh-CN"/>
              </w:rPr>
              <w:t>Ca</w:t>
            </w:r>
          </w:p>
        </w:tc>
        <w:tc>
          <w:tcPr>
            <w:tcW w:w="3189" w:type="dxa"/>
            <w:noWrap w:val="0"/>
            <w:vAlign w:val="center"/>
          </w:tcPr>
          <w:p w14:paraId="360F1FF5">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r>
              <w:rPr>
                <w:rFonts w:hint="eastAsia" w:ascii="宋体" w:hAnsi="宋体" w:eastAsia="宋体" w:cs="宋体"/>
                <w:color w:val="auto"/>
                <w:kern w:val="2"/>
                <w:sz w:val="18"/>
                <w:szCs w:val="18"/>
                <w:lang w:val="en-US" w:eastAsia="zh-CN" w:bidi="ar-SA"/>
              </w:rPr>
              <w:t>≤</w:t>
            </w:r>
            <w:r>
              <w:rPr>
                <w:rFonts w:hint="default" w:ascii="Times New Roman" w:hAnsi="Times New Roman" w:eastAsia="宋体" w:cs="Times New Roman"/>
                <w:color w:val="auto"/>
                <w:kern w:val="2"/>
                <w:sz w:val="18"/>
                <w:szCs w:val="18"/>
                <w:lang w:val="en-US" w:eastAsia="zh-CN" w:bidi="ar-SA"/>
              </w:rPr>
              <w:t>0.0050</w:t>
            </w:r>
          </w:p>
        </w:tc>
      </w:tr>
      <w:tr w14:paraId="2554F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9" w:type="dxa"/>
            <w:vMerge w:val="continue"/>
            <w:shd w:val="clear" w:color="auto" w:fill="auto"/>
            <w:noWrap w:val="0"/>
            <w:vAlign w:val="center"/>
          </w:tcPr>
          <w:p w14:paraId="4D45E4A3">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p>
        </w:tc>
        <w:tc>
          <w:tcPr>
            <w:tcW w:w="3189" w:type="dxa"/>
            <w:shd w:val="clear" w:color="auto" w:fill="auto"/>
            <w:noWrap w:val="0"/>
            <w:vAlign w:val="center"/>
          </w:tcPr>
          <w:p w14:paraId="1C0C2F11">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lang w:val="en-US" w:eastAsia="zh-CN"/>
              </w:rPr>
              <w:t>Cd</w:t>
            </w:r>
          </w:p>
        </w:tc>
        <w:tc>
          <w:tcPr>
            <w:tcW w:w="3189" w:type="dxa"/>
            <w:noWrap w:val="0"/>
            <w:vAlign w:val="center"/>
          </w:tcPr>
          <w:p w14:paraId="59F94B1F">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highlight w:val="none"/>
                <w:lang w:val="en-US"/>
              </w:rPr>
            </w:pPr>
            <w:r>
              <w:rPr>
                <w:rFonts w:hint="eastAsia" w:ascii="宋体" w:hAnsi="宋体" w:eastAsia="宋体" w:cs="宋体"/>
                <w:color w:val="auto"/>
                <w:kern w:val="2"/>
                <w:sz w:val="18"/>
                <w:szCs w:val="18"/>
                <w:highlight w:val="none"/>
                <w:lang w:val="en-US" w:eastAsia="zh-CN" w:bidi="ar-SA"/>
              </w:rPr>
              <w:t>≤</w:t>
            </w:r>
            <w:r>
              <w:rPr>
                <w:rFonts w:hint="default" w:ascii="Times New Roman" w:hAnsi="Times New Roman" w:eastAsia="宋体" w:cs="Times New Roman"/>
                <w:color w:val="auto"/>
                <w:kern w:val="2"/>
                <w:sz w:val="18"/>
                <w:szCs w:val="18"/>
                <w:highlight w:val="none"/>
                <w:lang w:val="en-US" w:eastAsia="zh-CN" w:bidi="ar-SA"/>
              </w:rPr>
              <w:t>0.00</w:t>
            </w:r>
            <w:r>
              <w:rPr>
                <w:rFonts w:hint="default" w:ascii="Times New Roman" w:hAnsi="Times New Roman" w:cs="Times New Roman"/>
                <w:color w:val="auto"/>
                <w:kern w:val="2"/>
                <w:sz w:val="18"/>
                <w:szCs w:val="18"/>
                <w:highlight w:val="none"/>
                <w:lang w:val="en-US" w:eastAsia="zh-CN" w:bidi="ar-SA"/>
              </w:rPr>
              <w:t>05</w:t>
            </w:r>
          </w:p>
        </w:tc>
      </w:tr>
      <w:tr w14:paraId="346CC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9" w:type="dxa"/>
            <w:vMerge w:val="continue"/>
            <w:shd w:val="clear" w:color="auto" w:fill="auto"/>
            <w:noWrap w:val="0"/>
            <w:vAlign w:val="center"/>
          </w:tcPr>
          <w:p w14:paraId="26741C41">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p>
        </w:tc>
        <w:tc>
          <w:tcPr>
            <w:tcW w:w="3189" w:type="dxa"/>
            <w:shd w:val="clear" w:color="auto" w:fill="auto"/>
            <w:noWrap w:val="0"/>
            <w:vAlign w:val="center"/>
          </w:tcPr>
          <w:p w14:paraId="61CF2638">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lang w:val="en-US" w:eastAsia="zh-CN"/>
              </w:rPr>
              <w:t>Cr</w:t>
            </w:r>
          </w:p>
        </w:tc>
        <w:tc>
          <w:tcPr>
            <w:tcW w:w="3189" w:type="dxa"/>
            <w:noWrap w:val="0"/>
            <w:vAlign w:val="center"/>
          </w:tcPr>
          <w:p w14:paraId="12CC7B9B">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r>
              <w:rPr>
                <w:rFonts w:hint="eastAsia" w:ascii="宋体" w:hAnsi="宋体" w:eastAsia="宋体" w:cs="宋体"/>
                <w:color w:val="auto"/>
                <w:kern w:val="2"/>
                <w:sz w:val="18"/>
                <w:szCs w:val="18"/>
                <w:lang w:val="en-US" w:eastAsia="zh-CN" w:bidi="ar-SA"/>
              </w:rPr>
              <w:t>≤</w:t>
            </w:r>
            <w:r>
              <w:rPr>
                <w:rFonts w:hint="default" w:ascii="Times New Roman" w:hAnsi="Times New Roman" w:eastAsia="宋体" w:cs="Times New Roman"/>
                <w:color w:val="auto"/>
                <w:kern w:val="2"/>
                <w:sz w:val="18"/>
                <w:szCs w:val="18"/>
                <w:lang w:val="en-US" w:eastAsia="zh-CN" w:bidi="ar-SA"/>
              </w:rPr>
              <w:t>0.00</w:t>
            </w:r>
            <w:r>
              <w:rPr>
                <w:rFonts w:hint="default" w:ascii="Times New Roman" w:hAnsi="Times New Roman" w:cs="Times New Roman"/>
                <w:color w:val="auto"/>
                <w:kern w:val="2"/>
                <w:sz w:val="18"/>
                <w:szCs w:val="18"/>
                <w:lang w:val="en-US" w:eastAsia="zh-CN" w:bidi="ar-SA"/>
              </w:rPr>
              <w:t>1</w:t>
            </w:r>
            <w:r>
              <w:rPr>
                <w:rFonts w:hint="default" w:ascii="Times New Roman" w:hAnsi="Times New Roman" w:eastAsia="宋体" w:cs="Times New Roman"/>
                <w:color w:val="auto"/>
                <w:kern w:val="2"/>
                <w:sz w:val="18"/>
                <w:szCs w:val="18"/>
                <w:lang w:val="en-US" w:eastAsia="zh-CN" w:bidi="ar-SA"/>
              </w:rPr>
              <w:t>0</w:t>
            </w:r>
          </w:p>
        </w:tc>
      </w:tr>
      <w:tr w14:paraId="4840A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9" w:type="dxa"/>
            <w:vMerge w:val="continue"/>
            <w:shd w:val="clear" w:color="auto" w:fill="auto"/>
            <w:noWrap w:val="0"/>
            <w:vAlign w:val="center"/>
          </w:tcPr>
          <w:p w14:paraId="0DF1884B">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p>
        </w:tc>
        <w:tc>
          <w:tcPr>
            <w:tcW w:w="3189" w:type="dxa"/>
            <w:shd w:val="clear" w:color="auto" w:fill="auto"/>
            <w:noWrap w:val="0"/>
            <w:vAlign w:val="center"/>
          </w:tcPr>
          <w:p w14:paraId="221A23DE">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lang w:val="en-US" w:eastAsia="zh-CN"/>
              </w:rPr>
              <w:t>Cu</w:t>
            </w:r>
          </w:p>
        </w:tc>
        <w:tc>
          <w:tcPr>
            <w:tcW w:w="3189" w:type="dxa"/>
            <w:noWrap w:val="0"/>
            <w:vAlign w:val="center"/>
          </w:tcPr>
          <w:p w14:paraId="3EE5BA90">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r>
              <w:rPr>
                <w:rFonts w:hint="eastAsia" w:ascii="宋体" w:hAnsi="宋体" w:eastAsia="宋体" w:cs="宋体"/>
                <w:color w:val="auto"/>
                <w:kern w:val="2"/>
                <w:sz w:val="18"/>
                <w:szCs w:val="18"/>
                <w:lang w:val="en-US" w:eastAsia="zh-CN" w:bidi="ar-SA"/>
              </w:rPr>
              <w:t>≤</w:t>
            </w:r>
            <w:r>
              <w:rPr>
                <w:rFonts w:hint="default" w:ascii="Times New Roman" w:hAnsi="Times New Roman" w:eastAsia="宋体" w:cs="Times New Roman"/>
                <w:color w:val="auto"/>
                <w:kern w:val="2"/>
                <w:sz w:val="18"/>
                <w:szCs w:val="18"/>
                <w:lang w:val="en-US" w:eastAsia="zh-CN" w:bidi="ar-SA"/>
              </w:rPr>
              <w:t>0.0010</w:t>
            </w:r>
          </w:p>
        </w:tc>
      </w:tr>
      <w:tr w14:paraId="663A5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9" w:type="dxa"/>
            <w:vMerge w:val="continue"/>
            <w:shd w:val="clear" w:color="auto" w:fill="auto"/>
            <w:noWrap w:val="0"/>
            <w:vAlign w:val="center"/>
          </w:tcPr>
          <w:p w14:paraId="4BC6E4FD">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p>
        </w:tc>
        <w:tc>
          <w:tcPr>
            <w:tcW w:w="3189" w:type="dxa"/>
            <w:shd w:val="clear" w:color="auto" w:fill="auto"/>
            <w:noWrap w:val="0"/>
            <w:vAlign w:val="center"/>
          </w:tcPr>
          <w:p w14:paraId="32F32F7C">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2"/>
                <w:sz w:val="18"/>
                <w:szCs w:val="18"/>
                <w:lang w:val="en-US" w:eastAsia="zh-CN" w:bidi="ar-SA"/>
              </w:rPr>
              <w:t>Fe</w:t>
            </w:r>
          </w:p>
        </w:tc>
        <w:tc>
          <w:tcPr>
            <w:tcW w:w="3189" w:type="dxa"/>
            <w:noWrap w:val="0"/>
            <w:vAlign w:val="center"/>
          </w:tcPr>
          <w:p w14:paraId="4AD2617E">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lang w:val="en-US"/>
              </w:rPr>
            </w:pPr>
            <w:r>
              <w:rPr>
                <w:rFonts w:hint="eastAsia" w:ascii="宋体" w:hAnsi="宋体" w:eastAsia="宋体" w:cs="宋体"/>
                <w:color w:val="auto"/>
                <w:kern w:val="2"/>
                <w:sz w:val="18"/>
                <w:szCs w:val="18"/>
                <w:lang w:val="en-US" w:eastAsia="zh-CN" w:bidi="ar-SA"/>
              </w:rPr>
              <w:t>≤</w:t>
            </w:r>
            <w:r>
              <w:rPr>
                <w:rFonts w:hint="default" w:ascii="Times New Roman" w:hAnsi="Times New Roman" w:eastAsia="宋体" w:cs="Times New Roman"/>
                <w:color w:val="auto"/>
                <w:kern w:val="2"/>
                <w:sz w:val="18"/>
                <w:szCs w:val="18"/>
                <w:lang w:val="en-US" w:eastAsia="zh-CN" w:bidi="ar-SA"/>
              </w:rPr>
              <w:t>0.00</w:t>
            </w:r>
            <w:r>
              <w:rPr>
                <w:rFonts w:hint="default" w:ascii="Times New Roman" w:hAnsi="Times New Roman" w:cs="Times New Roman"/>
                <w:color w:val="auto"/>
                <w:kern w:val="2"/>
                <w:sz w:val="18"/>
                <w:szCs w:val="18"/>
                <w:lang w:val="en-US" w:eastAsia="zh-CN" w:bidi="ar-SA"/>
              </w:rPr>
              <w:t>30</w:t>
            </w:r>
          </w:p>
        </w:tc>
      </w:tr>
      <w:tr w14:paraId="6FD55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9" w:type="dxa"/>
            <w:vMerge w:val="continue"/>
            <w:shd w:val="clear" w:color="auto" w:fill="auto"/>
            <w:noWrap w:val="0"/>
            <w:vAlign w:val="center"/>
          </w:tcPr>
          <w:p w14:paraId="3080B28A">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p>
        </w:tc>
        <w:tc>
          <w:tcPr>
            <w:tcW w:w="3189" w:type="dxa"/>
            <w:shd w:val="clear" w:color="auto" w:fill="auto"/>
            <w:noWrap w:val="0"/>
            <w:vAlign w:val="center"/>
          </w:tcPr>
          <w:p w14:paraId="0D6403C7">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lang w:val="en-US" w:eastAsia="zh-CN"/>
              </w:rPr>
              <w:t>Mg</w:t>
            </w:r>
          </w:p>
        </w:tc>
        <w:tc>
          <w:tcPr>
            <w:tcW w:w="3189" w:type="dxa"/>
            <w:noWrap w:val="0"/>
            <w:vAlign w:val="center"/>
          </w:tcPr>
          <w:p w14:paraId="75BC57CE">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r>
              <w:rPr>
                <w:rFonts w:hint="eastAsia" w:ascii="宋体" w:hAnsi="宋体" w:eastAsia="宋体" w:cs="宋体"/>
                <w:color w:val="auto"/>
                <w:kern w:val="2"/>
                <w:sz w:val="18"/>
                <w:szCs w:val="18"/>
                <w:lang w:val="en-US" w:eastAsia="zh-CN" w:bidi="ar-SA"/>
              </w:rPr>
              <w:t>≤</w:t>
            </w:r>
            <w:r>
              <w:rPr>
                <w:rFonts w:hint="default" w:ascii="Times New Roman" w:hAnsi="Times New Roman" w:eastAsia="宋体" w:cs="Times New Roman"/>
                <w:color w:val="auto"/>
                <w:kern w:val="2"/>
                <w:sz w:val="18"/>
                <w:szCs w:val="18"/>
                <w:lang w:val="en-US" w:eastAsia="zh-CN" w:bidi="ar-SA"/>
              </w:rPr>
              <w:t>0.00</w:t>
            </w:r>
            <w:r>
              <w:rPr>
                <w:rFonts w:hint="default" w:ascii="Times New Roman" w:hAnsi="Times New Roman" w:cs="Times New Roman"/>
                <w:color w:val="auto"/>
                <w:kern w:val="2"/>
                <w:sz w:val="18"/>
                <w:szCs w:val="18"/>
                <w:lang w:val="en-US" w:eastAsia="zh-CN" w:bidi="ar-SA"/>
              </w:rPr>
              <w:t>5</w:t>
            </w:r>
            <w:r>
              <w:rPr>
                <w:rFonts w:hint="default" w:ascii="Times New Roman" w:hAnsi="Times New Roman" w:eastAsia="宋体" w:cs="Times New Roman"/>
                <w:color w:val="auto"/>
                <w:kern w:val="2"/>
                <w:sz w:val="18"/>
                <w:szCs w:val="18"/>
                <w:lang w:val="en-US" w:eastAsia="zh-CN" w:bidi="ar-SA"/>
              </w:rPr>
              <w:t>0</w:t>
            </w:r>
          </w:p>
        </w:tc>
      </w:tr>
      <w:tr w14:paraId="29DFC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9" w:type="dxa"/>
            <w:vMerge w:val="continue"/>
            <w:shd w:val="clear" w:color="auto" w:fill="auto"/>
            <w:noWrap w:val="0"/>
            <w:vAlign w:val="center"/>
          </w:tcPr>
          <w:p w14:paraId="0B37BC69">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p>
        </w:tc>
        <w:tc>
          <w:tcPr>
            <w:tcW w:w="3189" w:type="dxa"/>
            <w:shd w:val="clear" w:color="auto" w:fill="auto"/>
            <w:noWrap w:val="0"/>
            <w:vAlign w:val="center"/>
          </w:tcPr>
          <w:p w14:paraId="4C52EA1B">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lang w:val="en-US" w:eastAsia="zh-CN"/>
              </w:rPr>
              <w:t>Mn</w:t>
            </w:r>
          </w:p>
        </w:tc>
        <w:tc>
          <w:tcPr>
            <w:tcW w:w="3189" w:type="dxa"/>
            <w:noWrap w:val="0"/>
            <w:vAlign w:val="center"/>
          </w:tcPr>
          <w:p w14:paraId="425A64F2">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r>
              <w:rPr>
                <w:rFonts w:hint="eastAsia" w:ascii="宋体" w:hAnsi="宋体" w:eastAsia="宋体" w:cs="宋体"/>
                <w:color w:val="auto"/>
                <w:kern w:val="2"/>
                <w:sz w:val="18"/>
                <w:szCs w:val="18"/>
                <w:lang w:val="en-US" w:eastAsia="zh-CN" w:bidi="ar-SA"/>
              </w:rPr>
              <w:t>≤</w:t>
            </w:r>
            <w:r>
              <w:rPr>
                <w:rFonts w:hint="default" w:ascii="Times New Roman" w:hAnsi="Times New Roman" w:eastAsia="宋体" w:cs="Times New Roman"/>
                <w:color w:val="auto"/>
                <w:kern w:val="2"/>
                <w:sz w:val="18"/>
                <w:szCs w:val="18"/>
                <w:lang w:val="en-US" w:eastAsia="zh-CN" w:bidi="ar-SA"/>
              </w:rPr>
              <w:t>0.0010</w:t>
            </w:r>
          </w:p>
        </w:tc>
      </w:tr>
      <w:tr w14:paraId="655AF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9" w:type="dxa"/>
            <w:vMerge w:val="continue"/>
            <w:shd w:val="clear" w:color="auto" w:fill="auto"/>
            <w:noWrap w:val="0"/>
            <w:vAlign w:val="center"/>
          </w:tcPr>
          <w:p w14:paraId="615533FC">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p>
        </w:tc>
        <w:tc>
          <w:tcPr>
            <w:tcW w:w="3189" w:type="dxa"/>
            <w:shd w:val="clear" w:color="auto" w:fill="auto"/>
            <w:noWrap w:val="0"/>
            <w:vAlign w:val="center"/>
          </w:tcPr>
          <w:p w14:paraId="6041D373">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lang w:val="en-US" w:eastAsia="zh-CN"/>
              </w:rPr>
              <w:t>Na</w:t>
            </w:r>
          </w:p>
        </w:tc>
        <w:tc>
          <w:tcPr>
            <w:tcW w:w="3189" w:type="dxa"/>
            <w:noWrap w:val="0"/>
            <w:vAlign w:val="center"/>
          </w:tcPr>
          <w:p w14:paraId="53300A0F">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highlight w:val="none"/>
              </w:rPr>
            </w:pPr>
            <w:r>
              <w:rPr>
                <w:rFonts w:hint="eastAsia" w:ascii="宋体" w:hAnsi="宋体" w:eastAsia="宋体" w:cs="宋体"/>
                <w:color w:val="auto"/>
                <w:kern w:val="2"/>
                <w:sz w:val="18"/>
                <w:szCs w:val="18"/>
                <w:highlight w:val="none"/>
                <w:lang w:val="en-US" w:eastAsia="zh-CN" w:bidi="ar-SA"/>
              </w:rPr>
              <w:t>≤</w:t>
            </w:r>
            <w:r>
              <w:rPr>
                <w:rFonts w:hint="default" w:ascii="Times New Roman" w:hAnsi="Times New Roman" w:eastAsia="宋体" w:cs="Times New Roman"/>
                <w:color w:val="auto"/>
                <w:kern w:val="2"/>
                <w:sz w:val="18"/>
                <w:szCs w:val="18"/>
                <w:highlight w:val="none"/>
                <w:lang w:val="en-US" w:eastAsia="zh-CN" w:bidi="ar-SA"/>
              </w:rPr>
              <w:t>0.0</w:t>
            </w:r>
            <w:r>
              <w:rPr>
                <w:rFonts w:hint="default" w:ascii="Times New Roman" w:hAnsi="Times New Roman" w:cs="Times New Roman"/>
                <w:color w:val="auto"/>
                <w:kern w:val="2"/>
                <w:sz w:val="18"/>
                <w:szCs w:val="18"/>
                <w:highlight w:val="none"/>
                <w:lang w:val="en-US" w:eastAsia="zh-CN" w:bidi="ar-SA"/>
              </w:rPr>
              <w:t>2</w:t>
            </w:r>
            <w:r>
              <w:rPr>
                <w:rFonts w:hint="default" w:ascii="Times New Roman" w:hAnsi="Times New Roman" w:eastAsia="宋体" w:cs="Times New Roman"/>
                <w:color w:val="auto"/>
                <w:kern w:val="2"/>
                <w:sz w:val="18"/>
                <w:szCs w:val="18"/>
                <w:highlight w:val="none"/>
                <w:lang w:val="en-US" w:eastAsia="zh-CN" w:bidi="ar-SA"/>
              </w:rPr>
              <w:t>0</w:t>
            </w:r>
          </w:p>
        </w:tc>
      </w:tr>
      <w:tr w14:paraId="536B1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9" w:type="dxa"/>
            <w:vMerge w:val="continue"/>
            <w:shd w:val="clear" w:color="auto" w:fill="auto"/>
            <w:noWrap w:val="0"/>
            <w:vAlign w:val="center"/>
          </w:tcPr>
          <w:p w14:paraId="7DD537A5">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p>
        </w:tc>
        <w:tc>
          <w:tcPr>
            <w:tcW w:w="3189" w:type="dxa"/>
            <w:shd w:val="clear" w:color="auto" w:fill="auto"/>
            <w:noWrap w:val="0"/>
            <w:vAlign w:val="center"/>
          </w:tcPr>
          <w:p w14:paraId="112E3C94">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lang w:val="en-US" w:eastAsia="zh-CN"/>
              </w:rPr>
              <w:t>Ni</w:t>
            </w:r>
          </w:p>
        </w:tc>
        <w:tc>
          <w:tcPr>
            <w:tcW w:w="3189" w:type="dxa"/>
            <w:noWrap w:val="0"/>
            <w:vAlign w:val="center"/>
          </w:tcPr>
          <w:p w14:paraId="15166815">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r>
              <w:rPr>
                <w:rFonts w:hint="eastAsia" w:ascii="宋体" w:hAnsi="宋体" w:eastAsia="宋体" w:cs="宋体"/>
                <w:color w:val="auto"/>
                <w:kern w:val="2"/>
                <w:sz w:val="18"/>
                <w:szCs w:val="18"/>
                <w:lang w:val="en-US" w:eastAsia="zh-CN" w:bidi="ar-SA"/>
              </w:rPr>
              <w:t>≤</w:t>
            </w:r>
            <w:r>
              <w:rPr>
                <w:rFonts w:hint="default" w:ascii="Times New Roman" w:hAnsi="Times New Roman" w:eastAsia="宋体" w:cs="Times New Roman"/>
                <w:color w:val="auto"/>
                <w:kern w:val="2"/>
                <w:sz w:val="18"/>
                <w:szCs w:val="18"/>
                <w:lang w:val="en-US" w:eastAsia="zh-CN" w:bidi="ar-SA"/>
              </w:rPr>
              <w:t>0.0020</w:t>
            </w:r>
          </w:p>
        </w:tc>
      </w:tr>
      <w:tr w14:paraId="073E3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9" w:type="dxa"/>
            <w:vMerge w:val="continue"/>
            <w:shd w:val="clear" w:color="auto" w:fill="auto"/>
            <w:noWrap w:val="0"/>
            <w:vAlign w:val="center"/>
          </w:tcPr>
          <w:p w14:paraId="5C6962F2">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p>
        </w:tc>
        <w:tc>
          <w:tcPr>
            <w:tcW w:w="3189" w:type="dxa"/>
            <w:shd w:val="clear" w:color="auto" w:fill="auto"/>
            <w:noWrap w:val="0"/>
            <w:vAlign w:val="center"/>
          </w:tcPr>
          <w:p w14:paraId="3F270683">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lang w:val="en-US" w:eastAsia="zh-CN"/>
              </w:rPr>
              <w:t>Pb</w:t>
            </w:r>
          </w:p>
        </w:tc>
        <w:tc>
          <w:tcPr>
            <w:tcW w:w="3189" w:type="dxa"/>
            <w:noWrap w:val="0"/>
            <w:vAlign w:val="center"/>
          </w:tcPr>
          <w:p w14:paraId="652D16EA">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r>
              <w:rPr>
                <w:rFonts w:hint="eastAsia" w:ascii="宋体" w:hAnsi="宋体" w:eastAsia="宋体" w:cs="宋体"/>
                <w:color w:val="auto"/>
                <w:kern w:val="2"/>
                <w:sz w:val="18"/>
                <w:szCs w:val="18"/>
                <w:lang w:val="en-US" w:eastAsia="zh-CN" w:bidi="ar-SA"/>
              </w:rPr>
              <w:t>≤</w:t>
            </w:r>
            <w:r>
              <w:rPr>
                <w:rFonts w:hint="default" w:ascii="Times New Roman" w:hAnsi="Times New Roman" w:eastAsia="宋体" w:cs="Times New Roman"/>
                <w:color w:val="auto"/>
                <w:kern w:val="2"/>
                <w:sz w:val="18"/>
                <w:szCs w:val="18"/>
                <w:lang w:val="en-US" w:eastAsia="zh-CN" w:bidi="ar-SA"/>
              </w:rPr>
              <w:t>0.0010</w:t>
            </w:r>
          </w:p>
        </w:tc>
      </w:tr>
      <w:tr w14:paraId="29BBA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9" w:type="dxa"/>
            <w:vMerge w:val="continue"/>
            <w:shd w:val="clear" w:color="auto" w:fill="auto"/>
            <w:noWrap w:val="0"/>
            <w:vAlign w:val="center"/>
          </w:tcPr>
          <w:p w14:paraId="419BD053">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p>
        </w:tc>
        <w:tc>
          <w:tcPr>
            <w:tcW w:w="3189" w:type="dxa"/>
            <w:shd w:val="clear" w:color="auto" w:fill="auto"/>
            <w:noWrap w:val="0"/>
            <w:vAlign w:val="center"/>
          </w:tcPr>
          <w:p w14:paraId="324D2437">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lang w:val="en-US" w:eastAsia="zh-CN"/>
              </w:rPr>
              <w:t>Si</w:t>
            </w:r>
          </w:p>
        </w:tc>
        <w:tc>
          <w:tcPr>
            <w:tcW w:w="3189" w:type="dxa"/>
            <w:noWrap w:val="0"/>
            <w:vAlign w:val="center"/>
          </w:tcPr>
          <w:p w14:paraId="1CB1E779">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r>
              <w:rPr>
                <w:rFonts w:hint="eastAsia" w:ascii="宋体" w:hAnsi="宋体" w:eastAsia="宋体" w:cs="宋体"/>
                <w:color w:val="auto"/>
                <w:kern w:val="2"/>
                <w:sz w:val="18"/>
                <w:szCs w:val="18"/>
                <w:lang w:val="en-US" w:eastAsia="zh-CN" w:bidi="ar-SA"/>
              </w:rPr>
              <w:t>≤</w:t>
            </w:r>
            <w:r>
              <w:rPr>
                <w:rFonts w:hint="default" w:ascii="Times New Roman" w:hAnsi="Times New Roman" w:eastAsia="宋体" w:cs="Times New Roman"/>
                <w:color w:val="auto"/>
                <w:kern w:val="2"/>
                <w:sz w:val="18"/>
                <w:szCs w:val="18"/>
                <w:lang w:val="en-US" w:eastAsia="zh-CN" w:bidi="ar-SA"/>
              </w:rPr>
              <w:t>0.0</w:t>
            </w:r>
            <w:r>
              <w:rPr>
                <w:rFonts w:hint="default" w:ascii="Times New Roman" w:hAnsi="Times New Roman" w:cs="Times New Roman"/>
                <w:color w:val="auto"/>
                <w:kern w:val="2"/>
                <w:sz w:val="18"/>
                <w:szCs w:val="18"/>
                <w:lang w:val="en-US" w:eastAsia="zh-CN" w:bidi="ar-SA"/>
              </w:rPr>
              <w:t>05</w:t>
            </w:r>
            <w:r>
              <w:rPr>
                <w:rFonts w:hint="default" w:ascii="Times New Roman" w:hAnsi="Times New Roman" w:eastAsia="宋体" w:cs="Times New Roman"/>
                <w:color w:val="auto"/>
                <w:kern w:val="2"/>
                <w:sz w:val="18"/>
                <w:szCs w:val="18"/>
                <w:lang w:val="en-US" w:eastAsia="zh-CN" w:bidi="ar-SA"/>
              </w:rPr>
              <w:t>0</w:t>
            </w:r>
          </w:p>
        </w:tc>
      </w:tr>
      <w:tr w14:paraId="0FB71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9" w:type="dxa"/>
            <w:vMerge w:val="continue"/>
            <w:shd w:val="clear" w:color="auto" w:fill="auto"/>
            <w:noWrap w:val="0"/>
            <w:vAlign w:val="center"/>
          </w:tcPr>
          <w:p w14:paraId="77402037">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p>
        </w:tc>
        <w:tc>
          <w:tcPr>
            <w:tcW w:w="3189" w:type="dxa"/>
            <w:shd w:val="clear" w:color="auto" w:fill="auto"/>
            <w:noWrap w:val="0"/>
            <w:vAlign w:val="center"/>
          </w:tcPr>
          <w:p w14:paraId="5A940D13">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lang w:val="en-US" w:eastAsia="zh-CN"/>
              </w:rPr>
              <w:t>Zn</w:t>
            </w:r>
          </w:p>
        </w:tc>
        <w:tc>
          <w:tcPr>
            <w:tcW w:w="3189" w:type="dxa"/>
            <w:noWrap w:val="0"/>
            <w:vAlign w:val="center"/>
          </w:tcPr>
          <w:p w14:paraId="15210423">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r>
              <w:rPr>
                <w:rFonts w:hint="eastAsia" w:ascii="宋体" w:hAnsi="宋体" w:eastAsia="宋体" w:cs="宋体"/>
                <w:color w:val="auto"/>
                <w:kern w:val="2"/>
                <w:sz w:val="18"/>
                <w:szCs w:val="18"/>
                <w:lang w:val="en-US" w:eastAsia="zh-CN" w:bidi="ar-SA"/>
              </w:rPr>
              <w:t>≤</w:t>
            </w:r>
            <w:r>
              <w:rPr>
                <w:rFonts w:hint="default" w:ascii="Times New Roman" w:hAnsi="Times New Roman" w:eastAsia="宋体" w:cs="Times New Roman"/>
                <w:color w:val="auto"/>
                <w:kern w:val="2"/>
                <w:sz w:val="18"/>
                <w:szCs w:val="18"/>
                <w:lang w:val="en-US" w:eastAsia="zh-CN" w:bidi="ar-SA"/>
              </w:rPr>
              <w:t>0.0010</w:t>
            </w:r>
          </w:p>
        </w:tc>
      </w:tr>
      <w:tr w14:paraId="28466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9" w:type="dxa"/>
            <w:vMerge w:val="continue"/>
            <w:shd w:val="clear" w:color="auto" w:fill="auto"/>
            <w:noWrap w:val="0"/>
            <w:vAlign w:val="center"/>
          </w:tcPr>
          <w:p w14:paraId="1768F710">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p>
        </w:tc>
        <w:tc>
          <w:tcPr>
            <w:tcW w:w="3189" w:type="dxa"/>
            <w:shd w:val="clear" w:color="auto" w:fill="auto"/>
            <w:noWrap w:val="0"/>
            <w:vAlign w:val="center"/>
          </w:tcPr>
          <w:p w14:paraId="178C344F">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Al</w:t>
            </w:r>
          </w:p>
        </w:tc>
        <w:tc>
          <w:tcPr>
            <w:tcW w:w="3189" w:type="dxa"/>
            <w:noWrap w:val="0"/>
            <w:vAlign w:val="center"/>
          </w:tcPr>
          <w:p w14:paraId="7CB45426">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kern w:val="2"/>
                <w:sz w:val="18"/>
                <w:szCs w:val="18"/>
                <w:lang w:val="en-US" w:eastAsia="zh-CN" w:bidi="ar-SA"/>
              </w:rPr>
            </w:pPr>
            <w:r>
              <w:rPr>
                <w:rFonts w:hint="eastAsia" w:ascii="宋体" w:hAnsi="宋体" w:eastAsia="宋体" w:cs="宋体"/>
                <w:color w:val="auto"/>
                <w:kern w:val="2"/>
                <w:sz w:val="18"/>
                <w:szCs w:val="18"/>
                <w:lang w:val="en-US" w:eastAsia="zh-CN" w:bidi="ar-SA"/>
              </w:rPr>
              <w:t>≤</w:t>
            </w:r>
            <w:r>
              <w:rPr>
                <w:rFonts w:hint="default" w:ascii="Times New Roman" w:hAnsi="Times New Roman" w:eastAsia="宋体" w:cs="Times New Roman"/>
                <w:color w:val="auto"/>
                <w:kern w:val="2"/>
                <w:sz w:val="18"/>
                <w:szCs w:val="18"/>
                <w:lang w:val="en-US" w:eastAsia="zh-CN" w:bidi="ar-SA"/>
              </w:rPr>
              <w:t>0.00</w:t>
            </w:r>
            <w:r>
              <w:rPr>
                <w:rFonts w:hint="default" w:ascii="Times New Roman" w:hAnsi="Times New Roman" w:cs="Times New Roman"/>
                <w:color w:val="auto"/>
                <w:kern w:val="2"/>
                <w:sz w:val="18"/>
                <w:szCs w:val="18"/>
                <w:lang w:val="en-US" w:eastAsia="zh-CN" w:bidi="ar-SA"/>
              </w:rPr>
              <w:t>2</w:t>
            </w:r>
            <w:r>
              <w:rPr>
                <w:rFonts w:hint="default" w:ascii="Times New Roman" w:hAnsi="Times New Roman" w:eastAsia="宋体" w:cs="Times New Roman"/>
                <w:color w:val="auto"/>
                <w:kern w:val="2"/>
                <w:sz w:val="18"/>
                <w:szCs w:val="18"/>
                <w:lang w:val="en-US" w:eastAsia="zh-CN" w:bidi="ar-SA"/>
              </w:rPr>
              <w:t>0</w:t>
            </w:r>
          </w:p>
        </w:tc>
      </w:tr>
      <w:tr w14:paraId="6221E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89" w:type="dxa"/>
            <w:vMerge w:val="continue"/>
            <w:shd w:val="clear" w:color="auto" w:fill="auto"/>
            <w:noWrap w:val="0"/>
            <w:vAlign w:val="center"/>
          </w:tcPr>
          <w:p w14:paraId="173CBF2B">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p>
        </w:tc>
        <w:tc>
          <w:tcPr>
            <w:tcW w:w="3189" w:type="dxa"/>
            <w:shd w:val="clear" w:color="auto" w:fill="auto"/>
            <w:noWrap w:val="0"/>
            <w:vAlign w:val="center"/>
          </w:tcPr>
          <w:p w14:paraId="7F1D99BE">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lang w:val="en-US" w:eastAsia="zh-CN"/>
              </w:rPr>
              <w:t>Cl</w:t>
            </w:r>
            <w:r>
              <w:rPr>
                <w:rFonts w:hint="default" w:ascii="Times New Roman" w:hAnsi="Times New Roman" w:cs="Times New Roman"/>
                <w:color w:val="auto"/>
                <w:sz w:val="18"/>
                <w:szCs w:val="18"/>
                <w:vertAlign w:val="superscript"/>
                <w:lang w:val="en-US" w:eastAsia="zh-CN"/>
              </w:rPr>
              <w:t>-</w:t>
            </w:r>
          </w:p>
        </w:tc>
        <w:tc>
          <w:tcPr>
            <w:tcW w:w="3189" w:type="dxa"/>
            <w:noWrap w:val="0"/>
            <w:vAlign w:val="center"/>
          </w:tcPr>
          <w:p w14:paraId="26AC3A87">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r>
              <w:rPr>
                <w:rFonts w:hint="eastAsia" w:ascii="宋体" w:hAnsi="宋体" w:eastAsia="宋体" w:cs="宋体"/>
                <w:color w:val="auto"/>
                <w:kern w:val="2"/>
                <w:sz w:val="18"/>
                <w:szCs w:val="18"/>
                <w:lang w:val="en-US" w:eastAsia="zh-CN" w:bidi="ar-SA"/>
              </w:rPr>
              <w:t>≤</w:t>
            </w:r>
            <w:r>
              <w:rPr>
                <w:rFonts w:hint="default" w:ascii="Times New Roman" w:hAnsi="Times New Roman" w:eastAsia="宋体" w:cs="Times New Roman"/>
                <w:color w:val="auto"/>
                <w:kern w:val="2"/>
                <w:sz w:val="18"/>
                <w:szCs w:val="18"/>
                <w:lang w:val="en-US" w:eastAsia="zh-CN" w:bidi="ar-SA"/>
              </w:rPr>
              <w:t>0.</w:t>
            </w:r>
            <w:r>
              <w:rPr>
                <w:rFonts w:hint="default" w:ascii="Times New Roman" w:hAnsi="Times New Roman" w:cs="Times New Roman"/>
                <w:color w:val="auto"/>
                <w:kern w:val="2"/>
                <w:sz w:val="18"/>
                <w:szCs w:val="18"/>
                <w:lang w:val="en-US" w:eastAsia="zh-CN" w:bidi="ar-SA"/>
              </w:rPr>
              <w:t>08</w:t>
            </w:r>
            <w:r>
              <w:rPr>
                <w:rFonts w:hint="default" w:ascii="Times New Roman" w:hAnsi="Times New Roman" w:eastAsia="宋体" w:cs="Times New Roman"/>
                <w:color w:val="auto"/>
                <w:kern w:val="2"/>
                <w:sz w:val="18"/>
                <w:szCs w:val="18"/>
                <w:lang w:val="en-US" w:eastAsia="zh-CN" w:bidi="ar-SA"/>
              </w:rPr>
              <w:t>0</w:t>
            </w:r>
          </w:p>
        </w:tc>
      </w:tr>
      <w:tr w14:paraId="2807F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567" w:type="dxa"/>
            <w:gridSpan w:val="3"/>
            <w:shd w:val="clear" w:color="auto" w:fill="auto"/>
            <w:noWrap w:val="0"/>
            <w:vAlign w:val="center"/>
          </w:tcPr>
          <w:p w14:paraId="6C9B2CD9">
            <w:pPr>
              <w:keepNext w:val="0"/>
              <w:keepLines w:val="0"/>
              <w:pageBreakBefore w:val="0"/>
              <w:kinsoku/>
              <w:wordWrap/>
              <w:overflowPunct/>
              <w:topLinePunct w:val="0"/>
              <w:bidi w:val="0"/>
              <w:adjustRightInd/>
              <w:spacing w:line="240" w:lineRule="auto"/>
              <w:ind w:firstLine="360" w:firstLineChars="200"/>
              <w:jc w:val="left"/>
              <w:rPr>
                <w:rFonts w:hint="default" w:ascii="Times New Roman" w:hAnsi="Times New Roman" w:eastAsia="宋体" w:cs="Times New Roman"/>
                <w:color w:val="auto"/>
                <w:kern w:val="2"/>
                <w:sz w:val="18"/>
                <w:szCs w:val="18"/>
                <w:lang w:val="en-US" w:eastAsia="zh-CN" w:bidi="ar-SA"/>
              </w:rPr>
            </w:pPr>
            <w:r>
              <w:rPr>
                <w:rFonts w:hint="eastAsia" w:ascii="黑体" w:hAnsi="黑体" w:eastAsia="黑体" w:cs="黑体"/>
                <w:color w:val="auto"/>
                <w:sz w:val="18"/>
                <w:szCs w:val="18"/>
                <w:lang w:val="en-US" w:eastAsia="zh-CN"/>
              </w:rPr>
              <w:t>注：</w:t>
            </w:r>
            <w:r>
              <w:rPr>
                <w:rFonts w:hint="eastAsia" w:cs="Times New Roman"/>
                <w:color w:val="auto"/>
                <w:sz w:val="18"/>
                <w:szCs w:val="18"/>
                <w:lang w:val="en-US" w:eastAsia="zh-CN"/>
              </w:rPr>
              <w:t>如有其他要求时，由供需双方协商确定，并在订货单中注明。</w:t>
            </w:r>
          </w:p>
        </w:tc>
      </w:tr>
      <w:tr w14:paraId="2F65B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7" w:type="dxa"/>
            <w:gridSpan w:val="3"/>
            <w:shd w:val="clear" w:color="auto" w:fill="auto"/>
            <w:noWrap w:val="0"/>
            <w:vAlign w:val="center"/>
          </w:tcPr>
          <w:p w14:paraId="5AFACBA1">
            <w:pPr>
              <w:keepNext w:val="0"/>
              <w:keepLines w:val="0"/>
              <w:pageBreakBefore w:val="0"/>
              <w:kinsoku/>
              <w:wordWrap/>
              <w:overflowPunct/>
              <w:topLinePunct w:val="0"/>
              <w:bidi w:val="0"/>
              <w:adjustRightInd/>
              <w:spacing w:line="240" w:lineRule="auto"/>
              <w:ind w:left="357" w:leftChars="170" w:firstLine="0" w:firstLineChars="0"/>
              <w:jc w:val="left"/>
              <w:rPr>
                <w:rFonts w:hint="default" w:ascii="Times New Roman" w:hAnsi="Times New Roman" w:eastAsia="宋体" w:cs="Times New Roman"/>
                <w:color w:val="auto"/>
                <w:kern w:val="2"/>
                <w:sz w:val="18"/>
                <w:szCs w:val="18"/>
                <w:lang w:val="en-US" w:eastAsia="zh-CN" w:bidi="ar-SA"/>
              </w:rPr>
            </w:pPr>
            <w:r>
              <w:rPr>
                <w:rFonts w:hint="eastAsia" w:ascii="宋体" w:hAnsi="宋体" w:eastAsia="宋体" w:cs="宋体"/>
                <w:sz w:val="18"/>
                <w:szCs w:val="18"/>
                <w:vertAlign w:val="superscript"/>
                <w:lang w:val="en-US" w:eastAsia="zh-CN"/>
              </w:rPr>
              <w:t>a</w:t>
            </w:r>
            <w:r>
              <w:rPr>
                <w:rFonts w:hint="eastAsia" w:ascii="宋体" w:hAnsi="宋体" w:cs="宋体"/>
                <w:sz w:val="18"/>
                <w:szCs w:val="18"/>
                <w:lang w:val="en-US" w:eastAsia="zh-CN"/>
              </w:rPr>
              <w:t>添加</w:t>
            </w:r>
            <w:r>
              <w:rPr>
                <w:rFonts w:hint="eastAsia" w:ascii="宋体" w:hAnsi="宋体" w:eastAsia="宋体" w:cs="宋体"/>
                <w:sz w:val="18"/>
                <w:szCs w:val="18"/>
                <w:lang w:val="en-US" w:eastAsia="zh-CN"/>
              </w:rPr>
              <w:t>元素包括铝、镁、锰、钛、锆、钇、镧等元素中的一种或几种。当表中元素为</w:t>
            </w:r>
            <w:r>
              <w:rPr>
                <w:rFonts w:hint="eastAsia" w:ascii="宋体" w:hAnsi="宋体" w:cs="宋体"/>
                <w:sz w:val="18"/>
                <w:szCs w:val="18"/>
                <w:lang w:val="en-US" w:eastAsia="zh-CN"/>
              </w:rPr>
              <w:t>添加</w:t>
            </w:r>
            <w:r>
              <w:rPr>
                <w:rFonts w:hint="eastAsia" w:ascii="宋体" w:hAnsi="宋体" w:eastAsia="宋体" w:cs="宋体"/>
                <w:sz w:val="18"/>
                <w:szCs w:val="18"/>
                <w:lang w:val="en-US" w:eastAsia="zh-CN"/>
              </w:rPr>
              <w:t>元素时，则应符合</w:t>
            </w:r>
            <w:r>
              <w:rPr>
                <w:rFonts w:hint="eastAsia" w:ascii="宋体" w:hAnsi="宋体" w:cs="宋体"/>
                <w:sz w:val="18"/>
                <w:szCs w:val="18"/>
                <w:lang w:val="en-US" w:eastAsia="zh-CN"/>
              </w:rPr>
              <w:t>添加</w:t>
            </w:r>
            <w:r>
              <w:rPr>
                <w:rFonts w:hint="eastAsia" w:ascii="宋体" w:hAnsi="宋体" w:eastAsia="宋体" w:cs="宋体"/>
                <w:sz w:val="18"/>
                <w:szCs w:val="18"/>
                <w:lang w:val="en-US" w:eastAsia="zh-CN"/>
              </w:rPr>
              <w:t>元素指标的规定；当表中元素为杂质元素时，则应符合杂质元素指标的规定。</w:t>
            </w:r>
          </w:p>
        </w:tc>
      </w:tr>
    </w:tbl>
    <w:p w14:paraId="33EB21ED">
      <w:pPr>
        <w:pStyle w:val="33"/>
        <w:keepNext w:val="0"/>
        <w:keepLines w:val="0"/>
        <w:pageBreakBefore w:val="0"/>
        <w:kinsoku/>
        <w:wordWrap/>
        <w:overflowPunct/>
        <w:topLinePunct w:val="0"/>
        <w:bidi w:val="0"/>
        <w:adjustRightInd/>
        <w:spacing w:line="240" w:lineRule="auto"/>
        <w:rPr>
          <w:rFonts w:hint="default" w:eastAsia="宋体"/>
          <w:lang w:val="en-US" w:eastAsia="zh-CN"/>
        </w:rPr>
      </w:pPr>
    </w:p>
    <w:p w14:paraId="537AC25B">
      <w:pPr>
        <w:pStyle w:val="33"/>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4.2  水分</w:t>
      </w:r>
    </w:p>
    <w:p w14:paraId="293E1D5F">
      <w:pPr>
        <w:keepNext w:val="0"/>
        <w:keepLines w:val="0"/>
        <w:pageBreakBefore w:val="0"/>
        <w:kinsoku/>
        <w:wordWrap/>
        <w:overflowPunct/>
        <w:topLinePunct w:val="0"/>
        <w:bidi w:val="0"/>
        <w:adjustRightInd/>
        <w:spacing w:line="240" w:lineRule="auto"/>
        <w:ind w:firstLine="420"/>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产品中</w:t>
      </w:r>
      <w:r>
        <w:rPr>
          <w:rFonts w:hint="eastAsia" w:cs="Times New Roman"/>
          <w:color w:val="auto"/>
          <w:sz w:val="21"/>
          <w:szCs w:val="21"/>
          <w:lang w:val="en-US" w:eastAsia="zh-CN"/>
        </w:rPr>
        <w:t>水分</w:t>
      </w:r>
      <w:r>
        <w:rPr>
          <w:rFonts w:hint="default" w:ascii="Times New Roman" w:hAnsi="Times New Roman" w:eastAsia="宋体" w:cs="Times New Roman"/>
          <w:color w:val="auto"/>
          <w:sz w:val="21"/>
          <w:szCs w:val="21"/>
        </w:rPr>
        <w:t>含量</w:t>
      </w:r>
      <w:r>
        <w:rPr>
          <w:rFonts w:hint="default" w:ascii="Times New Roman" w:hAnsi="Times New Roman" w:eastAsia="宋体" w:cs="Times New Roman"/>
          <w:color w:val="auto"/>
          <w:sz w:val="21"/>
          <w:szCs w:val="21"/>
          <w:lang w:val="en-US" w:eastAsia="zh-CN"/>
        </w:rPr>
        <w:t>应</w:t>
      </w:r>
      <w:r>
        <w:rPr>
          <w:rFonts w:hint="default" w:ascii="Times New Roman" w:hAnsi="Times New Roman" w:eastAsia="宋体" w:cs="Times New Roman"/>
          <w:color w:val="auto"/>
          <w:sz w:val="21"/>
          <w:szCs w:val="21"/>
        </w:rPr>
        <w:t>不大于</w:t>
      </w:r>
      <w:r>
        <w:rPr>
          <w:rFonts w:hint="eastAsia" w:cs="Times New Roman"/>
          <w:color w:val="auto"/>
          <w:sz w:val="21"/>
          <w:szCs w:val="21"/>
          <w:lang w:val="en-US" w:eastAsia="zh-CN"/>
        </w:rPr>
        <w:t>1.5</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w:t>
      </w:r>
    </w:p>
    <w:p w14:paraId="24088D8B">
      <w:pPr>
        <w:pStyle w:val="33"/>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4.3  磁性异物</w:t>
      </w:r>
    </w:p>
    <w:p w14:paraId="7043F2A9">
      <w:pPr>
        <w:pStyle w:val="33"/>
        <w:keepNext w:val="0"/>
        <w:keepLines w:val="0"/>
        <w:pageBreakBefore w:val="0"/>
        <w:tabs>
          <w:tab w:val="center" w:pos="4201"/>
          <w:tab w:val="right" w:leader="dot" w:pos="9298"/>
        </w:tabs>
        <w:kinsoku/>
        <w:wordWrap/>
        <w:overflowPunct/>
        <w:topLinePunct w:val="0"/>
        <w:bidi w:val="0"/>
        <w:adjustRightInd/>
        <w:spacing w:line="240" w:lineRule="auto"/>
        <w:ind w:firstLine="42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产品</w:t>
      </w:r>
      <w:r>
        <w:rPr>
          <w:rFonts w:hint="default" w:ascii="Times New Roman" w:hAnsi="Times New Roman" w:eastAsia="宋体" w:cs="Times New Roman"/>
          <w:color w:val="auto"/>
          <w:sz w:val="21"/>
          <w:szCs w:val="21"/>
          <w:lang w:val="en-US" w:eastAsia="zh-CN"/>
        </w:rPr>
        <w:t>中</w:t>
      </w:r>
      <w:r>
        <w:rPr>
          <w:rFonts w:hint="default" w:ascii="Times New Roman" w:hAnsi="Times New Roman" w:eastAsia="宋体" w:cs="Times New Roman"/>
          <w:color w:val="auto"/>
          <w:kern w:val="2"/>
          <w:sz w:val="21"/>
          <w:szCs w:val="21"/>
          <w:lang w:val="en-US" w:eastAsia="zh-CN" w:bidi="ar-SA"/>
        </w:rPr>
        <w:t>磁性异物应不大于</w:t>
      </w:r>
      <w:r>
        <w:rPr>
          <w:rFonts w:hint="eastAsia" w:ascii="Times New Roman" w:cs="Times New Roman"/>
          <w:color w:val="auto"/>
          <w:kern w:val="2"/>
          <w:sz w:val="21"/>
          <w:szCs w:val="21"/>
          <w:lang w:val="en-US" w:eastAsia="zh-CN" w:bidi="ar-SA"/>
        </w:rPr>
        <w:t>0.00002%</w:t>
      </w:r>
      <w:r>
        <w:rPr>
          <w:rFonts w:hint="default" w:ascii="Times New Roman" w:hAnsi="Times New Roman" w:eastAsia="宋体" w:cs="Times New Roman"/>
          <w:color w:val="auto"/>
          <w:kern w:val="2"/>
          <w:sz w:val="21"/>
          <w:szCs w:val="21"/>
          <w:lang w:val="en-US" w:eastAsia="zh-CN" w:bidi="ar-SA"/>
        </w:rPr>
        <w:t>。</w:t>
      </w:r>
    </w:p>
    <w:p w14:paraId="4F2814ED">
      <w:pPr>
        <w:pStyle w:val="33"/>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4.4  松装密度</w:t>
      </w:r>
    </w:p>
    <w:p w14:paraId="0C3D5229">
      <w:pPr>
        <w:pStyle w:val="33"/>
        <w:keepNext w:val="0"/>
        <w:keepLines w:val="0"/>
        <w:pageBreakBefore w:val="0"/>
        <w:tabs>
          <w:tab w:val="center" w:pos="4201"/>
          <w:tab w:val="right" w:leader="dot" w:pos="9298"/>
        </w:tabs>
        <w:kinsoku/>
        <w:wordWrap/>
        <w:overflowPunct/>
        <w:topLinePunct w:val="0"/>
        <w:bidi w:val="0"/>
        <w:adjustRightInd/>
        <w:spacing w:line="240" w:lineRule="auto"/>
        <w:ind w:firstLine="420"/>
        <w:rPr>
          <w:rFonts w:hint="eastAsia" w:ascii="黑体" w:hAnsi="黑体" w:eastAsia="黑体" w:cs="黑体"/>
          <w:color w:val="auto"/>
          <w:kern w:val="2"/>
          <w:sz w:val="21"/>
          <w:szCs w:val="21"/>
          <w:lang w:val="en-US" w:eastAsia="zh-CN" w:bidi="ar-SA"/>
        </w:rPr>
      </w:pPr>
      <w:r>
        <w:rPr>
          <w:rFonts w:hint="default" w:ascii="Times New Roman" w:hAnsi="Times New Roman" w:eastAsia="宋体" w:cs="Times New Roman"/>
          <w:color w:val="auto"/>
          <w:sz w:val="21"/>
          <w:szCs w:val="21"/>
        </w:rPr>
        <w:t>产品</w:t>
      </w:r>
      <w:r>
        <w:rPr>
          <w:rFonts w:hint="default" w:ascii="Times New Roman" w:hAnsi="Times New Roman" w:eastAsia="宋体" w:cs="Times New Roman"/>
          <w:color w:val="auto"/>
          <w:sz w:val="21"/>
          <w:szCs w:val="21"/>
          <w:lang w:val="en-US" w:eastAsia="zh-CN"/>
        </w:rPr>
        <w:t>的</w:t>
      </w:r>
      <w:r>
        <w:rPr>
          <w:rFonts w:hint="default" w:ascii="Times New Roman" w:hAnsi="Times New Roman" w:eastAsia="宋体" w:cs="Times New Roman"/>
          <w:color w:val="auto"/>
          <w:kern w:val="2"/>
          <w:sz w:val="21"/>
          <w:szCs w:val="21"/>
          <w:lang w:val="en-US" w:eastAsia="zh-CN" w:bidi="ar-SA"/>
        </w:rPr>
        <w:t>松装密度应为0.1g/cm</w:t>
      </w:r>
      <w:r>
        <w:rPr>
          <w:rFonts w:hint="default" w:ascii="Times New Roman" w:hAnsi="Times New Roman" w:eastAsia="宋体" w:cs="Times New Roman"/>
          <w:color w:val="auto"/>
          <w:kern w:val="2"/>
          <w:sz w:val="21"/>
          <w:szCs w:val="21"/>
          <w:vertAlign w:val="superscript"/>
          <w:lang w:val="en-US" w:eastAsia="zh-CN" w:bidi="ar-SA"/>
        </w:rPr>
        <w:t>3</w:t>
      </w:r>
      <w:r>
        <w:rPr>
          <w:rFonts w:hint="default" w:ascii="Times New Roman" w:hAnsi="Times New Roman" w:eastAsia="宋体"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lang w:val="en-US" w:eastAsia="zh-CN" w:bidi="ar-SA"/>
        </w:rPr>
        <w:t>0.</w:t>
      </w:r>
      <w:r>
        <w:rPr>
          <w:rFonts w:hint="eastAsia" w:ascii="Times New Roman" w:cs="Times New Roman"/>
          <w:color w:val="auto"/>
          <w:kern w:val="2"/>
          <w:sz w:val="21"/>
          <w:szCs w:val="21"/>
          <w:lang w:val="en-US" w:eastAsia="zh-CN" w:bidi="ar-SA"/>
        </w:rPr>
        <w:t>4</w:t>
      </w:r>
      <w:r>
        <w:rPr>
          <w:rFonts w:hint="default" w:ascii="Times New Roman" w:hAnsi="Times New Roman" w:eastAsia="宋体" w:cs="Times New Roman"/>
          <w:color w:val="auto"/>
          <w:kern w:val="2"/>
          <w:sz w:val="21"/>
          <w:szCs w:val="21"/>
          <w:lang w:val="en-US" w:eastAsia="zh-CN" w:bidi="ar-SA"/>
        </w:rPr>
        <w:t>g/cm</w:t>
      </w:r>
      <w:r>
        <w:rPr>
          <w:rFonts w:hint="default" w:ascii="Times New Roman" w:hAnsi="Times New Roman" w:eastAsia="宋体" w:cs="Times New Roman"/>
          <w:color w:val="auto"/>
          <w:kern w:val="2"/>
          <w:sz w:val="21"/>
          <w:szCs w:val="21"/>
          <w:vertAlign w:val="superscript"/>
          <w:lang w:val="en-US" w:eastAsia="zh-CN" w:bidi="ar-SA"/>
        </w:rPr>
        <w:t>3</w:t>
      </w:r>
      <w:r>
        <w:rPr>
          <w:rFonts w:hint="eastAsia" w:ascii="黑体" w:hAnsi="黑体" w:eastAsia="黑体" w:cs="黑体"/>
          <w:color w:val="auto"/>
          <w:kern w:val="2"/>
          <w:sz w:val="21"/>
          <w:szCs w:val="21"/>
          <w:lang w:val="en-US" w:eastAsia="zh-CN" w:bidi="ar-SA"/>
        </w:rPr>
        <w:t>。</w:t>
      </w:r>
    </w:p>
    <w:p w14:paraId="036D661A">
      <w:pPr>
        <w:pStyle w:val="33"/>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4.5  比表面积</w:t>
      </w:r>
    </w:p>
    <w:p w14:paraId="73CAFE8D">
      <w:pPr>
        <w:pStyle w:val="33"/>
        <w:keepNext w:val="0"/>
        <w:keepLines w:val="0"/>
        <w:pageBreakBefore w:val="0"/>
        <w:tabs>
          <w:tab w:val="center" w:pos="4201"/>
          <w:tab w:val="right" w:leader="dot" w:pos="9298"/>
        </w:tabs>
        <w:kinsoku/>
        <w:wordWrap/>
        <w:overflowPunct/>
        <w:topLinePunct w:val="0"/>
        <w:bidi w:val="0"/>
        <w:adjustRightInd/>
        <w:spacing w:line="240" w:lineRule="auto"/>
        <w:ind w:firstLine="42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产品</w:t>
      </w:r>
      <w:r>
        <w:rPr>
          <w:rFonts w:hint="default" w:ascii="Times New Roman" w:hAnsi="Times New Roman" w:eastAsia="宋体" w:cs="Times New Roman"/>
          <w:color w:val="auto"/>
          <w:sz w:val="21"/>
          <w:szCs w:val="21"/>
          <w:lang w:val="en-US" w:eastAsia="zh-CN"/>
        </w:rPr>
        <w:t>的</w:t>
      </w:r>
      <w:r>
        <w:rPr>
          <w:rFonts w:hint="default" w:ascii="Times New Roman" w:hAnsi="Times New Roman" w:eastAsia="宋体" w:cs="Times New Roman"/>
          <w:color w:val="auto"/>
          <w:kern w:val="2"/>
          <w:sz w:val="21"/>
          <w:szCs w:val="21"/>
          <w:lang w:val="en-US" w:eastAsia="zh-CN" w:bidi="ar-SA"/>
        </w:rPr>
        <w:t>比表面积应为10m</w:t>
      </w:r>
      <w:r>
        <w:rPr>
          <w:rFonts w:hint="default" w:ascii="Times New Roman" w:hAnsi="Times New Roman" w:eastAsia="宋体" w:cs="Times New Roman"/>
          <w:color w:val="auto"/>
          <w:kern w:val="2"/>
          <w:sz w:val="21"/>
          <w:szCs w:val="21"/>
          <w:vertAlign w:val="superscript"/>
          <w:lang w:val="en-US" w:eastAsia="zh-CN" w:bidi="ar-SA"/>
        </w:rPr>
        <w:t>2</w:t>
      </w:r>
      <w:r>
        <w:rPr>
          <w:rFonts w:hint="default" w:ascii="Times New Roman" w:hAnsi="Times New Roman" w:eastAsia="宋体" w:cs="Times New Roman"/>
          <w:color w:val="auto"/>
          <w:kern w:val="2"/>
          <w:sz w:val="21"/>
          <w:szCs w:val="21"/>
          <w:lang w:val="en-US" w:eastAsia="zh-CN" w:bidi="ar-SA"/>
        </w:rPr>
        <w:t>/g~</w:t>
      </w:r>
      <w:r>
        <w:rPr>
          <w:rFonts w:hint="eastAsia" w:ascii="Times New Roman" w:cs="Times New Roman"/>
          <w:color w:val="auto"/>
          <w:kern w:val="2"/>
          <w:sz w:val="21"/>
          <w:szCs w:val="21"/>
          <w:lang w:val="en-US" w:eastAsia="zh-CN" w:bidi="ar-SA"/>
        </w:rPr>
        <w:t>60</w:t>
      </w:r>
      <w:r>
        <w:rPr>
          <w:rFonts w:hint="default" w:ascii="Times New Roman" w:hAnsi="Times New Roman" w:eastAsia="宋体"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vertAlign w:val="superscript"/>
          <w:lang w:val="en-US" w:eastAsia="zh-CN" w:bidi="ar-SA"/>
        </w:rPr>
        <w:t>2</w:t>
      </w:r>
      <w:r>
        <w:rPr>
          <w:rFonts w:hint="default" w:ascii="Times New Roman" w:hAnsi="Times New Roman" w:eastAsia="宋体" w:cs="Times New Roman"/>
          <w:color w:val="auto"/>
          <w:kern w:val="2"/>
          <w:sz w:val="21"/>
          <w:szCs w:val="21"/>
          <w:lang w:val="en-US" w:eastAsia="zh-CN" w:bidi="ar-SA"/>
        </w:rPr>
        <w:t>/g。</w:t>
      </w:r>
    </w:p>
    <w:p w14:paraId="745B8C79">
      <w:pPr>
        <w:pStyle w:val="33"/>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ind w:firstLine="0" w:firstLineChars="0"/>
        <w:textAlignment w:val="auto"/>
        <w:outlineLvl w:val="1"/>
        <w:rPr>
          <w:rFonts w:hint="default" w:ascii="黑体" w:hAnsi="黑体" w:eastAsia="黑体" w:cs="黑体"/>
          <w:sz w:val="21"/>
          <w:szCs w:val="21"/>
          <w:lang w:val="en-US" w:eastAsia="zh-CN"/>
        </w:rPr>
      </w:pPr>
      <w:r>
        <w:rPr>
          <w:rFonts w:hint="eastAsia" w:ascii="黑体" w:hAnsi="黑体" w:eastAsia="黑体" w:cs="黑体"/>
          <w:sz w:val="21"/>
          <w:szCs w:val="21"/>
          <w:lang w:val="en-US" w:eastAsia="zh-CN"/>
        </w:rPr>
        <w:t>4.6  粒径</w:t>
      </w:r>
    </w:p>
    <w:p w14:paraId="68AA141B">
      <w:pPr>
        <w:pStyle w:val="33"/>
        <w:keepNext w:val="0"/>
        <w:keepLines w:val="0"/>
        <w:pageBreakBefore w:val="0"/>
        <w:tabs>
          <w:tab w:val="center" w:pos="4201"/>
          <w:tab w:val="right" w:leader="dot" w:pos="9298"/>
        </w:tabs>
        <w:kinsoku/>
        <w:wordWrap/>
        <w:overflowPunct/>
        <w:topLinePunct w:val="0"/>
        <w:bidi w:val="0"/>
        <w:adjustRightInd/>
        <w:spacing w:line="240" w:lineRule="auto"/>
        <w:ind w:firstLine="42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产品的</w:t>
      </w:r>
      <w:r>
        <w:rPr>
          <w:rFonts w:hint="eastAsia" w:ascii="Times New Roman" w:cs="Times New Roman"/>
          <w:color w:val="auto"/>
          <w:kern w:val="2"/>
          <w:sz w:val="21"/>
          <w:szCs w:val="21"/>
          <w:lang w:val="en-US" w:eastAsia="zh-CN" w:bidi="ar-SA"/>
        </w:rPr>
        <w:t>粒径</w:t>
      </w:r>
      <w:r>
        <w:rPr>
          <w:rFonts w:hint="default" w:ascii="Times New Roman" w:hAnsi="Times New Roman" w:eastAsia="宋体" w:cs="Times New Roman"/>
          <w:i/>
          <w:iCs/>
          <w:color w:val="auto"/>
          <w:kern w:val="2"/>
          <w:sz w:val="21"/>
          <w:szCs w:val="21"/>
          <w:lang w:val="en-US" w:eastAsia="zh-CN" w:bidi="ar-SA"/>
        </w:rPr>
        <w:t>D</w:t>
      </w:r>
      <w:r>
        <w:rPr>
          <w:rFonts w:hint="default" w:ascii="Times New Roman" w:hAnsi="Times New Roman" w:eastAsia="宋体" w:cs="Times New Roman"/>
          <w:color w:val="auto"/>
          <w:kern w:val="2"/>
          <w:sz w:val="21"/>
          <w:szCs w:val="21"/>
          <w:vertAlign w:val="subscript"/>
          <w:lang w:val="en-US" w:eastAsia="zh-CN" w:bidi="ar-SA"/>
        </w:rPr>
        <w:t>50</w:t>
      </w:r>
      <w:r>
        <w:rPr>
          <w:rFonts w:hint="default" w:ascii="Times New Roman" w:hAnsi="Times New Roman" w:eastAsia="宋体" w:cs="Times New Roman"/>
          <w:color w:val="auto"/>
          <w:kern w:val="2"/>
          <w:sz w:val="21"/>
          <w:szCs w:val="21"/>
          <w:lang w:val="en-US" w:eastAsia="zh-CN" w:bidi="ar-SA"/>
        </w:rPr>
        <w:t>应不大于</w:t>
      </w:r>
      <w:r>
        <w:rPr>
          <w:rFonts w:hint="eastAsia" w:ascii="Times New Roman" w:cs="Times New Roman"/>
          <w:color w:val="auto"/>
          <w:kern w:val="2"/>
          <w:sz w:val="21"/>
          <w:szCs w:val="21"/>
          <w:lang w:val="en-US" w:eastAsia="zh-CN" w:bidi="ar-SA"/>
        </w:rPr>
        <w:t>3</w:t>
      </w:r>
      <w:r>
        <w:rPr>
          <w:rFonts w:hint="default" w:ascii="Times New Roman" w:hAnsi="Times New Roman" w:eastAsia="宋体" w:cs="Times New Roman"/>
          <w:color w:val="auto"/>
          <w:kern w:val="2"/>
          <w:sz w:val="21"/>
          <w:szCs w:val="21"/>
          <w:lang w:val="en-US" w:eastAsia="zh-CN" w:bidi="ar-SA"/>
        </w:rPr>
        <w:t>μm，</w:t>
      </w:r>
      <w:r>
        <w:rPr>
          <w:rFonts w:hint="default" w:ascii="Times New Roman" w:hAnsi="Times New Roman" w:eastAsia="宋体" w:cs="Times New Roman"/>
          <w:i/>
          <w:iCs/>
          <w:color w:val="auto"/>
          <w:kern w:val="2"/>
          <w:sz w:val="21"/>
          <w:szCs w:val="21"/>
          <w:lang w:val="en-US" w:eastAsia="zh-CN" w:bidi="ar-SA"/>
        </w:rPr>
        <w:t>D</w:t>
      </w:r>
      <w:r>
        <w:rPr>
          <w:rFonts w:hint="eastAsia" w:ascii="Times New Roman" w:cs="Times New Roman"/>
          <w:color w:val="auto"/>
          <w:kern w:val="2"/>
          <w:sz w:val="21"/>
          <w:szCs w:val="21"/>
          <w:vertAlign w:val="subscript"/>
          <w:lang w:val="en-US" w:eastAsia="zh-CN" w:bidi="ar-SA"/>
        </w:rPr>
        <w:t>90</w:t>
      </w:r>
      <w:r>
        <w:rPr>
          <w:rFonts w:hint="default" w:ascii="Times New Roman" w:hAnsi="Times New Roman" w:eastAsia="宋体" w:cs="Times New Roman"/>
          <w:color w:val="auto"/>
          <w:kern w:val="2"/>
          <w:sz w:val="21"/>
          <w:szCs w:val="21"/>
          <w:lang w:val="en-US" w:eastAsia="zh-CN" w:bidi="ar-SA"/>
        </w:rPr>
        <w:t>应不大于</w:t>
      </w:r>
      <w:r>
        <w:rPr>
          <w:rFonts w:hint="eastAsia" w:ascii="Times New Roman" w:cs="Times New Roman"/>
          <w:color w:val="auto"/>
          <w:kern w:val="2"/>
          <w:sz w:val="21"/>
          <w:szCs w:val="21"/>
          <w:lang w:val="en-US" w:eastAsia="zh-CN" w:bidi="ar-SA"/>
        </w:rPr>
        <w:t>7</w:t>
      </w:r>
      <w:r>
        <w:rPr>
          <w:rFonts w:hint="default" w:ascii="Times New Roman" w:hAnsi="Times New Roman" w:eastAsia="宋体" w:cs="Times New Roman"/>
          <w:color w:val="auto"/>
          <w:kern w:val="2"/>
          <w:sz w:val="21"/>
          <w:szCs w:val="21"/>
          <w:lang w:val="en-US" w:eastAsia="zh-CN" w:bidi="ar-SA"/>
        </w:rPr>
        <w:t>μm。</w:t>
      </w:r>
    </w:p>
    <w:p w14:paraId="26A2A979">
      <w:pPr>
        <w:pStyle w:val="33"/>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4.7  外观质量</w:t>
      </w:r>
    </w:p>
    <w:p w14:paraId="489EA949">
      <w:pPr>
        <w:pStyle w:val="33"/>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240" w:lineRule="auto"/>
        <w:ind w:firstLine="42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产品</w:t>
      </w:r>
      <w:r>
        <w:rPr>
          <w:rFonts w:hint="eastAsia" w:ascii="Times New Roman" w:cs="Times New Roman"/>
          <w:color w:val="auto"/>
          <w:kern w:val="2"/>
          <w:sz w:val="21"/>
          <w:szCs w:val="21"/>
          <w:highlight w:val="none"/>
          <w:lang w:val="en-US" w:eastAsia="zh-CN" w:bidi="ar-SA"/>
        </w:rPr>
        <w:t>颜色均匀</w:t>
      </w:r>
      <w:r>
        <w:rPr>
          <w:rFonts w:hint="default" w:ascii="Times New Roman" w:hAnsi="Times New Roman" w:eastAsia="宋体" w:cs="Times New Roman"/>
          <w:color w:val="auto"/>
          <w:kern w:val="2"/>
          <w:sz w:val="21"/>
          <w:szCs w:val="21"/>
          <w:highlight w:val="none"/>
          <w:lang w:val="en-US" w:eastAsia="zh-CN" w:bidi="ar-SA"/>
        </w:rPr>
        <w:t>，无结块，无夹杂物。</w:t>
      </w:r>
    </w:p>
    <w:p w14:paraId="6E129F13">
      <w:pPr>
        <w:keepNext w:val="0"/>
        <w:keepLines w:val="0"/>
        <w:pageBreakBefore w:val="0"/>
        <w:kinsoku/>
        <w:wordWrap/>
        <w:overflowPunct/>
        <w:topLinePunct w:val="0"/>
        <w:bidi w:val="0"/>
        <w:adjustRightInd/>
        <w:spacing w:before="312" w:beforeLines="100" w:after="312" w:afterLines="100" w:line="240" w:lineRule="auto"/>
        <w:rPr>
          <w:rFonts w:hint="eastAsia" w:ascii="黑体" w:hAnsi="黑体" w:eastAsia="黑体" w:cs="黑体"/>
          <w:bCs/>
          <w:sz w:val="21"/>
          <w:szCs w:val="21"/>
          <w:lang w:val="en-US" w:eastAsia="zh-CN"/>
        </w:rPr>
      </w:pPr>
      <w:r>
        <w:rPr>
          <w:rFonts w:hint="eastAsia" w:ascii="黑体" w:hAnsi="黑体" w:eastAsia="黑体" w:cs="黑体"/>
          <w:bCs/>
          <w:sz w:val="21"/>
          <w:szCs w:val="21"/>
          <w:lang w:val="en-US" w:eastAsia="zh-CN"/>
        </w:rPr>
        <w:t>5  试验方法</w:t>
      </w:r>
    </w:p>
    <w:p w14:paraId="2D33A322">
      <w:pPr>
        <w:pStyle w:val="33"/>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5.1  化学成分</w:t>
      </w:r>
    </w:p>
    <w:p w14:paraId="530CF516">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hanging="630" w:hangingChars="300"/>
        <w:textAlignment w:val="auto"/>
        <w:rPr>
          <w:rFonts w:hint="default" w:ascii="Times New Roman" w:hAnsi="Times New Roman" w:eastAsia="宋体" w:cs="Times New Roman"/>
          <w:kern w:val="2"/>
          <w:sz w:val="21"/>
          <w:szCs w:val="21"/>
          <w:lang w:val="en-US" w:eastAsia="zh-CN" w:bidi="ar-SA"/>
        </w:rPr>
      </w:pPr>
      <w:r>
        <w:rPr>
          <w:rFonts w:hint="eastAsia" w:ascii="黑体" w:hAnsi="黑体" w:eastAsia="黑体" w:cs="黑体"/>
          <w:sz w:val="21"/>
          <w:szCs w:val="21"/>
          <w:lang w:val="en-US" w:eastAsia="zh-CN"/>
        </w:rPr>
        <w:t>5</w:t>
      </w:r>
      <w:r>
        <w:rPr>
          <w:rFonts w:hint="eastAsia" w:ascii="黑体" w:hAnsi="黑体" w:eastAsia="黑体" w:cs="黑体"/>
          <w:sz w:val="21"/>
          <w:szCs w:val="21"/>
        </w:rPr>
        <w:t xml:space="preserve">.1.1  </w:t>
      </w:r>
      <w:r>
        <w:rPr>
          <w:rFonts w:hint="default" w:ascii="Times New Roman" w:hAnsi="Times New Roman" w:eastAsia="宋体" w:cs="Times New Roman"/>
          <w:kern w:val="2"/>
          <w:sz w:val="21"/>
          <w:szCs w:val="21"/>
          <w:lang w:val="en-US" w:eastAsia="zh-CN" w:bidi="ar-SA"/>
        </w:rPr>
        <w:t>产品中钴含量</w:t>
      </w:r>
      <w:r>
        <w:rPr>
          <w:rFonts w:hint="eastAsia" w:ascii="Times New Roman" w:hAnsi="Times New Roman" w:cs="Times New Roman"/>
          <w:kern w:val="2"/>
          <w:sz w:val="21"/>
          <w:szCs w:val="21"/>
          <w:lang w:val="en-US" w:eastAsia="zh-CN" w:bidi="ar-SA"/>
        </w:rPr>
        <w:t>的测定</w:t>
      </w:r>
      <w:r>
        <w:rPr>
          <w:rFonts w:hint="default" w:ascii="Times New Roman" w:hAnsi="Times New Roman" w:eastAsia="宋体" w:cs="Times New Roman"/>
          <w:kern w:val="2"/>
          <w:sz w:val="21"/>
          <w:szCs w:val="21"/>
          <w:lang w:val="en-US" w:eastAsia="zh-CN" w:bidi="ar-SA"/>
        </w:rPr>
        <w:t>按照</w:t>
      </w:r>
      <w:r>
        <w:rPr>
          <w:rFonts w:hint="default" w:ascii="Times New Roman" w:hAnsi="Times New Roman" w:eastAsia="宋体" w:cs="Times New Roman"/>
          <w:b w:val="0"/>
          <w:i w:val="0"/>
          <w:caps w:val="0"/>
          <w:color w:val="auto"/>
          <w:spacing w:val="0"/>
          <w:kern w:val="2"/>
          <w:sz w:val="21"/>
          <w:szCs w:val="21"/>
          <w:shd w:val="clear" w:color="auto" w:fill="auto"/>
          <w:lang w:bidi="ar"/>
        </w:rPr>
        <w:t>GB/T 23367.</w:t>
      </w:r>
      <w:r>
        <w:rPr>
          <w:rFonts w:hint="default" w:ascii="Times New Roman" w:hAnsi="Times New Roman" w:eastAsia="宋体" w:cs="Times New Roman"/>
          <w:b w:val="0"/>
          <w:i w:val="0"/>
          <w:caps w:val="0"/>
          <w:color w:val="auto"/>
          <w:spacing w:val="0"/>
          <w:kern w:val="2"/>
          <w:sz w:val="21"/>
          <w:szCs w:val="21"/>
          <w:shd w:val="clear" w:color="auto" w:fill="auto"/>
          <w:lang w:val="en-US" w:eastAsia="zh-CN" w:bidi="ar"/>
        </w:rPr>
        <w:t>1</w:t>
      </w:r>
      <w:r>
        <w:rPr>
          <w:rFonts w:hint="eastAsia" w:ascii="Times New Roman" w:hAnsi="Times New Roman" w:cs="Times New Roman"/>
          <w:b w:val="0"/>
          <w:i w:val="0"/>
          <w:caps w:val="0"/>
          <w:color w:val="auto"/>
          <w:spacing w:val="0"/>
          <w:kern w:val="2"/>
          <w:sz w:val="21"/>
          <w:szCs w:val="21"/>
          <w:shd w:val="clear" w:color="auto" w:fill="auto"/>
          <w:lang w:val="en-US" w:eastAsia="zh-CN" w:bidi="ar"/>
        </w:rPr>
        <w:t>的</w:t>
      </w:r>
      <w:r>
        <w:rPr>
          <w:rFonts w:hint="default" w:ascii="Times New Roman" w:hAnsi="Times New Roman" w:eastAsia="宋体" w:cs="Times New Roman"/>
          <w:kern w:val="2"/>
          <w:sz w:val="21"/>
          <w:szCs w:val="21"/>
          <w:lang w:val="en-US" w:eastAsia="zh-CN" w:bidi="ar-SA"/>
        </w:rPr>
        <w:t>规定</w:t>
      </w:r>
      <w:r>
        <w:rPr>
          <w:rFonts w:hint="eastAsia" w:ascii="Times New Roman" w:hAnsi="Times New Roman" w:cs="Times New Roman"/>
          <w:kern w:val="2"/>
          <w:sz w:val="21"/>
          <w:szCs w:val="21"/>
          <w:lang w:val="en-US" w:eastAsia="zh-CN" w:bidi="ar-SA"/>
        </w:rPr>
        <w:t>进行</w:t>
      </w:r>
      <w:r>
        <w:rPr>
          <w:rFonts w:hint="default" w:ascii="Times New Roman" w:hAnsi="Times New Roman" w:eastAsia="宋体" w:cs="Times New Roman"/>
          <w:kern w:val="2"/>
          <w:sz w:val="21"/>
          <w:szCs w:val="21"/>
          <w:lang w:val="en-US" w:eastAsia="zh-CN" w:bidi="ar-SA"/>
        </w:rPr>
        <w:t>。</w:t>
      </w:r>
    </w:p>
    <w:p w14:paraId="409E34EC">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firstLine="0" w:firstLineChars="0"/>
        <w:textAlignment w:val="auto"/>
        <w:rPr>
          <w:rFonts w:hint="default" w:ascii="Times New Roman" w:hAnsi="Times New Roman" w:cs="Times New Roman"/>
          <w:kern w:val="2"/>
          <w:sz w:val="21"/>
          <w:szCs w:val="21"/>
          <w:lang w:val="en-US" w:eastAsia="zh-CN" w:bidi="ar-SA"/>
        </w:rPr>
      </w:pPr>
      <w:r>
        <w:rPr>
          <w:rFonts w:hint="eastAsia" w:ascii="黑体" w:hAnsi="黑体" w:eastAsia="黑体" w:cs="黑体"/>
          <w:kern w:val="2"/>
          <w:sz w:val="21"/>
          <w:szCs w:val="21"/>
          <w:lang w:val="en-US" w:eastAsia="zh-CN" w:bidi="ar-SA"/>
        </w:rPr>
        <w:t xml:space="preserve">5.1.2  </w:t>
      </w:r>
      <w:r>
        <w:rPr>
          <w:rFonts w:hint="default" w:ascii="Times New Roman" w:hAnsi="Times New Roman" w:eastAsia="宋体" w:cs="Times New Roman"/>
          <w:kern w:val="2"/>
          <w:sz w:val="21"/>
          <w:szCs w:val="21"/>
          <w:lang w:val="en-US" w:eastAsia="zh-CN" w:bidi="ar-SA"/>
        </w:rPr>
        <w:t>产品</w:t>
      </w:r>
      <w:r>
        <w:rPr>
          <w:rFonts w:hint="default" w:ascii="Times New Roman" w:hAnsi="Times New Roman" w:cs="Times New Roman"/>
          <w:kern w:val="2"/>
          <w:sz w:val="21"/>
          <w:szCs w:val="21"/>
          <w:lang w:val="en-US" w:eastAsia="zh-CN" w:bidi="ar-SA"/>
        </w:rPr>
        <w:t>中</w:t>
      </w:r>
      <w:r>
        <w:rPr>
          <w:rFonts w:hint="eastAsia"/>
          <w:lang w:val="en-US" w:eastAsia="zh-CN"/>
        </w:rPr>
        <w:t>钙、镉、铬、铜、铁、镁、锰、钠、镍、铅、硅、锌、铝、</w:t>
      </w:r>
      <w:r>
        <w:rPr>
          <w:rFonts w:hint="eastAsia" w:ascii="Times New Roman" w:hAnsi="Times New Roman" w:cs="Times New Roman"/>
          <w:b w:val="0"/>
          <w:i w:val="0"/>
          <w:caps w:val="0"/>
          <w:color w:val="auto"/>
          <w:spacing w:val="0"/>
          <w:kern w:val="2"/>
          <w:sz w:val="21"/>
          <w:szCs w:val="21"/>
          <w:lang w:val="en-US" w:eastAsia="zh-CN"/>
        </w:rPr>
        <w:t>锆、钇、钛、</w:t>
      </w:r>
      <w:r>
        <w:rPr>
          <w:rFonts w:hint="default" w:ascii="Times New Roman" w:hAnsi="Times New Roman" w:eastAsia="宋体" w:cs="Times New Roman"/>
          <w:b w:val="0"/>
          <w:i w:val="0"/>
          <w:caps w:val="0"/>
          <w:color w:val="auto"/>
          <w:spacing w:val="0"/>
          <w:kern w:val="2"/>
          <w:sz w:val="21"/>
          <w:szCs w:val="21"/>
        </w:rPr>
        <w:t>镧</w:t>
      </w:r>
      <w:r>
        <w:rPr>
          <w:rFonts w:hint="default" w:ascii="Times New Roman" w:hAnsi="Times New Roman" w:cs="Times New Roman"/>
          <w:kern w:val="2"/>
          <w:sz w:val="21"/>
          <w:szCs w:val="21"/>
          <w:lang w:val="en-US" w:eastAsia="zh-CN" w:bidi="ar-SA"/>
        </w:rPr>
        <w:t>含量</w:t>
      </w:r>
      <w:r>
        <w:rPr>
          <w:rFonts w:hint="eastAsia" w:ascii="Times New Roman" w:hAnsi="Times New Roman" w:cs="Times New Roman"/>
          <w:kern w:val="2"/>
          <w:sz w:val="21"/>
          <w:szCs w:val="21"/>
          <w:lang w:val="en-US" w:eastAsia="zh-CN" w:bidi="ar-SA"/>
        </w:rPr>
        <w:t>的测定</w:t>
      </w:r>
      <w:r>
        <w:rPr>
          <w:rFonts w:hint="default" w:ascii="Times New Roman" w:hAnsi="Times New Roman" w:cs="Times New Roman"/>
          <w:kern w:val="2"/>
          <w:sz w:val="21"/>
          <w:szCs w:val="21"/>
          <w:lang w:val="en-US" w:eastAsia="zh-CN" w:bidi="ar-SA"/>
        </w:rPr>
        <w:t>按照</w:t>
      </w:r>
      <w:r>
        <w:rPr>
          <w:rFonts w:hint="default" w:ascii="Times New Roman" w:hAnsi="Times New Roman" w:eastAsia="宋体" w:cs="Times New Roman"/>
          <w:b w:val="0"/>
          <w:color w:val="auto"/>
          <w:kern w:val="2"/>
          <w:sz w:val="21"/>
          <w:szCs w:val="21"/>
          <w:shd w:val="clear" w:color="auto" w:fill="auto"/>
          <w:vertAlign w:val="baseline"/>
          <w:lang w:val="en-US" w:eastAsia="zh-CN"/>
        </w:rPr>
        <w:t>YS/T</w:t>
      </w:r>
      <w:r>
        <w:rPr>
          <w:rFonts w:hint="eastAsia" w:ascii="Times New Roman" w:hAnsi="Times New Roman" w:cs="Times New Roman"/>
          <w:b w:val="0"/>
          <w:color w:val="auto"/>
          <w:kern w:val="2"/>
          <w:sz w:val="21"/>
          <w:szCs w:val="21"/>
          <w:shd w:val="clear" w:color="auto" w:fill="auto"/>
          <w:vertAlign w:val="baseline"/>
          <w:lang w:val="en-US" w:eastAsia="zh-CN"/>
        </w:rPr>
        <w:t xml:space="preserve"> 1756</w:t>
      </w:r>
      <w:r>
        <w:rPr>
          <w:rFonts w:hint="default" w:ascii="Times New Roman" w:hAnsi="Times New Roman" w:cs="Times New Roman"/>
          <w:kern w:val="2"/>
          <w:sz w:val="21"/>
          <w:szCs w:val="21"/>
          <w:lang w:val="en-US" w:eastAsia="zh-CN" w:bidi="ar-SA"/>
        </w:rPr>
        <w:t>的规定进行。</w:t>
      </w:r>
    </w:p>
    <w:p w14:paraId="29192AE0">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hanging="630" w:hangingChars="300"/>
        <w:textAlignment w:val="auto"/>
        <w:rPr>
          <w:rFonts w:hint="default" w:ascii="Times New Roman" w:hAnsi="Times New Roman" w:eastAsia="宋体" w:cs="Times New Roman"/>
          <w:kern w:val="2"/>
          <w:sz w:val="21"/>
          <w:szCs w:val="21"/>
          <w:lang w:val="en-US" w:eastAsia="zh-CN" w:bidi="ar-SA"/>
        </w:rPr>
      </w:pPr>
      <w:r>
        <w:rPr>
          <w:rFonts w:hint="default" w:ascii="黑体" w:hAnsi="黑体" w:eastAsia="黑体" w:cs="黑体"/>
          <w:kern w:val="2"/>
          <w:sz w:val="21"/>
          <w:szCs w:val="21"/>
          <w:lang w:val="en-US" w:eastAsia="zh-CN" w:bidi="ar-SA"/>
        </w:rPr>
        <w:t xml:space="preserve">5.1.3 </w:t>
      </w:r>
      <w:r>
        <w:rPr>
          <w:rFonts w:hint="eastAsia" w:ascii="Times New Roman" w:hAnsi="Times New Roman" w:cs="Times New Roman"/>
          <w:kern w:val="2"/>
          <w:sz w:val="21"/>
          <w:szCs w:val="21"/>
          <w:lang w:val="en-US" w:eastAsia="zh-CN" w:bidi="ar-SA"/>
        </w:rPr>
        <w:t xml:space="preserve"> </w:t>
      </w:r>
      <w:r>
        <w:rPr>
          <w:rFonts w:hint="default" w:ascii="Times New Roman" w:hAnsi="Times New Roman" w:eastAsia="宋体" w:cs="Times New Roman"/>
          <w:kern w:val="2"/>
          <w:sz w:val="21"/>
          <w:szCs w:val="21"/>
          <w:highlight w:val="none"/>
          <w:lang w:val="en-US" w:eastAsia="zh-CN" w:bidi="ar-SA"/>
        </w:rPr>
        <w:t>产品</w:t>
      </w:r>
      <w:r>
        <w:rPr>
          <w:rFonts w:hint="default" w:ascii="Times New Roman" w:hAnsi="Times New Roman" w:cs="Times New Roman"/>
          <w:kern w:val="2"/>
          <w:sz w:val="21"/>
          <w:szCs w:val="21"/>
          <w:highlight w:val="none"/>
          <w:lang w:val="en-US" w:eastAsia="zh-CN" w:bidi="ar-SA"/>
        </w:rPr>
        <w:t>中</w:t>
      </w:r>
      <w:r>
        <w:rPr>
          <w:rFonts w:hint="default" w:ascii="Times New Roman" w:hAnsi="Times New Roman" w:eastAsia="宋体" w:cs="Times New Roman"/>
          <w:kern w:val="2"/>
          <w:sz w:val="21"/>
          <w:szCs w:val="21"/>
          <w:highlight w:val="none"/>
          <w:lang w:val="en-US" w:eastAsia="zh-CN" w:bidi="ar-SA"/>
        </w:rPr>
        <w:t>氯</w:t>
      </w:r>
      <w:r>
        <w:rPr>
          <w:rFonts w:hint="eastAsia" w:ascii="Times New Roman" w:hAnsi="Times New Roman" w:cs="Times New Roman"/>
          <w:kern w:val="2"/>
          <w:sz w:val="21"/>
          <w:szCs w:val="21"/>
          <w:highlight w:val="none"/>
          <w:lang w:val="en-US" w:eastAsia="zh-CN" w:bidi="ar-SA"/>
        </w:rPr>
        <w:t>离子</w:t>
      </w:r>
      <w:r>
        <w:rPr>
          <w:rFonts w:hint="default" w:ascii="Times New Roman" w:hAnsi="Times New Roman" w:cs="Times New Roman"/>
          <w:kern w:val="2"/>
          <w:sz w:val="21"/>
          <w:szCs w:val="21"/>
          <w:highlight w:val="none"/>
          <w:lang w:val="en-US" w:eastAsia="zh-CN" w:bidi="ar-SA"/>
        </w:rPr>
        <w:t>含量</w:t>
      </w:r>
      <w:r>
        <w:rPr>
          <w:rFonts w:hint="eastAsia" w:ascii="Times New Roman" w:hAnsi="Times New Roman" w:cs="Times New Roman"/>
          <w:kern w:val="2"/>
          <w:sz w:val="21"/>
          <w:szCs w:val="21"/>
          <w:highlight w:val="none"/>
          <w:lang w:val="en-US" w:eastAsia="zh-CN" w:bidi="ar-SA"/>
        </w:rPr>
        <w:t>的测定</w:t>
      </w:r>
      <w:r>
        <w:rPr>
          <w:rFonts w:hint="default" w:ascii="Times New Roman" w:hAnsi="Times New Roman" w:eastAsia="宋体" w:cs="Times New Roman"/>
          <w:kern w:val="2"/>
          <w:sz w:val="21"/>
          <w:szCs w:val="21"/>
          <w:highlight w:val="none"/>
          <w:lang w:val="en-US" w:eastAsia="zh-CN" w:bidi="ar-SA"/>
        </w:rPr>
        <w:t>按照</w:t>
      </w:r>
      <w:r>
        <w:rPr>
          <w:rFonts w:hint="eastAsia" w:ascii="Times New Roman" w:hAnsi="Times New Roman" w:cs="Times New Roman"/>
          <w:b w:val="0"/>
          <w:bCs w:val="0"/>
          <w:color w:val="auto"/>
          <w:kern w:val="2"/>
          <w:sz w:val="21"/>
          <w:szCs w:val="21"/>
          <w:highlight w:val="none"/>
          <w:shd w:val="clear" w:color="auto" w:fill="auto"/>
          <w:lang w:val="en-US" w:eastAsia="zh-CN" w:bidi="ar-SA"/>
        </w:rPr>
        <w:t>YS/T 1445.4</w:t>
      </w:r>
      <w:r>
        <w:rPr>
          <w:rFonts w:hint="default" w:ascii="Times New Roman" w:hAnsi="Times New Roman" w:eastAsia="宋体" w:cs="Times New Roman"/>
          <w:kern w:val="2"/>
          <w:sz w:val="21"/>
          <w:szCs w:val="21"/>
          <w:highlight w:val="none"/>
          <w:lang w:val="en-US" w:eastAsia="zh-CN" w:bidi="ar-SA"/>
        </w:rPr>
        <w:t>的规定进行。</w:t>
      </w:r>
    </w:p>
    <w:p w14:paraId="0F2D6B2F">
      <w:pPr>
        <w:pStyle w:val="33"/>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5.2  水分</w:t>
      </w:r>
    </w:p>
    <w:p w14:paraId="5F026B85">
      <w:pPr>
        <w:pStyle w:val="33"/>
        <w:keepNext w:val="0"/>
        <w:keepLines w:val="0"/>
        <w:pageBreakBefore w:val="0"/>
        <w:widowControl/>
        <w:kinsoku/>
        <w:wordWrap/>
        <w:overflowPunct/>
        <w:topLinePunct w:val="0"/>
        <w:autoSpaceDE w:val="0"/>
        <w:autoSpaceDN w:val="0"/>
        <w:bidi w:val="0"/>
        <w:adjustRightInd/>
        <w:snapToGrid/>
        <w:spacing w:line="240" w:lineRule="auto"/>
        <w:ind w:firstLine="420" w:firstLineChars="200"/>
        <w:textAlignment w:val="auto"/>
        <w:outlineLvl w:val="1"/>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产品中水</w:t>
      </w:r>
      <w:r>
        <w:rPr>
          <w:rFonts w:hint="eastAsia" w:hAnsi="宋体" w:cs="宋体"/>
          <w:color w:val="auto"/>
          <w:kern w:val="2"/>
          <w:sz w:val="21"/>
          <w:szCs w:val="21"/>
          <w:lang w:val="en-US" w:eastAsia="zh-CN" w:bidi="ar-SA"/>
        </w:rPr>
        <w:t>分的测定</w:t>
      </w:r>
      <w:r>
        <w:rPr>
          <w:rFonts w:hint="eastAsia" w:ascii="宋体" w:hAnsi="宋体" w:eastAsia="宋体" w:cs="宋体"/>
          <w:color w:val="auto"/>
          <w:kern w:val="2"/>
          <w:sz w:val="21"/>
          <w:szCs w:val="21"/>
          <w:lang w:val="en-US" w:eastAsia="zh-CN" w:bidi="ar-SA"/>
        </w:rPr>
        <w:t>按</w:t>
      </w:r>
      <w:r>
        <w:rPr>
          <w:rFonts w:hint="default" w:ascii="Times New Roman" w:hAnsi="Times New Roman" w:eastAsia="宋体" w:cs="Times New Roman"/>
          <w:color w:val="auto"/>
          <w:kern w:val="2"/>
          <w:sz w:val="21"/>
          <w:szCs w:val="21"/>
          <w:lang w:val="en-US" w:eastAsia="zh-CN" w:bidi="ar-SA"/>
        </w:rPr>
        <w:t>照GB/T 6284的规定</w:t>
      </w:r>
      <w:r>
        <w:rPr>
          <w:rFonts w:hint="eastAsia" w:ascii="Times New Roman" w:cs="Times New Roman"/>
          <w:color w:val="auto"/>
          <w:kern w:val="2"/>
          <w:sz w:val="21"/>
          <w:szCs w:val="21"/>
          <w:lang w:val="en-US" w:eastAsia="zh-CN" w:bidi="ar-SA"/>
        </w:rPr>
        <w:t>进行</w:t>
      </w:r>
      <w:r>
        <w:rPr>
          <w:rFonts w:hint="default" w:ascii="Times New Roman" w:hAnsi="Times New Roman" w:eastAsia="宋体" w:cs="Times New Roman"/>
          <w:color w:val="auto"/>
          <w:kern w:val="2"/>
          <w:sz w:val="21"/>
          <w:szCs w:val="21"/>
          <w:lang w:val="en-US" w:eastAsia="zh-CN" w:bidi="ar-SA"/>
        </w:rPr>
        <w:t>。</w:t>
      </w:r>
    </w:p>
    <w:p w14:paraId="583EAFAC">
      <w:pPr>
        <w:pStyle w:val="33"/>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5.3  磁性异物</w:t>
      </w:r>
    </w:p>
    <w:p w14:paraId="432CD886">
      <w:pPr>
        <w:pStyle w:val="33"/>
        <w:keepNext w:val="0"/>
        <w:keepLines w:val="0"/>
        <w:pageBreakBefore w:val="0"/>
        <w:widowControl/>
        <w:kinsoku/>
        <w:wordWrap/>
        <w:overflowPunct/>
        <w:topLinePunct w:val="0"/>
        <w:autoSpaceDE w:val="0"/>
        <w:autoSpaceDN w:val="0"/>
        <w:bidi w:val="0"/>
        <w:adjustRightInd/>
        <w:snapToGrid/>
        <w:spacing w:line="240" w:lineRule="auto"/>
        <w:ind w:firstLine="420" w:firstLineChars="200"/>
        <w:textAlignment w:val="auto"/>
        <w:outlineLvl w:val="1"/>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产品的磁性异物</w:t>
      </w:r>
      <w:r>
        <w:rPr>
          <w:rFonts w:hint="eastAsia" w:ascii="Times New Roman" w:cs="Times New Roman"/>
          <w:color w:val="auto"/>
          <w:kern w:val="2"/>
          <w:sz w:val="21"/>
          <w:szCs w:val="21"/>
          <w:lang w:val="en-US" w:eastAsia="zh-CN" w:bidi="ar-SA"/>
        </w:rPr>
        <w:t>的测定</w:t>
      </w:r>
      <w:r>
        <w:rPr>
          <w:rFonts w:hint="default" w:ascii="Times New Roman" w:hAnsi="Times New Roman" w:eastAsia="宋体" w:cs="Times New Roman"/>
          <w:color w:val="auto"/>
          <w:kern w:val="2"/>
          <w:sz w:val="21"/>
          <w:szCs w:val="21"/>
          <w:lang w:val="en-US" w:eastAsia="zh-CN" w:bidi="ar-SA"/>
        </w:rPr>
        <w:t>按照YS/T 1057的规定</w:t>
      </w:r>
      <w:r>
        <w:rPr>
          <w:rFonts w:hint="eastAsia" w:ascii="Times New Roman" w:cs="Times New Roman"/>
          <w:color w:val="auto"/>
          <w:kern w:val="2"/>
          <w:sz w:val="21"/>
          <w:szCs w:val="21"/>
          <w:lang w:val="en-US" w:eastAsia="zh-CN" w:bidi="ar-SA"/>
        </w:rPr>
        <w:t>进行</w:t>
      </w:r>
      <w:r>
        <w:rPr>
          <w:rFonts w:hint="default" w:ascii="Times New Roman" w:hAnsi="Times New Roman" w:eastAsia="宋体" w:cs="Times New Roman"/>
          <w:color w:val="auto"/>
          <w:kern w:val="2"/>
          <w:sz w:val="21"/>
          <w:szCs w:val="21"/>
          <w:lang w:val="en-US" w:eastAsia="zh-CN" w:bidi="ar-SA"/>
        </w:rPr>
        <w:t>。</w:t>
      </w:r>
    </w:p>
    <w:p w14:paraId="1B752910">
      <w:pPr>
        <w:pStyle w:val="33"/>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5.4  松装密度</w:t>
      </w:r>
    </w:p>
    <w:p w14:paraId="1A2703AE">
      <w:pPr>
        <w:pStyle w:val="33"/>
        <w:keepNext w:val="0"/>
        <w:keepLines w:val="0"/>
        <w:pageBreakBefore w:val="0"/>
        <w:widowControl/>
        <w:kinsoku/>
        <w:wordWrap/>
        <w:overflowPunct/>
        <w:topLinePunct w:val="0"/>
        <w:autoSpaceDE w:val="0"/>
        <w:autoSpaceDN w:val="0"/>
        <w:bidi w:val="0"/>
        <w:adjustRightInd/>
        <w:snapToGrid/>
        <w:spacing w:line="240" w:lineRule="auto"/>
        <w:ind w:firstLine="420" w:firstLineChars="200"/>
        <w:textAlignment w:val="auto"/>
        <w:outlineLvl w:val="1"/>
        <w:rPr>
          <w:rFonts w:hint="default" w:ascii="Times New Roman" w:hAnsi="Times New Roman" w:eastAsia="宋体" w:cs="Times New Roman"/>
          <w:color w:val="FF0000"/>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产品的松装密度</w:t>
      </w:r>
      <w:r>
        <w:rPr>
          <w:rFonts w:hint="eastAsia" w:ascii="Times New Roman" w:cs="Times New Roman"/>
          <w:color w:val="auto"/>
          <w:kern w:val="2"/>
          <w:sz w:val="21"/>
          <w:szCs w:val="21"/>
          <w:lang w:val="en-US" w:eastAsia="zh-CN" w:bidi="ar-SA"/>
        </w:rPr>
        <w:t>的测定</w:t>
      </w:r>
      <w:r>
        <w:rPr>
          <w:rFonts w:hint="default" w:ascii="Times New Roman" w:hAnsi="Times New Roman" w:eastAsia="宋体" w:cs="Times New Roman"/>
          <w:color w:val="auto"/>
          <w:kern w:val="2"/>
          <w:sz w:val="21"/>
          <w:szCs w:val="21"/>
          <w:lang w:val="en-US" w:eastAsia="zh-CN" w:bidi="ar-SA"/>
        </w:rPr>
        <w:t>按照GB/T 1479的规定进行。</w:t>
      </w:r>
    </w:p>
    <w:p w14:paraId="683A137F">
      <w:pPr>
        <w:pStyle w:val="33"/>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5.5  比表面积</w:t>
      </w:r>
    </w:p>
    <w:p w14:paraId="322E7679">
      <w:pPr>
        <w:pStyle w:val="33"/>
        <w:keepNext w:val="0"/>
        <w:keepLines w:val="0"/>
        <w:pageBreakBefore w:val="0"/>
        <w:kinsoku/>
        <w:wordWrap/>
        <w:overflowPunct/>
        <w:topLinePunct w:val="0"/>
        <w:bidi w:val="0"/>
        <w:adjustRightInd/>
        <w:spacing w:line="240" w:lineRule="auto"/>
        <w:ind w:firstLine="420" w:firstLineChars="200"/>
        <w:textAlignment w:val="auto"/>
        <w:outlineLvl w:val="1"/>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产品的比表面积</w:t>
      </w:r>
      <w:r>
        <w:rPr>
          <w:rFonts w:hint="eastAsia" w:ascii="Times New Roman" w:cs="Times New Roman"/>
          <w:color w:val="auto"/>
          <w:kern w:val="2"/>
          <w:sz w:val="21"/>
          <w:szCs w:val="21"/>
          <w:lang w:val="en-US" w:eastAsia="zh-CN" w:bidi="ar-SA"/>
        </w:rPr>
        <w:t>的测定</w:t>
      </w:r>
      <w:r>
        <w:rPr>
          <w:rFonts w:hint="default" w:ascii="Times New Roman" w:hAnsi="Times New Roman" w:eastAsia="宋体" w:cs="Times New Roman"/>
          <w:color w:val="auto"/>
          <w:kern w:val="2"/>
          <w:sz w:val="21"/>
          <w:szCs w:val="21"/>
          <w:lang w:val="en-US" w:eastAsia="zh-CN" w:bidi="ar-SA"/>
        </w:rPr>
        <w:t>按照GB/T 19587</w:t>
      </w:r>
      <w:r>
        <w:rPr>
          <w:rFonts w:hint="eastAsia" w:ascii="Times New Roman" w:cs="Times New Roman"/>
          <w:color w:val="auto"/>
          <w:kern w:val="2"/>
          <w:sz w:val="21"/>
          <w:szCs w:val="21"/>
          <w:lang w:val="en-US" w:eastAsia="zh-CN" w:bidi="ar-SA"/>
        </w:rPr>
        <w:t>的</w:t>
      </w:r>
      <w:r>
        <w:rPr>
          <w:rFonts w:hint="default" w:ascii="Times New Roman" w:hAnsi="Times New Roman" w:eastAsia="宋体" w:cs="Times New Roman"/>
          <w:color w:val="auto"/>
          <w:kern w:val="2"/>
          <w:sz w:val="21"/>
          <w:szCs w:val="21"/>
          <w:lang w:val="en-US" w:eastAsia="zh-CN" w:bidi="ar-SA"/>
        </w:rPr>
        <w:t>规定进行。</w:t>
      </w:r>
    </w:p>
    <w:p w14:paraId="4877821D">
      <w:pPr>
        <w:pStyle w:val="33"/>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ind w:firstLine="0" w:firstLineChars="0"/>
        <w:textAlignment w:val="auto"/>
        <w:outlineLvl w:val="1"/>
        <w:rPr>
          <w:rFonts w:hint="default" w:ascii="黑体" w:hAnsi="黑体" w:eastAsia="黑体" w:cs="黑体"/>
          <w:sz w:val="21"/>
          <w:szCs w:val="21"/>
          <w:lang w:val="en-US" w:eastAsia="zh-CN"/>
        </w:rPr>
      </w:pPr>
      <w:r>
        <w:rPr>
          <w:rFonts w:hint="eastAsia" w:ascii="黑体" w:hAnsi="黑体" w:eastAsia="黑体" w:cs="黑体"/>
          <w:sz w:val="21"/>
          <w:szCs w:val="21"/>
          <w:lang w:val="en-US" w:eastAsia="zh-CN"/>
        </w:rPr>
        <w:t>5.6  粒径</w:t>
      </w:r>
    </w:p>
    <w:p w14:paraId="1DCAA9A9">
      <w:pPr>
        <w:pStyle w:val="33"/>
        <w:keepNext w:val="0"/>
        <w:keepLines w:val="0"/>
        <w:pageBreakBefore w:val="0"/>
        <w:widowControl/>
        <w:kinsoku/>
        <w:wordWrap/>
        <w:overflowPunct/>
        <w:topLinePunct w:val="0"/>
        <w:autoSpaceDE w:val="0"/>
        <w:autoSpaceDN w:val="0"/>
        <w:bidi w:val="0"/>
        <w:adjustRightInd/>
        <w:snapToGrid/>
        <w:spacing w:line="240" w:lineRule="auto"/>
        <w:ind w:firstLine="420" w:firstLineChars="200"/>
        <w:textAlignment w:val="auto"/>
        <w:outlineLvl w:val="1"/>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产品的粒</w:t>
      </w:r>
      <w:r>
        <w:rPr>
          <w:rFonts w:hint="eastAsia" w:ascii="Times New Roman" w:hAnsi="Times New Roman" w:eastAsia="宋体" w:cs="Times New Roman"/>
          <w:color w:val="auto"/>
          <w:kern w:val="2"/>
          <w:sz w:val="21"/>
          <w:szCs w:val="21"/>
          <w:lang w:val="en-US" w:eastAsia="zh-CN" w:bidi="ar-SA"/>
        </w:rPr>
        <w:t>径的</w:t>
      </w:r>
      <w:r>
        <w:rPr>
          <w:rFonts w:hint="eastAsia" w:ascii="Times New Roman" w:cs="Times New Roman"/>
          <w:color w:val="auto"/>
          <w:kern w:val="2"/>
          <w:sz w:val="21"/>
          <w:szCs w:val="21"/>
          <w:lang w:val="en-US" w:eastAsia="zh-CN" w:bidi="ar-SA"/>
        </w:rPr>
        <w:t>测定</w:t>
      </w:r>
      <w:r>
        <w:rPr>
          <w:rFonts w:hint="default" w:ascii="Times New Roman" w:hAnsi="Times New Roman" w:eastAsia="宋体" w:cs="Times New Roman"/>
          <w:color w:val="auto"/>
          <w:kern w:val="2"/>
          <w:sz w:val="21"/>
          <w:szCs w:val="21"/>
          <w:lang w:val="en-US" w:eastAsia="zh-CN" w:bidi="ar-SA"/>
        </w:rPr>
        <w:t>按照</w:t>
      </w:r>
      <w:r>
        <w:rPr>
          <w:rFonts w:hint="default" w:ascii="Times New Roman" w:hAnsi="Times New Roman" w:eastAsia="宋体" w:cs="Times New Roman"/>
          <w:color w:val="auto"/>
          <w:szCs w:val="22"/>
        </w:rPr>
        <w:t>GB/T 19077</w:t>
      </w:r>
      <w:r>
        <w:rPr>
          <w:rFonts w:hint="default" w:ascii="Times New Roman" w:hAnsi="Times New Roman" w:eastAsia="宋体" w:cs="Times New Roman"/>
          <w:color w:val="auto"/>
          <w:kern w:val="2"/>
          <w:sz w:val="21"/>
          <w:szCs w:val="21"/>
          <w:lang w:val="en-US" w:eastAsia="zh-CN" w:bidi="ar-SA"/>
        </w:rPr>
        <w:t>的规定进行。</w:t>
      </w:r>
    </w:p>
    <w:p w14:paraId="6077E58C">
      <w:pPr>
        <w:pStyle w:val="33"/>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5.7  外观质量</w:t>
      </w:r>
    </w:p>
    <w:p w14:paraId="4F7D0BFE">
      <w:pPr>
        <w:pStyle w:val="33"/>
        <w:keepNext w:val="0"/>
        <w:keepLines w:val="0"/>
        <w:pageBreakBefore w:val="0"/>
        <w:widowControl/>
        <w:kinsoku/>
        <w:wordWrap/>
        <w:overflowPunct/>
        <w:topLinePunct w:val="0"/>
        <w:autoSpaceDE w:val="0"/>
        <w:autoSpaceDN w:val="0"/>
        <w:bidi w:val="0"/>
        <w:adjustRightInd/>
        <w:snapToGrid/>
        <w:spacing w:line="240" w:lineRule="auto"/>
        <w:ind w:firstLine="420" w:firstLineChars="200"/>
        <w:textAlignment w:val="auto"/>
        <w:outlineLvl w:val="1"/>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产品外观质量由目视法检测。</w:t>
      </w:r>
    </w:p>
    <w:p w14:paraId="3D6D3E9A">
      <w:pPr>
        <w:keepNext w:val="0"/>
        <w:keepLines w:val="0"/>
        <w:pageBreakBefore w:val="0"/>
        <w:kinsoku/>
        <w:wordWrap/>
        <w:overflowPunct/>
        <w:topLinePunct w:val="0"/>
        <w:bidi w:val="0"/>
        <w:adjustRightInd/>
        <w:snapToGrid/>
        <w:spacing w:before="312" w:beforeLines="100" w:after="312" w:afterLines="100" w:line="240" w:lineRule="auto"/>
        <w:textAlignment w:val="auto"/>
        <w:rPr>
          <w:rFonts w:hint="eastAsia" w:ascii="黑体" w:hAnsi="黑体" w:eastAsia="黑体" w:cs="黑体"/>
          <w:bCs/>
          <w:sz w:val="21"/>
          <w:szCs w:val="21"/>
          <w:lang w:val="en-US" w:eastAsia="zh-CN"/>
        </w:rPr>
      </w:pPr>
      <w:r>
        <w:rPr>
          <w:rFonts w:hint="eastAsia" w:ascii="黑体" w:hAnsi="黑体" w:eastAsia="黑体" w:cs="黑体"/>
          <w:bCs/>
          <w:sz w:val="21"/>
          <w:szCs w:val="21"/>
          <w:lang w:val="en-US" w:eastAsia="zh-CN"/>
        </w:rPr>
        <w:t>6  检验规则</w:t>
      </w:r>
    </w:p>
    <w:p w14:paraId="5A7E9413">
      <w:pPr>
        <w:pStyle w:val="33"/>
        <w:keepNext w:val="0"/>
        <w:keepLines w:val="0"/>
        <w:pageBreakBefore w:val="0"/>
        <w:kinsoku/>
        <w:wordWrap/>
        <w:overflowPunct/>
        <w:topLinePunct w:val="0"/>
        <w:bidi w:val="0"/>
        <w:adjustRightInd/>
        <w:snapToGrid/>
        <w:spacing w:before="156" w:beforeLines="50" w:after="156" w:afterLines="50" w:line="240" w:lineRule="auto"/>
        <w:ind w:firstLine="0" w:firstLineChars="0"/>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6.1  检查和验收</w:t>
      </w:r>
    </w:p>
    <w:p w14:paraId="0DFF41E4">
      <w:pPr>
        <w:pStyle w:val="33"/>
        <w:keepNext w:val="0"/>
        <w:keepLines w:val="0"/>
        <w:pageBreakBefore w:val="0"/>
        <w:widowControl/>
        <w:kinsoku/>
        <w:wordWrap/>
        <w:overflowPunct/>
        <w:topLinePunct w:val="0"/>
        <w:autoSpaceDE w:val="0"/>
        <w:autoSpaceDN w:val="0"/>
        <w:bidi w:val="0"/>
        <w:adjustRightInd/>
        <w:snapToGrid/>
        <w:spacing w:line="240" w:lineRule="auto"/>
        <w:ind w:firstLine="0" w:firstLineChars="0"/>
        <w:textAlignment w:val="auto"/>
        <w:rPr>
          <w:rFonts w:hint="eastAsia" w:ascii="宋体" w:hAnsi="宋体" w:eastAsia="宋体" w:cs="宋体"/>
          <w:sz w:val="21"/>
          <w:szCs w:val="21"/>
        </w:rPr>
      </w:pPr>
      <w:r>
        <w:rPr>
          <w:rFonts w:hint="eastAsia" w:ascii="黑体" w:hAnsi="黑体" w:eastAsia="黑体" w:cs="黑体"/>
          <w:sz w:val="21"/>
          <w:szCs w:val="21"/>
          <w:lang w:val="en-US" w:eastAsia="zh-CN"/>
        </w:rPr>
        <w:t>6</w:t>
      </w:r>
      <w:r>
        <w:rPr>
          <w:rFonts w:hint="eastAsia" w:ascii="黑体" w:hAnsi="黑体" w:eastAsia="黑体" w:cs="黑体"/>
          <w:sz w:val="21"/>
          <w:szCs w:val="21"/>
        </w:rPr>
        <w:t xml:space="preserve">.1.1 </w:t>
      </w:r>
      <w:r>
        <w:rPr>
          <w:rFonts w:hint="eastAsia" w:ascii="宋体" w:hAnsi="宋体" w:eastAsia="宋体" w:cs="宋体"/>
          <w:sz w:val="21"/>
          <w:szCs w:val="21"/>
          <w:lang w:val="en-US" w:eastAsia="zh-CN"/>
        </w:rPr>
        <w:t xml:space="preserve"> </w:t>
      </w:r>
      <w:r>
        <w:rPr>
          <w:rFonts w:ascii="Times New Roman"/>
        </w:rPr>
        <w:t>产品由供方</w:t>
      </w:r>
      <w:r>
        <w:rPr>
          <w:rFonts w:hint="eastAsia" w:ascii="Times New Roman"/>
          <w:lang w:val="en-US" w:eastAsia="zh-CN"/>
        </w:rPr>
        <w:t>或第三方</w:t>
      </w:r>
      <w:r>
        <w:rPr>
          <w:rFonts w:ascii="Times New Roman"/>
        </w:rPr>
        <w:t>进行检验，保证产品质量符合本</w:t>
      </w:r>
      <w:r>
        <w:rPr>
          <w:rFonts w:hint="eastAsia" w:ascii="Times New Roman"/>
        </w:rPr>
        <w:t>文件及订货单</w:t>
      </w:r>
      <w:r>
        <w:rPr>
          <w:rFonts w:ascii="Times New Roman"/>
        </w:rPr>
        <w:t>的规定。</w:t>
      </w:r>
    </w:p>
    <w:p w14:paraId="4940CB9F">
      <w:pPr>
        <w:pStyle w:val="33"/>
        <w:keepNext w:val="0"/>
        <w:keepLines w:val="0"/>
        <w:pageBreakBefore w:val="0"/>
        <w:widowControl/>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eastAsia="宋体" w:cs="Times New Roman"/>
          <w:sz w:val="21"/>
          <w:szCs w:val="21"/>
        </w:rPr>
      </w:pPr>
      <w:r>
        <w:rPr>
          <w:rFonts w:hint="eastAsia" w:ascii="黑体" w:hAnsi="黑体" w:eastAsia="黑体" w:cs="黑体"/>
          <w:sz w:val="21"/>
          <w:szCs w:val="21"/>
          <w:lang w:val="en-US" w:eastAsia="zh-CN"/>
        </w:rPr>
        <w:t xml:space="preserve">6.1.2  </w:t>
      </w:r>
      <w:r>
        <w:rPr>
          <w:rFonts w:hint="default" w:ascii="Times New Roman" w:hAnsi="Times New Roman" w:eastAsia="宋体" w:cs="Times New Roman"/>
        </w:rPr>
        <w:t>需方可对收到的产品按本文件的规定进行检验，如检验结果与本文件及订货单的规定不符时，应在收到产品之日起30 d内</w:t>
      </w:r>
      <w:r>
        <w:rPr>
          <w:rFonts w:hint="default" w:ascii="Times New Roman" w:hAnsi="Times New Roman" w:eastAsia="宋体" w:cs="Times New Roman"/>
          <w:lang w:eastAsia="zh-CN"/>
        </w:rPr>
        <w:t>，</w:t>
      </w:r>
      <w:r>
        <w:rPr>
          <w:rFonts w:hint="default" w:ascii="Times New Roman" w:hAnsi="Times New Roman" w:eastAsia="宋体" w:cs="Times New Roman"/>
        </w:rPr>
        <w:t>以书面形式向供方提出，由供需双方协商解决。如需仲裁，应由供需双方在需方共同取样或协商解决。</w:t>
      </w:r>
    </w:p>
    <w:p w14:paraId="2DC50EB5">
      <w:pPr>
        <w:pStyle w:val="33"/>
        <w:keepNext w:val="0"/>
        <w:keepLines w:val="0"/>
        <w:pageBreakBefore w:val="0"/>
        <w:kinsoku/>
        <w:wordWrap/>
        <w:overflowPunct/>
        <w:topLinePunct w:val="0"/>
        <w:bidi w:val="0"/>
        <w:adjustRightInd/>
        <w:snapToGrid/>
        <w:spacing w:before="156" w:beforeLines="50" w:after="156" w:afterLines="50" w:line="240" w:lineRule="auto"/>
        <w:ind w:firstLine="0" w:firstLineChars="0"/>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6.2  组批</w:t>
      </w:r>
    </w:p>
    <w:p w14:paraId="731C9A7E">
      <w:pPr>
        <w:pStyle w:val="33"/>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420" w:firstLineChars="200"/>
        <w:jc w:val="left"/>
        <w:textAlignment w:val="auto"/>
        <w:outlineLvl w:val="2"/>
        <w:rPr>
          <w:rFonts w:hint="eastAsia" w:ascii="宋体" w:hAnsi="宋体" w:eastAsia="宋体" w:cs="宋体"/>
          <w:kern w:val="0"/>
          <w:sz w:val="21"/>
          <w:szCs w:val="21"/>
          <w:lang w:val="en-US" w:eastAsia="zh-CN" w:bidi="ar-SA"/>
        </w:rPr>
      </w:pPr>
      <w:r>
        <w:rPr>
          <w:rFonts w:ascii="Times New Roman"/>
        </w:rPr>
        <w:t>产品应成批提交验收，</w:t>
      </w:r>
      <w:r>
        <w:rPr>
          <w:rFonts w:hint="eastAsia" w:ascii="Times New Roman"/>
          <w:lang w:val="en-US" w:eastAsia="zh-CN"/>
        </w:rPr>
        <w:t>每批应由</w:t>
      </w:r>
      <w:r>
        <w:rPr>
          <w:rFonts w:hint="default" w:ascii="Times New Roman" w:hAnsi="Times New Roman" w:eastAsia="宋体" w:cs="Times New Roman"/>
          <w:kern w:val="0"/>
          <w:sz w:val="21"/>
          <w:szCs w:val="21"/>
          <w:lang w:val="en-US" w:eastAsia="zh-CN" w:bidi="ar-SA"/>
        </w:rPr>
        <w:t>相同的生产条件</w:t>
      </w:r>
      <w:r>
        <w:rPr>
          <w:rFonts w:hint="eastAsia" w:ascii="Times New Roman" w:hAnsi="Times New Roman" w:eastAsia="宋体" w:cs="Times New Roman"/>
          <w:kern w:val="0"/>
          <w:sz w:val="21"/>
          <w:szCs w:val="21"/>
          <w:lang w:val="en-US" w:eastAsia="zh-CN" w:bidi="ar-SA"/>
        </w:rPr>
        <w:t>、</w:t>
      </w:r>
      <w:r>
        <w:rPr>
          <w:rFonts w:hint="eastAsia" w:ascii="Times New Roman" w:hAnsi="Times New Roman" w:cs="Times New Roman"/>
          <w:color w:val="auto"/>
          <w:szCs w:val="21"/>
          <w:lang w:val="en-US" w:eastAsia="en-US"/>
        </w:rPr>
        <w:t>同一生产周期生产</w:t>
      </w:r>
      <w:r>
        <w:rPr>
          <w:rFonts w:hint="default" w:ascii="Times New Roman" w:hAnsi="Times New Roman" w:eastAsia="宋体" w:cs="Times New Roman"/>
          <w:kern w:val="0"/>
          <w:sz w:val="21"/>
          <w:szCs w:val="21"/>
          <w:lang w:val="en-US" w:eastAsia="zh-CN" w:bidi="ar-SA"/>
        </w:rPr>
        <w:t>的</w:t>
      </w:r>
      <w:r>
        <w:rPr>
          <w:rFonts w:hint="eastAsia" w:ascii="Times New Roman" w:hAnsi="Times New Roman" w:eastAsia="宋体" w:cs="Times New Roman"/>
          <w:kern w:val="0"/>
          <w:sz w:val="21"/>
          <w:szCs w:val="21"/>
          <w:lang w:val="en-US" w:eastAsia="zh-CN" w:bidi="ar-SA"/>
        </w:rPr>
        <w:t>产品组成，</w:t>
      </w:r>
      <w:r>
        <w:rPr>
          <w:rFonts w:hint="default" w:ascii="Times New Roman" w:hAnsi="Times New Roman" w:eastAsia="宋体" w:cs="Times New Roman"/>
          <w:kern w:val="0"/>
          <w:sz w:val="21"/>
          <w:szCs w:val="21"/>
          <w:lang w:val="en-US" w:eastAsia="zh-CN" w:bidi="ar-SA"/>
        </w:rPr>
        <w:t>每批产品不超过</w:t>
      </w:r>
      <w:r>
        <w:rPr>
          <w:rFonts w:hint="default" w:ascii="Times New Roman" w:hAnsi="Times New Roman" w:eastAsia="宋体" w:cs="Times New Roman"/>
          <w:color w:val="auto"/>
          <w:kern w:val="0"/>
          <w:sz w:val="21"/>
          <w:szCs w:val="21"/>
          <w:lang w:val="en-US" w:eastAsia="zh-CN" w:bidi="ar-SA"/>
        </w:rPr>
        <w:t>50</w:t>
      </w:r>
      <w:r>
        <w:rPr>
          <w:rFonts w:hint="eastAsia" w:ascii="Times New Roman" w:hAnsi="Times New Roman" w:eastAsia="宋体" w:cs="Times New Roman"/>
          <w:color w:val="auto"/>
          <w:kern w:val="0"/>
          <w:sz w:val="21"/>
          <w:szCs w:val="21"/>
          <w:lang w:val="en-US" w:eastAsia="zh-CN" w:bidi="ar-SA"/>
        </w:rPr>
        <w:t xml:space="preserve"> </w:t>
      </w:r>
      <w:r>
        <w:rPr>
          <w:rFonts w:hint="default" w:ascii="Times New Roman" w:hAnsi="Times New Roman" w:eastAsia="宋体" w:cs="Times New Roman"/>
          <w:color w:val="auto"/>
          <w:kern w:val="0"/>
          <w:sz w:val="21"/>
          <w:szCs w:val="21"/>
          <w:lang w:val="en-US" w:eastAsia="zh-CN" w:bidi="ar-SA"/>
        </w:rPr>
        <w:t>t。</w:t>
      </w:r>
      <w:r>
        <w:rPr>
          <w:rFonts w:hint="default" w:ascii="Times New Roman" w:hAnsi="Times New Roman" w:eastAsia="宋体" w:cs="Times New Roman"/>
        </w:rPr>
        <w:t>若需方有特殊要求时，由供需双方协商确定。</w:t>
      </w:r>
    </w:p>
    <w:p w14:paraId="27BE600B">
      <w:pPr>
        <w:pStyle w:val="33"/>
        <w:keepNext w:val="0"/>
        <w:keepLines w:val="0"/>
        <w:pageBreakBefore w:val="0"/>
        <w:kinsoku/>
        <w:wordWrap/>
        <w:overflowPunct/>
        <w:topLinePunct w:val="0"/>
        <w:bidi w:val="0"/>
        <w:adjustRightInd/>
        <w:snapToGrid/>
        <w:spacing w:before="156" w:beforeLines="50" w:after="156" w:afterLines="50" w:line="240" w:lineRule="auto"/>
        <w:ind w:firstLine="0" w:firstLineChars="0"/>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6.3  检测项目和取样</w:t>
      </w:r>
    </w:p>
    <w:p w14:paraId="2F27F6CE">
      <w:pPr>
        <w:pStyle w:val="33"/>
        <w:keepNext w:val="0"/>
        <w:keepLines w:val="0"/>
        <w:pageBreakBefore w:val="0"/>
        <w:kinsoku/>
        <w:wordWrap/>
        <w:overflowPunct/>
        <w:topLinePunct w:val="0"/>
        <w:bidi w:val="0"/>
        <w:adjustRightInd/>
        <w:snapToGrid/>
        <w:spacing w:line="240" w:lineRule="auto"/>
        <w:ind w:firstLine="420"/>
        <w:textAlignment w:val="auto"/>
        <w:rPr>
          <w:rFonts w:hint="eastAsia" w:ascii="黑体" w:hAnsi="黑体" w:eastAsia="黑体" w:cs="黑体"/>
          <w:sz w:val="21"/>
          <w:szCs w:val="21"/>
          <w:lang w:val="en-US"/>
        </w:rPr>
      </w:pPr>
      <w:r>
        <w:rPr>
          <w:rFonts w:hint="eastAsia" w:ascii="宋体" w:hAnsi="宋体" w:eastAsia="宋体" w:cs="宋体"/>
          <w:sz w:val="21"/>
          <w:szCs w:val="21"/>
          <w:lang w:val="en-US" w:eastAsia="zh-CN"/>
        </w:rPr>
        <w:t>每批产品出厂前应进行检验，产品的</w:t>
      </w:r>
      <w:r>
        <w:rPr>
          <w:rFonts w:hint="eastAsia" w:hAnsi="宋体" w:cs="宋体"/>
          <w:sz w:val="21"/>
          <w:szCs w:val="21"/>
          <w:lang w:val="en-US" w:eastAsia="zh-CN"/>
        </w:rPr>
        <w:t>检验项目、取样规定、技术要求及试验</w:t>
      </w:r>
      <w:r>
        <w:rPr>
          <w:rFonts w:hint="eastAsia" w:ascii="宋体" w:hAnsi="宋体" w:eastAsia="宋体" w:cs="宋体"/>
          <w:sz w:val="21"/>
          <w:szCs w:val="21"/>
          <w:lang w:val="en-US" w:eastAsia="zh-CN"/>
        </w:rPr>
        <w:t>方法应符</w:t>
      </w:r>
      <w:r>
        <w:rPr>
          <w:rFonts w:hint="default" w:ascii="Times New Roman" w:hAnsi="Times New Roman" w:eastAsia="宋体" w:cs="Times New Roman"/>
          <w:sz w:val="21"/>
          <w:szCs w:val="21"/>
          <w:lang w:val="en-US" w:eastAsia="zh-CN"/>
        </w:rPr>
        <w:t>合表2的规定。</w:t>
      </w:r>
    </w:p>
    <w:p w14:paraId="49A2084E">
      <w:pPr>
        <w:pStyle w:val="33"/>
        <w:keepNext w:val="0"/>
        <w:keepLines w:val="0"/>
        <w:pageBreakBefore w:val="0"/>
        <w:kinsoku/>
        <w:wordWrap/>
        <w:overflowPunct/>
        <w:topLinePunct w:val="0"/>
        <w:bidi w:val="0"/>
        <w:adjustRightInd/>
        <w:spacing w:before="156" w:beforeLines="50" w:after="156" w:afterLines="50" w:line="240" w:lineRule="auto"/>
        <w:ind w:firstLine="0" w:firstLineChars="0"/>
        <w:jc w:val="center"/>
        <w:rPr>
          <w:rFonts w:hint="eastAsia" w:ascii="黑体" w:hAnsi="黑体" w:eastAsia="黑体" w:cs="黑体"/>
          <w:sz w:val="21"/>
          <w:szCs w:val="21"/>
          <w:lang w:val="en-US"/>
        </w:rPr>
      </w:pPr>
      <w:r>
        <w:rPr>
          <w:rFonts w:hint="eastAsia" w:ascii="黑体" w:hAnsi="黑体" w:eastAsia="黑体" w:cs="黑体"/>
          <w:sz w:val="21"/>
          <w:szCs w:val="21"/>
          <w:lang w:val="en-US"/>
        </w:rPr>
        <w:t>表2 检验项目</w:t>
      </w:r>
    </w:p>
    <w:tbl>
      <w:tblPr>
        <w:tblStyle w:val="16"/>
        <w:tblW w:w="9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4"/>
        <w:gridCol w:w="3827"/>
        <w:gridCol w:w="1914"/>
        <w:gridCol w:w="1916"/>
      </w:tblGrid>
      <w:tr w14:paraId="5E0CC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1914" w:type="dxa"/>
            <w:vAlign w:val="center"/>
          </w:tcPr>
          <w:p w14:paraId="610F5935">
            <w:pPr>
              <w:pStyle w:val="33"/>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rPr>
            </w:pPr>
            <w:r>
              <w:rPr>
                <w:rFonts w:hint="default" w:ascii="Times New Roman" w:hAnsi="Times New Roman" w:eastAsia="宋体" w:cs="Times New Roman"/>
                <w:bCs/>
                <w:sz w:val="18"/>
                <w:szCs w:val="18"/>
              </w:rPr>
              <w:t>检验项目</w:t>
            </w:r>
          </w:p>
        </w:tc>
        <w:tc>
          <w:tcPr>
            <w:tcW w:w="3827" w:type="dxa"/>
            <w:vAlign w:val="center"/>
          </w:tcPr>
          <w:p w14:paraId="4108CE2B">
            <w:pPr>
              <w:pStyle w:val="33"/>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rPr>
            </w:pPr>
            <w:r>
              <w:rPr>
                <w:rFonts w:hint="eastAsia" w:ascii="Times New Roman" w:cs="Times New Roman"/>
                <w:bCs/>
                <w:sz w:val="18"/>
                <w:szCs w:val="18"/>
                <w:lang w:val="en-US" w:eastAsia="zh-CN"/>
              </w:rPr>
              <w:t>取样规定</w:t>
            </w:r>
          </w:p>
        </w:tc>
        <w:tc>
          <w:tcPr>
            <w:tcW w:w="1914" w:type="dxa"/>
            <w:vAlign w:val="center"/>
          </w:tcPr>
          <w:p w14:paraId="5FAA8833">
            <w:pPr>
              <w:pStyle w:val="33"/>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rPr>
            </w:pPr>
            <w:r>
              <w:rPr>
                <w:rFonts w:hint="default" w:ascii="Times New Roman" w:hAnsi="Times New Roman" w:eastAsia="宋体" w:cs="Times New Roman"/>
                <w:bCs/>
                <w:sz w:val="18"/>
                <w:szCs w:val="18"/>
              </w:rPr>
              <w:t>要求章节号</w:t>
            </w:r>
          </w:p>
        </w:tc>
        <w:tc>
          <w:tcPr>
            <w:tcW w:w="1916" w:type="dxa"/>
            <w:vAlign w:val="center"/>
          </w:tcPr>
          <w:p w14:paraId="771AFE06">
            <w:pPr>
              <w:pStyle w:val="33"/>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rPr>
            </w:pPr>
            <w:r>
              <w:rPr>
                <w:rFonts w:hint="default" w:ascii="Times New Roman" w:hAnsi="Times New Roman" w:eastAsia="宋体" w:cs="Times New Roman"/>
                <w:bCs/>
                <w:sz w:val="18"/>
                <w:szCs w:val="18"/>
              </w:rPr>
              <w:t>试验方法章节号</w:t>
            </w:r>
          </w:p>
        </w:tc>
      </w:tr>
      <w:tr w14:paraId="2D863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914" w:type="dxa"/>
            <w:vAlign w:val="center"/>
          </w:tcPr>
          <w:p w14:paraId="3E47D8E6">
            <w:pPr>
              <w:pStyle w:val="33"/>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rPr>
            </w:pPr>
            <w:r>
              <w:rPr>
                <w:rFonts w:hint="default" w:ascii="Times New Roman" w:hAnsi="Times New Roman" w:eastAsia="宋体" w:cs="Times New Roman"/>
                <w:bCs/>
                <w:sz w:val="18"/>
                <w:szCs w:val="18"/>
              </w:rPr>
              <w:t>化学成分</w:t>
            </w:r>
          </w:p>
        </w:tc>
        <w:tc>
          <w:tcPr>
            <w:tcW w:w="3827" w:type="dxa"/>
            <w:vMerge w:val="restart"/>
            <w:vAlign w:val="center"/>
          </w:tcPr>
          <w:p w14:paraId="3D38DE8A">
            <w:pPr>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color w:val="FF0000"/>
                <w:sz w:val="18"/>
                <w:szCs w:val="18"/>
                <w:highlight w:val="green"/>
                <w:lang w:val="en-US" w:eastAsia="zh-CN"/>
              </w:rPr>
            </w:pPr>
            <w:r>
              <w:rPr>
                <w:rFonts w:hint="default" w:ascii="Times New Roman" w:hAnsi="Times New Roman" w:eastAsia="宋体" w:cs="Times New Roman"/>
                <w:bCs/>
                <w:kern w:val="0"/>
                <w:sz w:val="18"/>
                <w:szCs w:val="18"/>
                <w:lang w:val="en-US" w:eastAsia="zh-CN" w:bidi="ar-SA"/>
              </w:rPr>
              <w:t>按照GB/T 5314的规定取样</w:t>
            </w:r>
            <w:r>
              <w:rPr>
                <w:rFonts w:hint="eastAsia" w:cs="Times New Roman"/>
                <w:bCs/>
                <w:kern w:val="0"/>
                <w:sz w:val="18"/>
                <w:szCs w:val="18"/>
                <w:lang w:val="en-US" w:eastAsia="zh-CN" w:bidi="ar-SA"/>
              </w:rPr>
              <w:t>，</w:t>
            </w:r>
            <w:r>
              <w:rPr>
                <w:rFonts w:hint="default" w:ascii="Times New Roman" w:hAnsi="Times New Roman" w:eastAsia="宋体" w:cs="Times New Roman"/>
                <w:bCs/>
                <w:kern w:val="0"/>
                <w:sz w:val="18"/>
                <w:szCs w:val="18"/>
                <w:lang w:val="en-US" w:eastAsia="zh-CN" w:bidi="ar-SA"/>
              </w:rPr>
              <w:t>每批取样不少于</w:t>
            </w:r>
            <w:r>
              <w:rPr>
                <w:rFonts w:hint="eastAsia" w:cs="Times New Roman"/>
                <w:bCs/>
                <w:kern w:val="0"/>
                <w:sz w:val="18"/>
                <w:szCs w:val="18"/>
                <w:lang w:val="en-US" w:eastAsia="zh-CN" w:bidi="ar-SA"/>
              </w:rPr>
              <w:t>1</w:t>
            </w:r>
            <w:r>
              <w:rPr>
                <w:rFonts w:hint="default" w:ascii="Times New Roman" w:hAnsi="Times New Roman" w:eastAsia="宋体" w:cs="Times New Roman"/>
                <w:bCs/>
                <w:kern w:val="0"/>
                <w:sz w:val="18"/>
                <w:szCs w:val="18"/>
                <w:lang w:val="en-US" w:eastAsia="zh-CN" w:bidi="ar-SA"/>
              </w:rPr>
              <w:t>kg</w:t>
            </w:r>
            <w:r>
              <w:rPr>
                <w:rFonts w:hint="eastAsia" w:ascii="Times New Roman" w:hAnsi="Times New Roman" w:eastAsia="宋体" w:cs="Times New Roman"/>
                <w:bCs/>
                <w:kern w:val="0"/>
                <w:sz w:val="18"/>
                <w:szCs w:val="18"/>
                <w:lang w:val="en-US" w:eastAsia="zh-CN" w:bidi="ar-SA"/>
              </w:rPr>
              <w:t>。</w:t>
            </w:r>
          </w:p>
        </w:tc>
        <w:tc>
          <w:tcPr>
            <w:tcW w:w="1914" w:type="dxa"/>
            <w:vAlign w:val="center"/>
          </w:tcPr>
          <w:p w14:paraId="02E09B70">
            <w:pPr>
              <w:pStyle w:val="33"/>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rPr>
            </w:pPr>
            <w:r>
              <w:rPr>
                <w:rFonts w:hint="eastAsia" w:ascii="Times New Roman" w:cs="Times New Roman"/>
                <w:bCs/>
                <w:sz w:val="18"/>
                <w:szCs w:val="18"/>
                <w:lang w:val="en-US" w:eastAsia="zh-CN"/>
              </w:rPr>
              <w:t>4</w:t>
            </w:r>
            <w:r>
              <w:rPr>
                <w:rFonts w:hint="default" w:ascii="Times New Roman" w:hAnsi="Times New Roman" w:eastAsia="宋体" w:cs="Times New Roman"/>
                <w:bCs/>
                <w:sz w:val="18"/>
                <w:szCs w:val="18"/>
                <w:lang w:val="en-US" w:eastAsia="zh-CN"/>
              </w:rPr>
              <w:t>.1</w:t>
            </w:r>
          </w:p>
        </w:tc>
        <w:tc>
          <w:tcPr>
            <w:tcW w:w="1916" w:type="dxa"/>
            <w:vAlign w:val="center"/>
          </w:tcPr>
          <w:p w14:paraId="7E38A93F">
            <w:pPr>
              <w:pStyle w:val="33"/>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rPr>
            </w:pPr>
            <w:r>
              <w:rPr>
                <w:rFonts w:hint="eastAsia" w:ascii="Times New Roman" w:cs="Times New Roman"/>
                <w:bCs/>
                <w:sz w:val="18"/>
                <w:szCs w:val="18"/>
                <w:lang w:val="en-US" w:eastAsia="zh-CN"/>
              </w:rPr>
              <w:t>5</w:t>
            </w:r>
            <w:r>
              <w:rPr>
                <w:rFonts w:hint="default" w:ascii="Times New Roman" w:hAnsi="Times New Roman" w:eastAsia="宋体" w:cs="Times New Roman"/>
                <w:bCs/>
                <w:sz w:val="18"/>
                <w:szCs w:val="18"/>
                <w:lang w:val="en-US" w:eastAsia="zh-CN"/>
              </w:rPr>
              <w:t>.1</w:t>
            </w:r>
          </w:p>
        </w:tc>
      </w:tr>
      <w:tr w14:paraId="2BF4E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1914" w:type="dxa"/>
            <w:vAlign w:val="center"/>
          </w:tcPr>
          <w:p w14:paraId="22D9821A">
            <w:pPr>
              <w:pStyle w:val="33"/>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rPr>
            </w:pPr>
            <w:r>
              <w:rPr>
                <w:rFonts w:hint="default" w:ascii="Times New Roman" w:hAnsi="Times New Roman" w:eastAsia="宋体" w:cs="Times New Roman"/>
                <w:bCs/>
                <w:sz w:val="18"/>
                <w:szCs w:val="18"/>
              </w:rPr>
              <w:t>水分</w:t>
            </w:r>
          </w:p>
        </w:tc>
        <w:tc>
          <w:tcPr>
            <w:tcW w:w="3827" w:type="dxa"/>
            <w:vMerge w:val="continue"/>
            <w:vAlign w:val="center"/>
          </w:tcPr>
          <w:p w14:paraId="325CF40C">
            <w:pPr>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color w:val="FF0000"/>
                <w:sz w:val="18"/>
                <w:szCs w:val="18"/>
                <w:highlight w:val="green"/>
              </w:rPr>
            </w:pPr>
          </w:p>
        </w:tc>
        <w:tc>
          <w:tcPr>
            <w:tcW w:w="1914" w:type="dxa"/>
            <w:vAlign w:val="center"/>
          </w:tcPr>
          <w:p w14:paraId="5F81A8BD">
            <w:pPr>
              <w:pStyle w:val="33"/>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rPr>
            </w:pPr>
            <w:r>
              <w:rPr>
                <w:rFonts w:hint="eastAsia" w:ascii="Times New Roman" w:cs="Times New Roman"/>
                <w:bCs/>
                <w:sz w:val="18"/>
                <w:szCs w:val="18"/>
                <w:lang w:val="en-US" w:eastAsia="zh-CN"/>
              </w:rPr>
              <w:t>4</w:t>
            </w:r>
            <w:r>
              <w:rPr>
                <w:rFonts w:hint="default" w:ascii="Times New Roman" w:hAnsi="Times New Roman" w:eastAsia="宋体" w:cs="Times New Roman"/>
                <w:bCs/>
                <w:sz w:val="18"/>
                <w:szCs w:val="18"/>
                <w:lang w:val="en-US" w:eastAsia="zh-CN"/>
              </w:rPr>
              <w:t>.2</w:t>
            </w:r>
          </w:p>
        </w:tc>
        <w:tc>
          <w:tcPr>
            <w:tcW w:w="1916" w:type="dxa"/>
            <w:vAlign w:val="center"/>
          </w:tcPr>
          <w:p w14:paraId="34B09A10">
            <w:pPr>
              <w:pStyle w:val="33"/>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rPr>
            </w:pPr>
            <w:r>
              <w:rPr>
                <w:rFonts w:hint="eastAsia" w:ascii="Times New Roman" w:cs="Times New Roman"/>
                <w:bCs/>
                <w:sz w:val="18"/>
                <w:szCs w:val="18"/>
                <w:lang w:val="en-US" w:eastAsia="zh-CN"/>
              </w:rPr>
              <w:t>5</w:t>
            </w:r>
            <w:r>
              <w:rPr>
                <w:rFonts w:hint="default" w:ascii="Times New Roman" w:hAnsi="Times New Roman" w:eastAsia="宋体" w:cs="Times New Roman"/>
                <w:bCs/>
                <w:sz w:val="18"/>
                <w:szCs w:val="18"/>
                <w:lang w:val="en-US" w:eastAsia="zh-CN"/>
              </w:rPr>
              <w:t>.2</w:t>
            </w:r>
          </w:p>
        </w:tc>
      </w:tr>
      <w:tr w14:paraId="0960D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914" w:type="dxa"/>
            <w:vAlign w:val="center"/>
          </w:tcPr>
          <w:p w14:paraId="7B43FF73">
            <w:pPr>
              <w:pStyle w:val="33"/>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eastAsia="zh-CN"/>
              </w:rPr>
            </w:pPr>
            <w:r>
              <w:rPr>
                <w:rFonts w:hint="default" w:ascii="Times New Roman" w:hAnsi="Times New Roman" w:eastAsia="宋体" w:cs="Times New Roman"/>
                <w:bCs/>
                <w:sz w:val="18"/>
                <w:szCs w:val="18"/>
                <w:lang w:val="en-US" w:eastAsia="zh-CN"/>
              </w:rPr>
              <w:t>磁性异物</w:t>
            </w:r>
          </w:p>
        </w:tc>
        <w:tc>
          <w:tcPr>
            <w:tcW w:w="3827" w:type="dxa"/>
            <w:vMerge w:val="continue"/>
            <w:vAlign w:val="center"/>
          </w:tcPr>
          <w:p w14:paraId="300743BA">
            <w:pPr>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color w:val="FF0000"/>
                <w:sz w:val="18"/>
                <w:szCs w:val="18"/>
                <w:highlight w:val="green"/>
              </w:rPr>
            </w:pPr>
          </w:p>
        </w:tc>
        <w:tc>
          <w:tcPr>
            <w:tcW w:w="1914" w:type="dxa"/>
            <w:vAlign w:val="center"/>
          </w:tcPr>
          <w:p w14:paraId="74415570">
            <w:pPr>
              <w:pStyle w:val="33"/>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rPr>
            </w:pPr>
            <w:r>
              <w:rPr>
                <w:rFonts w:hint="eastAsia" w:ascii="Times New Roman" w:cs="Times New Roman"/>
                <w:bCs/>
                <w:sz w:val="18"/>
                <w:szCs w:val="18"/>
                <w:lang w:val="en-US" w:eastAsia="zh-CN"/>
              </w:rPr>
              <w:t>4</w:t>
            </w:r>
            <w:r>
              <w:rPr>
                <w:rFonts w:hint="default" w:ascii="Times New Roman" w:hAnsi="Times New Roman" w:eastAsia="宋体" w:cs="Times New Roman"/>
                <w:bCs/>
                <w:sz w:val="18"/>
                <w:szCs w:val="18"/>
                <w:lang w:val="en-US" w:eastAsia="zh-CN"/>
              </w:rPr>
              <w:t>.3</w:t>
            </w:r>
          </w:p>
        </w:tc>
        <w:tc>
          <w:tcPr>
            <w:tcW w:w="1916" w:type="dxa"/>
            <w:vAlign w:val="center"/>
          </w:tcPr>
          <w:p w14:paraId="5B1A0E19">
            <w:pPr>
              <w:pStyle w:val="33"/>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rPr>
            </w:pPr>
            <w:r>
              <w:rPr>
                <w:rFonts w:hint="eastAsia" w:ascii="Times New Roman" w:cs="Times New Roman"/>
                <w:bCs/>
                <w:sz w:val="18"/>
                <w:szCs w:val="18"/>
                <w:lang w:val="en-US" w:eastAsia="zh-CN"/>
              </w:rPr>
              <w:t>5</w:t>
            </w:r>
            <w:r>
              <w:rPr>
                <w:rFonts w:hint="default" w:ascii="Times New Roman" w:hAnsi="Times New Roman" w:eastAsia="宋体" w:cs="Times New Roman"/>
                <w:bCs/>
                <w:sz w:val="18"/>
                <w:szCs w:val="18"/>
                <w:lang w:val="en-US" w:eastAsia="zh-CN"/>
              </w:rPr>
              <w:t>.3</w:t>
            </w:r>
          </w:p>
        </w:tc>
      </w:tr>
      <w:tr w14:paraId="6E903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914" w:type="dxa"/>
            <w:vAlign w:val="center"/>
          </w:tcPr>
          <w:p w14:paraId="41CAF4B4">
            <w:pPr>
              <w:pStyle w:val="33"/>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rPr>
            </w:pPr>
            <w:r>
              <w:rPr>
                <w:rFonts w:hint="default" w:ascii="Times New Roman" w:hAnsi="Times New Roman" w:eastAsia="宋体" w:cs="Times New Roman"/>
                <w:bCs/>
                <w:sz w:val="18"/>
                <w:szCs w:val="18"/>
                <w:lang w:val="en-US" w:eastAsia="zh-CN"/>
              </w:rPr>
              <w:t>松装密度</w:t>
            </w:r>
          </w:p>
        </w:tc>
        <w:tc>
          <w:tcPr>
            <w:tcW w:w="3827" w:type="dxa"/>
            <w:vMerge w:val="continue"/>
            <w:vAlign w:val="center"/>
          </w:tcPr>
          <w:p w14:paraId="73F9043E">
            <w:pPr>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color w:val="FF0000"/>
                <w:sz w:val="18"/>
                <w:szCs w:val="18"/>
                <w:highlight w:val="green"/>
              </w:rPr>
            </w:pPr>
          </w:p>
        </w:tc>
        <w:tc>
          <w:tcPr>
            <w:tcW w:w="1914" w:type="dxa"/>
            <w:vAlign w:val="center"/>
          </w:tcPr>
          <w:p w14:paraId="01A82B4F">
            <w:pPr>
              <w:pStyle w:val="33"/>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rPr>
            </w:pPr>
            <w:r>
              <w:rPr>
                <w:rFonts w:hint="eastAsia" w:ascii="Times New Roman" w:cs="Times New Roman"/>
                <w:bCs/>
                <w:sz w:val="18"/>
                <w:szCs w:val="18"/>
                <w:lang w:val="en-US" w:eastAsia="zh-CN"/>
              </w:rPr>
              <w:t>4</w:t>
            </w:r>
            <w:r>
              <w:rPr>
                <w:rFonts w:hint="default" w:ascii="Times New Roman" w:hAnsi="Times New Roman" w:eastAsia="宋体" w:cs="Times New Roman"/>
                <w:bCs/>
                <w:sz w:val="18"/>
                <w:szCs w:val="18"/>
                <w:lang w:val="en-US" w:eastAsia="zh-CN"/>
              </w:rPr>
              <w:t>.4</w:t>
            </w:r>
          </w:p>
        </w:tc>
        <w:tc>
          <w:tcPr>
            <w:tcW w:w="1916" w:type="dxa"/>
            <w:vAlign w:val="center"/>
          </w:tcPr>
          <w:p w14:paraId="19D2CF84">
            <w:pPr>
              <w:pStyle w:val="33"/>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rPr>
            </w:pPr>
            <w:r>
              <w:rPr>
                <w:rFonts w:hint="eastAsia" w:ascii="Times New Roman" w:cs="Times New Roman"/>
                <w:bCs/>
                <w:sz w:val="18"/>
                <w:szCs w:val="18"/>
                <w:lang w:val="en-US" w:eastAsia="zh-CN"/>
              </w:rPr>
              <w:t>5</w:t>
            </w:r>
            <w:r>
              <w:rPr>
                <w:rFonts w:hint="default" w:ascii="Times New Roman" w:hAnsi="Times New Roman" w:eastAsia="宋体" w:cs="Times New Roman"/>
                <w:bCs/>
                <w:sz w:val="18"/>
                <w:szCs w:val="18"/>
                <w:lang w:val="en-US" w:eastAsia="zh-CN"/>
              </w:rPr>
              <w:t>.4</w:t>
            </w:r>
          </w:p>
        </w:tc>
      </w:tr>
      <w:tr w14:paraId="55736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914" w:type="dxa"/>
            <w:vAlign w:val="center"/>
          </w:tcPr>
          <w:p w14:paraId="42E50644">
            <w:pPr>
              <w:pStyle w:val="33"/>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bidi="ar-SA"/>
              </w:rPr>
            </w:pPr>
            <w:r>
              <w:rPr>
                <w:rFonts w:hint="default" w:ascii="Times New Roman" w:hAnsi="Times New Roman" w:eastAsia="宋体" w:cs="Times New Roman"/>
                <w:bCs/>
                <w:sz w:val="18"/>
                <w:szCs w:val="18"/>
                <w:lang w:val="en-US" w:eastAsia="zh-CN"/>
              </w:rPr>
              <w:t>比表面积</w:t>
            </w:r>
          </w:p>
        </w:tc>
        <w:tc>
          <w:tcPr>
            <w:tcW w:w="3827" w:type="dxa"/>
            <w:vMerge w:val="continue"/>
            <w:vAlign w:val="center"/>
          </w:tcPr>
          <w:p w14:paraId="0FC939BB">
            <w:pPr>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color w:val="FF0000"/>
                <w:sz w:val="18"/>
                <w:szCs w:val="18"/>
                <w:highlight w:val="green"/>
                <w:lang w:val="en-US" w:eastAsia="zh-CN" w:bidi="ar-SA"/>
              </w:rPr>
            </w:pPr>
          </w:p>
        </w:tc>
        <w:tc>
          <w:tcPr>
            <w:tcW w:w="1914" w:type="dxa"/>
            <w:vAlign w:val="center"/>
          </w:tcPr>
          <w:p w14:paraId="3035A353">
            <w:pPr>
              <w:pStyle w:val="33"/>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bidi="ar-SA"/>
              </w:rPr>
            </w:pPr>
            <w:r>
              <w:rPr>
                <w:rFonts w:hint="eastAsia" w:ascii="Times New Roman" w:cs="Times New Roman"/>
                <w:bCs/>
                <w:sz w:val="18"/>
                <w:szCs w:val="18"/>
                <w:lang w:val="en-US" w:eastAsia="zh-CN"/>
              </w:rPr>
              <w:t>4</w:t>
            </w:r>
            <w:r>
              <w:rPr>
                <w:rFonts w:hint="default" w:ascii="Times New Roman" w:hAnsi="Times New Roman" w:eastAsia="宋体" w:cs="Times New Roman"/>
                <w:bCs/>
                <w:sz w:val="18"/>
                <w:szCs w:val="18"/>
                <w:lang w:val="en-US" w:eastAsia="zh-CN"/>
              </w:rPr>
              <w:t>.5</w:t>
            </w:r>
          </w:p>
        </w:tc>
        <w:tc>
          <w:tcPr>
            <w:tcW w:w="1916" w:type="dxa"/>
            <w:vAlign w:val="center"/>
          </w:tcPr>
          <w:p w14:paraId="4C593B55">
            <w:pPr>
              <w:pStyle w:val="33"/>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kern w:val="2"/>
                <w:sz w:val="18"/>
                <w:szCs w:val="18"/>
                <w:lang w:val="en-US" w:eastAsia="zh-CN" w:bidi="ar-SA"/>
              </w:rPr>
            </w:pPr>
            <w:r>
              <w:rPr>
                <w:rFonts w:hint="eastAsia" w:ascii="Times New Roman" w:cs="Times New Roman"/>
                <w:bCs/>
                <w:sz w:val="18"/>
                <w:szCs w:val="18"/>
                <w:lang w:val="en-US" w:eastAsia="zh-CN"/>
              </w:rPr>
              <w:t>5</w:t>
            </w:r>
            <w:r>
              <w:rPr>
                <w:rFonts w:hint="default" w:ascii="Times New Roman" w:hAnsi="Times New Roman" w:eastAsia="宋体" w:cs="Times New Roman"/>
                <w:bCs/>
                <w:sz w:val="18"/>
                <w:szCs w:val="18"/>
                <w:lang w:val="en-US" w:eastAsia="zh-CN"/>
              </w:rPr>
              <w:t>.5</w:t>
            </w:r>
          </w:p>
        </w:tc>
      </w:tr>
      <w:tr w14:paraId="408CA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914" w:type="dxa"/>
            <w:vAlign w:val="center"/>
          </w:tcPr>
          <w:p w14:paraId="4410B3BA">
            <w:pPr>
              <w:pStyle w:val="33"/>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bidi="ar-SA"/>
              </w:rPr>
            </w:pPr>
            <w:r>
              <w:rPr>
                <w:rFonts w:hint="default" w:ascii="Times New Roman" w:hAnsi="Times New Roman" w:eastAsia="宋体" w:cs="Times New Roman"/>
                <w:bCs/>
                <w:sz w:val="18"/>
                <w:szCs w:val="18"/>
                <w:lang w:val="en-US" w:eastAsia="zh-CN"/>
              </w:rPr>
              <w:t>粒</w:t>
            </w:r>
            <w:r>
              <w:rPr>
                <w:rFonts w:hint="eastAsia" w:ascii="Times New Roman" w:cs="Times New Roman"/>
                <w:bCs/>
                <w:sz w:val="18"/>
                <w:szCs w:val="18"/>
                <w:lang w:val="en-US" w:eastAsia="zh-CN"/>
              </w:rPr>
              <w:t>径</w:t>
            </w:r>
          </w:p>
        </w:tc>
        <w:tc>
          <w:tcPr>
            <w:tcW w:w="3827" w:type="dxa"/>
            <w:vMerge w:val="continue"/>
            <w:vAlign w:val="center"/>
          </w:tcPr>
          <w:p w14:paraId="2D40C3A6">
            <w:pPr>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color w:val="FF0000"/>
                <w:sz w:val="18"/>
                <w:szCs w:val="18"/>
                <w:highlight w:val="green"/>
                <w:lang w:val="en-US" w:eastAsia="zh-CN" w:bidi="ar-SA"/>
              </w:rPr>
            </w:pPr>
          </w:p>
        </w:tc>
        <w:tc>
          <w:tcPr>
            <w:tcW w:w="1914" w:type="dxa"/>
            <w:vAlign w:val="center"/>
          </w:tcPr>
          <w:p w14:paraId="5B52AE49">
            <w:pPr>
              <w:pStyle w:val="33"/>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bidi="ar-SA"/>
              </w:rPr>
            </w:pPr>
            <w:r>
              <w:rPr>
                <w:rFonts w:hint="eastAsia" w:ascii="Times New Roman" w:cs="Times New Roman"/>
                <w:bCs/>
                <w:sz w:val="18"/>
                <w:szCs w:val="18"/>
                <w:lang w:val="en-US" w:eastAsia="zh-CN" w:bidi="ar-SA"/>
              </w:rPr>
              <w:t>4</w:t>
            </w:r>
            <w:r>
              <w:rPr>
                <w:rFonts w:hint="default" w:ascii="Times New Roman" w:hAnsi="Times New Roman" w:eastAsia="宋体" w:cs="Times New Roman"/>
                <w:bCs/>
                <w:sz w:val="18"/>
                <w:szCs w:val="18"/>
                <w:lang w:val="en-US" w:eastAsia="zh-CN" w:bidi="ar-SA"/>
              </w:rPr>
              <w:t>.6</w:t>
            </w:r>
          </w:p>
        </w:tc>
        <w:tc>
          <w:tcPr>
            <w:tcW w:w="1916" w:type="dxa"/>
            <w:vAlign w:val="center"/>
          </w:tcPr>
          <w:p w14:paraId="4A5BD783">
            <w:pPr>
              <w:pStyle w:val="33"/>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bidi="ar-SA"/>
              </w:rPr>
            </w:pPr>
            <w:r>
              <w:rPr>
                <w:rFonts w:hint="eastAsia" w:ascii="Times New Roman" w:cs="Times New Roman"/>
                <w:bCs/>
                <w:sz w:val="18"/>
                <w:szCs w:val="18"/>
                <w:lang w:val="en-US" w:eastAsia="zh-CN" w:bidi="ar-SA"/>
              </w:rPr>
              <w:t>5</w:t>
            </w:r>
            <w:r>
              <w:rPr>
                <w:rFonts w:hint="default" w:ascii="Times New Roman" w:hAnsi="Times New Roman" w:eastAsia="宋体" w:cs="Times New Roman"/>
                <w:bCs/>
                <w:sz w:val="18"/>
                <w:szCs w:val="18"/>
                <w:lang w:val="en-US" w:eastAsia="zh-CN" w:bidi="ar-SA"/>
              </w:rPr>
              <w:t>.6</w:t>
            </w:r>
          </w:p>
        </w:tc>
      </w:tr>
      <w:tr w14:paraId="1488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914" w:type="dxa"/>
            <w:vAlign w:val="center"/>
          </w:tcPr>
          <w:p w14:paraId="23556AEA">
            <w:pPr>
              <w:pStyle w:val="33"/>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bidi="ar-SA"/>
              </w:rPr>
            </w:pPr>
            <w:r>
              <w:rPr>
                <w:rFonts w:hint="default" w:ascii="Times New Roman" w:hAnsi="Times New Roman" w:eastAsia="宋体" w:cs="Times New Roman"/>
                <w:bCs/>
                <w:sz w:val="18"/>
                <w:szCs w:val="18"/>
                <w:lang w:val="en-US" w:eastAsia="zh-CN"/>
              </w:rPr>
              <w:t>外观质量</w:t>
            </w:r>
          </w:p>
        </w:tc>
        <w:tc>
          <w:tcPr>
            <w:tcW w:w="3827" w:type="dxa"/>
            <w:vAlign w:val="center"/>
          </w:tcPr>
          <w:p w14:paraId="7A9BED9E">
            <w:pPr>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color w:val="FF0000"/>
                <w:sz w:val="18"/>
                <w:szCs w:val="18"/>
                <w:highlight w:val="green"/>
                <w:lang w:val="en-US" w:eastAsia="zh-CN" w:bidi="ar-SA"/>
              </w:rPr>
            </w:pPr>
            <w:r>
              <w:rPr>
                <w:rFonts w:hint="default" w:ascii="Times New Roman" w:hAnsi="Times New Roman" w:eastAsia="宋体" w:cs="Times New Roman"/>
                <w:bCs/>
                <w:kern w:val="0"/>
                <w:sz w:val="18"/>
                <w:szCs w:val="18"/>
                <w:lang w:val="en-US" w:eastAsia="zh-CN" w:bidi="ar-SA"/>
              </w:rPr>
              <w:t>逐袋</w:t>
            </w:r>
          </w:p>
        </w:tc>
        <w:tc>
          <w:tcPr>
            <w:tcW w:w="1914" w:type="dxa"/>
            <w:vAlign w:val="center"/>
          </w:tcPr>
          <w:p w14:paraId="7853B013">
            <w:pPr>
              <w:pStyle w:val="33"/>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bidi="ar-SA"/>
              </w:rPr>
            </w:pPr>
            <w:r>
              <w:rPr>
                <w:rFonts w:hint="eastAsia" w:ascii="Times New Roman" w:cs="Times New Roman"/>
                <w:bCs/>
                <w:sz w:val="18"/>
                <w:szCs w:val="18"/>
                <w:lang w:val="en-US" w:eastAsia="zh-CN" w:bidi="ar-SA"/>
              </w:rPr>
              <w:t>4</w:t>
            </w:r>
            <w:r>
              <w:rPr>
                <w:rFonts w:hint="default" w:ascii="Times New Roman" w:hAnsi="Times New Roman" w:eastAsia="宋体" w:cs="Times New Roman"/>
                <w:bCs/>
                <w:sz w:val="18"/>
                <w:szCs w:val="18"/>
                <w:lang w:val="en-US" w:eastAsia="zh-CN" w:bidi="ar-SA"/>
              </w:rPr>
              <w:t>.7</w:t>
            </w:r>
          </w:p>
        </w:tc>
        <w:tc>
          <w:tcPr>
            <w:tcW w:w="1916" w:type="dxa"/>
            <w:vAlign w:val="center"/>
          </w:tcPr>
          <w:p w14:paraId="4E8D63A4">
            <w:pPr>
              <w:pStyle w:val="33"/>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bidi="ar-SA"/>
              </w:rPr>
            </w:pPr>
            <w:r>
              <w:rPr>
                <w:rFonts w:hint="eastAsia" w:ascii="Times New Roman" w:cs="Times New Roman"/>
                <w:bCs/>
                <w:sz w:val="18"/>
                <w:szCs w:val="18"/>
                <w:lang w:val="en-US" w:eastAsia="zh-CN" w:bidi="ar-SA"/>
              </w:rPr>
              <w:t>5</w:t>
            </w:r>
            <w:r>
              <w:rPr>
                <w:rFonts w:hint="default" w:ascii="Times New Roman" w:hAnsi="Times New Roman" w:eastAsia="宋体" w:cs="Times New Roman"/>
                <w:bCs/>
                <w:sz w:val="18"/>
                <w:szCs w:val="18"/>
                <w:lang w:val="en-US" w:eastAsia="zh-CN" w:bidi="ar-SA"/>
              </w:rPr>
              <w:t>.7</w:t>
            </w:r>
          </w:p>
        </w:tc>
      </w:tr>
    </w:tbl>
    <w:p w14:paraId="021A9870">
      <w:pPr>
        <w:pStyle w:val="33"/>
        <w:keepNext w:val="0"/>
        <w:keepLines w:val="0"/>
        <w:pageBreakBefore w:val="0"/>
        <w:widowControl/>
        <w:kinsoku/>
        <w:wordWrap/>
        <w:overflowPunct/>
        <w:topLinePunct w:val="0"/>
        <w:autoSpaceDE w:val="0"/>
        <w:autoSpaceDN w:val="0"/>
        <w:bidi w:val="0"/>
        <w:adjustRightInd/>
        <w:snapToGrid/>
        <w:spacing w:line="240" w:lineRule="auto"/>
        <w:ind w:firstLine="0" w:firstLineChars="0"/>
        <w:textAlignment w:val="auto"/>
        <w:outlineLvl w:val="1"/>
        <w:rPr>
          <w:rFonts w:hint="eastAsia" w:ascii="黑体" w:hAnsi="黑体" w:eastAsia="黑体" w:cs="黑体"/>
          <w:sz w:val="21"/>
          <w:szCs w:val="21"/>
          <w:lang w:val="en-US" w:eastAsia="zh-CN"/>
        </w:rPr>
      </w:pPr>
    </w:p>
    <w:p w14:paraId="7AB07362">
      <w:pPr>
        <w:pStyle w:val="33"/>
        <w:keepNext w:val="0"/>
        <w:keepLines w:val="0"/>
        <w:pageBreakBefore w:val="0"/>
        <w:widowControl/>
        <w:kinsoku/>
        <w:wordWrap/>
        <w:overflowPunct/>
        <w:topLinePunct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6.4  检验结果的判定</w:t>
      </w:r>
    </w:p>
    <w:p w14:paraId="1FF2B8F4">
      <w:pPr>
        <w:pStyle w:val="33"/>
        <w:keepNext w:val="0"/>
        <w:keepLines w:val="0"/>
        <w:pageBreakBefore w:val="0"/>
        <w:widowControl/>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eastAsia="宋体" w:cs="Times New Roman"/>
          <w:sz w:val="21"/>
          <w:szCs w:val="21"/>
          <w:lang w:val="en-US" w:eastAsia="zh-CN"/>
        </w:rPr>
      </w:pPr>
      <w:r>
        <w:rPr>
          <w:rFonts w:hint="eastAsia" w:ascii="黑体" w:hAnsi="黑体" w:eastAsia="黑体" w:cs="黑体"/>
          <w:sz w:val="21"/>
          <w:szCs w:val="21"/>
          <w:lang w:val="en-US" w:eastAsia="zh-CN"/>
        </w:rPr>
        <w:t xml:space="preserve">6.4.1  </w:t>
      </w:r>
      <w:r>
        <w:rPr>
          <w:rFonts w:hint="default" w:ascii="Times New Roman" w:hAnsi="Times New Roman" w:eastAsia="宋体" w:cs="Times New Roman"/>
          <w:sz w:val="21"/>
          <w:szCs w:val="21"/>
          <w:lang w:val="en-US" w:eastAsia="zh-CN"/>
        </w:rPr>
        <w:t>检验结果的数值</w:t>
      </w:r>
      <w:r>
        <w:rPr>
          <w:rFonts w:hint="default" w:ascii="Times New Roman" w:hAnsi="Times New Roman" w:eastAsia="宋体" w:cs="Times New Roman"/>
          <w:sz w:val="21"/>
          <w:szCs w:val="21"/>
        </w:rPr>
        <w:t>采用GB/T 8170规定</w:t>
      </w:r>
      <w:r>
        <w:rPr>
          <w:rFonts w:hint="default" w:ascii="Times New Roman" w:hAnsi="Times New Roman" w:eastAsia="宋体" w:cs="Times New Roman"/>
          <w:sz w:val="21"/>
          <w:szCs w:val="21"/>
          <w:lang w:val="en-US" w:eastAsia="zh-CN"/>
        </w:rPr>
        <w:t>进行</w:t>
      </w:r>
      <w:r>
        <w:rPr>
          <w:rFonts w:hint="default" w:ascii="Times New Roman" w:hAnsi="Times New Roman" w:eastAsia="宋体" w:cs="Times New Roman"/>
          <w:sz w:val="21"/>
          <w:szCs w:val="21"/>
        </w:rPr>
        <w:t>修约</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并采用修约</w:t>
      </w:r>
      <w:r>
        <w:rPr>
          <w:rFonts w:hint="default" w:ascii="Times New Roman" w:hAnsi="Times New Roman" w:eastAsia="宋体" w:cs="Times New Roman"/>
          <w:sz w:val="21"/>
          <w:szCs w:val="21"/>
        </w:rPr>
        <w:t>值比较法判</w:t>
      </w:r>
      <w:r>
        <w:rPr>
          <w:rFonts w:hint="default" w:ascii="Times New Roman" w:hAnsi="Times New Roman" w:eastAsia="宋体" w:cs="Times New Roman"/>
          <w:sz w:val="21"/>
          <w:szCs w:val="21"/>
          <w:lang w:val="en-US" w:eastAsia="zh-CN"/>
        </w:rPr>
        <w:t>定。</w:t>
      </w:r>
    </w:p>
    <w:p w14:paraId="03DD21D1">
      <w:pPr>
        <w:pStyle w:val="33"/>
        <w:keepNext w:val="0"/>
        <w:keepLines w:val="0"/>
        <w:pageBreakBefore w:val="0"/>
        <w:widowControl/>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eastAsia="宋体" w:cs="Times New Roman"/>
          <w:sz w:val="21"/>
          <w:szCs w:val="21"/>
          <w:lang w:val="en-US" w:eastAsia="zh-CN"/>
        </w:rPr>
      </w:pPr>
      <w:r>
        <w:rPr>
          <w:rFonts w:hint="eastAsia" w:ascii="黑体" w:hAnsi="黑体" w:eastAsia="黑体" w:cs="黑体"/>
          <w:sz w:val="21"/>
          <w:szCs w:val="21"/>
          <w:lang w:val="en-US" w:eastAsia="zh-CN"/>
        </w:rPr>
        <w:t xml:space="preserve">6.4.2  </w:t>
      </w:r>
      <w:r>
        <w:rPr>
          <w:rFonts w:hint="default" w:ascii="Times New Roman" w:hAnsi="Times New Roman" w:eastAsia="宋体" w:cs="Times New Roman"/>
          <w:color w:val="auto"/>
          <w:sz w:val="21"/>
          <w:szCs w:val="21"/>
          <w:lang w:val="en-US" w:eastAsia="zh-CN"/>
        </w:rPr>
        <w:t>化学成分、水分、磁性异物不符合本文规定时，判该批产品不合格</w:t>
      </w:r>
      <w:r>
        <w:rPr>
          <w:rFonts w:hint="default" w:ascii="Times New Roman" w:hAnsi="Times New Roman" w:eastAsia="宋体" w:cs="Times New Roman"/>
          <w:color w:val="auto"/>
          <w:sz w:val="21"/>
          <w:szCs w:val="21"/>
        </w:rPr>
        <w:t>。</w:t>
      </w:r>
    </w:p>
    <w:p w14:paraId="0EBBC471">
      <w:pPr>
        <w:pStyle w:val="33"/>
        <w:keepNext w:val="0"/>
        <w:keepLines w:val="0"/>
        <w:pageBreakBefore w:val="0"/>
        <w:widowControl/>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eastAsia="宋体" w:cs="Times New Roman"/>
          <w:sz w:val="21"/>
          <w:szCs w:val="21"/>
          <w:lang w:val="en-US" w:eastAsia="zh-CN"/>
        </w:rPr>
      </w:pPr>
      <w:r>
        <w:rPr>
          <w:rFonts w:hint="eastAsia" w:ascii="黑体" w:hAnsi="黑体" w:eastAsia="黑体" w:cs="黑体"/>
          <w:sz w:val="21"/>
          <w:szCs w:val="21"/>
          <w:lang w:val="en-US" w:eastAsia="zh-CN"/>
        </w:rPr>
        <w:t xml:space="preserve">6.4.3  </w:t>
      </w:r>
      <w:r>
        <w:rPr>
          <w:rFonts w:hint="default" w:ascii="Times New Roman" w:hAnsi="Times New Roman" w:eastAsia="宋体" w:cs="Times New Roman"/>
          <w:sz w:val="21"/>
          <w:szCs w:val="21"/>
          <w:lang w:val="en-US" w:eastAsia="zh-CN"/>
        </w:rPr>
        <w:t>松装密度、比表面积</w:t>
      </w:r>
      <w:r>
        <w:rPr>
          <w:rFonts w:hint="eastAsia" w:ascii="Times New Roman" w:cs="Times New Roman"/>
          <w:sz w:val="21"/>
          <w:szCs w:val="21"/>
          <w:lang w:val="en-US" w:eastAsia="zh-CN"/>
        </w:rPr>
        <w:t>、</w:t>
      </w:r>
      <w:r>
        <w:rPr>
          <w:rFonts w:hint="default" w:ascii="Times New Roman" w:hAnsi="Times New Roman" w:eastAsia="宋体" w:cs="Times New Roman"/>
          <w:sz w:val="21"/>
          <w:szCs w:val="21"/>
          <w:lang w:val="en-US" w:eastAsia="zh-CN"/>
        </w:rPr>
        <w:t>粒</w:t>
      </w:r>
      <w:r>
        <w:rPr>
          <w:rFonts w:hint="eastAsia" w:ascii="Times New Roman" w:cs="Times New Roman"/>
          <w:sz w:val="21"/>
          <w:szCs w:val="21"/>
          <w:lang w:val="en-US" w:eastAsia="zh-CN"/>
        </w:rPr>
        <w:t>径</w:t>
      </w:r>
      <w:r>
        <w:rPr>
          <w:rFonts w:hint="default" w:ascii="Times New Roman" w:hAnsi="Times New Roman" w:eastAsia="宋体" w:cs="Times New Roman"/>
          <w:sz w:val="21"/>
          <w:szCs w:val="21"/>
          <w:lang w:val="en-US" w:eastAsia="zh-CN"/>
        </w:rPr>
        <w:t>不符合本文件的规定时，应从该批产品中另取双倍数量的试样进行重复试验。重复检验全部合格，判该批产品合格；若重复试验结果</w:t>
      </w:r>
      <w:r>
        <w:rPr>
          <w:rFonts w:hint="eastAsia" w:ascii="Times New Roman" w:cs="Times New Roman"/>
          <w:sz w:val="21"/>
          <w:szCs w:val="21"/>
          <w:lang w:val="en-US" w:eastAsia="zh-CN"/>
        </w:rPr>
        <w:t>仍</w:t>
      </w:r>
      <w:r>
        <w:rPr>
          <w:rFonts w:hint="default" w:ascii="Times New Roman" w:hAnsi="Times New Roman" w:eastAsia="宋体" w:cs="Times New Roman"/>
          <w:sz w:val="21"/>
          <w:szCs w:val="21"/>
          <w:lang w:val="en-US" w:eastAsia="zh-CN"/>
        </w:rPr>
        <w:t>有不合格</w:t>
      </w:r>
      <w:r>
        <w:rPr>
          <w:rFonts w:hint="eastAsia" w:ascii="Times New Roman" w:cs="Times New Roman"/>
          <w:sz w:val="21"/>
          <w:szCs w:val="21"/>
          <w:lang w:val="en-US" w:eastAsia="zh-CN"/>
        </w:rPr>
        <w:t>项</w:t>
      </w:r>
      <w:r>
        <w:rPr>
          <w:rFonts w:hint="default" w:ascii="Times New Roman" w:hAnsi="Times New Roman" w:eastAsia="宋体" w:cs="Times New Roman"/>
          <w:sz w:val="21"/>
          <w:szCs w:val="21"/>
          <w:lang w:val="en-US" w:eastAsia="zh-CN"/>
        </w:rPr>
        <w:t>，判该批产品不合格。</w:t>
      </w:r>
    </w:p>
    <w:p w14:paraId="55F94DF7">
      <w:pPr>
        <w:pStyle w:val="33"/>
        <w:keepNext w:val="0"/>
        <w:keepLines w:val="0"/>
        <w:pageBreakBefore w:val="0"/>
        <w:widowControl/>
        <w:kinsoku/>
        <w:wordWrap/>
        <w:overflowPunct/>
        <w:topLinePunct w:val="0"/>
        <w:autoSpaceDE w:val="0"/>
        <w:autoSpaceDN w:val="0"/>
        <w:bidi w:val="0"/>
        <w:adjustRightInd/>
        <w:snapToGrid/>
        <w:spacing w:line="240" w:lineRule="auto"/>
        <w:ind w:firstLine="0" w:firstLineChars="0"/>
        <w:textAlignment w:val="auto"/>
        <w:rPr>
          <w:rFonts w:hint="eastAsia" w:ascii="黑体" w:hAnsi="黑体" w:eastAsia="黑体" w:cs="黑体"/>
          <w:bCs/>
          <w:sz w:val="21"/>
          <w:szCs w:val="21"/>
          <w:lang w:val="en-US" w:eastAsia="zh-CN"/>
        </w:rPr>
      </w:pPr>
      <w:r>
        <w:rPr>
          <w:rFonts w:hint="eastAsia" w:ascii="黑体" w:hAnsi="黑体" w:eastAsia="黑体" w:cs="黑体"/>
          <w:sz w:val="21"/>
          <w:szCs w:val="21"/>
          <w:lang w:val="en-US" w:eastAsia="zh-CN"/>
        </w:rPr>
        <w:t xml:space="preserve">6.4.4  </w:t>
      </w:r>
      <w:r>
        <w:rPr>
          <w:rFonts w:hint="default" w:ascii="Times New Roman" w:hAnsi="Times New Roman" w:eastAsia="宋体" w:cs="Times New Roman"/>
          <w:color w:val="auto"/>
          <w:sz w:val="21"/>
          <w:szCs w:val="21"/>
          <w:lang w:val="en-US" w:eastAsia="zh-CN"/>
        </w:rPr>
        <w:t>外观质量不符合本文规定时，判该袋产品不合格。</w:t>
      </w:r>
    </w:p>
    <w:p w14:paraId="68412EB1">
      <w:pPr>
        <w:pStyle w:val="43"/>
        <w:keepNext w:val="0"/>
        <w:keepLines w:val="0"/>
        <w:pageBreakBefore w:val="0"/>
        <w:widowControl/>
        <w:kinsoku/>
        <w:wordWrap/>
        <w:overflowPunct/>
        <w:topLinePunct w:val="0"/>
        <w:bidi w:val="0"/>
        <w:adjustRightInd/>
        <w:snapToGrid/>
        <w:spacing w:before="312" w:beforeLines="100" w:after="312" w:afterLines="100" w:line="240" w:lineRule="auto"/>
        <w:textAlignment w:val="auto"/>
        <w:rPr>
          <w:rFonts w:hint="eastAsia" w:ascii="黑体" w:hAnsi="黑体" w:eastAsia="黑体" w:cs="黑体"/>
          <w:bCs/>
          <w:sz w:val="21"/>
          <w:szCs w:val="21"/>
          <w:lang w:val="en-US" w:eastAsia="zh-CN"/>
        </w:rPr>
      </w:pPr>
      <w:r>
        <w:rPr>
          <w:rFonts w:hint="eastAsia" w:ascii="黑体" w:hAnsi="黑体" w:eastAsia="黑体" w:cs="黑体"/>
          <w:bCs/>
          <w:sz w:val="21"/>
          <w:szCs w:val="21"/>
          <w:lang w:val="en-US" w:eastAsia="zh-CN"/>
        </w:rPr>
        <w:t>7  标志、包装、运输、贮存及随行文件</w:t>
      </w:r>
    </w:p>
    <w:p w14:paraId="3115B816">
      <w:pPr>
        <w:pStyle w:val="33"/>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sz w:val="21"/>
          <w:szCs w:val="21"/>
        </w:rPr>
      </w:pPr>
      <w:r>
        <w:rPr>
          <w:rFonts w:hint="eastAsia" w:ascii="黑体" w:hAnsi="黑体" w:eastAsia="黑体" w:cs="黑体"/>
          <w:sz w:val="21"/>
          <w:szCs w:val="21"/>
          <w:lang w:val="en-US" w:eastAsia="zh-CN"/>
        </w:rPr>
        <w:t>7</w:t>
      </w:r>
      <w:r>
        <w:rPr>
          <w:rFonts w:hint="eastAsia" w:ascii="黑体" w:hAnsi="黑体" w:eastAsia="黑体" w:cs="黑体"/>
          <w:sz w:val="21"/>
          <w:szCs w:val="21"/>
        </w:rPr>
        <w:t>.1  标志</w:t>
      </w:r>
    </w:p>
    <w:p w14:paraId="5960E29E">
      <w:pPr>
        <w:pStyle w:val="33"/>
        <w:keepNext w:val="0"/>
        <w:keepLines w:val="0"/>
        <w:pageBreakBefore w:val="0"/>
        <w:widowControl/>
        <w:kinsoku/>
        <w:wordWrap/>
        <w:overflowPunct/>
        <w:topLinePunct w:val="0"/>
        <w:autoSpaceDE w:val="0"/>
        <w:autoSpaceDN w:val="0"/>
        <w:bidi w:val="0"/>
        <w:adjustRightInd/>
        <w:snapToGrid/>
        <w:spacing w:line="240" w:lineRule="auto"/>
        <w:ind w:firstLine="420" w:firstLineChars="0"/>
        <w:textAlignment w:val="auto"/>
        <w:outlineLvl w:val="9"/>
        <w:rPr>
          <w:rFonts w:hint="default" w:ascii="宋体" w:hAnsi="Times New Roman" w:eastAsia="宋体"/>
          <w:color w:val="auto"/>
          <w:szCs w:val="20"/>
          <w:highlight w:val="none"/>
          <w:lang w:eastAsia="zh-CN"/>
        </w:rPr>
      </w:pPr>
      <w:r>
        <w:rPr>
          <w:rFonts w:hint="default" w:ascii="宋体" w:hAnsi="Times New Roman"/>
          <w:color w:val="auto"/>
          <w:szCs w:val="20"/>
          <w:highlight w:val="none"/>
          <w:lang w:eastAsia="zh-CN"/>
        </w:rPr>
        <w:t>产品</w:t>
      </w:r>
      <w:r>
        <w:rPr>
          <w:rFonts w:hint="default" w:ascii="宋体" w:hAnsi="Times New Roman"/>
          <w:color w:val="auto"/>
          <w:szCs w:val="20"/>
          <w:highlight w:val="none"/>
        </w:rPr>
        <w:t>包装上应有牢固清晰的标志。内容包括：生产厂名、厂址、产品名称、净</w:t>
      </w:r>
      <w:r>
        <w:rPr>
          <w:rFonts w:hint="default" w:ascii="宋体" w:hAnsi="Times New Roman"/>
          <w:color w:val="auto"/>
          <w:szCs w:val="20"/>
          <w:highlight w:val="none"/>
          <w:lang w:eastAsia="zh-CN"/>
        </w:rPr>
        <w:t>重</w:t>
      </w:r>
      <w:r>
        <w:rPr>
          <w:rFonts w:hint="default" w:ascii="宋体" w:hAnsi="Times New Roman"/>
          <w:color w:val="auto"/>
          <w:szCs w:val="20"/>
          <w:highlight w:val="none"/>
        </w:rPr>
        <w:t>、批号</w:t>
      </w:r>
      <w:r>
        <w:rPr>
          <w:rFonts w:hint="eastAsia" w:hAnsi="Times New Roman"/>
          <w:color w:val="auto"/>
          <w:szCs w:val="20"/>
          <w:highlight w:val="none"/>
          <w:lang w:val="en-US" w:eastAsia="zh-CN"/>
        </w:rPr>
        <w:t>或</w:t>
      </w:r>
      <w:r>
        <w:rPr>
          <w:rFonts w:hint="default" w:ascii="宋体" w:hAnsi="Times New Roman"/>
          <w:color w:val="auto"/>
          <w:szCs w:val="20"/>
          <w:highlight w:val="none"/>
        </w:rPr>
        <w:t>生产日期、本</w:t>
      </w:r>
      <w:r>
        <w:rPr>
          <w:rFonts w:hint="default" w:ascii="宋体" w:hAnsi="Times New Roman"/>
          <w:color w:val="auto"/>
          <w:szCs w:val="20"/>
          <w:highlight w:val="none"/>
          <w:lang w:eastAsia="zh-CN"/>
        </w:rPr>
        <w:t>文件</w:t>
      </w:r>
      <w:r>
        <w:rPr>
          <w:rFonts w:hint="default" w:ascii="宋体" w:hAnsi="Times New Roman"/>
          <w:color w:val="auto"/>
          <w:szCs w:val="20"/>
          <w:highlight w:val="none"/>
        </w:rPr>
        <w:t>编号</w:t>
      </w:r>
      <w:r>
        <w:rPr>
          <w:rFonts w:hint="default" w:ascii="Times New Roman" w:hAnsi="Times New Roman" w:eastAsia="宋体" w:cs="Times New Roman"/>
          <w:sz w:val="21"/>
          <w:szCs w:val="21"/>
        </w:rPr>
        <w:t>及GB/T 191</w:t>
      </w:r>
      <w:r>
        <w:rPr>
          <w:rFonts w:hint="eastAsia" w:ascii="宋体" w:hAnsi="宋体" w:eastAsia="宋体" w:cs="宋体"/>
          <w:sz w:val="21"/>
          <w:szCs w:val="21"/>
        </w:rPr>
        <w:t>中规定的</w:t>
      </w:r>
      <w:r>
        <w:rPr>
          <w:rFonts w:hint="eastAsia" w:ascii="宋体" w:hAnsi="宋体" w:eastAsia="宋体" w:cs="宋体"/>
          <w:b w:val="0"/>
          <w:bCs w:val="0"/>
          <w:sz w:val="21"/>
          <w:szCs w:val="21"/>
        </w:rPr>
        <w:t>“怕雨”</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rPr>
        <w:t>“怕晒”</w:t>
      </w:r>
      <w:r>
        <w:rPr>
          <w:rFonts w:hint="eastAsia" w:ascii="宋体" w:hAnsi="宋体" w:eastAsia="宋体" w:cs="宋体"/>
          <w:sz w:val="21"/>
          <w:szCs w:val="21"/>
        </w:rPr>
        <w:t>标志</w:t>
      </w:r>
      <w:r>
        <w:rPr>
          <w:rFonts w:hint="default" w:ascii="宋体" w:hAnsi="Times New Roman"/>
          <w:color w:val="auto"/>
          <w:szCs w:val="20"/>
          <w:highlight w:val="none"/>
        </w:rPr>
        <w:t>。</w:t>
      </w:r>
    </w:p>
    <w:p w14:paraId="7BCC3D22">
      <w:pPr>
        <w:pStyle w:val="33"/>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sz w:val="21"/>
          <w:szCs w:val="21"/>
        </w:rPr>
      </w:pPr>
      <w:r>
        <w:rPr>
          <w:rFonts w:hint="eastAsia" w:ascii="黑体" w:hAnsi="黑体" w:eastAsia="黑体" w:cs="黑体"/>
          <w:sz w:val="21"/>
          <w:szCs w:val="21"/>
          <w:lang w:val="en-US" w:eastAsia="zh-CN"/>
        </w:rPr>
        <w:t>7</w:t>
      </w:r>
      <w:r>
        <w:rPr>
          <w:rFonts w:hint="eastAsia" w:ascii="黑体" w:hAnsi="黑体" w:eastAsia="黑体" w:cs="黑体"/>
          <w:sz w:val="21"/>
          <w:szCs w:val="21"/>
        </w:rPr>
        <w:t>.2  包装</w:t>
      </w:r>
    </w:p>
    <w:p w14:paraId="78E01A15">
      <w:pPr>
        <w:pStyle w:val="33"/>
        <w:keepNext w:val="0"/>
        <w:keepLines w:val="0"/>
        <w:pageBreakBefore w:val="0"/>
        <w:widowControl/>
        <w:kinsoku/>
        <w:wordWrap/>
        <w:overflowPunct/>
        <w:topLinePunct w:val="0"/>
        <w:autoSpaceDE w:val="0"/>
        <w:autoSpaceDN w:val="0"/>
        <w:bidi w:val="0"/>
        <w:adjustRightInd/>
        <w:snapToGrid/>
        <w:spacing w:line="240" w:lineRule="auto"/>
        <w:ind w:firstLine="420" w:firstLineChars="200"/>
        <w:textAlignment w:val="auto"/>
        <w:outlineLvl w:val="1"/>
        <w:rPr>
          <w:rFonts w:hint="eastAsia" w:ascii="Times New Roman"/>
          <w:szCs w:val="22"/>
        </w:rPr>
      </w:pPr>
      <w:r>
        <w:rPr>
          <w:rFonts w:hint="eastAsia" w:ascii="Times New Roman"/>
          <w:szCs w:val="22"/>
        </w:rPr>
        <w:t>产品</w:t>
      </w:r>
      <w:r>
        <w:rPr>
          <w:rFonts w:hint="default" w:ascii="Times New Roman" w:hAnsi="Times New Roman" w:eastAsia="宋体" w:cs="Times New Roman"/>
          <w:color w:val="auto"/>
          <w:kern w:val="2"/>
          <w:sz w:val="21"/>
          <w:szCs w:val="21"/>
          <w:lang w:val="en-US" w:eastAsia="zh-CN" w:bidi="ar-SA"/>
        </w:rPr>
        <w:t>采用双层</w:t>
      </w:r>
      <w:r>
        <w:rPr>
          <w:rFonts w:hint="eastAsia" w:ascii="Times New Roman" w:cs="Times New Roman"/>
          <w:color w:val="auto"/>
          <w:kern w:val="2"/>
          <w:sz w:val="21"/>
          <w:szCs w:val="21"/>
          <w:lang w:val="en-US" w:eastAsia="zh-CN" w:bidi="ar-SA"/>
        </w:rPr>
        <w:t>密封</w:t>
      </w:r>
      <w:r>
        <w:rPr>
          <w:rFonts w:hint="default" w:ascii="Times New Roman" w:hAnsi="Times New Roman" w:eastAsia="宋体" w:cs="Times New Roman"/>
          <w:color w:val="auto"/>
          <w:kern w:val="2"/>
          <w:sz w:val="21"/>
          <w:szCs w:val="21"/>
          <w:lang w:val="en-US" w:eastAsia="zh-CN" w:bidi="ar-SA"/>
        </w:rPr>
        <w:t>包装，内包装采用</w:t>
      </w:r>
      <w:r>
        <w:rPr>
          <w:rStyle w:val="21"/>
          <w:rFonts w:hint="default" w:ascii="Times New Roman" w:hAnsi="Times New Roman" w:eastAsia="宋体" w:cs="Times New Roman"/>
          <w:snapToGrid w:val="0"/>
          <w:color w:val="auto"/>
          <w:kern w:val="0"/>
          <w:sz w:val="21"/>
          <w:szCs w:val="21"/>
          <w:u w:val="none"/>
        </w:rPr>
        <w:t>低密度聚乙烯</w:t>
      </w:r>
      <w:r>
        <w:rPr>
          <w:rStyle w:val="21"/>
          <w:rFonts w:hint="eastAsia" w:ascii="Times New Roman" w:hAnsi="Times New Roman" w:eastAsia="宋体" w:cs="Times New Roman"/>
          <w:snapToGrid w:val="0"/>
          <w:color w:val="auto"/>
          <w:kern w:val="0"/>
          <w:sz w:val="21"/>
          <w:szCs w:val="21"/>
          <w:u w:val="none"/>
          <w:lang w:val="en-US" w:eastAsia="zh-CN"/>
        </w:rPr>
        <w:t>薄膜</w:t>
      </w:r>
      <w:r>
        <w:rPr>
          <w:rStyle w:val="21"/>
          <w:rFonts w:hint="default" w:ascii="Times New Roman" w:hAnsi="Times New Roman" w:eastAsia="宋体" w:cs="Times New Roman"/>
          <w:snapToGrid w:val="0"/>
          <w:color w:val="auto"/>
          <w:kern w:val="0"/>
          <w:sz w:val="21"/>
          <w:szCs w:val="21"/>
          <w:u w:val="none"/>
          <w:lang w:val="en-US" w:eastAsia="zh-CN"/>
        </w:rPr>
        <w:t>袋</w:t>
      </w:r>
      <w:r>
        <w:rPr>
          <w:rFonts w:hint="default" w:ascii="Times New Roman" w:hAnsi="Times New Roman" w:eastAsia="宋体" w:cs="Times New Roman"/>
          <w:color w:val="auto"/>
          <w:kern w:val="2"/>
          <w:sz w:val="21"/>
          <w:szCs w:val="21"/>
          <w:lang w:val="en-US" w:eastAsia="zh-CN" w:bidi="ar-SA"/>
        </w:rPr>
        <w:t>，外包装采用</w:t>
      </w:r>
      <w:r>
        <w:rPr>
          <w:rFonts w:hint="default" w:ascii="Times New Roman" w:hAnsi="Times New Roman" w:eastAsia="宋体" w:cs="Times New Roman"/>
          <w:sz w:val="21"/>
          <w:szCs w:val="21"/>
        </w:rPr>
        <w:t>聚丙烯</w:t>
      </w:r>
      <w:r>
        <w:rPr>
          <w:rFonts w:hint="eastAsia" w:ascii="Times New Roman" w:hAnsi="Times New Roman" w:eastAsia="宋体" w:cs="Times New Roman"/>
          <w:sz w:val="21"/>
          <w:szCs w:val="21"/>
          <w:lang w:val="en-US" w:eastAsia="zh-CN"/>
        </w:rPr>
        <w:t>编织袋</w:t>
      </w:r>
      <w:r>
        <w:rPr>
          <w:rFonts w:hint="eastAsia" w:ascii="Times New Roman"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每袋</w:t>
      </w:r>
      <w:r>
        <w:rPr>
          <w:rFonts w:hint="eastAsia" w:ascii="Times New Roman" w:cs="Times New Roman"/>
          <w:color w:val="auto"/>
          <w:kern w:val="2"/>
          <w:sz w:val="21"/>
          <w:szCs w:val="21"/>
          <w:lang w:val="en-US" w:eastAsia="zh-CN" w:bidi="ar-SA"/>
        </w:rPr>
        <w:t>净重</w:t>
      </w:r>
      <w:r>
        <w:rPr>
          <w:rFonts w:hint="default" w:ascii="Times New Roman" w:hAnsi="Times New Roman" w:eastAsia="宋体" w:cs="Times New Roman"/>
          <w:color w:val="auto"/>
          <w:kern w:val="2"/>
          <w:sz w:val="21"/>
          <w:szCs w:val="21"/>
          <w:lang w:val="en-US" w:eastAsia="zh-CN" w:bidi="ar-SA"/>
        </w:rPr>
        <w:t>为</w:t>
      </w:r>
      <w:r>
        <w:rPr>
          <w:rFonts w:hint="eastAsia" w:ascii="Times New Roman" w:cs="Times New Roman"/>
          <w:color w:val="auto"/>
          <w:kern w:val="2"/>
          <w:sz w:val="21"/>
          <w:szCs w:val="21"/>
          <w:lang w:val="en-US" w:eastAsia="zh-CN" w:bidi="ar-SA"/>
        </w:rPr>
        <w:t>10</w:t>
      </w:r>
      <w:r>
        <w:rPr>
          <w:rFonts w:hint="default" w:ascii="Times New Roman" w:hAnsi="Times New Roman" w:eastAsia="宋体" w:cs="Times New Roman"/>
          <w:color w:val="auto"/>
          <w:kern w:val="2"/>
          <w:sz w:val="21"/>
          <w:szCs w:val="21"/>
          <w:lang w:val="en-US" w:eastAsia="zh-CN" w:bidi="ar-SA"/>
        </w:rPr>
        <w:t xml:space="preserve"> kg</w:t>
      </w:r>
      <w:r>
        <w:rPr>
          <w:rFonts w:hint="eastAsia" w:ascii="Times New Roman"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500 kg。</w:t>
      </w:r>
      <w:r>
        <w:rPr>
          <w:rFonts w:hint="eastAsia" w:ascii="Times New Roman" w:cs="Times New Roman"/>
          <w:color w:val="auto"/>
          <w:kern w:val="2"/>
          <w:sz w:val="21"/>
          <w:szCs w:val="21"/>
          <w:lang w:val="en-US" w:eastAsia="zh-CN" w:bidi="ar-SA"/>
        </w:rPr>
        <w:t>需方</w:t>
      </w:r>
      <w:r>
        <w:rPr>
          <w:rFonts w:hint="default" w:ascii="Times New Roman" w:hAnsi="Times New Roman" w:eastAsia="宋体" w:cs="Times New Roman"/>
          <w:color w:val="auto"/>
          <w:kern w:val="2"/>
          <w:sz w:val="21"/>
          <w:szCs w:val="21"/>
          <w:lang w:val="en-US" w:eastAsia="zh-CN" w:bidi="ar-SA"/>
        </w:rPr>
        <w:t>对包装</w:t>
      </w:r>
      <w:r>
        <w:rPr>
          <w:rFonts w:hint="eastAsia" w:ascii="Times New Roman" w:hAnsi="Times New Roman" w:eastAsia="宋体" w:cs="Times New Roman"/>
          <w:color w:val="auto"/>
          <w:kern w:val="2"/>
          <w:sz w:val="21"/>
          <w:szCs w:val="21"/>
          <w:lang w:val="en-US" w:eastAsia="zh-CN" w:bidi="ar-SA"/>
        </w:rPr>
        <w:t>、净重</w:t>
      </w:r>
      <w:r>
        <w:rPr>
          <w:rFonts w:hint="default" w:ascii="Times New Roman" w:hAnsi="Times New Roman" w:eastAsia="宋体" w:cs="Times New Roman"/>
          <w:color w:val="auto"/>
          <w:kern w:val="2"/>
          <w:sz w:val="21"/>
          <w:szCs w:val="21"/>
          <w:lang w:val="en-US" w:eastAsia="zh-CN" w:bidi="ar-SA"/>
        </w:rPr>
        <w:t>有特殊要求时，供需双方另行协商确定。</w:t>
      </w:r>
    </w:p>
    <w:p w14:paraId="57E8D6C7">
      <w:pPr>
        <w:pStyle w:val="33"/>
        <w:keepNext w:val="0"/>
        <w:keepLines w:val="0"/>
        <w:pageBreakBefore w:val="0"/>
        <w:widowControl/>
        <w:kinsoku/>
        <w:wordWrap/>
        <w:overflowPunct/>
        <w:topLinePunct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sz w:val="21"/>
          <w:szCs w:val="21"/>
        </w:rPr>
      </w:pPr>
      <w:r>
        <w:rPr>
          <w:rFonts w:hint="eastAsia" w:ascii="黑体" w:hAnsi="黑体" w:eastAsia="黑体" w:cs="黑体"/>
          <w:sz w:val="21"/>
          <w:szCs w:val="21"/>
          <w:lang w:val="en-US" w:eastAsia="zh-CN"/>
        </w:rPr>
        <w:t>7</w:t>
      </w:r>
      <w:r>
        <w:rPr>
          <w:rFonts w:hint="eastAsia" w:ascii="黑体" w:hAnsi="黑体" w:eastAsia="黑体" w:cs="黑体"/>
          <w:sz w:val="21"/>
          <w:szCs w:val="21"/>
        </w:rPr>
        <w:t>.3  运输</w:t>
      </w:r>
    </w:p>
    <w:p w14:paraId="7228605E">
      <w:pPr>
        <w:pStyle w:val="33"/>
        <w:keepNext w:val="0"/>
        <w:keepLines w:val="0"/>
        <w:pageBreakBefore w:val="0"/>
        <w:widowControl/>
        <w:kinsoku/>
        <w:wordWrap/>
        <w:overflowPunct/>
        <w:topLinePunct w:val="0"/>
        <w:autoSpaceDE w:val="0"/>
        <w:autoSpaceDN w:val="0"/>
        <w:bidi w:val="0"/>
        <w:adjustRightInd/>
        <w:snapToGrid/>
        <w:spacing w:line="240" w:lineRule="auto"/>
        <w:ind w:firstLine="420" w:firstLineChars="200"/>
        <w:textAlignment w:val="auto"/>
        <w:outlineLvl w:val="1"/>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产品运输过程中，防止雨淋、受热、受潮，运输车辆应清洁。在搬运过程中应轻拿轻放，不</w:t>
      </w:r>
      <w:r>
        <w:rPr>
          <w:rFonts w:hint="eastAsia" w:ascii="Times New Roman" w:cs="Times New Roman"/>
          <w:color w:val="auto"/>
          <w:kern w:val="2"/>
          <w:sz w:val="21"/>
          <w:szCs w:val="21"/>
          <w:lang w:val="en-US" w:eastAsia="zh-CN" w:bidi="ar-SA"/>
        </w:rPr>
        <w:t>应</w:t>
      </w:r>
      <w:r>
        <w:rPr>
          <w:rFonts w:hint="default" w:ascii="Times New Roman" w:hAnsi="Times New Roman" w:eastAsia="宋体" w:cs="Times New Roman"/>
          <w:color w:val="auto"/>
          <w:kern w:val="2"/>
          <w:sz w:val="21"/>
          <w:szCs w:val="21"/>
          <w:lang w:val="en-US" w:eastAsia="zh-CN" w:bidi="ar-SA"/>
        </w:rPr>
        <w:t>滚动、倒置，防止产品的包装破裂。</w:t>
      </w:r>
    </w:p>
    <w:p w14:paraId="0BD86A3D">
      <w:pPr>
        <w:pStyle w:val="33"/>
        <w:keepNext w:val="0"/>
        <w:keepLines w:val="0"/>
        <w:pageBreakBefore w:val="0"/>
        <w:widowControl/>
        <w:kinsoku/>
        <w:wordWrap/>
        <w:overflowPunct/>
        <w:topLinePunct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sz w:val="21"/>
          <w:szCs w:val="21"/>
        </w:rPr>
      </w:pPr>
      <w:r>
        <w:rPr>
          <w:rFonts w:hint="eastAsia" w:ascii="黑体" w:hAnsi="黑体" w:eastAsia="黑体" w:cs="黑体"/>
          <w:sz w:val="21"/>
          <w:szCs w:val="21"/>
          <w:lang w:val="en-US" w:eastAsia="zh-CN"/>
        </w:rPr>
        <w:t>7</w:t>
      </w:r>
      <w:r>
        <w:rPr>
          <w:rFonts w:hint="eastAsia" w:ascii="黑体" w:hAnsi="黑体" w:eastAsia="黑体" w:cs="黑体"/>
          <w:sz w:val="21"/>
          <w:szCs w:val="21"/>
        </w:rPr>
        <w:t>.4  贮存</w:t>
      </w:r>
    </w:p>
    <w:p w14:paraId="34C960CA">
      <w:pPr>
        <w:pStyle w:val="33"/>
        <w:keepNext w:val="0"/>
        <w:keepLines w:val="0"/>
        <w:pageBreakBefore w:val="0"/>
        <w:widowControl/>
        <w:kinsoku/>
        <w:wordWrap/>
        <w:overflowPunct/>
        <w:topLinePunct w:val="0"/>
        <w:autoSpaceDE w:val="0"/>
        <w:autoSpaceDN w:val="0"/>
        <w:bidi w:val="0"/>
        <w:adjustRightInd/>
        <w:snapToGrid/>
        <w:spacing w:line="240" w:lineRule="auto"/>
        <w:ind w:firstLine="420" w:firstLineChars="200"/>
        <w:textAlignment w:val="auto"/>
        <w:outlineLvl w:val="1"/>
        <w:rPr>
          <w:rFonts w:hint="default" w:ascii="Times New Roman" w:hAnsi="Times New Roman" w:eastAsia="宋体" w:cs="Times New Roman"/>
          <w:sz w:val="21"/>
          <w:szCs w:val="21"/>
        </w:rPr>
      </w:pPr>
      <w:r>
        <w:rPr>
          <w:rFonts w:hint="default" w:ascii="Times New Roman" w:hAnsi="Times New Roman" w:eastAsia="宋体" w:cs="Times New Roman"/>
          <w:color w:val="auto"/>
          <w:kern w:val="2"/>
          <w:sz w:val="21"/>
          <w:szCs w:val="21"/>
          <w:lang w:val="en-US" w:eastAsia="zh-CN" w:bidi="ar-SA"/>
        </w:rPr>
        <w:t>产品应贮存在通风、阴凉、干燥的库房内，防止雨淋、</w:t>
      </w:r>
      <w:r>
        <w:rPr>
          <w:rFonts w:hint="eastAsia" w:ascii="Times New Roman" w:cs="Times New Roman"/>
          <w:color w:val="auto"/>
          <w:kern w:val="2"/>
          <w:sz w:val="21"/>
          <w:szCs w:val="21"/>
          <w:lang w:val="en-US" w:eastAsia="zh-CN" w:bidi="ar-SA"/>
        </w:rPr>
        <w:t>受热、</w:t>
      </w:r>
      <w:r>
        <w:rPr>
          <w:rFonts w:hint="default" w:ascii="Times New Roman" w:hAnsi="Times New Roman" w:eastAsia="宋体" w:cs="Times New Roman"/>
          <w:color w:val="auto"/>
          <w:kern w:val="2"/>
          <w:sz w:val="21"/>
          <w:szCs w:val="21"/>
          <w:lang w:val="en-US" w:eastAsia="zh-CN" w:bidi="ar-SA"/>
        </w:rPr>
        <w:t>受潮。</w:t>
      </w:r>
      <w:r>
        <w:rPr>
          <w:rFonts w:hint="eastAsia" w:ascii="Times New Roman" w:cs="Times New Roman"/>
          <w:color w:val="auto"/>
          <w:kern w:val="2"/>
          <w:sz w:val="21"/>
          <w:szCs w:val="21"/>
          <w:lang w:val="en-US" w:eastAsia="zh-CN" w:bidi="ar-SA"/>
        </w:rPr>
        <w:t>不应</w:t>
      </w:r>
      <w:r>
        <w:rPr>
          <w:rFonts w:hint="default" w:ascii="Times New Roman" w:hAnsi="Times New Roman" w:eastAsia="宋体" w:cs="Times New Roman"/>
          <w:color w:val="auto"/>
          <w:kern w:val="2"/>
          <w:sz w:val="21"/>
          <w:szCs w:val="21"/>
          <w:lang w:val="en-US" w:eastAsia="zh-CN" w:bidi="ar-SA"/>
        </w:rPr>
        <w:t>与酸</w:t>
      </w:r>
      <w:bookmarkStart w:id="10" w:name="_GoBack"/>
      <w:bookmarkEnd w:id="10"/>
      <w:r>
        <w:rPr>
          <w:rFonts w:hint="default" w:ascii="Times New Roman" w:hAnsi="Times New Roman" w:eastAsia="宋体" w:cs="Times New Roman"/>
          <w:color w:val="auto"/>
          <w:kern w:val="2"/>
          <w:sz w:val="21"/>
          <w:szCs w:val="21"/>
          <w:lang w:val="en-US" w:eastAsia="zh-CN" w:bidi="ar-SA"/>
        </w:rPr>
        <w:t>类物品混贮。</w:t>
      </w:r>
    </w:p>
    <w:p w14:paraId="51FC9B1E">
      <w:pPr>
        <w:pStyle w:val="33"/>
        <w:keepNext w:val="0"/>
        <w:keepLines w:val="0"/>
        <w:pageBreakBefore w:val="0"/>
        <w:widowControl/>
        <w:kinsoku/>
        <w:wordWrap/>
        <w:overflowPunct/>
        <w:topLinePunct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sz w:val="21"/>
          <w:szCs w:val="21"/>
        </w:rPr>
      </w:pPr>
      <w:r>
        <w:rPr>
          <w:rFonts w:hint="eastAsia" w:ascii="黑体" w:hAnsi="黑体" w:eastAsia="黑体" w:cs="黑体"/>
          <w:sz w:val="21"/>
          <w:szCs w:val="21"/>
          <w:lang w:val="en-US" w:eastAsia="zh-CN"/>
        </w:rPr>
        <w:t>7</w:t>
      </w:r>
      <w:r>
        <w:rPr>
          <w:rFonts w:hint="eastAsia" w:ascii="黑体" w:hAnsi="黑体" w:eastAsia="黑体" w:cs="黑体"/>
          <w:sz w:val="21"/>
          <w:szCs w:val="21"/>
        </w:rPr>
        <w:t>.5  随行文件</w:t>
      </w:r>
    </w:p>
    <w:p w14:paraId="2A50233D">
      <w:pPr>
        <w:pStyle w:val="33"/>
        <w:ind w:firstLine="420"/>
        <w:rPr>
          <w:rFonts w:hint="eastAsia" w:ascii="Times New Roman" w:eastAsiaTheme="minorEastAsia"/>
        </w:rPr>
      </w:pPr>
      <w:r>
        <w:rPr>
          <w:rFonts w:hint="default" w:ascii="Times New Roman" w:hAnsi="Times New Roman" w:eastAsia="宋体" w:cs="Times New Roman"/>
          <w:sz w:val="21"/>
          <w:szCs w:val="21"/>
        </w:rPr>
        <w:t>每批产品应附有随行文件，</w:t>
      </w:r>
      <w:r>
        <w:rPr>
          <w:rFonts w:hint="eastAsia" w:ascii="Times New Roman" w:eastAsiaTheme="minorEastAsia"/>
        </w:rPr>
        <w:t>其中除应包括供方信息、产品信息、本文件编号、出厂日期或包装日期外，还宜包括：</w:t>
      </w:r>
    </w:p>
    <w:p w14:paraId="5CA7F56C">
      <w:pPr>
        <w:pStyle w:val="33"/>
        <w:numPr>
          <w:ilvl w:val="255"/>
          <w:numId w:val="0"/>
        </w:numPr>
        <w:ind w:firstLine="420"/>
        <w:rPr>
          <w:rFonts w:ascii="Times New Roman" w:eastAsiaTheme="minorEastAsia"/>
        </w:rPr>
      </w:pPr>
      <w:r>
        <w:rPr>
          <w:rFonts w:hint="eastAsia" w:ascii="Times New Roman" w:eastAsiaTheme="minorEastAsia"/>
        </w:rPr>
        <w:t>a）产品质量保证书：</w:t>
      </w:r>
    </w:p>
    <w:p w14:paraId="5A8D5875">
      <w:pPr>
        <w:pStyle w:val="33"/>
        <w:numPr>
          <w:ilvl w:val="255"/>
          <w:numId w:val="0"/>
        </w:numPr>
        <w:ind w:firstLine="480"/>
        <w:rPr>
          <w:rFonts w:ascii="Times New Roman" w:eastAsiaTheme="minorEastAsia"/>
          <w:szCs w:val="21"/>
        </w:rPr>
      </w:pPr>
      <w:r>
        <w:rPr>
          <w:rFonts w:hint="eastAsia" w:ascii="Times New Roman" w:eastAsiaTheme="minorEastAsia"/>
          <w:sz w:val="24"/>
          <w:szCs w:val="24"/>
        </w:rPr>
        <w:t>·</w:t>
      </w:r>
      <w:r>
        <w:rPr>
          <w:rFonts w:hint="eastAsia" w:ascii="Times New Roman" w:eastAsiaTheme="minorEastAsia"/>
          <w:szCs w:val="21"/>
        </w:rPr>
        <w:t>产品的主要性能及技术参数；</w:t>
      </w:r>
    </w:p>
    <w:p w14:paraId="767FB00C">
      <w:pPr>
        <w:pStyle w:val="33"/>
        <w:numPr>
          <w:ilvl w:val="255"/>
          <w:numId w:val="0"/>
        </w:numPr>
        <w:ind w:firstLine="480"/>
        <w:rPr>
          <w:rFonts w:ascii="Times New Roman" w:eastAsiaTheme="minorEastAsia"/>
          <w:szCs w:val="21"/>
        </w:rPr>
      </w:pPr>
      <w:r>
        <w:rPr>
          <w:rFonts w:hint="eastAsia" w:ascii="Times New Roman" w:eastAsiaTheme="minorEastAsia"/>
          <w:sz w:val="24"/>
          <w:szCs w:val="24"/>
        </w:rPr>
        <w:t>·</w:t>
      </w:r>
      <w:r>
        <w:rPr>
          <w:rFonts w:hint="eastAsia" w:ascii="Times New Roman" w:eastAsiaTheme="minorEastAsia"/>
          <w:szCs w:val="21"/>
        </w:rPr>
        <w:t>产品特点（包括制造工艺及原材料的特点）；</w:t>
      </w:r>
    </w:p>
    <w:p w14:paraId="175833F4">
      <w:pPr>
        <w:pStyle w:val="33"/>
        <w:numPr>
          <w:ilvl w:val="255"/>
          <w:numId w:val="0"/>
        </w:numPr>
        <w:ind w:firstLine="480"/>
        <w:rPr>
          <w:rFonts w:ascii="Times New Roman" w:eastAsiaTheme="minorEastAsia"/>
          <w:szCs w:val="21"/>
        </w:rPr>
      </w:pPr>
      <w:r>
        <w:rPr>
          <w:rFonts w:hint="eastAsia" w:ascii="Times New Roman" w:eastAsiaTheme="minorEastAsia"/>
          <w:sz w:val="24"/>
          <w:szCs w:val="24"/>
        </w:rPr>
        <w:t>·</w:t>
      </w:r>
      <w:r>
        <w:rPr>
          <w:rFonts w:hint="eastAsia" w:ascii="Times New Roman" w:eastAsiaTheme="minorEastAsia"/>
          <w:szCs w:val="21"/>
        </w:rPr>
        <w:t>对产品质量所负的责任；</w:t>
      </w:r>
    </w:p>
    <w:p w14:paraId="693EA635">
      <w:pPr>
        <w:pStyle w:val="33"/>
        <w:numPr>
          <w:ilvl w:val="255"/>
          <w:numId w:val="0"/>
        </w:numPr>
        <w:ind w:firstLine="480"/>
        <w:rPr>
          <w:rFonts w:ascii="Times New Roman" w:eastAsiaTheme="minorEastAsia"/>
          <w:szCs w:val="21"/>
        </w:rPr>
      </w:pPr>
      <w:r>
        <w:rPr>
          <w:rFonts w:hint="eastAsia" w:ascii="Times New Roman" w:eastAsiaTheme="minorEastAsia"/>
          <w:sz w:val="24"/>
          <w:szCs w:val="24"/>
        </w:rPr>
        <w:t>·</w:t>
      </w:r>
      <w:r>
        <w:rPr>
          <w:rFonts w:hint="eastAsia" w:ascii="Times New Roman" w:eastAsiaTheme="minorEastAsia"/>
          <w:szCs w:val="21"/>
        </w:rPr>
        <w:t>产品获得的质量认证及带供方技术监督部门检印的各项分析检验结果。</w:t>
      </w:r>
    </w:p>
    <w:p w14:paraId="75E7A8B5">
      <w:pPr>
        <w:pStyle w:val="33"/>
        <w:numPr>
          <w:ilvl w:val="255"/>
          <w:numId w:val="0"/>
        </w:numPr>
        <w:ind w:firstLine="420"/>
        <w:rPr>
          <w:rFonts w:ascii="Times New Roman" w:eastAsiaTheme="minorEastAsia"/>
        </w:rPr>
      </w:pPr>
      <w:r>
        <w:rPr>
          <w:rFonts w:hint="eastAsia" w:ascii="Times New Roman" w:eastAsiaTheme="minorEastAsia"/>
        </w:rPr>
        <w:t>b）产品合格证：</w:t>
      </w:r>
    </w:p>
    <w:p w14:paraId="251460E8">
      <w:pPr>
        <w:pStyle w:val="33"/>
        <w:numPr>
          <w:ilvl w:val="255"/>
          <w:numId w:val="0"/>
        </w:numPr>
        <w:ind w:firstLine="480" w:firstLineChars="200"/>
        <w:rPr>
          <w:rFonts w:ascii="Times New Roman" w:eastAsiaTheme="minorEastAsia"/>
          <w:szCs w:val="21"/>
        </w:rPr>
      </w:pPr>
      <w:r>
        <w:rPr>
          <w:rFonts w:hint="eastAsia" w:ascii="Times New Roman" w:eastAsiaTheme="minorEastAsia"/>
          <w:sz w:val="24"/>
          <w:szCs w:val="24"/>
        </w:rPr>
        <w:t>·</w:t>
      </w:r>
      <w:r>
        <w:rPr>
          <w:rFonts w:hint="eastAsia" w:ascii="Times New Roman" w:eastAsiaTheme="minorEastAsia"/>
          <w:szCs w:val="21"/>
        </w:rPr>
        <w:t>检验项目及其结果或检验结论；</w:t>
      </w:r>
    </w:p>
    <w:p w14:paraId="590391D9">
      <w:pPr>
        <w:pStyle w:val="33"/>
        <w:numPr>
          <w:ilvl w:val="255"/>
          <w:numId w:val="0"/>
        </w:numPr>
        <w:ind w:firstLine="480" w:firstLineChars="200"/>
        <w:rPr>
          <w:rFonts w:ascii="Times New Roman" w:eastAsiaTheme="minorEastAsia"/>
          <w:szCs w:val="21"/>
        </w:rPr>
      </w:pPr>
      <w:r>
        <w:rPr>
          <w:rFonts w:hint="eastAsia" w:ascii="Times New Roman" w:eastAsiaTheme="minorEastAsia"/>
          <w:sz w:val="24"/>
          <w:szCs w:val="24"/>
        </w:rPr>
        <w:t>·</w:t>
      </w:r>
      <w:r>
        <w:rPr>
          <w:rFonts w:hint="eastAsia" w:ascii="Times New Roman" w:eastAsiaTheme="minorEastAsia"/>
          <w:szCs w:val="21"/>
        </w:rPr>
        <w:t>批量或批号；</w:t>
      </w:r>
    </w:p>
    <w:p w14:paraId="3A87613F">
      <w:pPr>
        <w:pStyle w:val="33"/>
        <w:numPr>
          <w:ilvl w:val="255"/>
          <w:numId w:val="0"/>
        </w:numPr>
        <w:ind w:firstLine="480" w:firstLineChars="200"/>
        <w:rPr>
          <w:rFonts w:ascii="Times New Roman" w:eastAsiaTheme="minorEastAsia"/>
          <w:szCs w:val="21"/>
        </w:rPr>
      </w:pPr>
      <w:r>
        <w:rPr>
          <w:rFonts w:hint="eastAsia" w:ascii="Times New Roman" w:eastAsiaTheme="minorEastAsia"/>
          <w:sz w:val="24"/>
          <w:szCs w:val="24"/>
        </w:rPr>
        <w:t>·</w:t>
      </w:r>
      <w:r>
        <w:rPr>
          <w:rFonts w:hint="eastAsia" w:ascii="Times New Roman" w:eastAsiaTheme="minorEastAsia"/>
          <w:szCs w:val="21"/>
        </w:rPr>
        <w:t>检验日期；</w:t>
      </w:r>
    </w:p>
    <w:p w14:paraId="75D661AF">
      <w:pPr>
        <w:pStyle w:val="33"/>
        <w:numPr>
          <w:ilvl w:val="255"/>
          <w:numId w:val="0"/>
        </w:numPr>
        <w:ind w:firstLine="480"/>
        <w:rPr>
          <w:rFonts w:ascii="Times New Roman" w:eastAsiaTheme="minorEastAsia"/>
        </w:rPr>
      </w:pPr>
      <w:r>
        <w:rPr>
          <w:rFonts w:hint="eastAsia" w:ascii="Times New Roman" w:eastAsiaTheme="minorEastAsia"/>
          <w:sz w:val="24"/>
          <w:szCs w:val="24"/>
        </w:rPr>
        <w:t>·</w:t>
      </w:r>
      <w:r>
        <w:rPr>
          <w:rFonts w:hint="eastAsia" w:ascii="Times New Roman" w:eastAsiaTheme="minorEastAsia"/>
          <w:szCs w:val="21"/>
        </w:rPr>
        <w:t>检验员签名或盖章。</w:t>
      </w:r>
    </w:p>
    <w:p w14:paraId="607DA643">
      <w:pPr>
        <w:pStyle w:val="33"/>
        <w:numPr>
          <w:ilvl w:val="255"/>
          <w:numId w:val="0"/>
        </w:numPr>
        <w:ind w:firstLine="420"/>
        <w:rPr>
          <w:rFonts w:ascii="Times New Roman" w:eastAsiaTheme="minorEastAsia"/>
        </w:rPr>
      </w:pPr>
      <w:r>
        <w:rPr>
          <w:rFonts w:hint="eastAsia" w:ascii="Times New Roman" w:eastAsiaTheme="minorEastAsia"/>
        </w:rPr>
        <w:t>c）产品质量控制过程中的检验报告及成品检验报告。</w:t>
      </w:r>
    </w:p>
    <w:p w14:paraId="378468B9">
      <w:pPr>
        <w:pStyle w:val="33"/>
        <w:numPr>
          <w:ilvl w:val="255"/>
          <w:numId w:val="0"/>
        </w:numPr>
        <w:ind w:firstLine="420"/>
        <w:rPr>
          <w:rFonts w:ascii="Times New Roman" w:eastAsiaTheme="minorEastAsia"/>
        </w:rPr>
      </w:pPr>
      <w:r>
        <w:rPr>
          <w:rFonts w:hint="eastAsia" w:ascii="Times New Roman" w:eastAsiaTheme="minorEastAsia"/>
        </w:rPr>
        <w:t>d）产品使用说明：正确搬运、使用、贮存方法等。</w:t>
      </w:r>
    </w:p>
    <w:p w14:paraId="6B699D0D">
      <w:pPr>
        <w:pStyle w:val="33"/>
        <w:numPr>
          <w:ilvl w:val="255"/>
          <w:numId w:val="0"/>
        </w:numPr>
        <w:ind w:firstLine="420"/>
        <w:rPr>
          <w:rFonts w:ascii="Times New Roman" w:eastAsiaTheme="minorEastAsia"/>
        </w:rPr>
      </w:pPr>
      <w:r>
        <w:rPr>
          <w:rFonts w:hint="eastAsia" w:ascii="Times New Roman" w:eastAsiaTheme="minorEastAsia"/>
        </w:rPr>
        <w:t>e）其他。</w:t>
      </w:r>
    </w:p>
    <w:p w14:paraId="27D8A6D1">
      <w:pPr>
        <w:pStyle w:val="43"/>
        <w:keepNext w:val="0"/>
        <w:keepLines w:val="0"/>
        <w:pageBreakBefore w:val="0"/>
        <w:widowControl/>
        <w:kinsoku/>
        <w:wordWrap/>
        <w:overflowPunct/>
        <w:topLinePunct w:val="0"/>
        <w:bidi w:val="0"/>
        <w:adjustRightInd/>
        <w:snapToGrid/>
        <w:spacing w:before="312" w:beforeLines="100" w:after="312" w:afterLines="100" w:line="240" w:lineRule="auto"/>
        <w:textAlignment w:val="auto"/>
        <w:rPr>
          <w:rFonts w:hint="eastAsia" w:ascii="黑体" w:hAnsi="黑体" w:eastAsia="黑体" w:cs="黑体"/>
          <w:bCs/>
          <w:sz w:val="21"/>
          <w:szCs w:val="21"/>
          <w:lang w:val="en-US" w:eastAsia="zh-CN"/>
        </w:rPr>
      </w:pPr>
      <w:r>
        <w:rPr>
          <w:rFonts w:hint="eastAsia" w:ascii="黑体" w:hAnsi="黑体" w:eastAsia="黑体" w:cs="黑体"/>
          <w:bCs/>
          <w:sz w:val="21"/>
          <w:szCs w:val="21"/>
          <w:lang w:val="en-US" w:eastAsia="zh-CN"/>
        </w:rPr>
        <w:t>8  订货单内容</w:t>
      </w:r>
    </w:p>
    <w:p w14:paraId="33305135">
      <w:pPr>
        <w:pStyle w:val="33"/>
        <w:keepNext w:val="0"/>
        <w:keepLines w:val="0"/>
        <w:pageBreakBefore w:val="0"/>
        <w:widowControl/>
        <w:kinsoku/>
        <w:wordWrap/>
        <w:overflowPunct/>
        <w:topLinePunct w:val="0"/>
        <w:autoSpaceDE w:val="0"/>
        <w:autoSpaceDN w:val="0"/>
        <w:bidi w:val="0"/>
        <w:adjustRightInd/>
        <w:snapToGrid/>
        <w:spacing w:line="240" w:lineRule="auto"/>
        <w:ind w:firstLine="42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需方可根据自身的需要，在订购本文件所列产品的订货单内</w:t>
      </w:r>
      <w:r>
        <w:rPr>
          <w:rFonts w:hint="default" w:ascii="Times New Roman" w:hAnsi="Times New Roman" w:eastAsia="宋体" w:cs="Times New Roman"/>
          <w:sz w:val="21"/>
          <w:szCs w:val="21"/>
        </w:rPr>
        <w:t>，</w:t>
      </w:r>
      <w:r>
        <w:rPr>
          <w:rFonts w:hint="default" w:ascii="Times New Roman" w:hAnsi="Times New Roman" w:eastAsia="宋体" w:cs="Times New Roman"/>
          <w:sz w:val="21"/>
          <w:szCs w:val="21"/>
          <w:lang w:val="en-US" w:eastAsia="zh-CN"/>
        </w:rPr>
        <w:t>列出如下内容</w:t>
      </w:r>
      <w:r>
        <w:rPr>
          <w:rFonts w:hint="default" w:ascii="Times New Roman" w:hAnsi="Times New Roman" w:eastAsia="宋体" w:cs="Times New Roman"/>
          <w:sz w:val="21"/>
          <w:szCs w:val="21"/>
        </w:rPr>
        <w:t>：</w:t>
      </w:r>
    </w:p>
    <w:p w14:paraId="17189BDA">
      <w:pPr>
        <w:pStyle w:val="33"/>
        <w:keepNext w:val="0"/>
        <w:keepLines w:val="0"/>
        <w:pageBreakBefore w:val="0"/>
        <w:widowControl/>
        <w:kinsoku/>
        <w:wordWrap/>
        <w:overflowPunct/>
        <w:topLinePunct w:val="0"/>
        <w:autoSpaceDE w:val="0"/>
        <w:autoSpaceDN w:val="0"/>
        <w:bidi w:val="0"/>
        <w:adjustRightInd/>
        <w:snapToGrid/>
        <w:spacing w:line="240" w:lineRule="auto"/>
        <w:ind w:firstLine="42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a） 产品名称；</w:t>
      </w:r>
    </w:p>
    <w:p w14:paraId="56651908">
      <w:pPr>
        <w:pStyle w:val="33"/>
        <w:keepNext w:val="0"/>
        <w:keepLines w:val="0"/>
        <w:pageBreakBefore w:val="0"/>
        <w:widowControl/>
        <w:kinsoku/>
        <w:wordWrap/>
        <w:overflowPunct/>
        <w:topLinePunct w:val="0"/>
        <w:autoSpaceDE w:val="0"/>
        <w:autoSpaceDN w:val="0"/>
        <w:bidi w:val="0"/>
        <w:adjustRightInd/>
        <w:snapToGrid/>
        <w:spacing w:line="240" w:lineRule="auto"/>
        <w:ind w:firstLine="42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b）</w:t>
      </w:r>
      <w:r>
        <w:rPr>
          <w:rFonts w:hint="default" w:ascii="Times New Roman" w:hAnsi="Times New Roman" w:eastAsia="宋体" w:cs="Times New Roman"/>
          <w:color w:val="FF0000"/>
          <w:sz w:val="21"/>
          <w:szCs w:val="21"/>
        </w:rPr>
        <w:t xml:space="preserve"> </w:t>
      </w:r>
      <w:r>
        <w:rPr>
          <w:rFonts w:hint="default" w:ascii="Times New Roman" w:hAnsi="Times New Roman" w:eastAsia="宋体" w:cs="Times New Roman"/>
          <w:sz w:val="21"/>
          <w:szCs w:val="21"/>
          <w:lang w:val="en-US" w:eastAsia="zh-CN"/>
        </w:rPr>
        <w:t>化学成分</w:t>
      </w:r>
      <w:r>
        <w:rPr>
          <w:rFonts w:hint="default" w:ascii="Times New Roman" w:hAnsi="Times New Roman" w:eastAsia="宋体" w:cs="Times New Roman"/>
          <w:sz w:val="21"/>
          <w:szCs w:val="21"/>
        </w:rPr>
        <w:t>；</w:t>
      </w:r>
    </w:p>
    <w:p w14:paraId="071D159D">
      <w:pPr>
        <w:pStyle w:val="33"/>
        <w:keepNext w:val="0"/>
        <w:keepLines w:val="0"/>
        <w:pageBreakBefore w:val="0"/>
        <w:widowControl/>
        <w:kinsoku/>
        <w:wordWrap/>
        <w:overflowPunct/>
        <w:topLinePunct w:val="0"/>
        <w:autoSpaceDE w:val="0"/>
        <w:autoSpaceDN w:val="0"/>
        <w:bidi w:val="0"/>
        <w:adjustRightInd/>
        <w:snapToGrid/>
        <w:spacing w:line="240" w:lineRule="auto"/>
        <w:ind w:firstLine="42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 xml:space="preserve">c） </w:t>
      </w:r>
      <w:r>
        <w:rPr>
          <w:rFonts w:hint="eastAsia" w:ascii="Times New Roman" w:cs="Times New Roman"/>
          <w:sz w:val="21"/>
          <w:szCs w:val="21"/>
          <w:lang w:val="en-US" w:eastAsia="zh-CN"/>
        </w:rPr>
        <w:t>净重</w:t>
      </w:r>
      <w:r>
        <w:rPr>
          <w:rFonts w:hint="default" w:ascii="Times New Roman" w:hAnsi="Times New Roman" w:eastAsia="宋体" w:cs="Times New Roman"/>
          <w:sz w:val="21"/>
          <w:szCs w:val="21"/>
        </w:rPr>
        <w:t>；</w:t>
      </w:r>
    </w:p>
    <w:p w14:paraId="1CDE501F">
      <w:pPr>
        <w:pStyle w:val="33"/>
        <w:keepNext w:val="0"/>
        <w:keepLines w:val="0"/>
        <w:pageBreakBefore w:val="0"/>
        <w:widowControl/>
        <w:kinsoku/>
        <w:wordWrap/>
        <w:overflowPunct/>
        <w:topLinePunct w:val="0"/>
        <w:autoSpaceDE w:val="0"/>
        <w:autoSpaceDN w:val="0"/>
        <w:bidi w:val="0"/>
        <w:adjustRightInd/>
        <w:snapToGrid/>
        <w:spacing w:line="240" w:lineRule="auto"/>
        <w:ind w:firstLine="42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d） 本</w:t>
      </w:r>
      <w:r>
        <w:rPr>
          <w:rFonts w:hint="eastAsia" w:ascii="Times New Roman" w:cs="Times New Roman"/>
          <w:sz w:val="21"/>
          <w:szCs w:val="21"/>
          <w:lang w:val="en-US" w:eastAsia="zh-CN"/>
        </w:rPr>
        <w:t>文件</w:t>
      </w:r>
      <w:r>
        <w:rPr>
          <w:rFonts w:hint="default" w:ascii="Times New Roman" w:hAnsi="Times New Roman" w:eastAsia="宋体" w:cs="Times New Roman"/>
          <w:sz w:val="21"/>
          <w:szCs w:val="21"/>
        </w:rPr>
        <w:t>编号；</w:t>
      </w:r>
    </w:p>
    <w:p w14:paraId="7A72A5C1">
      <w:pPr>
        <w:pStyle w:val="33"/>
        <w:spacing w:line="240" w:lineRule="auto"/>
        <w:ind w:firstLine="42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 xml:space="preserve">e） </w:t>
      </w:r>
      <w:r>
        <w:rPr>
          <w:rFonts w:hint="eastAsia" w:ascii="Times New Roman" w:cs="Times New Roman"/>
          <w:sz w:val="21"/>
          <w:szCs w:val="21"/>
          <w:lang w:val="en-US" w:eastAsia="zh-CN"/>
        </w:rPr>
        <w:t>供需双方协商确定的特殊要求；</w:t>
      </w:r>
    </w:p>
    <w:p w14:paraId="10D6FA9E">
      <w:pPr>
        <w:pStyle w:val="33"/>
        <w:spacing w:line="240" w:lineRule="auto"/>
        <w:ind w:firstLine="420"/>
        <w:rPr>
          <w:rFonts w:hint="eastAsia" w:ascii="黑体" w:hAnsi="黑体" w:eastAsia="黑体" w:cs="黑体"/>
          <w:sz w:val="21"/>
          <w:szCs w:val="21"/>
        </w:rPr>
      </w:pPr>
      <w:r>
        <w:rPr>
          <w:rFonts w:hint="eastAsia" w:ascii="Times New Roman" w:cs="Times New Roman"/>
          <w:sz w:val="21"/>
          <w:szCs w:val="21"/>
          <w:lang w:val="en-US" w:eastAsia="zh-CN"/>
        </w:rPr>
        <w:t>f）</w:t>
      </w:r>
      <w:r>
        <w:rPr>
          <w:rFonts w:hint="default" w:ascii="Times New Roman" w:hAnsi="Times New Roman" w:eastAsia="宋体" w:cs="Times New Roman"/>
          <w:sz w:val="21"/>
          <w:szCs w:val="21"/>
          <w:lang w:val="en-US" w:eastAsia="zh-CN"/>
        </w:rPr>
        <w:t>其他</w:t>
      </w:r>
      <w:r>
        <w:rPr>
          <w:rFonts w:hint="default" w:ascii="Times New Roman" w:hAnsi="Times New Roman" w:eastAsia="宋体" w:cs="Times New Roman"/>
          <w:sz w:val="21"/>
          <w:szCs w:val="21"/>
          <w:lang w:eastAsia="zh-CN"/>
        </w:rPr>
        <w:t>。</w:t>
      </w:r>
      <w:bookmarkEnd w:id="2"/>
    </w:p>
    <w:p w14:paraId="44311EDE">
      <w:pPr>
        <w:pStyle w:val="33"/>
        <w:spacing w:line="360" w:lineRule="auto"/>
        <w:ind w:firstLine="0" w:firstLineChars="0"/>
        <w:rPr>
          <w:rFonts w:hint="eastAsia" w:ascii="黑体" w:hAnsi="黑体" w:eastAsia="黑体" w:cs="黑体"/>
          <w:sz w:val="21"/>
          <w:szCs w:val="21"/>
        </w:rPr>
      </w:pPr>
    </w:p>
    <w:p w14:paraId="2062B289">
      <w:pPr>
        <w:pStyle w:val="33"/>
        <w:spacing w:line="360" w:lineRule="auto"/>
        <w:ind w:firstLine="0" w:firstLineChars="0"/>
        <w:rPr>
          <w:rFonts w:hint="eastAsia" w:ascii="黑体" w:hAnsi="黑体" w:eastAsia="黑体" w:cs="黑体"/>
          <w:sz w:val="21"/>
          <w:szCs w:val="21"/>
        </w:rPr>
      </w:pPr>
      <w:r>
        <w:rPr>
          <w:rFonts w:hint="eastAsia" w:ascii="黑体" w:hAnsi="黑体" w:eastAsia="黑体" w:cs="黑体"/>
          <w:sz w:val="21"/>
          <w:szCs w:val="21"/>
        </w:rPr>
        <mc:AlternateContent>
          <mc:Choice Requires="wps">
            <w:drawing>
              <wp:anchor distT="0" distB="0" distL="114300" distR="114300" simplePos="0" relativeHeight="251664384" behindDoc="0" locked="0" layoutInCell="1" allowOverlap="1">
                <wp:simplePos x="0" y="0"/>
                <wp:positionH relativeFrom="column">
                  <wp:posOffset>2209800</wp:posOffset>
                </wp:positionH>
                <wp:positionV relativeFrom="paragraph">
                  <wp:posOffset>208280</wp:posOffset>
                </wp:positionV>
                <wp:extent cx="1524000" cy="635"/>
                <wp:effectExtent l="0" t="0" r="0" b="0"/>
                <wp:wrapNone/>
                <wp:docPr id="10" name="直线 16"/>
                <wp:cNvGraphicFramePr/>
                <a:graphic xmlns:a="http://schemas.openxmlformats.org/drawingml/2006/main">
                  <a:graphicData uri="http://schemas.microsoft.com/office/word/2010/wordprocessingShape">
                    <wps:wsp>
                      <wps:cNvCnPr/>
                      <wps:spPr>
                        <a:xfrm>
                          <a:off x="0" y="0"/>
                          <a:ext cx="1524000" cy="635"/>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直线 16" o:spid="_x0000_s1026" o:spt="20" style="position:absolute;left:0pt;margin-left:174pt;margin-top:16.4pt;height:0.05pt;width:120pt;z-index:251664384;mso-width-relative:page;mso-height-relative:page;" filled="f" stroked="t" coordsize="21600,21600" o:gfxdata="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PJlSXzXAAAACQEAAA8A&#10;AAAAAAAAAQAgAAAAIgAAAGRycy9kb3ducmV2LnhtbFBLAQIUABQAAAAIAIdO4kCSWQPu3wEAANQD&#10;AAAOAAAAAAAAAAEAIAAAACYBAABkcnMvZTJvRG9jLnhtbFBLBQYAAAAABgAGAFkBAAB3BQAAAAA=&#10;">
                <v:fill on="f" focussize="0,0"/>
                <v:stroke weight="1pt" color="#000000" joinstyle="round"/>
                <v:imagedata o:title=""/>
                <o:lock v:ext="edit" aspectratio="f"/>
              </v:line>
            </w:pict>
          </mc:Fallback>
        </mc:AlternateContent>
      </w:r>
    </w:p>
    <w:sectPr>
      <w:footerReference r:id="rId11" w:type="default"/>
      <w:pgSz w:w="11907" w:h="16839"/>
      <w:pgMar w:top="1418" w:right="1134" w:bottom="1134" w:left="1418" w:header="1418" w:footer="851"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9E326">
    <w:pPr>
      <w:pStyle w:val="10"/>
      <w:ind w:right="210"/>
    </w:pPr>
    <w:r>
      <w:fldChar w:fldCharType="begin"/>
    </w:r>
    <w:r>
      <w:instrText xml:space="preserve">PAGE   \* MERGEFORMAT</w:instrText>
    </w:r>
    <w:r>
      <w:fldChar w:fldCharType="separate"/>
    </w:r>
    <w:r>
      <w:rPr>
        <w:lang w:val="zh-CN"/>
      </w:rPr>
      <w:t>II</w:t>
    </w:r>
    <w:r>
      <w:rPr>
        <w:lang w:val="zh-CN"/>
      </w:rPr>
      <w:fldChar w:fldCharType="end"/>
    </w:r>
  </w:p>
  <w:p w14:paraId="6282FDC4">
    <w:pPr>
      <w:pStyle w:val="53"/>
      <w:rPr>
        <w:rStyle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C3A50">
    <w:pPr>
      <w:pStyle w:val="63"/>
      <w:rPr>
        <w:rStyle w:val="20"/>
      </w:rPr>
    </w:pPr>
    <w:r>
      <w:fldChar w:fldCharType="begin"/>
    </w:r>
    <w:r>
      <w:rPr>
        <w:rStyle w:val="20"/>
      </w:rPr>
      <w:instrText xml:space="preserve">PAGE  </w:instrText>
    </w:r>
    <w:r>
      <w:fldChar w:fldCharType="separate"/>
    </w:r>
    <w:r>
      <w:rPr>
        <w:rStyle w:val="20"/>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2463D">
    <w:pPr>
      <w:pStyle w:val="10"/>
      <w:ind w:right="2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CCF25">
    <w:pPr>
      <w:pStyle w:val="10"/>
      <w:ind w:right="210"/>
      <w:rPr>
        <w:rStyle w:val="20"/>
      </w:rPr>
    </w:pPr>
    <w:r>
      <w:rPr>
        <w:rStyle w:val="20"/>
        <w:rFonts w:hint="eastAsia" w:ascii="宋体" w:hAnsi="宋体"/>
      </w:rPr>
      <w:t>Ⅰ</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C7C51">
    <w:pPr>
      <w:pStyle w:val="63"/>
      <w:rPr>
        <w:rStyle w:val="20"/>
      </w:rPr>
    </w:pPr>
    <w:r>
      <w:fldChar w:fldCharType="begin"/>
    </w:r>
    <w:r>
      <w:rPr>
        <w:rStyle w:val="20"/>
      </w:rPr>
      <w:instrText xml:space="preserve">PAGE  </w:instrText>
    </w:r>
    <w:r>
      <w:fldChar w:fldCharType="separate"/>
    </w:r>
    <w:r>
      <w:rPr>
        <w:rStyle w:val="20"/>
      </w:rPr>
      <w:t>2</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399AF">
    <w:pPr>
      <w:pStyle w:val="10"/>
      <w:ind w:right="210"/>
    </w:pPr>
    <w:r>
      <w:fldChar w:fldCharType="begin"/>
    </w:r>
    <w:r>
      <w:instrText xml:space="preserve">PAGE   \* MERGEFORMAT</w:instrText>
    </w:r>
    <w:r>
      <w:fldChar w:fldCharType="separate"/>
    </w:r>
    <w:r>
      <w:rPr>
        <w:lang w:val="zh-CN"/>
      </w:rPr>
      <w:t>1</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FB3C9">
    <w:pPr>
      <w:pStyle w:val="55"/>
    </w:pPr>
    <w:r>
      <w:rPr>
        <w:rFonts w:hint="eastAsia" w:ascii="黑体" w:hAnsi="黑体" w:eastAsia="黑体" w:cs="黑体"/>
      </w:rPr>
      <w:t>YS/T ××××—20×</w:t>
    </w:r>
    <w:bookmarkStart w:id="6" w:name="OLE_LINK20"/>
    <w:bookmarkStart w:id="7" w:name="OLE_LINK19"/>
    <w:r>
      <w:rPr>
        <w:rFonts w:hint="eastAsia" w:ascii="黑体" w:hAnsi="黑体" w:eastAsia="黑体" w:cs="黑体"/>
      </w:rPr>
      <w:t>×</w:t>
    </w:r>
    <w:bookmarkEnd w:id="6"/>
    <w:bookmarkEnd w:id="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99CF9">
    <w:pPr>
      <w:pStyle w:val="55"/>
      <w:jc w:val="both"/>
    </w:pPr>
    <w:r>
      <w:rPr>
        <w:rFonts w:hint="eastAsia" w:ascii="黑体" w:hAnsi="黑体" w:eastAsia="黑体" w:cs="黑体"/>
      </w:rPr>
      <w:t>YS/T ××××—20××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267C9">
    <w:pPr>
      <w:pStyle w:val="65"/>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bordersDoNotSurroundHeader w:val="0"/>
  <w:bordersDoNotSurroundFooter w:val="0"/>
  <w:trackRevisions w:val="1"/>
  <w:documentProtection w:enforcement="0"/>
  <w:defaultTabStop w:val="420"/>
  <w:evenAndOddHeaders w:val="1"/>
  <w:drawingGridHorizontalSpacing w:val="181"/>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JhNjFiYzEyMGYxNjdhN2I2ODlmY2E1MmZjYThkZWYifQ=="/>
    <w:docVar w:name="KSO_WPS_MARK_KEY" w:val="c25f1d33-eef7-4a5d-b83c-5b59037005d4"/>
  </w:docVars>
  <w:rsids>
    <w:rsidRoot w:val="00172A27"/>
    <w:rsid w:val="00000E16"/>
    <w:rsid w:val="000125A0"/>
    <w:rsid w:val="00012B56"/>
    <w:rsid w:val="00012CFC"/>
    <w:rsid w:val="00013A6A"/>
    <w:rsid w:val="00013BDF"/>
    <w:rsid w:val="00016667"/>
    <w:rsid w:val="00021D65"/>
    <w:rsid w:val="00025511"/>
    <w:rsid w:val="000356D7"/>
    <w:rsid w:val="0004164E"/>
    <w:rsid w:val="00042D43"/>
    <w:rsid w:val="00043578"/>
    <w:rsid w:val="00044FDA"/>
    <w:rsid w:val="00045538"/>
    <w:rsid w:val="000457C4"/>
    <w:rsid w:val="00046F28"/>
    <w:rsid w:val="00046F42"/>
    <w:rsid w:val="00046FC1"/>
    <w:rsid w:val="000506BD"/>
    <w:rsid w:val="0005142F"/>
    <w:rsid w:val="00055789"/>
    <w:rsid w:val="0005672F"/>
    <w:rsid w:val="00056B37"/>
    <w:rsid w:val="00057837"/>
    <w:rsid w:val="0006095F"/>
    <w:rsid w:val="0006246B"/>
    <w:rsid w:val="00062FBB"/>
    <w:rsid w:val="00064154"/>
    <w:rsid w:val="00064DFF"/>
    <w:rsid w:val="00064FB6"/>
    <w:rsid w:val="0006640B"/>
    <w:rsid w:val="00066E21"/>
    <w:rsid w:val="000711C4"/>
    <w:rsid w:val="00073328"/>
    <w:rsid w:val="0007419A"/>
    <w:rsid w:val="000757C9"/>
    <w:rsid w:val="000758BF"/>
    <w:rsid w:val="00077A1A"/>
    <w:rsid w:val="00077A85"/>
    <w:rsid w:val="00077BDE"/>
    <w:rsid w:val="0008138E"/>
    <w:rsid w:val="00085CCF"/>
    <w:rsid w:val="000876B6"/>
    <w:rsid w:val="000945AC"/>
    <w:rsid w:val="00095560"/>
    <w:rsid w:val="00096CC4"/>
    <w:rsid w:val="000975C5"/>
    <w:rsid w:val="000A0360"/>
    <w:rsid w:val="000A1BAC"/>
    <w:rsid w:val="000A297D"/>
    <w:rsid w:val="000A2B58"/>
    <w:rsid w:val="000A444F"/>
    <w:rsid w:val="000A78CE"/>
    <w:rsid w:val="000A7D96"/>
    <w:rsid w:val="000B0472"/>
    <w:rsid w:val="000B13F8"/>
    <w:rsid w:val="000B4727"/>
    <w:rsid w:val="000B51D9"/>
    <w:rsid w:val="000B5961"/>
    <w:rsid w:val="000B602F"/>
    <w:rsid w:val="000B653C"/>
    <w:rsid w:val="000B7073"/>
    <w:rsid w:val="000C024F"/>
    <w:rsid w:val="000C1E06"/>
    <w:rsid w:val="000C2701"/>
    <w:rsid w:val="000C3DDB"/>
    <w:rsid w:val="000C54DA"/>
    <w:rsid w:val="000C573A"/>
    <w:rsid w:val="000C7112"/>
    <w:rsid w:val="000C7DCC"/>
    <w:rsid w:val="000D1218"/>
    <w:rsid w:val="000D2042"/>
    <w:rsid w:val="000D2401"/>
    <w:rsid w:val="000D29A9"/>
    <w:rsid w:val="000D2C49"/>
    <w:rsid w:val="000D3BF7"/>
    <w:rsid w:val="000E1B93"/>
    <w:rsid w:val="000E334B"/>
    <w:rsid w:val="000E3575"/>
    <w:rsid w:val="000E6163"/>
    <w:rsid w:val="000E6895"/>
    <w:rsid w:val="000F1835"/>
    <w:rsid w:val="000F2502"/>
    <w:rsid w:val="000F4F28"/>
    <w:rsid w:val="000F793D"/>
    <w:rsid w:val="00101AFB"/>
    <w:rsid w:val="0010676A"/>
    <w:rsid w:val="00111094"/>
    <w:rsid w:val="00113561"/>
    <w:rsid w:val="00113B5C"/>
    <w:rsid w:val="00116EAC"/>
    <w:rsid w:val="00117F4D"/>
    <w:rsid w:val="00120AF9"/>
    <w:rsid w:val="00124018"/>
    <w:rsid w:val="00126960"/>
    <w:rsid w:val="00127A3F"/>
    <w:rsid w:val="001303FB"/>
    <w:rsid w:val="00133268"/>
    <w:rsid w:val="00133D73"/>
    <w:rsid w:val="00136066"/>
    <w:rsid w:val="001373AD"/>
    <w:rsid w:val="00137C04"/>
    <w:rsid w:val="00142D50"/>
    <w:rsid w:val="001432A4"/>
    <w:rsid w:val="001448E2"/>
    <w:rsid w:val="00144B03"/>
    <w:rsid w:val="00147163"/>
    <w:rsid w:val="00147C75"/>
    <w:rsid w:val="0015264E"/>
    <w:rsid w:val="00153025"/>
    <w:rsid w:val="0015328B"/>
    <w:rsid w:val="00153797"/>
    <w:rsid w:val="001552B5"/>
    <w:rsid w:val="00155B4A"/>
    <w:rsid w:val="00163643"/>
    <w:rsid w:val="0016375D"/>
    <w:rsid w:val="0016389E"/>
    <w:rsid w:val="00165987"/>
    <w:rsid w:val="00172A27"/>
    <w:rsid w:val="001754DB"/>
    <w:rsid w:val="00176172"/>
    <w:rsid w:val="00180C2C"/>
    <w:rsid w:val="00183C31"/>
    <w:rsid w:val="00185B43"/>
    <w:rsid w:val="00186520"/>
    <w:rsid w:val="001872AA"/>
    <w:rsid w:val="0019102A"/>
    <w:rsid w:val="00196F81"/>
    <w:rsid w:val="001A0269"/>
    <w:rsid w:val="001A1A68"/>
    <w:rsid w:val="001A2B37"/>
    <w:rsid w:val="001A32D3"/>
    <w:rsid w:val="001A3329"/>
    <w:rsid w:val="001B0FEE"/>
    <w:rsid w:val="001B140C"/>
    <w:rsid w:val="001B2E32"/>
    <w:rsid w:val="001B3700"/>
    <w:rsid w:val="001C1308"/>
    <w:rsid w:val="001C40DF"/>
    <w:rsid w:val="001C4333"/>
    <w:rsid w:val="001C591F"/>
    <w:rsid w:val="001C5FA3"/>
    <w:rsid w:val="001C7710"/>
    <w:rsid w:val="001D138E"/>
    <w:rsid w:val="001D2F1D"/>
    <w:rsid w:val="001D4E82"/>
    <w:rsid w:val="001D4EBD"/>
    <w:rsid w:val="001E639A"/>
    <w:rsid w:val="001E70B7"/>
    <w:rsid w:val="001E75F9"/>
    <w:rsid w:val="001F1EFC"/>
    <w:rsid w:val="001F2140"/>
    <w:rsid w:val="001F4009"/>
    <w:rsid w:val="001F5782"/>
    <w:rsid w:val="001F6922"/>
    <w:rsid w:val="001F6FEF"/>
    <w:rsid w:val="00200A1B"/>
    <w:rsid w:val="00202DD9"/>
    <w:rsid w:val="00203590"/>
    <w:rsid w:val="00205381"/>
    <w:rsid w:val="00205AF2"/>
    <w:rsid w:val="00205C28"/>
    <w:rsid w:val="002101B5"/>
    <w:rsid w:val="002101BB"/>
    <w:rsid w:val="00211DE3"/>
    <w:rsid w:val="00212F3E"/>
    <w:rsid w:val="00213174"/>
    <w:rsid w:val="00213734"/>
    <w:rsid w:val="002158A7"/>
    <w:rsid w:val="0021610E"/>
    <w:rsid w:val="00217184"/>
    <w:rsid w:val="00217A08"/>
    <w:rsid w:val="002223C1"/>
    <w:rsid w:val="00223625"/>
    <w:rsid w:val="002254CC"/>
    <w:rsid w:val="00226254"/>
    <w:rsid w:val="00226A50"/>
    <w:rsid w:val="00226D90"/>
    <w:rsid w:val="002313A8"/>
    <w:rsid w:val="00231627"/>
    <w:rsid w:val="002320DA"/>
    <w:rsid w:val="00234554"/>
    <w:rsid w:val="002351A3"/>
    <w:rsid w:val="0023673B"/>
    <w:rsid w:val="0024088A"/>
    <w:rsid w:val="002414CE"/>
    <w:rsid w:val="00242F36"/>
    <w:rsid w:val="002441BB"/>
    <w:rsid w:val="00244621"/>
    <w:rsid w:val="002449B1"/>
    <w:rsid w:val="00245C26"/>
    <w:rsid w:val="00247FA2"/>
    <w:rsid w:val="00250008"/>
    <w:rsid w:val="00250CF1"/>
    <w:rsid w:val="00250DB1"/>
    <w:rsid w:val="002556C3"/>
    <w:rsid w:val="002606CF"/>
    <w:rsid w:val="00260FB5"/>
    <w:rsid w:val="00262598"/>
    <w:rsid w:val="00263D34"/>
    <w:rsid w:val="00271D3F"/>
    <w:rsid w:val="00271DDF"/>
    <w:rsid w:val="00272574"/>
    <w:rsid w:val="002737BD"/>
    <w:rsid w:val="0027421B"/>
    <w:rsid w:val="0027421E"/>
    <w:rsid w:val="00275B4A"/>
    <w:rsid w:val="00276DCD"/>
    <w:rsid w:val="002772B9"/>
    <w:rsid w:val="00281C99"/>
    <w:rsid w:val="002830CB"/>
    <w:rsid w:val="00284C95"/>
    <w:rsid w:val="002852F3"/>
    <w:rsid w:val="00286364"/>
    <w:rsid w:val="0028645A"/>
    <w:rsid w:val="0028745D"/>
    <w:rsid w:val="00287709"/>
    <w:rsid w:val="002914C6"/>
    <w:rsid w:val="0029152B"/>
    <w:rsid w:val="00291B13"/>
    <w:rsid w:val="00291C54"/>
    <w:rsid w:val="00293CC4"/>
    <w:rsid w:val="00294493"/>
    <w:rsid w:val="002A1259"/>
    <w:rsid w:val="002A1408"/>
    <w:rsid w:val="002A2527"/>
    <w:rsid w:val="002A2A8F"/>
    <w:rsid w:val="002A2AB5"/>
    <w:rsid w:val="002A2E1D"/>
    <w:rsid w:val="002A5083"/>
    <w:rsid w:val="002B1FE4"/>
    <w:rsid w:val="002B28BC"/>
    <w:rsid w:val="002B545C"/>
    <w:rsid w:val="002B6AEA"/>
    <w:rsid w:val="002C117B"/>
    <w:rsid w:val="002C1459"/>
    <w:rsid w:val="002C41B6"/>
    <w:rsid w:val="002C7697"/>
    <w:rsid w:val="002D17D3"/>
    <w:rsid w:val="002D53C6"/>
    <w:rsid w:val="002D5A7F"/>
    <w:rsid w:val="002D7735"/>
    <w:rsid w:val="002E0D4D"/>
    <w:rsid w:val="002E337A"/>
    <w:rsid w:val="002E6DD3"/>
    <w:rsid w:val="002E713B"/>
    <w:rsid w:val="002E7802"/>
    <w:rsid w:val="002F4895"/>
    <w:rsid w:val="002F557D"/>
    <w:rsid w:val="002F661E"/>
    <w:rsid w:val="002F69A1"/>
    <w:rsid w:val="002F6A47"/>
    <w:rsid w:val="002F77C9"/>
    <w:rsid w:val="002F799C"/>
    <w:rsid w:val="003010F2"/>
    <w:rsid w:val="00301608"/>
    <w:rsid w:val="003023C1"/>
    <w:rsid w:val="00302D9E"/>
    <w:rsid w:val="003037BA"/>
    <w:rsid w:val="00304C71"/>
    <w:rsid w:val="003100E4"/>
    <w:rsid w:val="00313F0B"/>
    <w:rsid w:val="00317190"/>
    <w:rsid w:val="00320568"/>
    <w:rsid w:val="00321EBE"/>
    <w:rsid w:val="00322161"/>
    <w:rsid w:val="00322851"/>
    <w:rsid w:val="00323573"/>
    <w:rsid w:val="00330AD4"/>
    <w:rsid w:val="00331A2D"/>
    <w:rsid w:val="003325BF"/>
    <w:rsid w:val="003334E7"/>
    <w:rsid w:val="00333746"/>
    <w:rsid w:val="00336A67"/>
    <w:rsid w:val="00337EDC"/>
    <w:rsid w:val="00342328"/>
    <w:rsid w:val="00346A64"/>
    <w:rsid w:val="00347102"/>
    <w:rsid w:val="00351477"/>
    <w:rsid w:val="00353143"/>
    <w:rsid w:val="0035400D"/>
    <w:rsid w:val="003550D5"/>
    <w:rsid w:val="00357004"/>
    <w:rsid w:val="00361E87"/>
    <w:rsid w:val="00362269"/>
    <w:rsid w:val="0036409E"/>
    <w:rsid w:val="0036433B"/>
    <w:rsid w:val="00364DAD"/>
    <w:rsid w:val="00365B4B"/>
    <w:rsid w:val="003708F6"/>
    <w:rsid w:val="00370EF4"/>
    <w:rsid w:val="00371016"/>
    <w:rsid w:val="003710CA"/>
    <w:rsid w:val="003712EC"/>
    <w:rsid w:val="00372C46"/>
    <w:rsid w:val="0037350F"/>
    <w:rsid w:val="00373B9B"/>
    <w:rsid w:val="003823E8"/>
    <w:rsid w:val="003829CA"/>
    <w:rsid w:val="003845AD"/>
    <w:rsid w:val="00384E58"/>
    <w:rsid w:val="00390988"/>
    <w:rsid w:val="003919BC"/>
    <w:rsid w:val="003A04C5"/>
    <w:rsid w:val="003A0735"/>
    <w:rsid w:val="003A3041"/>
    <w:rsid w:val="003A4C13"/>
    <w:rsid w:val="003A513B"/>
    <w:rsid w:val="003A70F7"/>
    <w:rsid w:val="003A775E"/>
    <w:rsid w:val="003B0208"/>
    <w:rsid w:val="003B049D"/>
    <w:rsid w:val="003B1058"/>
    <w:rsid w:val="003B399D"/>
    <w:rsid w:val="003B68A6"/>
    <w:rsid w:val="003B7A8B"/>
    <w:rsid w:val="003C0A74"/>
    <w:rsid w:val="003C1860"/>
    <w:rsid w:val="003C37CC"/>
    <w:rsid w:val="003C4C15"/>
    <w:rsid w:val="003C56A6"/>
    <w:rsid w:val="003C6590"/>
    <w:rsid w:val="003C6B75"/>
    <w:rsid w:val="003C7167"/>
    <w:rsid w:val="003C7D6D"/>
    <w:rsid w:val="003D015A"/>
    <w:rsid w:val="003D0596"/>
    <w:rsid w:val="003D0884"/>
    <w:rsid w:val="003D3CBA"/>
    <w:rsid w:val="003D3F72"/>
    <w:rsid w:val="003D3F98"/>
    <w:rsid w:val="003D69C3"/>
    <w:rsid w:val="003E0D74"/>
    <w:rsid w:val="003E51D1"/>
    <w:rsid w:val="003E7204"/>
    <w:rsid w:val="003F183F"/>
    <w:rsid w:val="003F1CBC"/>
    <w:rsid w:val="003F31FE"/>
    <w:rsid w:val="003F3212"/>
    <w:rsid w:val="003F3690"/>
    <w:rsid w:val="003F4590"/>
    <w:rsid w:val="003F51CA"/>
    <w:rsid w:val="003F56EF"/>
    <w:rsid w:val="003F58F9"/>
    <w:rsid w:val="003F5CCE"/>
    <w:rsid w:val="00400B0B"/>
    <w:rsid w:val="00402886"/>
    <w:rsid w:val="0040463D"/>
    <w:rsid w:val="004062BF"/>
    <w:rsid w:val="00406F44"/>
    <w:rsid w:val="00411EA1"/>
    <w:rsid w:val="0041247F"/>
    <w:rsid w:val="00414DE2"/>
    <w:rsid w:val="00421DD9"/>
    <w:rsid w:val="004228E4"/>
    <w:rsid w:val="00424D2A"/>
    <w:rsid w:val="00426179"/>
    <w:rsid w:val="004302CD"/>
    <w:rsid w:val="004314AB"/>
    <w:rsid w:val="00432672"/>
    <w:rsid w:val="0043398B"/>
    <w:rsid w:val="00434917"/>
    <w:rsid w:val="00435BFD"/>
    <w:rsid w:val="00437F75"/>
    <w:rsid w:val="00440DAA"/>
    <w:rsid w:val="0044112E"/>
    <w:rsid w:val="004419F7"/>
    <w:rsid w:val="00442D9C"/>
    <w:rsid w:val="00443C64"/>
    <w:rsid w:val="00445153"/>
    <w:rsid w:val="004464C7"/>
    <w:rsid w:val="00446C5D"/>
    <w:rsid w:val="00447EF0"/>
    <w:rsid w:val="00452B15"/>
    <w:rsid w:val="0045321A"/>
    <w:rsid w:val="00455865"/>
    <w:rsid w:val="0045683E"/>
    <w:rsid w:val="00456F28"/>
    <w:rsid w:val="004576C0"/>
    <w:rsid w:val="00457887"/>
    <w:rsid w:val="004604CF"/>
    <w:rsid w:val="00461262"/>
    <w:rsid w:val="004616A8"/>
    <w:rsid w:val="004616F4"/>
    <w:rsid w:val="00461AD7"/>
    <w:rsid w:val="00462CCE"/>
    <w:rsid w:val="004667EF"/>
    <w:rsid w:val="00467662"/>
    <w:rsid w:val="00467792"/>
    <w:rsid w:val="00467DA1"/>
    <w:rsid w:val="004734AA"/>
    <w:rsid w:val="00476E21"/>
    <w:rsid w:val="00476F21"/>
    <w:rsid w:val="00477CAF"/>
    <w:rsid w:val="00480B4A"/>
    <w:rsid w:val="00483180"/>
    <w:rsid w:val="00483B34"/>
    <w:rsid w:val="00483D3A"/>
    <w:rsid w:val="00486461"/>
    <w:rsid w:val="00491E86"/>
    <w:rsid w:val="00492E8C"/>
    <w:rsid w:val="00494087"/>
    <w:rsid w:val="0049434D"/>
    <w:rsid w:val="004960EB"/>
    <w:rsid w:val="00496D28"/>
    <w:rsid w:val="004A027F"/>
    <w:rsid w:val="004A1191"/>
    <w:rsid w:val="004A14EB"/>
    <w:rsid w:val="004A7C8C"/>
    <w:rsid w:val="004B171E"/>
    <w:rsid w:val="004B2003"/>
    <w:rsid w:val="004B33D9"/>
    <w:rsid w:val="004B3789"/>
    <w:rsid w:val="004B448E"/>
    <w:rsid w:val="004B5C07"/>
    <w:rsid w:val="004B5EAB"/>
    <w:rsid w:val="004B6A2E"/>
    <w:rsid w:val="004B7EEC"/>
    <w:rsid w:val="004C005E"/>
    <w:rsid w:val="004C026A"/>
    <w:rsid w:val="004C0C29"/>
    <w:rsid w:val="004C12B2"/>
    <w:rsid w:val="004C2638"/>
    <w:rsid w:val="004C34F7"/>
    <w:rsid w:val="004C47FD"/>
    <w:rsid w:val="004C55C1"/>
    <w:rsid w:val="004C5C13"/>
    <w:rsid w:val="004C616C"/>
    <w:rsid w:val="004C6286"/>
    <w:rsid w:val="004C7CBA"/>
    <w:rsid w:val="004D0068"/>
    <w:rsid w:val="004D0C56"/>
    <w:rsid w:val="004D18CE"/>
    <w:rsid w:val="004D251E"/>
    <w:rsid w:val="004D4ECD"/>
    <w:rsid w:val="004D705C"/>
    <w:rsid w:val="004E00DF"/>
    <w:rsid w:val="004E2C11"/>
    <w:rsid w:val="004E3F8C"/>
    <w:rsid w:val="004E7BC0"/>
    <w:rsid w:val="004F0101"/>
    <w:rsid w:val="004F08E8"/>
    <w:rsid w:val="004F127C"/>
    <w:rsid w:val="004F1649"/>
    <w:rsid w:val="004F3B9E"/>
    <w:rsid w:val="004F4F99"/>
    <w:rsid w:val="004F56DA"/>
    <w:rsid w:val="004F5FAE"/>
    <w:rsid w:val="004F6FCF"/>
    <w:rsid w:val="00501668"/>
    <w:rsid w:val="00501F0E"/>
    <w:rsid w:val="00502910"/>
    <w:rsid w:val="00504284"/>
    <w:rsid w:val="0050450B"/>
    <w:rsid w:val="00506871"/>
    <w:rsid w:val="00510714"/>
    <w:rsid w:val="0051203F"/>
    <w:rsid w:val="00512203"/>
    <w:rsid w:val="00512696"/>
    <w:rsid w:val="00516489"/>
    <w:rsid w:val="0051663E"/>
    <w:rsid w:val="00517955"/>
    <w:rsid w:val="00520666"/>
    <w:rsid w:val="005222EA"/>
    <w:rsid w:val="005247AF"/>
    <w:rsid w:val="00525528"/>
    <w:rsid w:val="005258A0"/>
    <w:rsid w:val="0052686C"/>
    <w:rsid w:val="005315A9"/>
    <w:rsid w:val="00532472"/>
    <w:rsid w:val="005329DA"/>
    <w:rsid w:val="005331A2"/>
    <w:rsid w:val="0053384D"/>
    <w:rsid w:val="00535E1C"/>
    <w:rsid w:val="005373F1"/>
    <w:rsid w:val="005379BA"/>
    <w:rsid w:val="005469FD"/>
    <w:rsid w:val="00546C61"/>
    <w:rsid w:val="00547BA4"/>
    <w:rsid w:val="00550DDA"/>
    <w:rsid w:val="00551E50"/>
    <w:rsid w:val="00551EA2"/>
    <w:rsid w:val="00553B2D"/>
    <w:rsid w:val="00554171"/>
    <w:rsid w:val="00554246"/>
    <w:rsid w:val="00554B37"/>
    <w:rsid w:val="00554ED2"/>
    <w:rsid w:val="005557E7"/>
    <w:rsid w:val="00555E9B"/>
    <w:rsid w:val="00555EB2"/>
    <w:rsid w:val="00556B00"/>
    <w:rsid w:val="00556E79"/>
    <w:rsid w:val="00561CFA"/>
    <w:rsid w:val="00562243"/>
    <w:rsid w:val="005638CF"/>
    <w:rsid w:val="00563B99"/>
    <w:rsid w:val="00564A35"/>
    <w:rsid w:val="00566040"/>
    <w:rsid w:val="00570A14"/>
    <w:rsid w:val="00570CDE"/>
    <w:rsid w:val="005720F1"/>
    <w:rsid w:val="0057415D"/>
    <w:rsid w:val="0057433D"/>
    <w:rsid w:val="005766EE"/>
    <w:rsid w:val="005804F6"/>
    <w:rsid w:val="00581EFE"/>
    <w:rsid w:val="00582235"/>
    <w:rsid w:val="00582D37"/>
    <w:rsid w:val="00583669"/>
    <w:rsid w:val="00583A36"/>
    <w:rsid w:val="00583DCE"/>
    <w:rsid w:val="005852B1"/>
    <w:rsid w:val="0058574D"/>
    <w:rsid w:val="00587BC2"/>
    <w:rsid w:val="00590966"/>
    <w:rsid w:val="005945F2"/>
    <w:rsid w:val="00595B54"/>
    <w:rsid w:val="00596471"/>
    <w:rsid w:val="005A0D45"/>
    <w:rsid w:val="005A0EAA"/>
    <w:rsid w:val="005A12AE"/>
    <w:rsid w:val="005A1792"/>
    <w:rsid w:val="005A1ACC"/>
    <w:rsid w:val="005A3A95"/>
    <w:rsid w:val="005A6D84"/>
    <w:rsid w:val="005A75BD"/>
    <w:rsid w:val="005A7A0E"/>
    <w:rsid w:val="005B07A8"/>
    <w:rsid w:val="005B087E"/>
    <w:rsid w:val="005B0B16"/>
    <w:rsid w:val="005B240A"/>
    <w:rsid w:val="005B30D4"/>
    <w:rsid w:val="005B48A0"/>
    <w:rsid w:val="005B574B"/>
    <w:rsid w:val="005B6072"/>
    <w:rsid w:val="005B6468"/>
    <w:rsid w:val="005B74F0"/>
    <w:rsid w:val="005B7D03"/>
    <w:rsid w:val="005C1A9C"/>
    <w:rsid w:val="005C1E03"/>
    <w:rsid w:val="005C2AE8"/>
    <w:rsid w:val="005C5E50"/>
    <w:rsid w:val="005C5F0C"/>
    <w:rsid w:val="005C6AFD"/>
    <w:rsid w:val="005C7482"/>
    <w:rsid w:val="005D0EDD"/>
    <w:rsid w:val="005D2A6E"/>
    <w:rsid w:val="005D316D"/>
    <w:rsid w:val="005D333F"/>
    <w:rsid w:val="005D3B3F"/>
    <w:rsid w:val="005D42A0"/>
    <w:rsid w:val="005D5401"/>
    <w:rsid w:val="005D755B"/>
    <w:rsid w:val="005D7927"/>
    <w:rsid w:val="005D7A13"/>
    <w:rsid w:val="005E0179"/>
    <w:rsid w:val="005E1A5B"/>
    <w:rsid w:val="005E1DED"/>
    <w:rsid w:val="005E3257"/>
    <w:rsid w:val="005E38DB"/>
    <w:rsid w:val="005E39CB"/>
    <w:rsid w:val="005E3E47"/>
    <w:rsid w:val="005E5159"/>
    <w:rsid w:val="005E7014"/>
    <w:rsid w:val="005E7BF4"/>
    <w:rsid w:val="005F033D"/>
    <w:rsid w:val="005F1FB2"/>
    <w:rsid w:val="005F2585"/>
    <w:rsid w:val="005F2D6E"/>
    <w:rsid w:val="005F3F91"/>
    <w:rsid w:val="005F4291"/>
    <w:rsid w:val="005F64DC"/>
    <w:rsid w:val="005F67B2"/>
    <w:rsid w:val="005F6BA7"/>
    <w:rsid w:val="0060154D"/>
    <w:rsid w:val="00602700"/>
    <w:rsid w:val="00602DEF"/>
    <w:rsid w:val="006034CC"/>
    <w:rsid w:val="0060576B"/>
    <w:rsid w:val="00606907"/>
    <w:rsid w:val="00607556"/>
    <w:rsid w:val="0060787C"/>
    <w:rsid w:val="00610685"/>
    <w:rsid w:val="00611100"/>
    <w:rsid w:val="00611C2E"/>
    <w:rsid w:val="00611F75"/>
    <w:rsid w:val="00617697"/>
    <w:rsid w:val="00620386"/>
    <w:rsid w:val="006205F2"/>
    <w:rsid w:val="00621545"/>
    <w:rsid w:val="00622DDE"/>
    <w:rsid w:val="0062308D"/>
    <w:rsid w:val="00624A77"/>
    <w:rsid w:val="006265E5"/>
    <w:rsid w:val="006314A6"/>
    <w:rsid w:val="00631AFF"/>
    <w:rsid w:val="00632212"/>
    <w:rsid w:val="00634833"/>
    <w:rsid w:val="00635790"/>
    <w:rsid w:val="0063674F"/>
    <w:rsid w:val="00641D81"/>
    <w:rsid w:val="00643543"/>
    <w:rsid w:val="00643E1B"/>
    <w:rsid w:val="00644139"/>
    <w:rsid w:val="00644F36"/>
    <w:rsid w:val="00644FE6"/>
    <w:rsid w:val="00645DFE"/>
    <w:rsid w:val="00646360"/>
    <w:rsid w:val="00646A98"/>
    <w:rsid w:val="00647078"/>
    <w:rsid w:val="00655EA1"/>
    <w:rsid w:val="006561F6"/>
    <w:rsid w:val="00656928"/>
    <w:rsid w:val="00660250"/>
    <w:rsid w:val="00660C44"/>
    <w:rsid w:val="00661911"/>
    <w:rsid w:val="006635C6"/>
    <w:rsid w:val="00664B63"/>
    <w:rsid w:val="0066594C"/>
    <w:rsid w:val="006669FC"/>
    <w:rsid w:val="00670AC2"/>
    <w:rsid w:val="006743A5"/>
    <w:rsid w:val="00675C75"/>
    <w:rsid w:val="00676186"/>
    <w:rsid w:val="006768E5"/>
    <w:rsid w:val="00680AF3"/>
    <w:rsid w:val="00680F7E"/>
    <w:rsid w:val="006818EF"/>
    <w:rsid w:val="006821A5"/>
    <w:rsid w:val="00683871"/>
    <w:rsid w:val="00683956"/>
    <w:rsid w:val="00687405"/>
    <w:rsid w:val="0069021E"/>
    <w:rsid w:val="00690391"/>
    <w:rsid w:val="0069045B"/>
    <w:rsid w:val="00690768"/>
    <w:rsid w:val="00690D73"/>
    <w:rsid w:val="00694CAE"/>
    <w:rsid w:val="006A62B0"/>
    <w:rsid w:val="006A6E75"/>
    <w:rsid w:val="006A70D2"/>
    <w:rsid w:val="006A75AB"/>
    <w:rsid w:val="006B03CE"/>
    <w:rsid w:val="006B236F"/>
    <w:rsid w:val="006B3637"/>
    <w:rsid w:val="006B3A26"/>
    <w:rsid w:val="006B6193"/>
    <w:rsid w:val="006C1167"/>
    <w:rsid w:val="006C1AC9"/>
    <w:rsid w:val="006C6DFC"/>
    <w:rsid w:val="006D0444"/>
    <w:rsid w:val="006D2C34"/>
    <w:rsid w:val="006D3977"/>
    <w:rsid w:val="006D4170"/>
    <w:rsid w:val="006D4FD8"/>
    <w:rsid w:val="006D5B5F"/>
    <w:rsid w:val="006D7602"/>
    <w:rsid w:val="006D7890"/>
    <w:rsid w:val="006D7A48"/>
    <w:rsid w:val="006E0A43"/>
    <w:rsid w:val="006E1094"/>
    <w:rsid w:val="006E1280"/>
    <w:rsid w:val="006E3BC8"/>
    <w:rsid w:val="006E44C9"/>
    <w:rsid w:val="006E4B2D"/>
    <w:rsid w:val="006E5FD1"/>
    <w:rsid w:val="006E77EB"/>
    <w:rsid w:val="006F33E4"/>
    <w:rsid w:val="006F460A"/>
    <w:rsid w:val="006F5584"/>
    <w:rsid w:val="006F56B5"/>
    <w:rsid w:val="006F7F63"/>
    <w:rsid w:val="007002BD"/>
    <w:rsid w:val="007019A1"/>
    <w:rsid w:val="00702592"/>
    <w:rsid w:val="0070297D"/>
    <w:rsid w:val="00703046"/>
    <w:rsid w:val="00705628"/>
    <w:rsid w:val="00705891"/>
    <w:rsid w:val="0071207E"/>
    <w:rsid w:val="00713399"/>
    <w:rsid w:val="0071514D"/>
    <w:rsid w:val="00715905"/>
    <w:rsid w:val="00723818"/>
    <w:rsid w:val="00723A33"/>
    <w:rsid w:val="00724126"/>
    <w:rsid w:val="0072687B"/>
    <w:rsid w:val="00727D9F"/>
    <w:rsid w:val="00731BC8"/>
    <w:rsid w:val="00732D13"/>
    <w:rsid w:val="007341EC"/>
    <w:rsid w:val="00736481"/>
    <w:rsid w:val="00740777"/>
    <w:rsid w:val="00740D80"/>
    <w:rsid w:val="007416B7"/>
    <w:rsid w:val="007434F5"/>
    <w:rsid w:val="0074525B"/>
    <w:rsid w:val="007460C7"/>
    <w:rsid w:val="0074688B"/>
    <w:rsid w:val="00751DE2"/>
    <w:rsid w:val="0075416B"/>
    <w:rsid w:val="00756519"/>
    <w:rsid w:val="007574BE"/>
    <w:rsid w:val="00757BB6"/>
    <w:rsid w:val="00760345"/>
    <w:rsid w:val="0076396F"/>
    <w:rsid w:val="00773095"/>
    <w:rsid w:val="007736DE"/>
    <w:rsid w:val="00773D2A"/>
    <w:rsid w:val="00774F07"/>
    <w:rsid w:val="00775546"/>
    <w:rsid w:val="00780408"/>
    <w:rsid w:val="007807F3"/>
    <w:rsid w:val="00780999"/>
    <w:rsid w:val="00786905"/>
    <w:rsid w:val="00786DFF"/>
    <w:rsid w:val="007876EB"/>
    <w:rsid w:val="0079189F"/>
    <w:rsid w:val="00791E8B"/>
    <w:rsid w:val="00793307"/>
    <w:rsid w:val="00793365"/>
    <w:rsid w:val="0079683D"/>
    <w:rsid w:val="007A03D2"/>
    <w:rsid w:val="007A0BD2"/>
    <w:rsid w:val="007A2BE6"/>
    <w:rsid w:val="007A3866"/>
    <w:rsid w:val="007A5238"/>
    <w:rsid w:val="007A5848"/>
    <w:rsid w:val="007A669F"/>
    <w:rsid w:val="007A699F"/>
    <w:rsid w:val="007A72F1"/>
    <w:rsid w:val="007B31C8"/>
    <w:rsid w:val="007B4917"/>
    <w:rsid w:val="007B764E"/>
    <w:rsid w:val="007C0F12"/>
    <w:rsid w:val="007C2F0D"/>
    <w:rsid w:val="007C4D8F"/>
    <w:rsid w:val="007C77F1"/>
    <w:rsid w:val="007C7D1D"/>
    <w:rsid w:val="007D2FDE"/>
    <w:rsid w:val="007D4F28"/>
    <w:rsid w:val="007D52D0"/>
    <w:rsid w:val="007D6945"/>
    <w:rsid w:val="007D6BAC"/>
    <w:rsid w:val="007E0199"/>
    <w:rsid w:val="007E1E92"/>
    <w:rsid w:val="007E538E"/>
    <w:rsid w:val="007F1E8C"/>
    <w:rsid w:val="007F26CB"/>
    <w:rsid w:val="007F5ECB"/>
    <w:rsid w:val="007F5FE1"/>
    <w:rsid w:val="007F69BF"/>
    <w:rsid w:val="007F6AD8"/>
    <w:rsid w:val="00801083"/>
    <w:rsid w:val="008026BE"/>
    <w:rsid w:val="00806782"/>
    <w:rsid w:val="00814DF5"/>
    <w:rsid w:val="00814E20"/>
    <w:rsid w:val="0081599C"/>
    <w:rsid w:val="00816536"/>
    <w:rsid w:val="00816A40"/>
    <w:rsid w:val="008172DB"/>
    <w:rsid w:val="00817B12"/>
    <w:rsid w:val="008206F3"/>
    <w:rsid w:val="00822835"/>
    <w:rsid w:val="00824FD0"/>
    <w:rsid w:val="008257F1"/>
    <w:rsid w:val="00826857"/>
    <w:rsid w:val="00826F0D"/>
    <w:rsid w:val="00830207"/>
    <w:rsid w:val="00830EA5"/>
    <w:rsid w:val="0083565C"/>
    <w:rsid w:val="00843D81"/>
    <w:rsid w:val="00843F61"/>
    <w:rsid w:val="00854B0B"/>
    <w:rsid w:val="0085544B"/>
    <w:rsid w:val="0085580A"/>
    <w:rsid w:val="00856A41"/>
    <w:rsid w:val="00861DAB"/>
    <w:rsid w:val="00862AD0"/>
    <w:rsid w:val="0086390A"/>
    <w:rsid w:val="0086690C"/>
    <w:rsid w:val="00866D3B"/>
    <w:rsid w:val="0087465C"/>
    <w:rsid w:val="00874768"/>
    <w:rsid w:val="0087478F"/>
    <w:rsid w:val="00875671"/>
    <w:rsid w:val="00875778"/>
    <w:rsid w:val="00876E6B"/>
    <w:rsid w:val="0088114C"/>
    <w:rsid w:val="008816AB"/>
    <w:rsid w:val="00887EDF"/>
    <w:rsid w:val="00891B40"/>
    <w:rsid w:val="0089252E"/>
    <w:rsid w:val="00892DDD"/>
    <w:rsid w:val="00893087"/>
    <w:rsid w:val="008948BC"/>
    <w:rsid w:val="00895311"/>
    <w:rsid w:val="00895847"/>
    <w:rsid w:val="00897F36"/>
    <w:rsid w:val="008A093A"/>
    <w:rsid w:val="008A53E7"/>
    <w:rsid w:val="008A69BE"/>
    <w:rsid w:val="008A6E51"/>
    <w:rsid w:val="008A6E8C"/>
    <w:rsid w:val="008A70BA"/>
    <w:rsid w:val="008A710F"/>
    <w:rsid w:val="008A756F"/>
    <w:rsid w:val="008A785D"/>
    <w:rsid w:val="008B0884"/>
    <w:rsid w:val="008B0AC5"/>
    <w:rsid w:val="008B2A16"/>
    <w:rsid w:val="008B48CE"/>
    <w:rsid w:val="008C05D4"/>
    <w:rsid w:val="008C09A6"/>
    <w:rsid w:val="008C1A60"/>
    <w:rsid w:val="008C2EFD"/>
    <w:rsid w:val="008C3F32"/>
    <w:rsid w:val="008C47CA"/>
    <w:rsid w:val="008C678C"/>
    <w:rsid w:val="008C6FA0"/>
    <w:rsid w:val="008C7B27"/>
    <w:rsid w:val="008D1925"/>
    <w:rsid w:val="008D1A89"/>
    <w:rsid w:val="008D3B4A"/>
    <w:rsid w:val="008D502D"/>
    <w:rsid w:val="008D6F77"/>
    <w:rsid w:val="008D779E"/>
    <w:rsid w:val="008E0089"/>
    <w:rsid w:val="008E1244"/>
    <w:rsid w:val="008E194F"/>
    <w:rsid w:val="008E22AC"/>
    <w:rsid w:val="008E353D"/>
    <w:rsid w:val="008E38E2"/>
    <w:rsid w:val="008E40BF"/>
    <w:rsid w:val="008E470A"/>
    <w:rsid w:val="008E5D41"/>
    <w:rsid w:val="008E5E37"/>
    <w:rsid w:val="008E6524"/>
    <w:rsid w:val="008E7BAE"/>
    <w:rsid w:val="008F3044"/>
    <w:rsid w:val="008F3C31"/>
    <w:rsid w:val="00902AF5"/>
    <w:rsid w:val="00902D3F"/>
    <w:rsid w:val="0090431F"/>
    <w:rsid w:val="0090663C"/>
    <w:rsid w:val="00907A67"/>
    <w:rsid w:val="00910D93"/>
    <w:rsid w:val="00911596"/>
    <w:rsid w:val="0091228D"/>
    <w:rsid w:val="00912DCA"/>
    <w:rsid w:val="00912F08"/>
    <w:rsid w:val="009147AA"/>
    <w:rsid w:val="00915166"/>
    <w:rsid w:val="00916795"/>
    <w:rsid w:val="00917952"/>
    <w:rsid w:val="00917B37"/>
    <w:rsid w:val="00920B80"/>
    <w:rsid w:val="00920C1E"/>
    <w:rsid w:val="00921438"/>
    <w:rsid w:val="0092164F"/>
    <w:rsid w:val="00921C85"/>
    <w:rsid w:val="009231D7"/>
    <w:rsid w:val="00923D02"/>
    <w:rsid w:val="009246DC"/>
    <w:rsid w:val="00924773"/>
    <w:rsid w:val="00927652"/>
    <w:rsid w:val="00931B8F"/>
    <w:rsid w:val="009322C3"/>
    <w:rsid w:val="00932E57"/>
    <w:rsid w:val="0093593D"/>
    <w:rsid w:val="00940192"/>
    <w:rsid w:val="009409F2"/>
    <w:rsid w:val="00941942"/>
    <w:rsid w:val="00942F3F"/>
    <w:rsid w:val="0094334A"/>
    <w:rsid w:val="00946AF1"/>
    <w:rsid w:val="00950000"/>
    <w:rsid w:val="00950DF0"/>
    <w:rsid w:val="009512AF"/>
    <w:rsid w:val="0095389B"/>
    <w:rsid w:val="00954BF6"/>
    <w:rsid w:val="00955D15"/>
    <w:rsid w:val="00956D85"/>
    <w:rsid w:val="00957957"/>
    <w:rsid w:val="009633D2"/>
    <w:rsid w:val="00965200"/>
    <w:rsid w:val="00965454"/>
    <w:rsid w:val="0096564A"/>
    <w:rsid w:val="00965B85"/>
    <w:rsid w:val="0097203E"/>
    <w:rsid w:val="00972A35"/>
    <w:rsid w:val="00973D44"/>
    <w:rsid w:val="00973F38"/>
    <w:rsid w:val="0097463E"/>
    <w:rsid w:val="00974DF7"/>
    <w:rsid w:val="009757D6"/>
    <w:rsid w:val="00976752"/>
    <w:rsid w:val="0097718E"/>
    <w:rsid w:val="00977958"/>
    <w:rsid w:val="00981FCB"/>
    <w:rsid w:val="0098225E"/>
    <w:rsid w:val="00982FB0"/>
    <w:rsid w:val="00983C2B"/>
    <w:rsid w:val="0098442D"/>
    <w:rsid w:val="0098777F"/>
    <w:rsid w:val="009908F7"/>
    <w:rsid w:val="00994E46"/>
    <w:rsid w:val="00995683"/>
    <w:rsid w:val="009960C0"/>
    <w:rsid w:val="009966CE"/>
    <w:rsid w:val="00997403"/>
    <w:rsid w:val="00997C30"/>
    <w:rsid w:val="00997E28"/>
    <w:rsid w:val="009A1F81"/>
    <w:rsid w:val="009A26D4"/>
    <w:rsid w:val="009A2DB0"/>
    <w:rsid w:val="009A47B0"/>
    <w:rsid w:val="009A4D95"/>
    <w:rsid w:val="009A5BDB"/>
    <w:rsid w:val="009A6C1A"/>
    <w:rsid w:val="009A799E"/>
    <w:rsid w:val="009B021B"/>
    <w:rsid w:val="009B0D0F"/>
    <w:rsid w:val="009B13E5"/>
    <w:rsid w:val="009B349A"/>
    <w:rsid w:val="009B3A2E"/>
    <w:rsid w:val="009B44BA"/>
    <w:rsid w:val="009B4D31"/>
    <w:rsid w:val="009B4FE7"/>
    <w:rsid w:val="009B563D"/>
    <w:rsid w:val="009B6798"/>
    <w:rsid w:val="009B6DB0"/>
    <w:rsid w:val="009C2236"/>
    <w:rsid w:val="009C2291"/>
    <w:rsid w:val="009C3C0A"/>
    <w:rsid w:val="009C4094"/>
    <w:rsid w:val="009C77D0"/>
    <w:rsid w:val="009D1005"/>
    <w:rsid w:val="009D2429"/>
    <w:rsid w:val="009D2EB5"/>
    <w:rsid w:val="009D30FB"/>
    <w:rsid w:val="009D43BC"/>
    <w:rsid w:val="009D4C3F"/>
    <w:rsid w:val="009D65F0"/>
    <w:rsid w:val="009D7539"/>
    <w:rsid w:val="009D7778"/>
    <w:rsid w:val="009E2559"/>
    <w:rsid w:val="009E36FA"/>
    <w:rsid w:val="009E5DE1"/>
    <w:rsid w:val="009E7640"/>
    <w:rsid w:val="009E77C8"/>
    <w:rsid w:val="009F0996"/>
    <w:rsid w:val="009F2A87"/>
    <w:rsid w:val="009F4F5E"/>
    <w:rsid w:val="00A018B2"/>
    <w:rsid w:val="00A01A78"/>
    <w:rsid w:val="00A01FE4"/>
    <w:rsid w:val="00A024AF"/>
    <w:rsid w:val="00A068DE"/>
    <w:rsid w:val="00A1117E"/>
    <w:rsid w:val="00A11B4F"/>
    <w:rsid w:val="00A13944"/>
    <w:rsid w:val="00A13B1E"/>
    <w:rsid w:val="00A15432"/>
    <w:rsid w:val="00A16BAB"/>
    <w:rsid w:val="00A207B6"/>
    <w:rsid w:val="00A2181A"/>
    <w:rsid w:val="00A2452A"/>
    <w:rsid w:val="00A251EE"/>
    <w:rsid w:val="00A25764"/>
    <w:rsid w:val="00A25D19"/>
    <w:rsid w:val="00A304E0"/>
    <w:rsid w:val="00A31002"/>
    <w:rsid w:val="00A317E7"/>
    <w:rsid w:val="00A33A7D"/>
    <w:rsid w:val="00A33E57"/>
    <w:rsid w:val="00A3434B"/>
    <w:rsid w:val="00A35703"/>
    <w:rsid w:val="00A35978"/>
    <w:rsid w:val="00A36A19"/>
    <w:rsid w:val="00A36B54"/>
    <w:rsid w:val="00A403F3"/>
    <w:rsid w:val="00A415B3"/>
    <w:rsid w:val="00A4194D"/>
    <w:rsid w:val="00A42479"/>
    <w:rsid w:val="00A42AFE"/>
    <w:rsid w:val="00A42CBE"/>
    <w:rsid w:val="00A42EDE"/>
    <w:rsid w:val="00A436E6"/>
    <w:rsid w:val="00A43961"/>
    <w:rsid w:val="00A44CEC"/>
    <w:rsid w:val="00A510BA"/>
    <w:rsid w:val="00A53854"/>
    <w:rsid w:val="00A54F97"/>
    <w:rsid w:val="00A55CC6"/>
    <w:rsid w:val="00A568C1"/>
    <w:rsid w:val="00A64D54"/>
    <w:rsid w:val="00A6515B"/>
    <w:rsid w:val="00A655E8"/>
    <w:rsid w:val="00A65898"/>
    <w:rsid w:val="00A65BF0"/>
    <w:rsid w:val="00A666D8"/>
    <w:rsid w:val="00A670DE"/>
    <w:rsid w:val="00A70AC6"/>
    <w:rsid w:val="00A7184B"/>
    <w:rsid w:val="00A72911"/>
    <w:rsid w:val="00A72AC0"/>
    <w:rsid w:val="00A72C9C"/>
    <w:rsid w:val="00A75903"/>
    <w:rsid w:val="00A80370"/>
    <w:rsid w:val="00A83064"/>
    <w:rsid w:val="00A83AA0"/>
    <w:rsid w:val="00A85E2D"/>
    <w:rsid w:val="00A86387"/>
    <w:rsid w:val="00A86D41"/>
    <w:rsid w:val="00A87349"/>
    <w:rsid w:val="00A87E68"/>
    <w:rsid w:val="00A90334"/>
    <w:rsid w:val="00A924F5"/>
    <w:rsid w:val="00A95B8E"/>
    <w:rsid w:val="00A96738"/>
    <w:rsid w:val="00AA0C42"/>
    <w:rsid w:val="00AA3957"/>
    <w:rsid w:val="00AA40AD"/>
    <w:rsid w:val="00AB4A0F"/>
    <w:rsid w:val="00AB60DE"/>
    <w:rsid w:val="00AB7ACC"/>
    <w:rsid w:val="00AC0015"/>
    <w:rsid w:val="00AC6CEB"/>
    <w:rsid w:val="00AC7D27"/>
    <w:rsid w:val="00AD117E"/>
    <w:rsid w:val="00AD146D"/>
    <w:rsid w:val="00AD1E06"/>
    <w:rsid w:val="00AD21B5"/>
    <w:rsid w:val="00AD2AB8"/>
    <w:rsid w:val="00AD6FA1"/>
    <w:rsid w:val="00AD75C9"/>
    <w:rsid w:val="00AE0846"/>
    <w:rsid w:val="00AE09C3"/>
    <w:rsid w:val="00AE1C31"/>
    <w:rsid w:val="00AE24CF"/>
    <w:rsid w:val="00AE3A00"/>
    <w:rsid w:val="00AE4B6C"/>
    <w:rsid w:val="00AE544E"/>
    <w:rsid w:val="00AE7413"/>
    <w:rsid w:val="00AF26DD"/>
    <w:rsid w:val="00AF4A7E"/>
    <w:rsid w:val="00AF561A"/>
    <w:rsid w:val="00AF7E4A"/>
    <w:rsid w:val="00B013EB"/>
    <w:rsid w:val="00B01D5C"/>
    <w:rsid w:val="00B021C7"/>
    <w:rsid w:val="00B02B1B"/>
    <w:rsid w:val="00B0413F"/>
    <w:rsid w:val="00B0722D"/>
    <w:rsid w:val="00B10127"/>
    <w:rsid w:val="00B125A6"/>
    <w:rsid w:val="00B12675"/>
    <w:rsid w:val="00B130F8"/>
    <w:rsid w:val="00B1354D"/>
    <w:rsid w:val="00B13A19"/>
    <w:rsid w:val="00B154A9"/>
    <w:rsid w:val="00B20F61"/>
    <w:rsid w:val="00B21413"/>
    <w:rsid w:val="00B22770"/>
    <w:rsid w:val="00B22DB9"/>
    <w:rsid w:val="00B240F7"/>
    <w:rsid w:val="00B25456"/>
    <w:rsid w:val="00B26C04"/>
    <w:rsid w:val="00B26C71"/>
    <w:rsid w:val="00B30535"/>
    <w:rsid w:val="00B30942"/>
    <w:rsid w:val="00B32A0A"/>
    <w:rsid w:val="00B32AB9"/>
    <w:rsid w:val="00B338FA"/>
    <w:rsid w:val="00B34408"/>
    <w:rsid w:val="00B34A1D"/>
    <w:rsid w:val="00B35DB0"/>
    <w:rsid w:val="00B371CA"/>
    <w:rsid w:val="00B37645"/>
    <w:rsid w:val="00B37D2B"/>
    <w:rsid w:val="00B40A2A"/>
    <w:rsid w:val="00B47D9F"/>
    <w:rsid w:val="00B514D4"/>
    <w:rsid w:val="00B526BA"/>
    <w:rsid w:val="00B53614"/>
    <w:rsid w:val="00B54E61"/>
    <w:rsid w:val="00B57450"/>
    <w:rsid w:val="00B60972"/>
    <w:rsid w:val="00B6374C"/>
    <w:rsid w:val="00B6388D"/>
    <w:rsid w:val="00B64B85"/>
    <w:rsid w:val="00B654F9"/>
    <w:rsid w:val="00B65DB2"/>
    <w:rsid w:val="00B65E59"/>
    <w:rsid w:val="00B67A50"/>
    <w:rsid w:val="00B72492"/>
    <w:rsid w:val="00B7254A"/>
    <w:rsid w:val="00B72CB5"/>
    <w:rsid w:val="00B75672"/>
    <w:rsid w:val="00B767B6"/>
    <w:rsid w:val="00B769DD"/>
    <w:rsid w:val="00B805E0"/>
    <w:rsid w:val="00B82BD5"/>
    <w:rsid w:val="00B8399C"/>
    <w:rsid w:val="00B84525"/>
    <w:rsid w:val="00B86A7B"/>
    <w:rsid w:val="00B877F2"/>
    <w:rsid w:val="00B87BF7"/>
    <w:rsid w:val="00B87E16"/>
    <w:rsid w:val="00BA20B2"/>
    <w:rsid w:val="00BA2B86"/>
    <w:rsid w:val="00BA3C0B"/>
    <w:rsid w:val="00BA4B47"/>
    <w:rsid w:val="00BA5923"/>
    <w:rsid w:val="00BA719D"/>
    <w:rsid w:val="00BA729C"/>
    <w:rsid w:val="00BB1267"/>
    <w:rsid w:val="00BB5D48"/>
    <w:rsid w:val="00BB7FEE"/>
    <w:rsid w:val="00BC1A5A"/>
    <w:rsid w:val="00BC282C"/>
    <w:rsid w:val="00BC31C5"/>
    <w:rsid w:val="00BC3954"/>
    <w:rsid w:val="00BC48FA"/>
    <w:rsid w:val="00BC6F18"/>
    <w:rsid w:val="00BD00B3"/>
    <w:rsid w:val="00BD3FF0"/>
    <w:rsid w:val="00BD404B"/>
    <w:rsid w:val="00BD5579"/>
    <w:rsid w:val="00BE024C"/>
    <w:rsid w:val="00BE0464"/>
    <w:rsid w:val="00BE048A"/>
    <w:rsid w:val="00BE189B"/>
    <w:rsid w:val="00BE1D7A"/>
    <w:rsid w:val="00BE324B"/>
    <w:rsid w:val="00BE3532"/>
    <w:rsid w:val="00BE406C"/>
    <w:rsid w:val="00BE67A7"/>
    <w:rsid w:val="00BF2251"/>
    <w:rsid w:val="00BF325A"/>
    <w:rsid w:val="00BF4690"/>
    <w:rsid w:val="00BF552F"/>
    <w:rsid w:val="00C0008E"/>
    <w:rsid w:val="00C014AD"/>
    <w:rsid w:val="00C0796C"/>
    <w:rsid w:val="00C07C0B"/>
    <w:rsid w:val="00C10D48"/>
    <w:rsid w:val="00C12955"/>
    <w:rsid w:val="00C15EA9"/>
    <w:rsid w:val="00C15ED4"/>
    <w:rsid w:val="00C20124"/>
    <w:rsid w:val="00C209B5"/>
    <w:rsid w:val="00C20B22"/>
    <w:rsid w:val="00C22FA0"/>
    <w:rsid w:val="00C233F8"/>
    <w:rsid w:val="00C246E2"/>
    <w:rsid w:val="00C2650A"/>
    <w:rsid w:val="00C269EF"/>
    <w:rsid w:val="00C307F6"/>
    <w:rsid w:val="00C311C9"/>
    <w:rsid w:val="00C3279B"/>
    <w:rsid w:val="00C34613"/>
    <w:rsid w:val="00C34F9C"/>
    <w:rsid w:val="00C40232"/>
    <w:rsid w:val="00C40B5D"/>
    <w:rsid w:val="00C415C6"/>
    <w:rsid w:val="00C41745"/>
    <w:rsid w:val="00C41EB3"/>
    <w:rsid w:val="00C42D7B"/>
    <w:rsid w:val="00C45698"/>
    <w:rsid w:val="00C47206"/>
    <w:rsid w:val="00C50398"/>
    <w:rsid w:val="00C50E0F"/>
    <w:rsid w:val="00C51055"/>
    <w:rsid w:val="00C52145"/>
    <w:rsid w:val="00C524EC"/>
    <w:rsid w:val="00C54C07"/>
    <w:rsid w:val="00C54ED6"/>
    <w:rsid w:val="00C558DF"/>
    <w:rsid w:val="00C55D3C"/>
    <w:rsid w:val="00C567A9"/>
    <w:rsid w:val="00C569F9"/>
    <w:rsid w:val="00C57C61"/>
    <w:rsid w:val="00C60B88"/>
    <w:rsid w:val="00C61BC8"/>
    <w:rsid w:val="00C61D8A"/>
    <w:rsid w:val="00C61FDA"/>
    <w:rsid w:val="00C6217F"/>
    <w:rsid w:val="00C6227B"/>
    <w:rsid w:val="00C632F8"/>
    <w:rsid w:val="00C6514A"/>
    <w:rsid w:val="00C651F5"/>
    <w:rsid w:val="00C663FB"/>
    <w:rsid w:val="00C7114F"/>
    <w:rsid w:val="00C7126D"/>
    <w:rsid w:val="00C715DF"/>
    <w:rsid w:val="00C71781"/>
    <w:rsid w:val="00C73734"/>
    <w:rsid w:val="00C73C49"/>
    <w:rsid w:val="00C75724"/>
    <w:rsid w:val="00C7614D"/>
    <w:rsid w:val="00C801C6"/>
    <w:rsid w:val="00C83187"/>
    <w:rsid w:val="00C83878"/>
    <w:rsid w:val="00C91EB4"/>
    <w:rsid w:val="00C927CF"/>
    <w:rsid w:val="00C9328C"/>
    <w:rsid w:val="00C93463"/>
    <w:rsid w:val="00C934E3"/>
    <w:rsid w:val="00C97D40"/>
    <w:rsid w:val="00CA2A24"/>
    <w:rsid w:val="00CA2AF7"/>
    <w:rsid w:val="00CA3AD2"/>
    <w:rsid w:val="00CA3F15"/>
    <w:rsid w:val="00CA4A94"/>
    <w:rsid w:val="00CA66A0"/>
    <w:rsid w:val="00CA7C6A"/>
    <w:rsid w:val="00CB1E3F"/>
    <w:rsid w:val="00CB78AB"/>
    <w:rsid w:val="00CC0EC0"/>
    <w:rsid w:val="00CC12DF"/>
    <w:rsid w:val="00CC1DF8"/>
    <w:rsid w:val="00CC1EC5"/>
    <w:rsid w:val="00CC2249"/>
    <w:rsid w:val="00CC399A"/>
    <w:rsid w:val="00CC430D"/>
    <w:rsid w:val="00CC4583"/>
    <w:rsid w:val="00CC55EA"/>
    <w:rsid w:val="00CC64A2"/>
    <w:rsid w:val="00CC6DA3"/>
    <w:rsid w:val="00CC7A13"/>
    <w:rsid w:val="00CD1B33"/>
    <w:rsid w:val="00CD34C7"/>
    <w:rsid w:val="00CD442B"/>
    <w:rsid w:val="00CE0CE5"/>
    <w:rsid w:val="00CE149A"/>
    <w:rsid w:val="00CE2EE5"/>
    <w:rsid w:val="00CE2F77"/>
    <w:rsid w:val="00CE3078"/>
    <w:rsid w:val="00CE3236"/>
    <w:rsid w:val="00CE4F03"/>
    <w:rsid w:val="00CE5BBC"/>
    <w:rsid w:val="00CE5CE0"/>
    <w:rsid w:val="00CF1030"/>
    <w:rsid w:val="00CF2807"/>
    <w:rsid w:val="00CF470F"/>
    <w:rsid w:val="00CF7472"/>
    <w:rsid w:val="00CF7BB0"/>
    <w:rsid w:val="00CF7CD7"/>
    <w:rsid w:val="00D00242"/>
    <w:rsid w:val="00D03B7D"/>
    <w:rsid w:val="00D04CF4"/>
    <w:rsid w:val="00D05AD4"/>
    <w:rsid w:val="00D06E5C"/>
    <w:rsid w:val="00D136FE"/>
    <w:rsid w:val="00D139C1"/>
    <w:rsid w:val="00D13ABD"/>
    <w:rsid w:val="00D147C2"/>
    <w:rsid w:val="00D16EEB"/>
    <w:rsid w:val="00D21070"/>
    <w:rsid w:val="00D214EA"/>
    <w:rsid w:val="00D22CAF"/>
    <w:rsid w:val="00D26FBF"/>
    <w:rsid w:val="00D26FE8"/>
    <w:rsid w:val="00D3043B"/>
    <w:rsid w:val="00D30931"/>
    <w:rsid w:val="00D3270C"/>
    <w:rsid w:val="00D33092"/>
    <w:rsid w:val="00D33AA1"/>
    <w:rsid w:val="00D34B4F"/>
    <w:rsid w:val="00D371D3"/>
    <w:rsid w:val="00D37C12"/>
    <w:rsid w:val="00D40721"/>
    <w:rsid w:val="00D4102F"/>
    <w:rsid w:val="00D4265C"/>
    <w:rsid w:val="00D43111"/>
    <w:rsid w:val="00D45CA7"/>
    <w:rsid w:val="00D469D4"/>
    <w:rsid w:val="00D558DE"/>
    <w:rsid w:val="00D570BE"/>
    <w:rsid w:val="00D61419"/>
    <w:rsid w:val="00D62D47"/>
    <w:rsid w:val="00D62FD4"/>
    <w:rsid w:val="00D652EC"/>
    <w:rsid w:val="00D66139"/>
    <w:rsid w:val="00D67061"/>
    <w:rsid w:val="00D67611"/>
    <w:rsid w:val="00D676BC"/>
    <w:rsid w:val="00D67F66"/>
    <w:rsid w:val="00D70776"/>
    <w:rsid w:val="00D769C6"/>
    <w:rsid w:val="00D76B8B"/>
    <w:rsid w:val="00D76FC9"/>
    <w:rsid w:val="00D8095A"/>
    <w:rsid w:val="00D81A52"/>
    <w:rsid w:val="00D82064"/>
    <w:rsid w:val="00D820C0"/>
    <w:rsid w:val="00D90F1C"/>
    <w:rsid w:val="00D9191C"/>
    <w:rsid w:val="00D93648"/>
    <w:rsid w:val="00D954DF"/>
    <w:rsid w:val="00DA0D91"/>
    <w:rsid w:val="00DA42CD"/>
    <w:rsid w:val="00DA60C2"/>
    <w:rsid w:val="00DA6C42"/>
    <w:rsid w:val="00DA74F9"/>
    <w:rsid w:val="00DB0409"/>
    <w:rsid w:val="00DB2B32"/>
    <w:rsid w:val="00DB424B"/>
    <w:rsid w:val="00DB52F9"/>
    <w:rsid w:val="00DB5A13"/>
    <w:rsid w:val="00DB7A93"/>
    <w:rsid w:val="00DC01C5"/>
    <w:rsid w:val="00DC22A2"/>
    <w:rsid w:val="00DC2B5F"/>
    <w:rsid w:val="00DC52F5"/>
    <w:rsid w:val="00DD01FF"/>
    <w:rsid w:val="00DD27EC"/>
    <w:rsid w:val="00DD3C2B"/>
    <w:rsid w:val="00DD4177"/>
    <w:rsid w:val="00DD4332"/>
    <w:rsid w:val="00DD4367"/>
    <w:rsid w:val="00DD4584"/>
    <w:rsid w:val="00DD4873"/>
    <w:rsid w:val="00DD4E1F"/>
    <w:rsid w:val="00DD6EDF"/>
    <w:rsid w:val="00DE1021"/>
    <w:rsid w:val="00DE1480"/>
    <w:rsid w:val="00DE14B3"/>
    <w:rsid w:val="00DE5148"/>
    <w:rsid w:val="00DE6A61"/>
    <w:rsid w:val="00DE786A"/>
    <w:rsid w:val="00DE7E6D"/>
    <w:rsid w:val="00DF0E9E"/>
    <w:rsid w:val="00DF1DF6"/>
    <w:rsid w:val="00DF2708"/>
    <w:rsid w:val="00DF3F1D"/>
    <w:rsid w:val="00DF46BA"/>
    <w:rsid w:val="00DF4DBB"/>
    <w:rsid w:val="00DF61E8"/>
    <w:rsid w:val="00DF6AF4"/>
    <w:rsid w:val="00E00580"/>
    <w:rsid w:val="00E0305B"/>
    <w:rsid w:val="00E04CFF"/>
    <w:rsid w:val="00E05BD1"/>
    <w:rsid w:val="00E06B1D"/>
    <w:rsid w:val="00E072B2"/>
    <w:rsid w:val="00E102E2"/>
    <w:rsid w:val="00E10312"/>
    <w:rsid w:val="00E1363F"/>
    <w:rsid w:val="00E138A4"/>
    <w:rsid w:val="00E14715"/>
    <w:rsid w:val="00E14CDA"/>
    <w:rsid w:val="00E1784A"/>
    <w:rsid w:val="00E218B4"/>
    <w:rsid w:val="00E220F9"/>
    <w:rsid w:val="00E227F2"/>
    <w:rsid w:val="00E22E5B"/>
    <w:rsid w:val="00E2370C"/>
    <w:rsid w:val="00E23857"/>
    <w:rsid w:val="00E261D4"/>
    <w:rsid w:val="00E3353A"/>
    <w:rsid w:val="00E33A6F"/>
    <w:rsid w:val="00E33BE8"/>
    <w:rsid w:val="00E41246"/>
    <w:rsid w:val="00E41AED"/>
    <w:rsid w:val="00E454C6"/>
    <w:rsid w:val="00E4593B"/>
    <w:rsid w:val="00E45E96"/>
    <w:rsid w:val="00E47AF0"/>
    <w:rsid w:val="00E50573"/>
    <w:rsid w:val="00E50AD8"/>
    <w:rsid w:val="00E522CC"/>
    <w:rsid w:val="00E533EE"/>
    <w:rsid w:val="00E55B69"/>
    <w:rsid w:val="00E574F4"/>
    <w:rsid w:val="00E60A08"/>
    <w:rsid w:val="00E613B0"/>
    <w:rsid w:val="00E65538"/>
    <w:rsid w:val="00E66CB1"/>
    <w:rsid w:val="00E71377"/>
    <w:rsid w:val="00E81564"/>
    <w:rsid w:val="00E822ED"/>
    <w:rsid w:val="00E86007"/>
    <w:rsid w:val="00E8734B"/>
    <w:rsid w:val="00E87F3E"/>
    <w:rsid w:val="00E91D76"/>
    <w:rsid w:val="00E91DBF"/>
    <w:rsid w:val="00E91EB0"/>
    <w:rsid w:val="00E92629"/>
    <w:rsid w:val="00E93BB7"/>
    <w:rsid w:val="00E94D75"/>
    <w:rsid w:val="00E97291"/>
    <w:rsid w:val="00EA0597"/>
    <w:rsid w:val="00EA0E73"/>
    <w:rsid w:val="00EA1D82"/>
    <w:rsid w:val="00EA4CDE"/>
    <w:rsid w:val="00EA5270"/>
    <w:rsid w:val="00EB0D4D"/>
    <w:rsid w:val="00EB2298"/>
    <w:rsid w:val="00EB27DA"/>
    <w:rsid w:val="00EB28BE"/>
    <w:rsid w:val="00EB2F68"/>
    <w:rsid w:val="00EB5C17"/>
    <w:rsid w:val="00EB609D"/>
    <w:rsid w:val="00EB6126"/>
    <w:rsid w:val="00EC00CB"/>
    <w:rsid w:val="00EC2877"/>
    <w:rsid w:val="00EC45FA"/>
    <w:rsid w:val="00EC6968"/>
    <w:rsid w:val="00EC7146"/>
    <w:rsid w:val="00EC742A"/>
    <w:rsid w:val="00EC7F27"/>
    <w:rsid w:val="00ED0485"/>
    <w:rsid w:val="00ED0B70"/>
    <w:rsid w:val="00ED2102"/>
    <w:rsid w:val="00ED2BEF"/>
    <w:rsid w:val="00ED4570"/>
    <w:rsid w:val="00ED49E4"/>
    <w:rsid w:val="00ED547A"/>
    <w:rsid w:val="00EE0485"/>
    <w:rsid w:val="00EE362B"/>
    <w:rsid w:val="00EE4A2E"/>
    <w:rsid w:val="00EE7FF6"/>
    <w:rsid w:val="00EF0016"/>
    <w:rsid w:val="00EF0D0C"/>
    <w:rsid w:val="00EF1115"/>
    <w:rsid w:val="00EF153D"/>
    <w:rsid w:val="00EF1E73"/>
    <w:rsid w:val="00EF1EF6"/>
    <w:rsid w:val="00F00844"/>
    <w:rsid w:val="00F00E7E"/>
    <w:rsid w:val="00F03CB8"/>
    <w:rsid w:val="00F041DD"/>
    <w:rsid w:val="00F045CD"/>
    <w:rsid w:val="00F05608"/>
    <w:rsid w:val="00F063FB"/>
    <w:rsid w:val="00F14EA6"/>
    <w:rsid w:val="00F15BF9"/>
    <w:rsid w:val="00F205A7"/>
    <w:rsid w:val="00F20E68"/>
    <w:rsid w:val="00F22072"/>
    <w:rsid w:val="00F220E3"/>
    <w:rsid w:val="00F22F35"/>
    <w:rsid w:val="00F23203"/>
    <w:rsid w:val="00F2497B"/>
    <w:rsid w:val="00F24D5C"/>
    <w:rsid w:val="00F25135"/>
    <w:rsid w:val="00F2634D"/>
    <w:rsid w:val="00F26BC9"/>
    <w:rsid w:val="00F32E01"/>
    <w:rsid w:val="00F32F11"/>
    <w:rsid w:val="00F35406"/>
    <w:rsid w:val="00F36A42"/>
    <w:rsid w:val="00F4033D"/>
    <w:rsid w:val="00F41B95"/>
    <w:rsid w:val="00F46C61"/>
    <w:rsid w:val="00F470FF"/>
    <w:rsid w:val="00F47130"/>
    <w:rsid w:val="00F475E8"/>
    <w:rsid w:val="00F47786"/>
    <w:rsid w:val="00F51235"/>
    <w:rsid w:val="00F53477"/>
    <w:rsid w:val="00F54519"/>
    <w:rsid w:val="00F551F8"/>
    <w:rsid w:val="00F566D7"/>
    <w:rsid w:val="00F573A7"/>
    <w:rsid w:val="00F6037A"/>
    <w:rsid w:val="00F61CBD"/>
    <w:rsid w:val="00F62924"/>
    <w:rsid w:val="00F62AB7"/>
    <w:rsid w:val="00F64475"/>
    <w:rsid w:val="00F66AD9"/>
    <w:rsid w:val="00F70EF7"/>
    <w:rsid w:val="00F713B5"/>
    <w:rsid w:val="00F779E7"/>
    <w:rsid w:val="00F801EC"/>
    <w:rsid w:val="00F81040"/>
    <w:rsid w:val="00F829B0"/>
    <w:rsid w:val="00F83224"/>
    <w:rsid w:val="00F83446"/>
    <w:rsid w:val="00F84078"/>
    <w:rsid w:val="00F84F7F"/>
    <w:rsid w:val="00F86F1E"/>
    <w:rsid w:val="00F903E6"/>
    <w:rsid w:val="00F91065"/>
    <w:rsid w:val="00F957E6"/>
    <w:rsid w:val="00FA1069"/>
    <w:rsid w:val="00FA19AF"/>
    <w:rsid w:val="00FA1EFF"/>
    <w:rsid w:val="00FA2CD9"/>
    <w:rsid w:val="00FA4555"/>
    <w:rsid w:val="00FB0C5A"/>
    <w:rsid w:val="00FB1059"/>
    <w:rsid w:val="00FB2721"/>
    <w:rsid w:val="00FB744D"/>
    <w:rsid w:val="00FB7EEF"/>
    <w:rsid w:val="00FC025B"/>
    <w:rsid w:val="00FC155C"/>
    <w:rsid w:val="00FC1A61"/>
    <w:rsid w:val="00FC1B74"/>
    <w:rsid w:val="00FC2B7C"/>
    <w:rsid w:val="00FC340D"/>
    <w:rsid w:val="00FC3916"/>
    <w:rsid w:val="00FC625D"/>
    <w:rsid w:val="00FD0744"/>
    <w:rsid w:val="00FD1A42"/>
    <w:rsid w:val="00FD431F"/>
    <w:rsid w:val="00FD548F"/>
    <w:rsid w:val="00FD5BEB"/>
    <w:rsid w:val="00FD66DC"/>
    <w:rsid w:val="00FE1D12"/>
    <w:rsid w:val="00FE282F"/>
    <w:rsid w:val="00FE2B3F"/>
    <w:rsid w:val="00FE2FC1"/>
    <w:rsid w:val="00FE3DC0"/>
    <w:rsid w:val="00FE5481"/>
    <w:rsid w:val="00FE5A48"/>
    <w:rsid w:val="00FE6992"/>
    <w:rsid w:val="00FF1404"/>
    <w:rsid w:val="00FF5E5B"/>
    <w:rsid w:val="00FF640C"/>
    <w:rsid w:val="00FF6C41"/>
    <w:rsid w:val="01034E2A"/>
    <w:rsid w:val="011450B2"/>
    <w:rsid w:val="01F558DB"/>
    <w:rsid w:val="01FF539B"/>
    <w:rsid w:val="02046404"/>
    <w:rsid w:val="02211AA4"/>
    <w:rsid w:val="02352B68"/>
    <w:rsid w:val="024B68F3"/>
    <w:rsid w:val="025A5BB3"/>
    <w:rsid w:val="02615D9D"/>
    <w:rsid w:val="027E2A16"/>
    <w:rsid w:val="028B05D5"/>
    <w:rsid w:val="028B7635"/>
    <w:rsid w:val="02F1504C"/>
    <w:rsid w:val="03190CEE"/>
    <w:rsid w:val="03524488"/>
    <w:rsid w:val="035B5CEB"/>
    <w:rsid w:val="03787DA3"/>
    <w:rsid w:val="038E4BF5"/>
    <w:rsid w:val="03CE4BB2"/>
    <w:rsid w:val="03D315DB"/>
    <w:rsid w:val="03D549D7"/>
    <w:rsid w:val="03E162F2"/>
    <w:rsid w:val="03E66992"/>
    <w:rsid w:val="03ED19DE"/>
    <w:rsid w:val="03F51771"/>
    <w:rsid w:val="03FA18B4"/>
    <w:rsid w:val="041D6232"/>
    <w:rsid w:val="042362CE"/>
    <w:rsid w:val="043030FA"/>
    <w:rsid w:val="043B05CC"/>
    <w:rsid w:val="04447D95"/>
    <w:rsid w:val="04880453"/>
    <w:rsid w:val="04CD22F6"/>
    <w:rsid w:val="04DB22B6"/>
    <w:rsid w:val="04F27B85"/>
    <w:rsid w:val="051760C8"/>
    <w:rsid w:val="05480343"/>
    <w:rsid w:val="05725AC9"/>
    <w:rsid w:val="05A93DF3"/>
    <w:rsid w:val="05AD54B2"/>
    <w:rsid w:val="05B03CC2"/>
    <w:rsid w:val="05D439AB"/>
    <w:rsid w:val="05E62EDB"/>
    <w:rsid w:val="05F53C35"/>
    <w:rsid w:val="06014433"/>
    <w:rsid w:val="06017EE6"/>
    <w:rsid w:val="0608218B"/>
    <w:rsid w:val="06096038"/>
    <w:rsid w:val="061F1453"/>
    <w:rsid w:val="06294D4F"/>
    <w:rsid w:val="064B28C9"/>
    <w:rsid w:val="065D22CE"/>
    <w:rsid w:val="066F26EE"/>
    <w:rsid w:val="06885B7B"/>
    <w:rsid w:val="068B5469"/>
    <w:rsid w:val="06916841"/>
    <w:rsid w:val="06A12F7E"/>
    <w:rsid w:val="06BD6B19"/>
    <w:rsid w:val="06CB07C9"/>
    <w:rsid w:val="06E660D7"/>
    <w:rsid w:val="071D25F6"/>
    <w:rsid w:val="0739746C"/>
    <w:rsid w:val="074566D5"/>
    <w:rsid w:val="074F0531"/>
    <w:rsid w:val="07551E3A"/>
    <w:rsid w:val="076E6A6C"/>
    <w:rsid w:val="077E5758"/>
    <w:rsid w:val="07835DE1"/>
    <w:rsid w:val="081D21E9"/>
    <w:rsid w:val="083E3076"/>
    <w:rsid w:val="08414EC6"/>
    <w:rsid w:val="08657546"/>
    <w:rsid w:val="08AA2216"/>
    <w:rsid w:val="08C46317"/>
    <w:rsid w:val="08C603A5"/>
    <w:rsid w:val="08DC6AB2"/>
    <w:rsid w:val="08DF4068"/>
    <w:rsid w:val="08E037A8"/>
    <w:rsid w:val="08E325AD"/>
    <w:rsid w:val="090F7BB0"/>
    <w:rsid w:val="092948EA"/>
    <w:rsid w:val="09313EB0"/>
    <w:rsid w:val="097315AA"/>
    <w:rsid w:val="0997348A"/>
    <w:rsid w:val="09D26822"/>
    <w:rsid w:val="0A191E44"/>
    <w:rsid w:val="0A261D19"/>
    <w:rsid w:val="0A2B6C96"/>
    <w:rsid w:val="0A42773B"/>
    <w:rsid w:val="0A544AAC"/>
    <w:rsid w:val="0A6B0BBC"/>
    <w:rsid w:val="0AAF446A"/>
    <w:rsid w:val="0AB244D2"/>
    <w:rsid w:val="0AD070A2"/>
    <w:rsid w:val="0B2013C1"/>
    <w:rsid w:val="0B202814"/>
    <w:rsid w:val="0B255009"/>
    <w:rsid w:val="0B2D08C4"/>
    <w:rsid w:val="0B2E5F5F"/>
    <w:rsid w:val="0B7676CB"/>
    <w:rsid w:val="0B930E7C"/>
    <w:rsid w:val="0BE77C94"/>
    <w:rsid w:val="0BEE28CB"/>
    <w:rsid w:val="0C294732"/>
    <w:rsid w:val="0C2A22E4"/>
    <w:rsid w:val="0C797911"/>
    <w:rsid w:val="0C9A2105"/>
    <w:rsid w:val="0CB4749A"/>
    <w:rsid w:val="0D074BCE"/>
    <w:rsid w:val="0D232D79"/>
    <w:rsid w:val="0D7E77A2"/>
    <w:rsid w:val="0D8A6AB3"/>
    <w:rsid w:val="0D9055C1"/>
    <w:rsid w:val="0DDB4033"/>
    <w:rsid w:val="0DE2095B"/>
    <w:rsid w:val="0DF37EAE"/>
    <w:rsid w:val="0E274849"/>
    <w:rsid w:val="0E3F1309"/>
    <w:rsid w:val="0E414F84"/>
    <w:rsid w:val="0E7A6730"/>
    <w:rsid w:val="0E9A09C3"/>
    <w:rsid w:val="0E9C13C6"/>
    <w:rsid w:val="0E9F7AAF"/>
    <w:rsid w:val="0F011571"/>
    <w:rsid w:val="0F113628"/>
    <w:rsid w:val="0F1F121D"/>
    <w:rsid w:val="0F22631C"/>
    <w:rsid w:val="0F711ACC"/>
    <w:rsid w:val="0F74604D"/>
    <w:rsid w:val="0F8967CC"/>
    <w:rsid w:val="0F897E4D"/>
    <w:rsid w:val="0FAB6A3D"/>
    <w:rsid w:val="0FAE0C1B"/>
    <w:rsid w:val="10497453"/>
    <w:rsid w:val="107E4F25"/>
    <w:rsid w:val="10805DF5"/>
    <w:rsid w:val="109C1A7C"/>
    <w:rsid w:val="10A14398"/>
    <w:rsid w:val="10F2271C"/>
    <w:rsid w:val="10F25566"/>
    <w:rsid w:val="110C61B8"/>
    <w:rsid w:val="110F393F"/>
    <w:rsid w:val="111572F7"/>
    <w:rsid w:val="11330A07"/>
    <w:rsid w:val="11516A1E"/>
    <w:rsid w:val="11762AD5"/>
    <w:rsid w:val="117C0C28"/>
    <w:rsid w:val="117D3C2C"/>
    <w:rsid w:val="118B2BF4"/>
    <w:rsid w:val="11A32E29"/>
    <w:rsid w:val="11AA02A9"/>
    <w:rsid w:val="11CD5617"/>
    <w:rsid w:val="11CD66C1"/>
    <w:rsid w:val="11F31858"/>
    <w:rsid w:val="11F4153D"/>
    <w:rsid w:val="120656E1"/>
    <w:rsid w:val="12326826"/>
    <w:rsid w:val="125048B6"/>
    <w:rsid w:val="12584A52"/>
    <w:rsid w:val="128C4A10"/>
    <w:rsid w:val="12C444B8"/>
    <w:rsid w:val="12D5036A"/>
    <w:rsid w:val="1301270B"/>
    <w:rsid w:val="13856988"/>
    <w:rsid w:val="138D408C"/>
    <w:rsid w:val="13A7632A"/>
    <w:rsid w:val="13CB1029"/>
    <w:rsid w:val="13D534F9"/>
    <w:rsid w:val="140C75CB"/>
    <w:rsid w:val="1414343F"/>
    <w:rsid w:val="14197FD6"/>
    <w:rsid w:val="142F5AD9"/>
    <w:rsid w:val="144A02F1"/>
    <w:rsid w:val="145450C2"/>
    <w:rsid w:val="147877B1"/>
    <w:rsid w:val="14AD7CDA"/>
    <w:rsid w:val="14F5179D"/>
    <w:rsid w:val="150D62EE"/>
    <w:rsid w:val="15130A0A"/>
    <w:rsid w:val="15222FB2"/>
    <w:rsid w:val="15753212"/>
    <w:rsid w:val="15CB4E7F"/>
    <w:rsid w:val="15DE1DF9"/>
    <w:rsid w:val="15E13EF0"/>
    <w:rsid w:val="15EA3D7D"/>
    <w:rsid w:val="160E65CF"/>
    <w:rsid w:val="163C5AE3"/>
    <w:rsid w:val="16790BA4"/>
    <w:rsid w:val="168408D1"/>
    <w:rsid w:val="169411F3"/>
    <w:rsid w:val="16CA686A"/>
    <w:rsid w:val="170F29BC"/>
    <w:rsid w:val="17570500"/>
    <w:rsid w:val="177D44F2"/>
    <w:rsid w:val="178033CD"/>
    <w:rsid w:val="17A4585E"/>
    <w:rsid w:val="17AC372C"/>
    <w:rsid w:val="17D4708E"/>
    <w:rsid w:val="17F22B81"/>
    <w:rsid w:val="17FE3D7E"/>
    <w:rsid w:val="18274C26"/>
    <w:rsid w:val="18382B86"/>
    <w:rsid w:val="185552F1"/>
    <w:rsid w:val="189153B8"/>
    <w:rsid w:val="18E919C5"/>
    <w:rsid w:val="190F426D"/>
    <w:rsid w:val="192B7E45"/>
    <w:rsid w:val="194C7B14"/>
    <w:rsid w:val="19504AA2"/>
    <w:rsid w:val="19751950"/>
    <w:rsid w:val="19AE4815"/>
    <w:rsid w:val="19B711E1"/>
    <w:rsid w:val="19B75834"/>
    <w:rsid w:val="19CD62A2"/>
    <w:rsid w:val="1A270841"/>
    <w:rsid w:val="1A2B0264"/>
    <w:rsid w:val="1A3C685E"/>
    <w:rsid w:val="1A584947"/>
    <w:rsid w:val="1A6D0490"/>
    <w:rsid w:val="1A980C6F"/>
    <w:rsid w:val="1AA12B23"/>
    <w:rsid w:val="1AB03988"/>
    <w:rsid w:val="1AD40863"/>
    <w:rsid w:val="1AE767B2"/>
    <w:rsid w:val="1AEE0C77"/>
    <w:rsid w:val="1B0C60FC"/>
    <w:rsid w:val="1B2A25F4"/>
    <w:rsid w:val="1B3C3DDA"/>
    <w:rsid w:val="1B4510C3"/>
    <w:rsid w:val="1B452F99"/>
    <w:rsid w:val="1B51710E"/>
    <w:rsid w:val="1B56582D"/>
    <w:rsid w:val="1B5D52B6"/>
    <w:rsid w:val="1B7C621D"/>
    <w:rsid w:val="1B94005C"/>
    <w:rsid w:val="1C263D06"/>
    <w:rsid w:val="1C2A6493"/>
    <w:rsid w:val="1C7B47C6"/>
    <w:rsid w:val="1C96141B"/>
    <w:rsid w:val="1CA45C4A"/>
    <w:rsid w:val="1CAF7BC0"/>
    <w:rsid w:val="1CC215A8"/>
    <w:rsid w:val="1CD8735C"/>
    <w:rsid w:val="1CE93DDF"/>
    <w:rsid w:val="1D1D2071"/>
    <w:rsid w:val="1D1D2739"/>
    <w:rsid w:val="1D2248BE"/>
    <w:rsid w:val="1D544656"/>
    <w:rsid w:val="1D762000"/>
    <w:rsid w:val="1D971104"/>
    <w:rsid w:val="1E412B77"/>
    <w:rsid w:val="1E503DF9"/>
    <w:rsid w:val="1E550484"/>
    <w:rsid w:val="1E6465F1"/>
    <w:rsid w:val="1E6E41DC"/>
    <w:rsid w:val="1ECF7970"/>
    <w:rsid w:val="1EE26FE1"/>
    <w:rsid w:val="1EED0F94"/>
    <w:rsid w:val="1F012416"/>
    <w:rsid w:val="1F555005"/>
    <w:rsid w:val="1F732DD8"/>
    <w:rsid w:val="1F8A7A8C"/>
    <w:rsid w:val="1FB247B8"/>
    <w:rsid w:val="1FB323C5"/>
    <w:rsid w:val="1FEB5EDE"/>
    <w:rsid w:val="1FF12140"/>
    <w:rsid w:val="1FFC672B"/>
    <w:rsid w:val="202E4DF7"/>
    <w:rsid w:val="20653326"/>
    <w:rsid w:val="207309DC"/>
    <w:rsid w:val="20755B5E"/>
    <w:rsid w:val="2088496A"/>
    <w:rsid w:val="20A424B6"/>
    <w:rsid w:val="20B22DC4"/>
    <w:rsid w:val="20E2119E"/>
    <w:rsid w:val="20FA3DFE"/>
    <w:rsid w:val="21304037"/>
    <w:rsid w:val="214E4652"/>
    <w:rsid w:val="2173580A"/>
    <w:rsid w:val="217D23C6"/>
    <w:rsid w:val="218061AE"/>
    <w:rsid w:val="218477B2"/>
    <w:rsid w:val="21866203"/>
    <w:rsid w:val="218F497A"/>
    <w:rsid w:val="21AF6C10"/>
    <w:rsid w:val="224A50E8"/>
    <w:rsid w:val="225A71DD"/>
    <w:rsid w:val="22850580"/>
    <w:rsid w:val="22AD79B7"/>
    <w:rsid w:val="22D6182B"/>
    <w:rsid w:val="22EB0C14"/>
    <w:rsid w:val="22F16D16"/>
    <w:rsid w:val="22F53974"/>
    <w:rsid w:val="231F06DC"/>
    <w:rsid w:val="23273154"/>
    <w:rsid w:val="23D61272"/>
    <w:rsid w:val="23DD2ABB"/>
    <w:rsid w:val="23E87122"/>
    <w:rsid w:val="241915BC"/>
    <w:rsid w:val="24466BE3"/>
    <w:rsid w:val="245300A6"/>
    <w:rsid w:val="249223ED"/>
    <w:rsid w:val="24D62091"/>
    <w:rsid w:val="252D525D"/>
    <w:rsid w:val="258B7558"/>
    <w:rsid w:val="25B317DC"/>
    <w:rsid w:val="2676194C"/>
    <w:rsid w:val="2694215A"/>
    <w:rsid w:val="26A826B3"/>
    <w:rsid w:val="26BA3D31"/>
    <w:rsid w:val="26E61785"/>
    <w:rsid w:val="26E63A7F"/>
    <w:rsid w:val="27102B34"/>
    <w:rsid w:val="272C40F1"/>
    <w:rsid w:val="27370964"/>
    <w:rsid w:val="27635B82"/>
    <w:rsid w:val="27747111"/>
    <w:rsid w:val="277B1384"/>
    <w:rsid w:val="27D853A7"/>
    <w:rsid w:val="27DB1524"/>
    <w:rsid w:val="281C60EE"/>
    <w:rsid w:val="282B79B3"/>
    <w:rsid w:val="28323144"/>
    <w:rsid w:val="284222ED"/>
    <w:rsid w:val="284F3B6E"/>
    <w:rsid w:val="288F6CF6"/>
    <w:rsid w:val="289B6E72"/>
    <w:rsid w:val="290723B2"/>
    <w:rsid w:val="290A0231"/>
    <w:rsid w:val="290C624C"/>
    <w:rsid w:val="292261E1"/>
    <w:rsid w:val="29255EA1"/>
    <w:rsid w:val="2933221A"/>
    <w:rsid w:val="29375AC5"/>
    <w:rsid w:val="29522712"/>
    <w:rsid w:val="295858BA"/>
    <w:rsid w:val="296166BD"/>
    <w:rsid w:val="29667C37"/>
    <w:rsid w:val="29946F3E"/>
    <w:rsid w:val="29B91E53"/>
    <w:rsid w:val="29CF406A"/>
    <w:rsid w:val="29F242A0"/>
    <w:rsid w:val="2A2473E7"/>
    <w:rsid w:val="2A5026FE"/>
    <w:rsid w:val="2A875F93"/>
    <w:rsid w:val="2AAC4C7D"/>
    <w:rsid w:val="2AC52E19"/>
    <w:rsid w:val="2AED1F22"/>
    <w:rsid w:val="2AEF51CE"/>
    <w:rsid w:val="2B383128"/>
    <w:rsid w:val="2B577548"/>
    <w:rsid w:val="2B750196"/>
    <w:rsid w:val="2B8B3EEB"/>
    <w:rsid w:val="2B9740D8"/>
    <w:rsid w:val="2BBD51BB"/>
    <w:rsid w:val="2BC32F5E"/>
    <w:rsid w:val="2BDC4B49"/>
    <w:rsid w:val="2BF83F57"/>
    <w:rsid w:val="2BFF617C"/>
    <w:rsid w:val="2C0B720A"/>
    <w:rsid w:val="2C283850"/>
    <w:rsid w:val="2C3959F6"/>
    <w:rsid w:val="2C7C7254"/>
    <w:rsid w:val="2CD31625"/>
    <w:rsid w:val="2D3F17FF"/>
    <w:rsid w:val="2D4F0EAB"/>
    <w:rsid w:val="2D5D645B"/>
    <w:rsid w:val="2DC16E8F"/>
    <w:rsid w:val="2DE27339"/>
    <w:rsid w:val="2DEB587F"/>
    <w:rsid w:val="2DF9142D"/>
    <w:rsid w:val="2E293AD3"/>
    <w:rsid w:val="2E523695"/>
    <w:rsid w:val="2F5716C3"/>
    <w:rsid w:val="2F660E22"/>
    <w:rsid w:val="2F875FD3"/>
    <w:rsid w:val="2F9751C4"/>
    <w:rsid w:val="2FA54E49"/>
    <w:rsid w:val="2FA97380"/>
    <w:rsid w:val="2FD016EA"/>
    <w:rsid w:val="2FD477B6"/>
    <w:rsid w:val="2FD632A2"/>
    <w:rsid w:val="2FE96A98"/>
    <w:rsid w:val="3032139F"/>
    <w:rsid w:val="304D207C"/>
    <w:rsid w:val="305E1C50"/>
    <w:rsid w:val="309036C7"/>
    <w:rsid w:val="309E7F8C"/>
    <w:rsid w:val="30A209BB"/>
    <w:rsid w:val="30DE6126"/>
    <w:rsid w:val="30F675F6"/>
    <w:rsid w:val="3116311A"/>
    <w:rsid w:val="31616568"/>
    <w:rsid w:val="31920EFC"/>
    <w:rsid w:val="31C527F2"/>
    <w:rsid w:val="31DA4799"/>
    <w:rsid w:val="31DF2419"/>
    <w:rsid w:val="31F20C13"/>
    <w:rsid w:val="32521B44"/>
    <w:rsid w:val="329F4323"/>
    <w:rsid w:val="32CA0966"/>
    <w:rsid w:val="32D862B1"/>
    <w:rsid w:val="32DE56F0"/>
    <w:rsid w:val="32E85B28"/>
    <w:rsid w:val="330D187F"/>
    <w:rsid w:val="3340031D"/>
    <w:rsid w:val="338374FF"/>
    <w:rsid w:val="338F0F49"/>
    <w:rsid w:val="339C240D"/>
    <w:rsid w:val="33BC7F5E"/>
    <w:rsid w:val="346766BF"/>
    <w:rsid w:val="348669D4"/>
    <w:rsid w:val="34AA738F"/>
    <w:rsid w:val="34DC7C2C"/>
    <w:rsid w:val="351E5DDC"/>
    <w:rsid w:val="357324B6"/>
    <w:rsid w:val="35A02B55"/>
    <w:rsid w:val="35C82DE7"/>
    <w:rsid w:val="35E45BD9"/>
    <w:rsid w:val="35F60B79"/>
    <w:rsid w:val="35FC6659"/>
    <w:rsid w:val="36032B41"/>
    <w:rsid w:val="36171143"/>
    <w:rsid w:val="364D77F0"/>
    <w:rsid w:val="36873FDF"/>
    <w:rsid w:val="36B217AF"/>
    <w:rsid w:val="36B37DAC"/>
    <w:rsid w:val="36E06077"/>
    <w:rsid w:val="36EA6F12"/>
    <w:rsid w:val="36FF2BC7"/>
    <w:rsid w:val="372F571B"/>
    <w:rsid w:val="37335085"/>
    <w:rsid w:val="375A1C0D"/>
    <w:rsid w:val="37605364"/>
    <w:rsid w:val="37645038"/>
    <w:rsid w:val="37C2035E"/>
    <w:rsid w:val="380364A4"/>
    <w:rsid w:val="38251926"/>
    <w:rsid w:val="387770BF"/>
    <w:rsid w:val="38BB460C"/>
    <w:rsid w:val="38DA6808"/>
    <w:rsid w:val="39090805"/>
    <w:rsid w:val="39340636"/>
    <w:rsid w:val="3990690E"/>
    <w:rsid w:val="39B72C5B"/>
    <w:rsid w:val="39C238AC"/>
    <w:rsid w:val="39E22C74"/>
    <w:rsid w:val="3A1E5D34"/>
    <w:rsid w:val="3A2D2A99"/>
    <w:rsid w:val="3A4E7624"/>
    <w:rsid w:val="3A547D72"/>
    <w:rsid w:val="3A6607FB"/>
    <w:rsid w:val="3B0F6334"/>
    <w:rsid w:val="3B147759"/>
    <w:rsid w:val="3B5122CA"/>
    <w:rsid w:val="3B815AF6"/>
    <w:rsid w:val="3B9A3B2E"/>
    <w:rsid w:val="3BA02E15"/>
    <w:rsid w:val="3BAC0C70"/>
    <w:rsid w:val="3BBF52F1"/>
    <w:rsid w:val="3BC4015D"/>
    <w:rsid w:val="3BC5720F"/>
    <w:rsid w:val="3BC840A1"/>
    <w:rsid w:val="3BD23DF2"/>
    <w:rsid w:val="3BED3D3E"/>
    <w:rsid w:val="3C2377F5"/>
    <w:rsid w:val="3C260D2F"/>
    <w:rsid w:val="3C6F5FB2"/>
    <w:rsid w:val="3C8B7E67"/>
    <w:rsid w:val="3C8E0A1B"/>
    <w:rsid w:val="3CF76B1A"/>
    <w:rsid w:val="3D066F82"/>
    <w:rsid w:val="3D0F39CA"/>
    <w:rsid w:val="3D155DA1"/>
    <w:rsid w:val="3D165B71"/>
    <w:rsid w:val="3D522D0F"/>
    <w:rsid w:val="3D5D01B1"/>
    <w:rsid w:val="3D703698"/>
    <w:rsid w:val="3E043BFE"/>
    <w:rsid w:val="3E0D28F9"/>
    <w:rsid w:val="3E1B25BC"/>
    <w:rsid w:val="3E1E7DDD"/>
    <w:rsid w:val="3E3237BF"/>
    <w:rsid w:val="3E5C5D09"/>
    <w:rsid w:val="3E821730"/>
    <w:rsid w:val="3EB31164"/>
    <w:rsid w:val="3EBD12EF"/>
    <w:rsid w:val="3F142CC2"/>
    <w:rsid w:val="3F211E56"/>
    <w:rsid w:val="3F261AEF"/>
    <w:rsid w:val="3F264E4C"/>
    <w:rsid w:val="3F3060F3"/>
    <w:rsid w:val="3F340E7B"/>
    <w:rsid w:val="3F5B2410"/>
    <w:rsid w:val="3F886B35"/>
    <w:rsid w:val="3FCB0C37"/>
    <w:rsid w:val="3FDE27D9"/>
    <w:rsid w:val="400D09F7"/>
    <w:rsid w:val="40462543"/>
    <w:rsid w:val="405C49C2"/>
    <w:rsid w:val="405D6EC0"/>
    <w:rsid w:val="4068425F"/>
    <w:rsid w:val="406B2AC3"/>
    <w:rsid w:val="407E41C8"/>
    <w:rsid w:val="408825D8"/>
    <w:rsid w:val="408917C7"/>
    <w:rsid w:val="40A65439"/>
    <w:rsid w:val="412137F2"/>
    <w:rsid w:val="41246B7F"/>
    <w:rsid w:val="41463206"/>
    <w:rsid w:val="415C2E48"/>
    <w:rsid w:val="415E2800"/>
    <w:rsid w:val="41955A80"/>
    <w:rsid w:val="41B16BB0"/>
    <w:rsid w:val="41C077EE"/>
    <w:rsid w:val="41DE622C"/>
    <w:rsid w:val="42172FE0"/>
    <w:rsid w:val="421C3D96"/>
    <w:rsid w:val="42242138"/>
    <w:rsid w:val="42351A7E"/>
    <w:rsid w:val="423D5A0C"/>
    <w:rsid w:val="42606B35"/>
    <w:rsid w:val="42731714"/>
    <w:rsid w:val="42D03A33"/>
    <w:rsid w:val="43155145"/>
    <w:rsid w:val="43382E6B"/>
    <w:rsid w:val="43647EF7"/>
    <w:rsid w:val="438E761A"/>
    <w:rsid w:val="43931D16"/>
    <w:rsid w:val="43A21701"/>
    <w:rsid w:val="43D870C2"/>
    <w:rsid w:val="43FC5885"/>
    <w:rsid w:val="4404107B"/>
    <w:rsid w:val="44270969"/>
    <w:rsid w:val="44277B4B"/>
    <w:rsid w:val="442D3F45"/>
    <w:rsid w:val="44571F8F"/>
    <w:rsid w:val="445D7BBD"/>
    <w:rsid w:val="44667C41"/>
    <w:rsid w:val="448E0E70"/>
    <w:rsid w:val="44D75166"/>
    <w:rsid w:val="44DC186F"/>
    <w:rsid w:val="45277035"/>
    <w:rsid w:val="455E1077"/>
    <w:rsid w:val="459D79C1"/>
    <w:rsid w:val="465760C2"/>
    <w:rsid w:val="466203B3"/>
    <w:rsid w:val="46737E1A"/>
    <w:rsid w:val="468C5919"/>
    <w:rsid w:val="46DC2655"/>
    <w:rsid w:val="46FC60FC"/>
    <w:rsid w:val="47134138"/>
    <w:rsid w:val="471348C3"/>
    <w:rsid w:val="472C2AAD"/>
    <w:rsid w:val="475C050D"/>
    <w:rsid w:val="478E4B4A"/>
    <w:rsid w:val="47C55CC7"/>
    <w:rsid w:val="47D36958"/>
    <w:rsid w:val="47EF2FDF"/>
    <w:rsid w:val="47F17F8F"/>
    <w:rsid w:val="48016910"/>
    <w:rsid w:val="485135B2"/>
    <w:rsid w:val="485644C8"/>
    <w:rsid w:val="48CD2448"/>
    <w:rsid w:val="48D13D47"/>
    <w:rsid w:val="48E85E28"/>
    <w:rsid w:val="48F9382E"/>
    <w:rsid w:val="49142D27"/>
    <w:rsid w:val="49215537"/>
    <w:rsid w:val="4934266D"/>
    <w:rsid w:val="49591DBA"/>
    <w:rsid w:val="499123D4"/>
    <w:rsid w:val="49AC1D1D"/>
    <w:rsid w:val="49B57172"/>
    <w:rsid w:val="49BC73CF"/>
    <w:rsid w:val="49D76B1B"/>
    <w:rsid w:val="49E241C9"/>
    <w:rsid w:val="49E8502C"/>
    <w:rsid w:val="49EC4286"/>
    <w:rsid w:val="4AFD5E56"/>
    <w:rsid w:val="4B053081"/>
    <w:rsid w:val="4B0D4644"/>
    <w:rsid w:val="4B1D27F1"/>
    <w:rsid w:val="4B6B72DB"/>
    <w:rsid w:val="4B8A1DD0"/>
    <w:rsid w:val="4B995FBF"/>
    <w:rsid w:val="4BA86892"/>
    <w:rsid w:val="4C2E31F8"/>
    <w:rsid w:val="4C7725DA"/>
    <w:rsid w:val="4C801578"/>
    <w:rsid w:val="4C8A6E37"/>
    <w:rsid w:val="4CBA4F88"/>
    <w:rsid w:val="4CD23725"/>
    <w:rsid w:val="4D0E049F"/>
    <w:rsid w:val="4D1A3528"/>
    <w:rsid w:val="4D37744D"/>
    <w:rsid w:val="4D6078D3"/>
    <w:rsid w:val="4D62425A"/>
    <w:rsid w:val="4E062C10"/>
    <w:rsid w:val="4E522649"/>
    <w:rsid w:val="4E575021"/>
    <w:rsid w:val="4E5A253A"/>
    <w:rsid w:val="4E71794A"/>
    <w:rsid w:val="4E7D1170"/>
    <w:rsid w:val="4E9173F1"/>
    <w:rsid w:val="4F7A1B61"/>
    <w:rsid w:val="4FB739FF"/>
    <w:rsid w:val="4FFB4EC4"/>
    <w:rsid w:val="50050B1E"/>
    <w:rsid w:val="500E459E"/>
    <w:rsid w:val="50162565"/>
    <w:rsid w:val="50273489"/>
    <w:rsid w:val="50653561"/>
    <w:rsid w:val="5089087F"/>
    <w:rsid w:val="50AE68B4"/>
    <w:rsid w:val="50CB2095"/>
    <w:rsid w:val="50CD10D2"/>
    <w:rsid w:val="50E548E3"/>
    <w:rsid w:val="50E95B26"/>
    <w:rsid w:val="50F40C26"/>
    <w:rsid w:val="50F7067B"/>
    <w:rsid w:val="50F93F68"/>
    <w:rsid w:val="51624549"/>
    <w:rsid w:val="5185445B"/>
    <w:rsid w:val="518A6F9C"/>
    <w:rsid w:val="51FF706F"/>
    <w:rsid w:val="52712579"/>
    <w:rsid w:val="52826CB3"/>
    <w:rsid w:val="52A57AEB"/>
    <w:rsid w:val="52C25A76"/>
    <w:rsid w:val="52DD4EA9"/>
    <w:rsid w:val="52F7486E"/>
    <w:rsid w:val="530157AD"/>
    <w:rsid w:val="53314E3A"/>
    <w:rsid w:val="533952B2"/>
    <w:rsid w:val="535D6031"/>
    <w:rsid w:val="537A20E2"/>
    <w:rsid w:val="53B10E0E"/>
    <w:rsid w:val="53F161B6"/>
    <w:rsid w:val="54202128"/>
    <w:rsid w:val="54264B76"/>
    <w:rsid w:val="543162D6"/>
    <w:rsid w:val="54466D99"/>
    <w:rsid w:val="548E1EB1"/>
    <w:rsid w:val="549A66E3"/>
    <w:rsid w:val="549E2463"/>
    <w:rsid w:val="54AF1A2A"/>
    <w:rsid w:val="54E416BB"/>
    <w:rsid w:val="550F0A41"/>
    <w:rsid w:val="5522684C"/>
    <w:rsid w:val="554C26D2"/>
    <w:rsid w:val="559677A2"/>
    <w:rsid w:val="559E4F0E"/>
    <w:rsid w:val="55AC2A1D"/>
    <w:rsid w:val="55BF7D10"/>
    <w:rsid w:val="55CA6D0C"/>
    <w:rsid w:val="55CB6B21"/>
    <w:rsid w:val="564C152B"/>
    <w:rsid w:val="56621CC0"/>
    <w:rsid w:val="56804BA8"/>
    <w:rsid w:val="56956BD1"/>
    <w:rsid w:val="569D2735"/>
    <w:rsid w:val="56C336BF"/>
    <w:rsid w:val="56CC4DA9"/>
    <w:rsid w:val="56F80F98"/>
    <w:rsid w:val="5701542A"/>
    <w:rsid w:val="572A3782"/>
    <w:rsid w:val="579B534E"/>
    <w:rsid w:val="57CF6537"/>
    <w:rsid w:val="582C7CDF"/>
    <w:rsid w:val="58482DC6"/>
    <w:rsid w:val="585E52A9"/>
    <w:rsid w:val="588561B5"/>
    <w:rsid w:val="588D20CB"/>
    <w:rsid w:val="58B57A0E"/>
    <w:rsid w:val="58D72126"/>
    <w:rsid w:val="58DB7A0A"/>
    <w:rsid w:val="58E71F9B"/>
    <w:rsid w:val="58F51FFA"/>
    <w:rsid w:val="591B4991"/>
    <w:rsid w:val="59261EF1"/>
    <w:rsid w:val="59570292"/>
    <w:rsid w:val="596000F2"/>
    <w:rsid w:val="59C81F20"/>
    <w:rsid w:val="59FF4D38"/>
    <w:rsid w:val="5A0469F7"/>
    <w:rsid w:val="5A0C4B75"/>
    <w:rsid w:val="5A28064A"/>
    <w:rsid w:val="5A656883"/>
    <w:rsid w:val="5A7923BF"/>
    <w:rsid w:val="5A9605BD"/>
    <w:rsid w:val="5A9D4675"/>
    <w:rsid w:val="5AE10FFC"/>
    <w:rsid w:val="5AE47F70"/>
    <w:rsid w:val="5AE67E10"/>
    <w:rsid w:val="5AE911BF"/>
    <w:rsid w:val="5B4F1918"/>
    <w:rsid w:val="5BAC60D4"/>
    <w:rsid w:val="5BDA1DC4"/>
    <w:rsid w:val="5C1D46FC"/>
    <w:rsid w:val="5C3D5425"/>
    <w:rsid w:val="5C5A2DA2"/>
    <w:rsid w:val="5C741A7E"/>
    <w:rsid w:val="5C8C3CA8"/>
    <w:rsid w:val="5C9824E3"/>
    <w:rsid w:val="5CAD7201"/>
    <w:rsid w:val="5CD42029"/>
    <w:rsid w:val="5CE864FF"/>
    <w:rsid w:val="5D117FDD"/>
    <w:rsid w:val="5D18719D"/>
    <w:rsid w:val="5D295DC9"/>
    <w:rsid w:val="5D335BD3"/>
    <w:rsid w:val="5D3436B2"/>
    <w:rsid w:val="5D4D7D2E"/>
    <w:rsid w:val="5D674CB0"/>
    <w:rsid w:val="5D785662"/>
    <w:rsid w:val="5D8509E3"/>
    <w:rsid w:val="5DC63B4E"/>
    <w:rsid w:val="5DE1427A"/>
    <w:rsid w:val="5E0F1CC8"/>
    <w:rsid w:val="5E466E49"/>
    <w:rsid w:val="5E580E47"/>
    <w:rsid w:val="5E965310"/>
    <w:rsid w:val="5EAE695A"/>
    <w:rsid w:val="5ECF32B4"/>
    <w:rsid w:val="5F065231"/>
    <w:rsid w:val="5F1B632E"/>
    <w:rsid w:val="5F3F68E4"/>
    <w:rsid w:val="5F496833"/>
    <w:rsid w:val="5F706BE5"/>
    <w:rsid w:val="5F8949F9"/>
    <w:rsid w:val="5FA4535D"/>
    <w:rsid w:val="5FA9592C"/>
    <w:rsid w:val="5FB24314"/>
    <w:rsid w:val="60175E9A"/>
    <w:rsid w:val="603871C4"/>
    <w:rsid w:val="6085144F"/>
    <w:rsid w:val="60C71945"/>
    <w:rsid w:val="60D53728"/>
    <w:rsid w:val="60DD3F1F"/>
    <w:rsid w:val="60EA622B"/>
    <w:rsid w:val="6119082B"/>
    <w:rsid w:val="613106B6"/>
    <w:rsid w:val="6143275F"/>
    <w:rsid w:val="615014E4"/>
    <w:rsid w:val="61685A62"/>
    <w:rsid w:val="61816777"/>
    <w:rsid w:val="61927EBE"/>
    <w:rsid w:val="61BA3194"/>
    <w:rsid w:val="61D771BB"/>
    <w:rsid w:val="61E9479D"/>
    <w:rsid w:val="61ED5BD7"/>
    <w:rsid w:val="621B2390"/>
    <w:rsid w:val="62232CAD"/>
    <w:rsid w:val="6224267C"/>
    <w:rsid w:val="62307E3E"/>
    <w:rsid w:val="627739F9"/>
    <w:rsid w:val="62AB1B44"/>
    <w:rsid w:val="62BC2981"/>
    <w:rsid w:val="62D9704A"/>
    <w:rsid w:val="62F41621"/>
    <w:rsid w:val="631F5140"/>
    <w:rsid w:val="63206CA6"/>
    <w:rsid w:val="633B597B"/>
    <w:rsid w:val="63627B53"/>
    <w:rsid w:val="636D4FE6"/>
    <w:rsid w:val="63825B96"/>
    <w:rsid w:val="63EB104E"/>
    <w:rsid w:val="63EF335B"/>
    <w:rsid w:val="63F0608C"/>
    <w:rsid w:val="63FE790F"/>
    <w:rsid w:val="640F766E"/>
    <w:rsid w:val="641D27DE"/>
    <w:rsid w:val="64382189"/>
    <w:rsid w:val="64455F5E"/>
    <w:rsid w:val="64834A99"/>
    <w:rsid w:val="64845FD3"/>
    <w:rsid w:val="649A1366"/>
    <w:rsid w:val="64A4394A"/>
    <w:rsid w:val="64AA7739"/>
    <w:rsid w:val="64BB7417"/>
    <w:rsid w:val="64BC06ED"/>
    <w:rsid w:val="64E24D7D"/>
    <w:rsid w:val="64FD655F"/>
    <w:rsid w:val="65125F1D"/>
    <w:rsid w:val="652105C6"/>
    <w:rsid w:val="652D090B"/>
    <w:rsid w:val="654423FD"/>
    <w:rsid w:val="65580111"/>
    <w:rsid w:val="65620913"/>
    <w:rsid w:val="657869F4"/>
    <w:rsid w:val="657E0342"/>
    <w:rsid w:val="65847151"/>
    <w:rsid w:val="65F12EB4"/>
    <w:rsid w:val="65F34C4A"/>
    <w:rsid w:val="65F37DD4"/>
    <w:rsid w:val="66003E23"/>
    <w:rsid w:val="660663C1"/>
    <w:rsid w:val="663973F8"/>
    <w:rsid w:val="66413961"/>
    <w:rsid w:val="6641458A"/>
    <w:rsid w:val="665656E7"/>
    <w:rsid w:val="667A5120"/>
    <w:rsid w:val="66835CCD"/>
    <w:rsid w:val="66BD06AA"/>
    <w:rsid w:val="66C96879"/>
    <w:rsid w:val="66EB187F"/>
    <w:rsid w:val="67194A7C"/>
    <w:rsid w:val="674E66F7"/>
    <w:rsid w:val="67730275"/>
    <w:rsid w:val="67830DB1"/>
    <w:rsid w:val="67904BFA"/>
    <w:rsid w:val="67AE355A"/>
    <w:rsid w:val="67E06F23"/>
    <w:rsid w:val="6806596A"/>
    <w:rsid w:val="682231B1"/>
    <w:rsid w:val="683A1C46"/>
    <w:rsid w:val="684118F2"/>
    <w:rsid w:val="68487F40"/>
    <w:rsid w:val="684C3518"/>
    <w:rsid w:val="687966A5"/>
    <w:rsid w:val="68A04921"/>
    <w:rsid w:val="68A066BA"/>
    <w:rsid w:val="68BB6A95"/>
    <w:rsid w:val="68C831C1"/>
    <w:rsid w:val="69196EE7"/>
    <w:rsid w:val="69526C2A"/>
    <w:rsid w:val="69535F9B"/>
    <w:rsid w:val="69654292"/>
    <w:rsid w:val="697D680D"/>
    <w:rsid w:val="697F44DA"/>
    <w:rsid w:val="69967E7F"/>
    <w:rsid w:val="69AD2905"/>
    <w:rsid w:val="69AE5167"/>
    <w:rsid w:val="69B47C6D"/>
    <w:rsid w:val="69D87D95"/>
    <w:rsid w:val="69FE60DF"/>
    <w:rsid w:val="6A093C19"/>
    <w:rsid w:val="6A0D3DCF"/>
    <w:rsid w:val="6A8638CB"/>
    <w:rsid w:val="6A9341CF"/>
    <w:rsid w:val="6A9853D4"/>
    <w:rsid w:val="6A9B43AC"/>
    <w:rsid w:val="6AB06079"/>
    <w:rsid w:val="6AE362F9"/>
    <w:rsid w:val="6AEB6F78"/>
    <w:rsid w:val="6B0C6921"/>
    <w:rsid w:val="6B3140F1"/>
    <w:rsid w:val="6B78270D"/>
    <w:rsid w:val="6B847F3F"/>
    <w:rsid w:val="6B901BE4"/>
    <w:rsid w:val="6BCC6449"/>
    <w:rsid w:val="6BF8667B"/>
    <w:rsid w:val="6C3F2DEB"/>
    <w:rsid w:val="6C591948"/>
    <w:rsid w:val="6C73669B"/>
    <w:rsid w:val="6CA90003"/>
    <w:rsid w:val="6CE56B7E"/>
    <w:rsid w:val="6CE6378C"/>
    <w:rsid w:val="6D0E1A49"/>
    <w:rsid w:val="6D472CF8"/>
    <w:rsid w:val="6D757D14"/>
    <w:rsid w:val="6DB53BB8"/>
    <w:rsid w:val="6DE10CD4"/>
    <w:rsid w:val="6DF112F5"/>
    <w:rsid w:val="6E0814C1"/>
    <w:rsid w:val="6E6161AC"/>
    <w:rsid w:val="6E665AF7"/>
    <w:rsid w:val="6EA45BE3"/>
    <w:rsid w:val="6EEC7092"/>
    <w:rsid w:val="6F06407D"/>
    <w:rsid w:val="6F1917CD"/>
    <w:rsid w:val="6F1B3C75"/>
    <w:rsid w:val="6F357128"/>
    <w:rsid w:val="6F5E5ADE"/>
    <w:rsid w:val="6F6659E6"/>
    <w:rsid w:val="6F7E1EA5"/>
    <w:rsid w:val="6FB71CAB"/>
    <w:rsid w:val="70131B5D"/>
    <w:rsid w:val="701D11D5"/>
    <w:rsid w:val="702F0BE5"/>
    <w:rsid w:val="70495515"/>
    <w:rsid w:val="705E3864"/>
    <w:rsid w:val="70690763"/>
    <w:rsid w:val="70881BA0"/>
    <w:rsid w:val="708A29AB"/>
    <w:rsid w:val="70BC3F8A"/>
    <w:rsid w:val="71097DF4"/>
    <w:rsid w:val="711C4352"/>
    <w:rsid w:val="715B459C"/>
    <w:rsid w:val="71842F90"/>
    <w:rsid w:val="719114DA"/>
    <w:rsid w:val="71D16FA9"/>
    <w:rsid w:val="728104F0"/>
    <w:rsid w:val="72910DC3"/>
    <w:rsid w:val="72A04B65"/>
    <w:rsid w:val="72C452D2"/>
    <w:rsid w:val="72CF2356"/>
    <w:rsid w:val="7317249C"/>
    <w:rsid w:val="732C13F4"/>
    <w:rsid w:val="735E5E3A"/>
    <w:rsid w:val="737D036A"/>
    <w:rsid w:val="73B26F97"/>
    <w:rsid w:val="73BF458F"/>
    <w:rsid w:val="740E1D05"/>
    <w:rsid w:val="7417588C"/>
    <w:rsid w:val="743B6B13"/>
    <w:rsid w:val="747E117B"/>
    <w:rsid w:val="74AD588E"/>
    <w:rsid w:val="74B5509F"/>
    <w:rsid w:val="74D111AD"/>
    <w:rsid w:val="74DD7550"/>
    <w:rsid w:val="751670D0"/>
    <w:rsid w:val="75414655"/>
    <w:rsid w:val="754178DB"/>
    <w:rsid w:val="757522EF"/>
    <w:rsid w:val="75BF4577"/>
    <w:rsid w:val="75EC6F1F"/>
    <w:rsid w:val="75FC1C6A"/>
    <w:rsid w:val="76010416"/>
    <w:rsid w:val="76183E28"/>
    <w:rsid w:val="7645269C"/>
    <w:rsid w:val="76494B99"/>
    <w:rsid w:val="765A40C7"/>
    <w:rsid w:val="765F407E"/>
    <w:rsid w:val="767F56D5"/>
    <w:rsid w:val="769E1959"/>
    <w:rsid w:val="76DB126A"/>
    <w:rsid w:val="76DF1CA0"/>
    <w:rsid w:val="76E667C7"/>
    <w:rsid w:val="76E76878"/>
    <w:rsid w:val="76F43FBC"/>
    <w:rsid w:val="77182D1C"/>
    <w:rsid w:val="771C0FD8"/>
    <w:rsid w:val="77515D33"/>
    <w:rsid w:val="77707109"/>
    <w:rsid w:val="77E2793C"/>
    <w:rsid w:val="77E44FDD"/>
    <w:rsid w:val="77EF3B6A"/>
    <w:rsid w:val="77FF49A6"/>
    <w:rsid w:val="7820218B"/>
    <w:rsid w:val="782F21C2"/>
    <w:rsid w:val="78913D4D"/>
    <w:rsid w:val="78A7465F"/>
    <w:rsid w:val="78B33222"/>
    <w:rsid w:val="78C7535C"/>
    <w:rsid w:val="78DA7894"/>
    <w:rsid w:val="78FE020D"/>
    <w:rsid w:val="79011C0B"/>
    <w:rsid w:val="7902647C"/>
    <w:rsid w:val="790F539F"/>
    <w:rsid w:val="79516C6D"/>
    <w:rsid w:val="79776158"/>
    <w:rsid w:val="79B60BF0"/>
    <w:rsid w:val="79B641BD"/>
    <w:rsid w:val="79C3723C"/>
    <w:rsid w:val="79C579F9"/>
    <w:rsid w:val="7A0F6CE2"/>
    <w:rsid w:val="7A634F5D"/>
    <w:rsid w:val="7A824551"/>
    <w:rsid w:val="7A841BA8"/>
    <w:rsid w:val="7AA12A52"/>
    <w:rsid w:val="7ABC54E6"/>
    <w:rsid w:val="7ABF3BA7"/>
    <w:rsid w:val="7ADA1D69"/>
    <w:rsid w:val="7AF2025B"/>
    <w:rsid w:val="7B031CCB"/>
    <w:rsid w:val="7B76228F"/>
    <w:rsid w:val="7B9100B6"/>
    <w:rsid w:val="7B9103EF"/>
    <w:rsid w:val="7B9649B6"/>
    <w:rsid w:val="7BA504EC"/>
    <w:rsid w:val="7BB04F0E"/>
    <w:rsid w:val="7BBC677E"/>
    <w:rsid w:val="7BD873E8"/>
    <w:rsid w:val="7BF135EE"/>
    <w:rsid w:val="7BFD37C8"/>
    <w:rsid w:val="7C0A237C"/>
    <w:rsid w:val="7C513B96"/>
    <w:rsid w:val="7C6C76BE"/>
    <w:rsid w:val="7C856238"/>
    <w:rsid w:val="7CC27F9D"/>
    <w:rsid w:val="7CCB768A"/>
    <w:rsid w:val="7CDE147C"/>
    <w:rsid w:val="7CFD7EB9"/>
    <w:rsid w:val="7D392EEF"/>
    <w:rsid w:val="7D4E4BC3"/>
    <w:rsid w:val="7D56125F"/>
    <w:rsid w:val="7DB641A6"/>
    <w:rsid w:val="7E030DD8"/>
    <w:rsid w:val="7E09456B"/>
    <w:rsid w:val="7E1518FF"/>
    <w:rsid w:val="7E166EA7"/>
    <w:rsid w:val="7E1F5661"/>
    <w:rsid w:val="7E41445B"/>
    <w:rsid w:val="7E926046"/>
    <w:rsid w:val="7EAC3A17"/>
    <w:rsid w:val="7EEE3FC4"/>
    <w:rsid w:val="7F3C4DB8"/>
    <w:rsid w:val="7F6B527B"/>
    <w:rsid w:val="7F8566A4"/>
    <w:rsid w:val="7F9054B1"/>
    <w:rsid w:val="7F91687D"/>
    <w:rsid w:val="7FC13C26"/>
    <w:rsid w:val="7FCA100D"/>
    <w:rsid w:val="7FCC7E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paragraph" w:styleId="4">
    <w:name w:val="heading 3"/>
    <w:basedOn w:val="1"/>
    <w:next w:val="1"/>
    <w:link w:val="28"/>
    <w:qFormat/>
    <w:uiPriority w:val="0"/>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endnote text"/>
    <w:basedOn w:val="1"/>
    <w:link w:val="72"/>
    <w:unhideWhenUsed/>
    <w:qFormat/>
    <w:uiPriority w:val="99"/>
    <w:pPr>
      <w:snapToGrid w:val="0"/>
    </w:pPr>
    <w:rPr>
      <w:rFonts w:ascii="Calibri" w:hAnsi="Calibri"/>
      <w:szCs w:val="24"/>
    </w:rPr>
  </w:style>
  <w:style w:type="paragraph" w:styleId="5">
    <w:name w:val="Document Map"/>
    <w:basedOn w:val="1"/>
    <w:qFormat/>
    <w:uiPriority w:val="0"/>
    <w:pPr>
      <w:shd w:val="clear" w:color="auto" w:fill="000080"/>
    </w:p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Date"/>
    <w:basedOn w:val="1"/>
    <w:next w:val="1"/>
    <w:link w:val="27"/>
    <w:qFormat/>
    <w:uiPriority w:val="0"/>
    <w:pPr>
      <w:ind w:left="100" w:leftChars="2500"/>
    </w:pPr>
  </w:style>
  <w:style w:type="paragraph" w:styleId="9">
    <w:name w:val="Balloon Text"/>
    <w:basedOn w:val="1"/>
    <w:qFormat/>
    <w:uiPriority w:val="0"/>
    <w:rPr>
      <w:sz w:val="18"/>
    </w:rPr>
  </w:style>
  <w:style w:type="paragraph" w:styleId="10">
    <w:name w:val="footer"/>
    <w:basedOn w:val="1"/>
    <w:link w:val="24"/>
    <w:qFormat/>
    <w:uiPriority w:val="99"/>
    <w:pPr>
      <w:tabs>
        <w:tab w:val="center" w:pos="4153"/>
        <w:tab w:val="right" w:pos="8306"/>
      </w:tabs>
      <w:snapToGrid w:val="0"/>
      <w:ind w:right="100" w:rightChars="100"/>
      <w:jc w:val="right"/>
    </w:pPr>
    <w:rPr>
      <w:sz w:val="18"/>
    </w:rPr>
  </w:style>
  <w:style w:type="paragraph" w:styleId="11">
    <w:name w:val="header"/>
    <w:basedOn w:val="1"/>
    <w:link w:val="25"/>
    <w:qFormat/>
    <w:uiPriority w:val="99"/>
    <w:pPr>
      <w:pBdr>
        <w:bottom w:val="single" w:color="auto" w:sz="6" w:space="1"/>
      </w:pBdr>
      <w:tabs>
        <w:tab w:val="center" w:pos="4153"/>
        <w:tab w:val="right" w:pos="8306"/>
      </w:tabs>
      <w:snapToGrid w:val="0"/>
      <w:jc w:val="center"/>
    </w:pPr>
    <w:rPr>
      <w:sz w:val="18"/>
    </w:rPr>
  </w:style>
  <w:style w:type="paragraph" w:styleId="12">
    <w:name w:val="footnote text"/>
    <w:basedOn w:val="1"/>
    <w:qFormat/>
    <w:uiPriority w:val="0"/>
    <w:pPr>
      <w:snapToGrid w:val="0"/>
      <w:jc w:val="left"/>
    </w:pPr>
    <w:rPr>
      <w:sz w:val="18"/>
    </w:rPr>
  </w:style>
  <w:style w:type="paragraph" w:styleId="13">
    <w:name w:val="index 9"/>
    <w:basedOn w:val="1"/>
    <w:next w:val="1"/>
    <w:qFormat/>
    <w:uiPriority w:val="0"/>
    <w:pPr>
      <w:widowControl/>
      <w:spacing w:after="200" w:line="276" w:lineRule="auto"/>
      <w:ind w:left="1890" w:hanging="210"/>
      <w:jc w:val="left"/>
    </w:pPr>
    <w:rPr>
      <w:rFonts w:ascii="Calibri" w:hAnsi="Calibri" w:eastAsiaTheme="minorEastAsia" w:cstheme="minorBidi"/>
      <w:kern w:val="0"/>
      <w:sz w:val="20"/>
    </w:rPr>
  </w:style>
  <w:style w:type="paragraph" w:styleId="14">
    <w:name w:val="annotation subject"/>
    <w:basedOn w:val="6"/>
    <w:next w:val="6"/>
    <w:qFormat/>
    <w:uiPriority w:val="0"/>
    <w:rPr>
      <w:b/>
    </w:rPr>
  </w:style>
  <w:style w:type="paragraph" w:styleId="15">
    <w:name w:val="Body Text First Indent"/>
    <w:basedOn w:val="7"/>
    <w:qFormat/>
    <w:uiPriority w:val="0"/>
    <w:pPr>
      <w:adjustRightInd w:val="0"/>
      <w:spacing w:after="0"/>
      <w:jc w:val="left"/>
      <w:textAlignment w:val="baseline"/>
    </w:pPr>
    <w:rPr>
      <w:rFonts w:ascii="宋体" w:hAnsi="宋体"/>
      <w:kern w:val="0"/>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page number"/>
    <w:qFormat/>
    <w:uiPriority w:val="0"/>
    <w:rPr>
      <w:rFonts w:ascii="Times New Roman" w:hAnsi="Times New Roman" w:eastAsia="宋体"/>
      <w:sz w:val="18"/>
    </w:rPr>
  </w:style>
  <w:style w:type="character" w:styleId="21">
    <w:name w:val="Hyperlink"/>
    <w:qFormat/>
    <w:uiPriority w:val="0"/>
    <w:rPr>
      <w:color w:val="0000FF"/>
      <w:u w:val="single"/>
    </w:rPr>
  </w:style>
  <w:style w:type="character" w:styleId="22">
    <w:name w:val="annotation reference"/>
    <w:qFormat/>
    <w:uiPriority w:val="0"/>
    <w:rPr>
      <w:sz w:val="21"/>
    </w:rPr>
  </w:style>
  <w:style w:type="character" w:styleId="23">
    <w:name w:val="footnote reference"/>
    <w:qFormat/>
    <w:uiPriority w:val="0"/>
    <w:rPr>
      <w:vertAlign w:val="superscript"/>
    </w:rPr>
  </w:style>
  <w:style w:type="character" w:customStyle="1" w:styleId="24">
    <w:name w:val="页脚 字符"/>
    <w:link w:val="10"/>
    <w:qFormat/>
    <w:uiPriority w:val="99"/>
    <w:rPr>
      <w:kern w:val="2"/>
      <w:sz w:val="18"/>
    </w:rPr>
  </w:style>
  <w:style w:type="character" w:customStyle="1" w:styleId="25">
    <w:name w:val="页眉 字符"/>
    <w:link w:val="11"/>
    <w:qFormat/>
    <w:uiPriority w:val="99"/>
    <w:rPr>
      <w:kern w:val="2"/>
      <w:sz w:val="18"/>
    </w:rPr>
  </w:style>
  <w:style w:type="character" w:customStyle="1" w:styleId="26">
    <w:name w:val="发布"/>
    <w:qFormat/>
    <w:uiPriority w:val="0"/>
    <w:rPr>
      <w:rFonts w:ascii="黑体" w:eastAsia="黑体"/>
      <w:spacing w:val="22"/>
      <w:w w:val="100"/>
      <w:position w:val="3"/>
      <w:sz w:val="28"/>
    </w:rPr>
  </w:style>
  <w:style w:type="character" w:customStyle="1" w:styleId="27">
    <w:name w:val="日期 字符"/>
    <w:link w:val="8"/>
    <w:qFormat/>
    <w:uiPriority w:val="0"/>
    <w:rPr>
      <w:kern w:val="2"/>
      <w:sz w:val="21"/>
    </w:rPr>
  </w:style>
  <w:style w:type="character" w:customStyle="1" w:styleId="28">
    <w:name w:val="标题 3 字符"/>
    <w:link w:val="4"/>
    <w:semiHidden/>
    <w:qFormat/>
    <w:uiPriority w:val="0"/>
    <w:rPr>
      <w:b/>
      <w:bCs/>
      <w:kern w:val="2"/>
      <w:sz w:val="32"/>
      <w:szCs w:val="32"/>
    </w:rPr>
  </w:style>
  <w:style w:type="paragraph" w:customStyle="1" w:styleId="29">
    <w:name w:val="实施日期"/>
    <w:basedOn w:val="30"/>
    <w:qFormat/>
    <w:uiPriority w:val="0"/>
    <w:pPr>
      <w:jc w:val="right"/>
    </w:pPr>
  </w:style>
  <w:style w:type="paragraph" w:customStyle="1" w:styleId="30">
    <w:name w:val="发布日期"/>
    <w:qFormat/>
    <w:uiPriority w:val="0"/>
    <w:rPr>
      <w:rFonts w:ascii="Times New Roman" w:hAnsi="Times New Roman" w:eastAsia="黑体" w:cs="Times New Roman"/>
      <w:sz w:val="28"/>
      <w:lang w:val="en-US" w:eastAsia="zh-CN" w:bidi="ar-SA"/>
    </w:rPr>
  </w:style>
  <w:style w:type="paragraph" w:customStyle="1" w:styleId="31">
    <w:name w:val="_Style 37"/>
    <w:basedOn w:val="1"/>
    <w:next w:val="7"/>
    <w:qFormat/>
    <w:uiPriority w:val="0"/>
    <w:pPr>
      <w:spacing w:after="120"/>
    </w:pPr>
  </w:style>
  <w:style w:type="paragraph" w:customStyle="1" w:styleId="32">
    <w:name w:val="正文表标题"/>
    <w:next w:val="33"/>
    <w:qFormat/>
    <w:uiPriority w:val="0"/>
    <w:pPr>
      <w:ind w:left="4680"/>
      <w:jc w:val="center"/>
    </w:pPr>
    <w:rPr>
      <w:rFonts w:ascii="黑体" w:hAnsi="Times New Roman" w:eastAsia="黑体" w:cs="Times New Roman"/>
      <w:sz w:val="21"/>
      <w:lang w:val="en-US" w:eastAsia="zh-CN" w:bidi="ar-SA"/>
    </w:rPr>
  </w:style>
  <w:style w:type="paragraph" w:customStyle="1" w:styleId="33">
    <w:name w:val="段"/>
    <w:link w:val="6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4">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35">
    <w:name w:val="附录五级条标题"/>
    <w:basedOn w:val="36"/>
    <w:next w:val="33"/>
    <w:qFormat/>
    <w:uiPriority w:val="0"/>
    <w:pPr>
      <w:outlineLvl w:val="6"/>
    </w:pPr>
  </w:style>
  <w:style w:type="paragraph" w:customStyle="1" w:styleId="36">
    <w:name w:val="附录四级条标题"/>
    <w:basedOn w:val="37"/>
    <w:next w:val="33"/>
    <w:qFormat/>
    <w:uiPriority w:val="0"/>
    <w:pPr>
      <w:outlineLvl w:val="5"/>
    </w:pPr>
  </w:style>
  <w:style w:type="paragraph" w:customStyle="1" w:styleId="37">
    <w:name w:val="附录三级条标题"/>
    <w:basedOn w:val="38"/>
    <w:next w:val="33"/>
    <w:qFormat/>
    <w:uiPriority w:val="0"/>
    <w:pPr>
      <w:outlineLvl w:val="4"/>
    </w:pPr>
  </w:style>
  <w:style w:type="paragraph" w:customStyle="1" w:styleId="38">
    <w:name w:val="附录二级条标题"/>
    <w:basedOn w:val="39"/>
    <w:next w:val="33"/>
    <w:qFormat/>
    <w:uiPriority w:val="0"/>
    <w:pPr>
      <w:outlineLvl w:val="3"/>
    </w:pPr>
  </w:style>
  <w:style w:type="paragraph" w:customStyle="1" w:styleId="39">
    <w:name w:val="附录一级条标题"/>
    <w:basedOn w:val="40"/>
    <w:next w:val="33"/>
    <w:qFormat/>
    <w:uiPriority w:val="0"/>
    <w:pPr>
      <w:autoSpaceDN w:val="0"/>
      <w:spacing w:beforeLines="0" w:afterLines="0"/>
      <w:outlineLvl w:val="2"/>
    </w:pPr>
  </w:style>
  <w:style w:type="paragraph" w:customStyle="1" w:styleId="40">
    <w:name w:val="附录章标题"/>
    <w:next w:val="33"/>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41">
    <w:name w:val="二级条标题"/>
    <w:basedOn w:val="42"/>
    <w:next w:val="33"/>
    <w:qFormat/>
    <w:uiPriority w:val="0"/>
    <w:pPr>
      <w:outlineLvl w:val="3"/>
    </w:pPr>
  </w:style>
  <w:style w:type="paragraph" w:customStyle="1" w:styleId="42">
    <w:name w:val="一级条标题"/>
    <w:basedOn w:val="43"/>
    <w:next w:val="33"/>
    <w:qFormat/>
    <w:uiPriority w:val="0"/>
    <w:pPr>
      <w:spacing w:beforeLines="0" w:afterLines="0"/>
      <w:outlineLvl w:val="2"/>
    </w:pPr>
  </w:style>
  <w:style w:type="paragraph" w:customStyle="1" w:styleId="43">
    <w:name w:val="章标题"/>
    <w:next w:val="33"/>
    <w:qFormat/>
    <w:uiPriority w:val="0"/>
    <w:pPr>
      <w:spacing w:beforeLines="50" w:afterLines="50"/>
      <w:jc w:val="both"/>
      <w:outlineLvl w:val="1"/>
    </w:pPr>
    <w:rPr>
      <w:rFonts w:ascii="黑体" w:hAnsi="Times New Roman" w:eastAsia="黑体" w:cs="Times New Roman"/>
      <w:sz w:val="21"/>
      <w:lang w:val="en-US" w:eastAsia="zh-CN" w:bidi="ar-SA"/>
    </w:rPr>
  </w:style>
  <w:style w:type="paragraph" w:customStyle="1" w:styleId="4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45">
    <w:name w:val="封面一致性程度标识"/>
    <w:basedOn w:val="46"/>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46">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47">
    <w:name w:val="目次、标准名称标题"/>
    <w:basedOn w:val="48"/>
    <w:next w:val="33"/>
    <w:qFormat/>
    <w:uiPriority w:val="99"/>
    <w:pPr>
      <w:spacing w:line="460" w:lineRule="exact"/>
    </w:pPr>
  </w:style>
  <w:style w:type="paragraph" w:customStyle="1" w:styleId="48">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49">
    <w:name w:val="三级条标题"/>
    <w:basedOn w:val="41"/>
    <w:next w:val="33"/>
    <w:qFormat/>
    <w:uiPriority w:val="0"/>
    <w:pPr>
      <w:outlineLvl w:val="4"/>
    </w:pPr>
  </w:style>
  <w:style w:type="paragraph" w:customStyle="1" w:styleId="50">
    <w:name w:val="四级条标题"/>
    <w:basedOn w:val="49"/>
    <w:next w:val="33"/>
    <w:qFormat/>
    <w:uiPriority w:val="0"/>
    <w:pPr>
      <w:outlineLvl w:val="5"/>
    </w:pPr>
  </w:style>
  <w:style w:type="paragraph" w:customStyle="1" w:styleId="51">
    <w:name w:val="文献分类号"/>
    <w:qFormat/>
    <w:uiPriority w:val="0"/>
    <w:pPr>
      <w:widowControl w:val="0"/>
      <w:textAlignment w:val="center"/>
    </w:pPr>
    <w:rPr>
      <w:rFonts w:ascii="Times New Roman" w:hAnsi="Times New Roman" w:eastAsia="黑体" w:cs="Times New Roman"/>
      <w:sz w:val="21"/>
      <w:lang w:val="en-US" w:eastAsia="zh-CN" w:bidi="ar-SA"/>
    </w:rPr>
  </w:style>
  <w:style w:type="paragraph" w:customStyle="1" w:styleId="52">
    <w:name w:val="五级条标题"/>
    <w:basedOn w:val="50"/>
    <w:next w:val="33"/>
    <w:qFormat/>
    <w:uiPriority w:val="0"/>
    <w:pPr>
      <w:outlineLvl w:val="6"/>
    </w:pPr>
  </w:style>
  <w:style w:type="paragraph" w:customStyle="1" w:styleId="53">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54">
    <w:name w:val="标准书眉_偶数页"/>
    <w:basedOn w:val="55"/>
    <w:next w:val="1"/>
    <w:qFormat/>
    <w:uiPriority w:val="0"/>
    <w:pPr>
      <w:tabs>
        <w:tab w:val="center" w:pos="4154"/>
        <w:tab w:val="right" w:pos="8306"/>
      </w:tabs>
      <w:jc w:val="left"/>
    </w:pPr>
  </w:style>
  <w:style w:type="paragraph" w:customStyle="1" w:styleId="55">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56">
    <w:name w:val="篇"/>
    <w:basedOn w:val="1"/>
    <w:next w:val="1"/>
    <w:qFormat/>
    <w:uiPriority w:val="0"/>
    <w:pPr>
      <w:adjustRightInd w:val="0"/>
      <w:spacing w:line="360" w:lineRule="atLeast"/>
      <w:jc w:val="center"/>
      <w:textAlignment w:val="baseline"/>
    </w:pPr>
    <w:rPr>
      <w:rFonts w:eastAsia="黑体"/>
      <w:kern w:val="0"/>
      <w:sz w:val="24"/>
    </w:rPr>
  </w:style>
  <w:style w:type="paragraph" w:customStyle="1" w:styleId="57">
    <w:name w:val="封面标准号1"/>
    <w:qFormat/>
    <w:uiPriority w:val="0"/>
    <w:pPr>
      <w:widowControl w:val="0"/>
      <w:kinsoku w:val="0"/>
      <w:overflowPunct w:val="0"/>
      <w:autoSpaceDE w:val="0"/>
      <w:autoSpaceDN w:val="0"/>
      <w:spacing w:before="100" w:beforeAutospacing="1" w:after="100" w:afterAutospacing="1"/>
      <w:jc w:val="right"/>
      <w:textAlignment w:val="center"/>
    </w:pPr>
    <w:rPr>
      <w:rFonts w:ascii="Times New Roman" w:hAnsi="Times New Roman" w:eastAsia="宋体" w:cs="Times New Roman"/>
      <w:sz w:val="28"/>
      <w:lang w:val="en-US" w:eastAsia="zh-CN" w:bidi="ar-SA"/>
    </w:rPr>
  </w:style>
  <w:style w:type="paragraph" w:customStyle="1" w:styleId="5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9">
    <w:name w:val="封面正文"/>
    <w:qFormat/>
    <w:uiPriority w:val="0"/>
    <w:pPr>
      <w:jc w:val="both"/>
    </w:pPr>
    <w:rPr>
      <w:rFonts w:ascii="Times New Roman" w:hAnsi="Times New Roman" w:eastAsia="宋体" w:cs="Times New Roman"/>
      <w:lang w:val="en-US" w:eastAsia="zh-CN" w:bidi="ar-SA"/>
    </w:rPr>
  </w:style>
  <w:style w:type="paragraph" w:customStyle="1" w:styleId="60">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61">
    <w:name w:val="附录标识"/>
    <w:basedOn w:val="48"/>
    <w:next w:val="33"/>
    <w:qFormat/>
    <w:uiPriority w:val="0"/>
    <w:pPr>
      <w:tabs>
        <w:tab w:val="left" w:pos="6405"/>
      </w:tabs>
      <w:spacing w:after="200"/>
    </w:pPr>
    <w:rPr>
      <w:sz w:val="21"/>
    </w:rPr>
  </w:style>
  <w:style w:type="paragraph" w:customStyle="1" w:styleId="62">
    <w:name w:val="发布部门"/>
    <w:next w:val="33"/>
    <w:qFormat/>
    <w:uiPriority w:val="0"/>
    <w:pPr>
      <w:jc w:val="center"/>
    </w:pPr>
    <w:rPr>
      <w:rFonts w:ascii="宋体" w:hAnsi="Times New Roman" w:eastAsia="宋体" w:cs="Times New Roman"/>
      <w:b/>
      <w:spacing w:val="20"/>
      <w:w w:val="135"/>
      <w:sz w:val="36"/>
      <w:lang w:val="en-US" w:eastAsia="zh-CN" w:bidi="ar-SA"/>
    </w:rPr>
  </w:style>
  <w:style w:type="paragraph" w:customStyle="1" w:styleId="63">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64">
    <w:name w:val="标准称谓"/>
    <w:next w:val="1"/>
    <w:qFormat/>
    <w:uiPriority w:val="0"/>
    <w:pPr>
      <w:widowControl w:val="0"/>
      <w:kinsoku w:val="0"/>
      <w:overflowPunct w:val="0"/>
      <w:autoSpaceDE w:val="0"/>
      <w:autoSpaceDN w:val="0"/>
      <w:spacing w:line="0" w:lineRule="atLeast"/>
      <w:jc w:val="distribute"/>
    </w:pPr>
    <w:rPr>
      <w:rFonts w:ascii="宋体" w:hAnsi="Times New Roman" w:eastAsia="宋体" w:cs="Times New Roman"/>
      <w:b/>
      <w:spacing w:val="20"/>
      <w:w w:val="148"/>
      <w:sz w:val="52"/>
      <w:lang w:val="en-US" w:eastAsia="zh-CN" w:bidi="ar-SA"/>
    </w:rPr>
  </w:style>
  <w:style w:type="paragraph" w:customStyle="1" w:styleId="65">
    <w:name w:val="标准书眉一"/>
    <w:qFormat/>
    <w:uiPriority w:val="0"/>
    <w:pPr>
      <w:jc w:val="both"/>
    </w:pPr>
    <w:rPr>
      <w:rFonts w:ascii="Times New Roman" w:hAnsi="Times New Roman" w:eastAsia="宋体" w:cs="Times New Roman"/>
      <w:lang w:val="en-US" w:eastAsia="zh-CN" w:bidi="ar-SA"/>
    </w:rPr>
  </w:style>
  <w:style w:type="character" w:styleId="66">
    <w:name w:val="Placeholder Text"/>
    <w:basedOn w:val="18"/>
    <w:unhideWhenUsed/>
    <w:qFormat/>
    <w:uiPriority w:val="99"/>
    <w:rPr>
      <w:color w:val="808080"/>
    </w:rPr>
  </w:style>
  <w:style w:type="character" w:customStyle="1" w:styleId="67">
    <w:name w:val="apple-converted-space"/>
    <w:basedOn w:val="18"/>
    <w:qFormat/>
    <w:uiPriority w:val="0"/>
  </w:style>
  <w:style w:type="character" w:customStyle="1" w:styleId="68">
    <w:name w:val="段 Char"/>
    <w:link w:val="33"/>
    <w:qFormat/>
    <w:uiPriority w:val="0"/>
    <w:rPr>
      <w:rFonts w:ascii="宋体"/>
      <w:sz w:val="21"/>
    </w:rPr>
  </w:style>
  <w:style w:type="paragraph" w:customStyle="1" w:styleId="69">
    <w:name w:val="Body text|2"/>
    <w:basedOn w:val="1"/>
    <w:link w:val="71"/>
    <w:qFormat/>
    <w:uiPriority w:val="0"/>
    <w:pPr>
      <w:shd w:val="clear" w:color="auto" w:fill="FFFFFF"/>
      <w:spacing w:after="3760" w:line="222" w:lineRule="exact"/>
      <w:jc w:val="right"/>
    </w:pPr>
    <w:rPr>
      <w:rFonts w:ascii="PMingLiU" w:hAnsi="PMingLiU" w:eastAsia="PMingLiU" w:cs="PMingLiU"/>
      <w:spacing w:val="20"/>
      <w:sz w:val="18"/>
      <w:szCs w:val="18"/>
    </w:rPr>
  </w:style>
  <w:style w:type="character" w:customStyle="1" w:styleId="70">
    <w:name w:val="Body text|2 + Times New Roman"/>
    <w:basedOn w:val="71"/>
    <w:unhideWhenUsed/>
    <w:qFormat/>
    <w:uiPriority w:val="0"/>
    <w:rPr>
      <w:rFonts w:ascii="Times New Roman" w:hAnsi="Times New Roman" w:eastAsia="Times New Roman" w:cs="Times New Roman"/>
      <w:color w:val="000000"/>
      <w:spacing w:val="10"/>
      <w:w w:val="100"/>
      <w:position w:val="0"/>
      <w:sz w:val="20"/>
      <w:szCs w:val="20"/>
      <w:u w:val="none"/>
      <w:lang w:val="en-US" w:eastAsia="en-US" w:bidi="en-US"/>
    </w:rPr>
  </w:style>
  <w:style w:type="character" w:customStyle="1" w:styleId="71">
    <w:name w:val="Body text|2_"/>
    <w:basedOn w:val="18"/>
    <w:link w:val="69"/>
    <w:qFormat/>
    <w:uiPriority w:val="0"/>
    <w:rPr>
      <w:rFonts w:ascii="PMingLiU" w:hAnsi="PMingLiU" w:eastAsia="PMingLiU" w:cs="PMingLiU"/>
      <w:spacing w:val="20"/>
      <w:sz w:val="18"/>
      <w:szCs w:val="18"/>
      <w:u w:val="none"/>
    </w:rPr>
  </w:style>
  <w:style w:type="character" w:customStyle="1" w:styleId="72">
    <w:name w:val="尾注文本 字符"/>
    <w:link w:val="2"/>
    <w:qFormat/>
    <w:uiPriority w:val="99"/>
    <w:rPr>
      <w:kern w:val="2"/>
      <w:sz w:val="21"/>
      <w:szCs w:val="24"/>
    </w:rPr>
  </w:style>
  <w:style w:type="paragraph" w:customStyle="1" w:styleId="73">
    <w:name w:val="Table Paragraph"/>
    <w:basedOn w:val="1"/>
    <w:qFormat/>
    <w:uiPriority w:val="1"/>
    <w:pPr>
      <w:autoSpaceDE w:val="0"/>
      <w:autoSpaceDN w:val="0"/>
      <w:jc w:val="left"/>
    </w:pPr>
    <w:rPr>
      <w:rFonts w:ascii="宋体" w:hAnsi="宋体" w:cs="宋体"/>
      <w:kern w:val="0"/>
      <w:sz w:val="22"/>
      <w:szCs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D68737-E4E2-4410-8041-3303DC013B18}">
  <ds:schemaRefs/>
</ds:datastoreItem>
</file>

<file path=docProps/app.xml><?xml version="1.0" encoding="utf-8"?>
<Properties xmlns="http://schemas.openxmlformats.org/officeDocument/2006/extended-properties" xmlns:vt="http://schemas.openxmlformats.org/officeDocument/2006/docPropsVTypes">
  <Template>Normal.dotm</Template>
  <Company>mgl</Company>
  <Pages>9</Pages>
  <Words>2420</Words>
  <Characters>2861</Characters>
  <Lines>20</Lines>
  <Paragraphs>5</Paragraphs>
  <TotalTime>8</TotalTime>
  <ScaleCrop>false</ScaleCrop>
  <LinksUpToDate>false</LinksUpToDate>
  <CharactersWithSpaces>3015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2020-07-28T07:18:00Z</dcterms:created>
  <dc:creator>mgl</dc:creator>
  <cp:lastModifiedBy>ss</cp:lastModifiedBy>
  <cp:lastPrinted>2020-08-24T02:31:00Z</cp:lastPrinted>
  <dcterms:modified xsi:type="dcterms:W3CDTF">2025-08-25T02:49:16Z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4C5B6F2C1E04487F9C7232DC0118E3F1_13</vt:lpwstr>
  </property>
  <property fmtid="{D5CDD505-2E9C-101B-9397-08002B2CF9AE}" pid="4" name="KSOTemplateDocerSaveRecord">
    <vt:lpwstr>eyJoZGlkIjoiNmJhNjFiYzEyMGYxNjdhN2I2ODlmY2E1MmZjYThkZWYiLCJ1c2VySWQiOiIzOTc1NTY5ODkifQ==</vt:lpwstr>
  </property>
</Properties>
</file>