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2"/>
        <w:rPr>
          <w:rFonts w:hint="eastAsia" w:asciiTheme="minorEastAsia" w:hAnsiTheme="minorEastAsia" w:eastAsiaTheme="minorEastAsia"/>
          <w:lang w:val="en-US" w:eastAsia="zh-CN"/>
        </w:rPr>
      </w:pPr>
      <w:bookmarkStart w:id="3" w:name="_GoBack"/>
      <w:bookmarkEnd w:id="3"/>
      <w:bookmarkStart w:id="0" w:name="SectionMark0"/>
      <w:bookmarkStart w:id="1" w:name="SectionMark4"/>
      <w:r>
        <w:rPr>
          <w:rFonts w:asciiTheme="minorEastAsia" w:hAnsiTheme="minorEastAsia" w:eastAsiaTheme="minorEastAsia"/>
        </w:rPr>
        <w:pict>
          <v:shape id="fmFrame2" o:spid="_x0000_s2050" o:spt="202" type="#_x0000_t202" style="position:absolute;left:0pt;margin-left:0pt;margin-top:79.55pt;height:30.8pt;width:481.9pt;mso-position-horizontal-relative:margin;mso-position-vertical-relative:margin;z-index:25166848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106"/>
                  </w:pPr>
                  <w:r>
                    <w:rPr>
                      <w:rFonts w:hint="eastAsia"/>
                    </w:rPr>
                    <w:t>中华人民共和国有色金属行业标准</w:t>
                  </w: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8" o:spid="_x0000_s2051" o:spt="202" type="#_x0000_t202" style="position:absolute;left:0pt;margin-left:379.05pt;margin-top:18.45pt;height:56.7pt;width:87.15pt;mso-position-horizontal-relative:margin;mso-position-vertical-relative:margin;z-index:251667456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104"/>
                  </w:pPr>
                  <w:r>
                    <w:t>YS</w:t>
                  </w: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line id="Line 24" o:spid="_x0000_s2052" o:spt="20" style="position:absolute;left:0pt;margin-left:0pt;margin-top:700pt;height:0pt;width:482pt;z-index:251666432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asciiTheme="minorEastAsia" w:hAnsiTheme="minorEastAsia" w:eastAsiaTheme="minorEastAsia"/>
        </w:rPr>
        <w:pict>
          <v:line id="Line 23" o:spid="_x0000_s2053" o:spt="20" style="position:absolute;left:0pt;margin-left:0pt;margin-top:179pt;height:0pt;width:482pt;z-index:251665408;mso-width-relative:page;mso-height-relative:page;" coordsize="21600,21600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asciiTheme="minorEastAsia" w:hAnsiTheme="minorEastAsia" w:eastAsiaTheme="minorEastAsia"/>
        </w:rPr>
        <w:pict>
          <v:shape id="fmFrame7" o:spid="_x0000_s2054" o:spt="202" type="#_x0000_t202" style="position:absolute;left:0pt;margin-left:0pt;margin-top:717.2pt;height:28.6pt;width:481.9pt;mso-position-horizontal-relative:margin;mso-position-vertical-relative:margin;z-index:25166438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81"/>
                  </w:pPr>
                  <w:r>
                    <w:rPr>
                      <w:rFonts w:hint="eastAsia"/>
                    </w:rPr>
                    <w:t>中华人民共和国工业和信息化部</w:t>
                  </w:r>
                  <w:r>
                    <w:rPr>
                      <w:rStyle w:val="55"/>
                      <w:rFonts w:hint="eastAsia"/>
                      <w:b w:val="0"/>
                    </w:rPr>
                    <w:t>发布</w:t>
                  </w: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6" o:spid="_x0000_s2055" o:spt="202" type="#_x0000_t202" style="position:absolute;left:0pt;margin-left:322.9pt;margin-top:674.3pt;height:24.6pt;width:159pt;mso-position-horizontal-relative:margin;mso-position-vertical-relative:margin;z-index:25166336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86"/>
                  </w:pPr>
                  <w:r>
                    <w:rPr>
                      <w:rFonts w:hint="eastAsia"/>
                    </w:rPr>
                    <w:t>××××-××-××实施</w:t>
                  </w: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5" o:spid="_x0000_s2056" o:spt="202" type="#_x0000_t202" style="position:absolute;left:0pt;margin-left:0pt;margin-top:674.3pt;height:24.6pt;width:159pt;mso-position-horizontal-relative:margin;mso-position-vertical-relative:margin;z-index:251662336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87"/>
                  </w:pPr>
                  <w:r>
                    <w:rPr>
                      <w:rFonts w:hint="eastAsia"/>
                    </w:rPr>
                    <w:t>××××-××-××发布</w:t>
                  </w: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4" o:spid="_x0000_s2057" o:spt="202" type="#_x0000_t202" style="position:absolute;left:0pt;margin-left:0pt;margin-top:286.25pt;height:368.6pt;width:470pt;mso-position-horizontal-relative:margin;mso-position-vertical-relative:margin;z-index:25166131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72"/>
                    <w:adjustRightInd w:val="0"/>
                    <w:snapToGrid w:val="0"/>
                    <w:rPr>
                      <w:rFonts w:ascii="黑体" w:eastAsia="黑体"/>
                      <w:kern w:val="2"/>
                      <w:sz w:val="52"/>
                      <w:szCs w:val="52"/>
                    </w:rPr>
                  </w:pPr>
                  <w:r>
                    <w:rPr>
                      <w:rFonts w:hint="eastAsia" w:ascii="黑体" w:eastAsia="黑体"/>
                      <w:kern w:val="2"/>
                      <w:sz w:val="52"/>
                      <w:szCs w:val="52"/>
                    </w:rPr>
                    <w:t>硬质合金细棒扭转试验方法</w:t>
                  </w:r>
                </w:p>
                <w:p>
                  <w:pPr>
                    <w:pStyle w:val="57"/>
                    <w:rPr>
                      <w:rFonts w:hint="eastAsia"/>
                    </w:rPr>
                  </w:pPr>
                  <w:r>
                    <w:rPr>
                      <w:rFonts w:hint="eastAsia" w:ascii="黑体" w:hAnsi="黑体" w:eastAsia="黑体" w:cs="黑体"/>
                    </w:rPr>
                    <w:t>Method for Torsion Test of Cemented Carbide Thin Rods</w:t>
                  </w:r>
                </w:p>
                <w:p>
                  <w:pPr>
                    <w:pStyle w:val="57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lang w:val="en-US" w:eastAsia="zh-CN"/>
                    </w:rPr>
                    <w:t>预审</w:t>
                  </w:r>
                  <w:r>
                    <w:rPr>
                      <w:rFonts w:hint="eastAsia"/>
                    </w:rPr>
                    <w:t>稿）</w:t>
                  </w:r>
                </w:p>
                <w:p>
                  <w:pPr>
                    <w:pStyle w:val="101"/>
                  </w:pP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3" o:spid="_x0000_s2058" o:spt="202" type="#_x0000_t202" style="position:absolute;left:0pt;margin-left:0pt;margin-top:110.35pt;height:67.75pt;width:456.9pt;mso-position-horizontal-relative:margin;mso-position-vertical-relative:margin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78"/>
                    <w:ind w:left="600" w:hanging="180"/>
                  </w:pPr>
                </w:p>
                <w:p>
                  <w:pPr>
                    <w:pStyle w:val="78"/>
                    <w:ind w:left="600" w:hanging="180"/>
                    <w:rPr>
                      <w:rFonts w:hint="default" w:ascii="黑体" w:hAnsi="黑体" w:eastAsia="黑体" w:cs="黑体"/>
                      <w:szCs w:val="28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Cs w:val="28"/>
                    </w:rPr>
                    <w:t xml:space="preserve">YS/T </w:t>
                  </w:r>
                  <w:r>
                    <w:rPr>
                      <w:rFonts w:hint="eastAsia" w:ascii="黑体" w:hAnsi="黑体" w:eastAsia="黑体" w:cs="黑体"/>
                      <w:szCs w:val="28"/>
                      <w:lang w:val="en-US" w:eastAsia="zh-CN"/>
                    </w:rPr>
                    <w:t>0400</w:t>
                  </w:r>
                  <w:r>
                    <w:rPr>
                      <w:rFonts w:hint="eastAsia" w:ascii="黑体" w:hAnsi="黑体" w:eastAsia="黑体" w:cs="黑体"/>
                      <w:szCs w:val="28"/>
                    </w:rPr>
                    <w:t>-20</w:t>
                  </w:r>
                  <w:r>
                    <w:rPr>
                      <w:rFonts w:hint="eastAsia" w:ascii="黑体" w:hAnsi="黑体" w:eastAsia="黑体" w:cs="黑体"/>
                      <w:szCs w:val="28"/>
                      <w:lang w:val="en-US" w:eastAsia="zh-CN"/>
                    </w:rPr>
                    <w:t>24</w:t>
                  </w:r>
                </w:p>
                <w:p>
                  <w:pPr>
                    <w:rPr>
                      <w:rFonts w:ascii="黑体" w:hAnsi="黑体" w:eastAsia="黑体" w:cs="黑体"/>
                      <w:sz w:val="28"/>
                      <w:szCs w:val="28"/>
                    </w:rPr>
                  </w:pPr>
                </w:p>
              </w:txbxContent>
            </v:textbox>
            <w10:anchorlock/>
          </v:shape>
        </w:pict>
      </w:r>
      <w:r>
        <w:rPr>
          <w:rFonts w:asciiTheme="minorEastAsia" w:hAnsiTheme="minorEastAsia" w:eastAsiaTheme="minorEastAsia"/>
        </w:rPr>
        <w:pict>
          <v:shape id="fmFrame1" o:spid="_x0000_s2059" o:spt="202" type="#_x0000_t202" style="position:absolute;left:0pt;margin-left:0pt;margin-top:0pt;height:51.8pt;width:200pt;mso-position-horizontal-relative:margin;mso-position-vertical-relative:margin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103"/>
                    <w:rPr>
                      <w:rFonts w:ascii="黑体" w:hAnsi="黑体" w:cs="黑体"/>
                    </w:rPr>
                  </w:pPr>
                  <w:r>
                    <w:rPr>
                      <w:rFonts w:hint="eastAsia" w:ascii="黑体" w:hAnsi="黑体" w:cs="黑体"/>
                    </w:rPr>
                    <w:t>ICS 77.160</w:t>
                  </w:r>
                </w:p>
                <w:p>
                  <w:pPr>
                    <w:pStyle w:val="103"/>
                    <w:rPr>
                      <w:rFonts w:hint="eastAsia" w:ascii="黑体" w:hAnsi="黑体" w:cs="黑体"/>
                    </w:rPr>
                  </w:pPr>
                  <w:r>
                    <w:rPr>
                      <w:rFonts w:hint="eastAsia" w:ascii="黑体" w:hAnsi="黑体" w:cs="黑体"/>
                    </w:rPr>
                    <w:t>CCS H 23</w:t>
                  </w:r>
                </w:p>
                <w:p>
                  <w:pPr>
                    <w:pStyle w:val="103"/>
                  </w:pPr>
                </w:p>
              </w:txbxContent>
            </v:textbox>
            <w10:anchorlock/>
          </v:shape>
        </w:pict>
      </w:r>
      <w:r>
        <w:rPr>
          <w:rFonts w:hint="eastAsia" w:asciiTheme="minorEastAsia" w:hAnsiTheme="minorEastAsia" w:eastAsiaTheme="minorEastAsia"/>
          <w:lang w:val="en-US" w:eastAsia="zh-CN"/>
        </w:rPr>
        <w:t xml:space="preserve"> </w:t>
      </w:r>
    </w:p>
    <w:p>
      <w:pPr>
        <w:pStyle w:val="102"/>
        <w:rPr>
          <w:rFonts w:hint="eastAsia" w:asciiTheme="minorEastAsia" w:hAnsiTheme="minorEastAsia" w:eastAsiaTheme="minorEastAsia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39"/>
          <w:pgMar w:top="567" w:right="851" w:bottom="1361" w:left="1418" w:header="851" w:footer="851" w:gutter="0"/>
          <w:pgNumType w:start="1"/>
          <w:cols w:space="720" w:num="1"/>
          <w:titlePg/>
          <w:docGrid w:type="linesAndChars" w:linePitch="312" w:charSpace="0"/>
        </w:sectPr>
      </w:pPr>
    </w:p>
    <w:bookmarkEnd w:id="0"/>
    <w:p>
      <w:pPr>
        <w:pStyle w:val="65"/>
        <w:adjustRightInd w:val="0"/>
        <w:snapToGrid w:val="0"/>
        <w:rPr>
          <w:rFonts w:asciiTheme="minorEastAsia" w:hAnsiTheme="minorEastAsia" w:eastAsiaTheme="minorEastAsia"/>
        </w:rPr>
      </w:pPr>
      <w:bookmarkStart w:id="2" w:name="SectionMark2"/>
      <w:r>
        <w:rPr>
          <w:rFonts w:hint="eastAsia" w:asciiTheme="minorEastAsia" w:hAnsiTheme="minorEastAsia" w:eastAsiaTheme="minorEastAsia"/>
        </w:rPr>
        <w:t>前    言</w:t>
      </w:r>
    </w:p>
    <w:p>
      <w:pPr>
        <w:pStyle w:val="107"/>
        <w:widowControl w:val="0"/>
        <w:spacing w:beforeLines="0" w:afterLines="0"/>
        <w:ind w:firstLine="420" w:firstLineChars="200"/>
        <w:outlineLvl w:val="9"/>
        <w:rPr>
          <w:rFonts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本文件按照GB/T 1.1-2020《标准化工作导则第1部分：标准化文件的结构和起草规则》的规定起草。</w:t>
      </w:r>
    </w:p>
    <w:p>
      <w:pPr>
        <w:pStyle w:val="54"/>
        <w:ind w:firstLine="420"/>
        <w:rPr>
          <w:rFonts w:eastAsiaTheme="minorEastAsia"/>
        </w:rPr>
      </w:pPr>
      <w:r>
        <w:rPr>
          <w:rFonts w:hint="eastAsia" w:cs="宋体" w:asciiTheme="minorEastAsia" w:hAnsiTheme="minorEastAsia" w:eastAsiaTheme="minorEastAsia"/>
          <w:szCs w:val="21"/>
        </w:rPr>
        <w:t>请注意本文件的某些内容可能涉及专利。本文件的发布机构不承担识别专利的责任。</w:t>
      </w:r>
    </w:p>
    <w:p>
      <w:pPr>
        <w:pStyle w:val="54"/>
        <w:ind w:firstLine="420"/>
        <w:rPr>
          <w:rFonts w:asciiTheme="minorEastAsia" w:hAnsiTheme="minorEastAsia" w:eastAsiaTheme="minorEastAsia"/>
          <w:kern w:val="2"/>
          <w:szCs w:val="24"/>
        </w:rPr>
      </w:pPr>
      <w:r>
        <w:rPr>
          <w:rFonts w:hint="eastAsia" w:cs="宋体" w:asciiTheme="minorEastAsia" w:hAnsiTheme="minorEastAsia" w:eastAsiaTheme="minorEastAsia"/>
        </w:rPr>
        <w:t>本</w:t>
      </w:r>
      <w:r>
        <w:rPr>
          <w:rFonts w:hint="eastAsia" w:cs="宋体" w:asciiTheme="minorEastAsia" w:hAnsiTheme="minorEastAsia" w:eastAsiaTheme="minorEastAsia"/>
          <w:szCs w:val="21"/>
        </w:rPr>
        <w:t>文件</w:t>
      </w:r>
      <w:r>
        <w:rPr>
          <w:rFonts w:hint="eastAsia" w:cs="宋体" w:asciiTheme="minorEastAsia" w:hAnsiTheme="minorEastAsia" w:eastAsiaTheme="minorEastAsia"/>
        </w:rPr>
        <w:t>由全国有色金属标准化技术委员会（SAC/TC 243）提出并归口。</w:t>
      </w:r>
    </w:p>
    <w:p>
      <w:pPr>
        <w:ind w:left="420" w:leftChars="200"/>
        <w:rPr>
          <w:rFonts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4"/>
        </w:rPr>
        <w:t>本文件起草单位：</w:t>
      </w:r>
      <w:r>
        <w:rPr>
          <w:rFonts w:hint="eastAsia" w:cs="宋体" w:asciiTheme="minorEastAsia" w:hAnsiTheme="minorEastAsia" w:eastAsiaTheme="minorEastAsia"/>
        </w:rPr>
        <w:t>深圳市</w:t>
      </w:r>
      <w:r>
        <w:rPr>
          <w:rFonts w:cs="宋体" w:asciiTheme="minorEastAsia" w:hAnsiTheme="minorEastAsia" w:eastAsiaTheme="minorEastAsia"/>
        </w:rPr>
        <w:t>金洲精工科技股份有限公司、</w:t>
      </w:r>
      <w:r>
        <w:rPr>
          <w:rFonts w:hint="eastAsia" w:cs="宋体" w:asciiTheme="minorEastAsia" w:hAnsiTheme="minorEastAsia" w:eastAsiaTheme="minorEastAsia"/>
        </w:rPr>
        <w:t>株洲硬质合金集团有限公司、有色金属技术经济研究院有限责任公司、金洲精工科技（昆山）有限公司、南昌硬质合金有限责任公司、河南大地合金有限公司、株洲金韦。</w:t>
      </w:r>
    </w:p>
    <w:p>
      <w:pPr>
        <w:ind w:left="420" w:leftChars="200"/>
        <w:rPr>
          <w:rFonts w:asciiTheme="minorEastAsia" w:hAnsiTheme="minorEastAsia" w:eastAsiaTheme="minorEastAsia"/>
          <w:szCs w:val="28"/>
        </w:rPr>
      </w:pPr>
      <w:r>
        <w:rPr>
          <w:rFonts w:hint="eastAsia" w:asciiTheme="minorEastAsia" w:hAnsiTheme="minorEastAsia" w:eastAsiaTheme="minorEastAsia"/>
          <w:szCs w:val="28"/>
        </w:rPr>
        <w:t>本文件主要起草人：</w:t>
      </w:r>
    </w:p>
    <w:p>
      <w:pPr>
        <w:pStyle w:val="54"/>
        <w:ind w:firstLine="420"/>
        <w:rPr>
          <w:rFonts w:asciiTheme="minorEastAsia" w:hAnsiTheme="minorEastAsia" w:eastAsiaTheme="minorEastAsia"/>
          <w:lang w:val="de-DE"/>
        </w:rPr>
      </w:pPr>
    </w:p>
    <w:p>
      <w:pPr>
        <w:pStyle w:val="54"/>
        <w:ind w:firstLine="420"/>
        <w:rPr>
          <w:rFonts w:asciiTheme="minorEastAsia" w:hAnsiTheme="minorEastAsia" w:eastAsiaTheme="minorEastAsia"/>
        </w:rPr>
        <w:sectPr>
          <w:headerReference r:id="rId7" w:type="default"/>
          <w:footerReference r:id="rId8" w:type="default"/>
          <w:pgSz w:w="11907" w:h="16839"/>
          <w:pgMar w:top="1418" w:right="1134" w:bottom="1134" w:left="1418" w:header="851" w:footer="851" w:gutter="0"/>
          <w:pgNumType w:fmt="upperRoman" w:start="1"/>
          <w:cols w:space="720" w:num="1"/>
          <w:docGrid w:type="linesAndChars" w:linePitch="312" w:charSpace="0"/>
        </w:sectPr>
      </w:pPr>
    </w:p>
    <w:bookmarkEnd w:id="1"/>
    <w:bookmarkEnd w:id="2"/>
    <w:p>
      <w:pPr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bCs/>
          <w:sz w:val="32"/>
          <w:szCs w:val="32"/>
        </w:rPr>
        <w:t>硬质合金细棒扭转试验方法</w:t>
      </w:r>
    </w:p>
    <w:p>
      <w:pPr>
        <w:pStyle w:val="107"/>
        <w:numPr>
          <w:ilvl w:val="0"/>
          <w:numId w:val="1"/>
        </w:numPr>
        <w:spacing w:before="312" w:beforeLines="100" w:after="312" w:afterLines="1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范围</w:t>
      </w:r>
    </w:p>
    <w:p>
      <w:pPr>
        <w:pStyle w:val="107"/>
        <w:tabs>
          <w:tab w:val="left" w:pos="420"/>
        </w:tabs>
        <w:spacing w:before="312" w:beforeLines="100" w:after="312" w:afterLines="100"/>
        <w:ind w:firstLine="420" w:firstLineChars="200"/>
        <w:rPr>
          <w:rFonts w:asciiTheme="minorEastAsia" w:hAnsiTheme="minorEastAsia" w:eastAsiaTheme="minorEastAsia"/>
          <w:kern w:val="2"/>
          <w:szCs w:val="28"/>
        </w:rPr>
      </w:pPr>
      <w:r>
        <w:rPr>
          <w:rFonts w:hint="eastAsia" w:asciiTheme="minorEastAsia" w:hAnsiTheme="minorEastAsia" w:eastAsiaTheme="minorEastAsia"/>
          <w:kern w:val="2"/>
          <w:szCs w:val="28"/>
        </w:rPr>
        <w:t>本文件规定了印制电路板用硬质合金细棒（直径0.8mm-1.5mm）扭转试验方法的符号、原理、试样、试验设备、性能测定、测得性能数值修约和试验报告。</w:t>
      </w:r>
    </w:p>
    <w:p>
      <w:pPr>
        <w:pStyle w:val="107"/>
        <w:spacing w:before="312" w:beforeLines="100" w:after="312" w:afterLines="100"/>
        <w:ind w:firstLine="420" w:firstLineChars="200"/>
        <w:rPr>
          <w:rFonts w:asciiTheme="minorEastAsia" w:hAnsiTheme="minorEastAsia" w:eastAsiaTheme="minorEastAsia"/>
          <w:szCs w:val="22"/>
        </w:rPr>
      </w:pPr>
      <w:r>
        <w:rPr>
          <w:rFonts w:hint="eastAsia" w:asciiTheme="minorEastAsia" w:hAnsiTheme="minorEastAsia" w:eastAsiaTheme="minorEastAsia"/>
          <w:kern w:val="2"/>
          <w:szCs w:val="28"/>
        </w:rPr>
        <w:t>本标准适用于印制电路板用硬质合金细棒室温（</w:t>
      </w:r>
      <w:r>
        <w:rPr>
          <w:rFonts w:hint="eastAsia" w:asciiTheme="minorEastAsia" w:hAnsiTheme="minorEastAsia" w:eastAsiaTheme="minorEastAsia"/>
          <w:kern w:val="2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kern w:val="2"/>
          <w:szCs w:val="28"/>
          <w:lang w:val="en-US" w:eastAsia="zh-CN"/>
        </w:rPr>
        <w:t>～</w:t>
      </w:r>
      <w:r>
        <w:rPr>
          <w:rFonts w:hint="eastAsia" w:asciiTheme="minorEastAsia" w:hAnsiTheme="minorEastAsia" w:eastAsiaTheme="minorEastAsia"/>
          <w:kern w:val="2"/>
          <w:szCs w:val="28"/>
          <w:lang w:val="en-US" w:eastAsia="zh-CN"/>
        </w:rPr>
        <w:t>35℃</w:t>
      </w:r>
      <w:r>
        <w:rPr>
          <w:rFonts w:hint="eastAsia" w:asciiTheme="minorEastAsia" w:hAnsiTheme="minorEastAsia" w:eastAsiaTheme="minorEastAsia"/>
          <w:kern w:val="2"/>
          <w:szCs w:val="28"/>
        </w:rPr>
        <w:t>）下测定扭转力学性能的方法。</w:t>
      </w:r>
    </w:p>
    <w:p>
      <w:pPr>
        <w:pStyle w:val="107"/>
        <w:numPr>
          <w:ilvl w:val="0"/>
          <w:numId w:val="1"/>
        </w:numPr>
        <w:spacing w:before="312" w:beforeLines="100" w:after="312" w:afterLines="100"/>
        <w:rPr>
          <w:rFonts w:asciiTheme="majorEastAsia" w:hAnsiTheme="majorEastAsia" w:eastAsiaTheme="majorEastAsia"/>
          <w:szCs w:val="22"/>
        </w:rPr>
      </w:pPr>
      <w:r>
        <w:rPr>
          <w:rFonts w:hint="eastAsia" w:asciiTheme="majorEastAsia" w:hAnsiTheme="majorEastAsia" w:eastAsiaTheme="majorEastAsia"/>
          <w:szCs w:val="22"/>
        </w:rPr>
        <w:t>规范性引用文件</w:t>
      </w:r>
    </w:p>
    <w:p>
      <w:pPr>
        <w:autoSpaceDE w:val="0"/>
        <w:autoSpaceDN w:val="0"/>
        <w:adjustRightInd w:val="0"/>
        <w:spacing w:line="276" w:lineRule="auto"/>
        <w:ind w:firstLine="420" w:firstLineChars="200"/>
        <w:jc w:val="left"/>
        <w:rPr>
          <w:rFonts w:asciiTheme="minorEastAsia" w:hAnsiTheme="minorEastAsia" w:eastAsiaTheme="minorEastAsia"/>
          <w:kern w:val="0"/>
          <w:szCs w:val="21"/>
        </w:rPr>
      </w:pPr>
      <w:r>
        <w:rPr>
          <w:rFonts w:hint="eastAsia" w:asciiTheme="minorEastAsia" w:hAnsiTheme="minorEastAsia" w:eastAsiaTheme="minorEastAsia"/>
          <w:kern w:val="0"/>
          <w:szCs w:val="21"/>
        </w:rPr>
        <w:t>本文件没有规范性引用文件</w:t>
      </w:r>
      <w:r>
        <w:rPr>
          <w:rFonts w:asciiTheme="minorEastAsia" w:hAnsiTheme="minorEastAsia" w:eastAsiaTheme="minorEastAsia"/>
          <w:kern w:val="0"/>
          <w:szCs w:val="21"/>
        </w:rPr>
        <w:t>。</w:t>
      </w:r>
    </w:p>
    <w:p>
      <w:pPr>
        <w:pStyle w:val="107"/>
        <w:numPr>
          <w:ilvl w:val="0"/>
          <w:numId w:val="1"/>
        </w:numPr>
        <w:spacing w:before="312" w:beforeLines="100" w:after="312" w:afterLines="100"/>
        <w:rPr>
          <w:rFonts w:asciiTheme="majorEastAsia" w:hAnsiTheme="majorEastAsia" w:eastAsiaTheme="majorEastAsia"/>
          <w:szCs w:val="22"/>
        </w:rPr>
      </w:pPr>
      <w:r>
        <w:rPr>
          <w:rFonts w:hint="eastAsia" w:asciiTheme="majorEastAsia" w:hAnsiTheme="majorEastAsia" w:eastAsiaTheme="majorEastAsia"/>
          <w:szCs w:val="22"/>
        </w:rPr>
        <w:t>术语和定义</w:t>
      </w:r>
    </w:p>
    <w:p>
      <w:pPr>
        <w:ind w:firstLine="435"/>
      </w:pPr>
      <w:r>
        <w:rPr>
          <w:rFonts w:hint="eastAsia"/>
        </w:rPr>
        <w:t>本文件没有需要界定的术语和定义。</w:t>
      </w:r>
    </w:p>
    <w:p>
      <w:pPr>
        <w:spacing w:before="312" w:beforeLines="100" w:after="312" w:afterLines="100"/>
        <w:rPr>
          <w:rFonts w:cs="宋体" w:asciiTheme="majorEastAsia" w:hAnsiTheme="majorEastAsia" w:eastAsiaTheme="majorEastAsia"/>
          <w:bCs/>
        </w:rPr>
      </w:pPr>
      <w:r>
        <w:rPr>
          <w:rFonts w:hint="eastAsia" w:cs="宋体" w:asciiTheme="majorEastAsia" w:hAnsiTheme="majorEastAsia" w:eastAsiaTheme="majorEastAsia"/>
          <w:bCs/>
        </w:rPr>
        <w:t>3.2  符号</w:t>
      </w:r>
    </w:p>
    <w:p>
      <w:pPr>
        <w:spacing w:before="312" w:beforeLines="100" w:after="312" w:afterLines="100"/>
        <w:ind w:firstLine="420" w:firstLineChars="200"/>
        <w:rPr>
          <w:rFonts w:cs="宋体" w:asciiTheme="majorEastAsia" w:hAnsiTheme="majorEastAsia"/>
          <w:bCs/>
        </w:rPr>
      </w:pPr>
      <w:r>
        <w:rPr>
          <w:rFonts w:hint="eastAsia" w:ascii="宋体" w:hAnsi="宋体" w:cs="宋体"/>
        </w:rPr>
        <w:t>本文件中使用的符号及说明见表1。</w:t>
      </w:r>
    </w:p>
    <w:p>
      <w:pPr>
        <w:adjustRightInd w:val="0"/>
        <w:snapToGrid w:val="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表1 符号及</w:t>
      </w:r>
      <w:r>
        <w:rPr>
          <w:rFonts w:asciiTheme="minorEastAsia" w:hAnsiTheme="minorEastAsia" w:eastAsiaTheme="minorEastAsia"/>
        </w:rPr>
        <w:t>说明</w:t>
      </w:r>
    </w:p>
    <w:tbl>
      <w:tblPr>
        <w:tblStyle w:val="3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符号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说明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圆柱试样的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外径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L</w:t>
            </w:r>
            <w:r>
              <w:rPr>
                <w:rFonts w:asciiTheme="minorEastAsia" w:hAnsiTheme="minorEastAsia" w:eastAsiaTheme="minorEastAsia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扭转夹头之间的距离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L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试样总长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T</w:t>
            </w:r>
            <w:r>
              <w:rPr>
                <w:rFonts w:asciiTheme="minorEastAsia" w:hAnsiTheme="minorEastAsia" w:eastAsiaTheme="minorEastAsia"/>
                <w:sz w:val="18"/>
                <w:szCs w:val="18"/>
                <w:vertAlign w:val="subscript"/>
              </w:rPr>
              <w:t>m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最大扭矩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N·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W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截面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系数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mm</w:t>
            </w:r>
            <w:r>
              <w:rPr>
                <w:rFonts w:asciiTheme="minorEastAsia" w:hAnsiTheme="minorEastAsia" w:eastAsiaTheme="minorEastAsia"/>
                <w:sz w:val="18"/>
                <w:szCs w:val="18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τ</w:t>
            </w:r>
            <w:r>
              <w:rPr>
                <w:rFonts w:asciiTheme="minorEastAsia" w:hAnsiTheme="minorEastAsia" w:eastAsiaTheme="minorEastAsia"/>
                <w:sz w:val="18"/>
                <w:szCs w:val="18"/>
                <w:vertAlign w:val="subscript"/>
              </w:rPr>
              <w:t>m</w:t>
            </w:r>
          </w:p>
        </w:tc>
        <w:tc>
          <w:tcPr>
            <w:tcW w:w="3190" w:type="dxa"/>
            <w:shd w:val="clear" w:color="auto" w:fill="auto"/>
          </w:tcPr>
          <w:p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抗扭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强度</w:t>
            </w:r>
          </w:p>
        </w:tc>
        <w:tc>
          <w:tcPr>
            <w:tcW w:w="3191" w:type="dxa"/>
            <w:shd w:val="clear" w:color="auto" w:fill="auto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MP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a</w:t>
            </w:r>
          </w:p>
        </w:tc>
      </w:tr>
    </w:tbl>
    <w:p>
      <w:pPr>
        <w:spacing w:before="312" w:beforeLines="100" w:after="312" w:afterLines="100"/>
        <w:rPr>
          <w:rFonts w:cs="宋体" w:asciiTheme="minorEastAsia" w:hAnsiTheme="minorEastAsia" w:eastAsiaTheme="minorEastAsia"/>
          <w:bCs/>
        </w:rPr>
      </w:pPr>
    </w:p>
    <w:p>
      <w:pPr>
        <w:pStyle w:val="107"/>
        <w:numPr>
          <w:ilvl w:val="0"/>
          <w:numId w:val="1"/>
        </w:numPr>
        <w:spacing w:before="312" w:beforeLines="100" w:after="312" w:afterLines="100"/>
        <w:rPr>
          <w:rFonts w:asciiTheme="majorEastAsia" w:hAnsiTheme="majorEastAsia" w:eastAsiaTheme="majorEastAsia"/>
          <w:szCs w:val="22"/>
        </w:rPr>
      </w:pPr>
      <w:r>
        <w:rPr>
          <w:rFonts w:hint="eastAsia" w:asciiTheme="majorEastAsia" w:hAnsiTheme="majorEastAsia" w:eastAsiaTheme="majorEastAsia"/>
          <w:szCs w:val="22"/>
        </w:rPr>
        <w:t>原理</w:t>
      </w:r>
    </w:p>
    <w:p>
      <w:pPr>
        <w:tabs>
          <w:tab w:val="left" w:pos="720"/>
        </w:tabs>
        <w:ind w:right="420" w:firstLine="420" w:firstLineChars="200"/>
        <w:rPr>
          <w:rFonts w:cs="黑体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</w:rPr>
        <w:t>扭转试验是测定材料抵抗扭矩作用的一种试验方法，是材料机械性能试验的基本试验方法之一。其原理是对试样施加扭矩，同时测量扭矩及相应的</w:t>
      </w:r>
      <w:r>
        <w:rPr>
          <w:rFonts w:hint="eastAsia" w:asciiTheme="minorEastAsia" w:hAnsiTheme="minorEastAsia" w:eastAsiaTheme="minorEastAsia"/>
          <w:lang w:val="en-US" w:eastAsia="zh-CN"/>
        </w:rPr>
        <w:t>扭矩</w:t>
      </w:r>
      <w:r>
        <w:rPr>
          <w:rFonts w:hint="eastAsia" w:asciiTheme="minorEastAsia" w:hAnsiTheme="minorEastAsia" w:eastAsiaTheme="minorEastAsia"/>
        </w:rPr>
        <w:t>，并绘制出扭转曲线图。通常，试验会进行至试样断裂，从而测定材料的各项扭转力学性能指标。</w:t>
      </w:r>
    </w:p>
    <w:p>
      <w:pPr>
        <w:pStyle w:val="107"/>
        <w:numPr>
          <w:ilvl w:val="0"/>
          <w:numId w:val="1"/>
        </w:numPr>
        <w:spacing w:before="312" w:beforeLines="100" w:after="312" w:afterLines="100"/>
        <w:rPr>
          <w:rFonts w:asciiTheme="majorEastAsia" w:hAnsiTheme="majorEastAsia" w:eastAsiaTheme="majorEastAsia"/>
          <w:szCs w:val="22"/>
        </w:rPr>
      </w:pPr>
      <w:r>
        <w:rPr>
          <w:rFonts w:hint="eastAsia" w:asciiTheme="majorEastAsia" w:hAnsiTheme="majorEastAsia" w:eastAsiaTheme="majorEastAsia"/>
          <w:szCs w:val="22"/>
        </w:rPr>
        <w:t>试样</w:t>
      </w:r>
    </w:p>
    <w:p>
      <w:pPr>
        <w:pStyle w:val="54"/>
        <w:numPr>
          <w:ilvl w:val="1"/>
          <w:numId w:val="1"/>
        </w:numPr>
        <w:ind w:firstLineChars="0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试样形状和尺寸</w:t>
      </w:r>
    </w:p>
    <w:p>
      <w:pPr>
        <w:pStyle w:val="54"/>
        <w:ind w:firstLine="420"/>
        <w:rPr>
          <w:rFonts w:hint="eastAsia"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</w:rPr>
        <w:t>硬质合金</w:t>
      </w:r>
      <w:r>
        <w:rPr>
          <w:rFonts w:hint="eastAsia" w:asciiTheme="minorEastAsia" w:hAnsiTheme="minorEastAsia" w:eastAsiaTheme="minorEastAsia"/>
        </w:rPr>
        <w:t>细棒的</w:t>
      </w:r>
      <w:r>
        <w:rPr>
          <w:rFonts w:hint="eastAsia" w:asciiTheme="minorEastAsia" w:hAnsiTheme="minorEastAsia" w:eastAsiaTheme="minorEastAsia"/>
          <w:lang w:val="en-US" w:eastAsia="zh-CN"/>
        </w:rPr>
        <w:t>形状和尺寸</w:t>
      </w:r>
      <w:r>
        <w:rPr>
          <w:rFonts w:hint="eastAsia" w:asciiTheme="minorEastAsia" w:hAnsiTheme="minorEastAsia" w:eastAsiaTheme="minorEastAsia"/>
        </w:rPr>
        <w:t>见</w:t>
      </w:r>
      <w:r>
        <w:rPr>
          <w:rFonts w:asciiTheme="minorEastAsia" w:hAnsiTheme="minorEastAsia" w:eastAsiaTheme="minorEastAsia"/>
        </w:rPr>
        <w:t>图</w:t>
      </w:r>
      <w:r>
        <w:rPr>
          <w:rFonts w:hint="eastAsia" w:asciiTheme="minorEastAsia" w:hAnsiTheme="minorEastAsia" w:eastAsiaTheme="minorEastAsia"/>
        </w:rPr>
        <w:t>1</w:t>
      </w:r>
      <w:r>
        <w:rPr>
          <w:rFonts w:hint="eastAsia" w:asciiTheme="minorEastAsia" w:hAnsiTheme="minorEastAsia" w:eastAsiaTheme="minorEastAsia"/>
          <w:lang w:eastAsia="zh-CN"/>
        </w:rPr>
        <w:t>。</w:t>
      </w:r>
      <w:r>
        <w:rPr>
          <w:rFonts w:asciiTheme="minorEastAsia" w:hAnsiTheme="minorEastAsia" w:eastAsiaTheme="minorEastAsia"/>
        </w:rPr>
        <w:t>硬质合金</w:t>
      </w:r>
      <w:r>
        <w:rPr>
          <w:rFonts w:hint="eastAsia" w:asciiTheme="minorEastAsia" w:hAnsiTheme="minorEastAsia" w:eastAsiaTheme="minorEastAsia"/>
        </w:rPr>
        <w:t>细棒应</w:t>
      </w:r>
      <w:r>
        <w:rPr>
          <w:rFonts w:asciiTheme="minorEastAsia" w:hAnsiTheme="minorEastAsia" w:eastAsiaTheme="minorEastAsia"/>
        </w:rPr>
        <w:t>为圆柱形</w:t>
      </w:r>
      <w:r>
        <w:rPr>
          <w:rFonts w:hint="eastAsia" w:asciiTheme="minorEastAsia" w:hAnsiTheme="minorEastAsia" w:eastAsiaTheme="minorEastAsia"/>
        </w:rPr>
        <w:t>，试样总长L的长度为80mm-90mm，圆柱试样的外径d0为0.8-1.5mm，其表面粗糙度Ra小于0.2μm， 直线度不大于0.02mm，</w:t>
      </w:r>
      <w:r>
        <w:rPr>
          <w:rFonts w:hint="eastAsia" w:asciiTheme="minorEastAsia" w:hAnsiTheme="minorEastAsia" w:eastAsiaTheme="minorEastAsia"/>
          <w:lang w:val="en-US" w:eastAsia="zh-CN"/>
        </w:rPr>
        <w:t>圆柱度不大于0.002mm</w:t>
      </w:r>
      <w:r>
        <w:rPr>
          <w:rFonts w:hint="eastAsia" w:asciiTheme="minorEastAsia" w:hAnsiTheme="minorEastAsia" w:eastAsiaTheme="minorEastAsia"/>
        </w:rPr>
        <w:t>，圆柱试样的外径d0的公差为±0.0</w:t>
      </w:r>
      <w:r>
        <w:rPr>
          <w:rFonts w:hint="eastAsia" w:asciiTheme="minorEastAsia" w:hAnsiTheme="minorEastAsia" w:eastAsiaTheme="minorEastAsia"/>
          <w:lang w:val="en-US" w:eastAsia="zh-CN"/>
        </w:rPr>
        <w:t>05</w:t>
      </w:r>
      <w:r>
        <w:rPr>
          <w:rFonts w:hint="eastAsia" w:asciiTheme="minorEastAsia" w:hAnsiTheme="minorEastAsia" w:eastAsiaTheme="minorEastAsia"/>
        </w:rPr>
        <w:t>mm。(该部分尽量详细)</w:t>
      </w:r>
    </w:p>
    <w:p>
      <w:pPr>
        <w:tabs>
          <w:tab w:val="left" w:pos="720"/>
        </w:tabs>
        <w:jc w:val="left"/>
        <w:rPr>
          <w:rFonts w:cs="黑体" w:asciiTheme="minorEastAsia" w:hAnsiTheme="minorEastAsia" w:eastAsiaTheme="minorEastAsia"/>
          <w:szCs w:val="21"/>
        </w:rPr>
      </w:pPr>
      <w:r>
        <w:drawing>
          <wp:inline distT="0" distB="0" distL="114300" distR="114300">
            <wp:extent cx="5934710" cy="1499235"/>
            <wp:effectExtent l="0" t="0" r="889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图1 </w:t>
      </w:r>
      <w:r>
        <w:rPr>
          <w:rFonts w:asciiTheme="minorEastAsia" w:hAnsiTheme="minorEastAsia" w:eastAsiaTheme="minorEastAsia"/>
        </w:rPr>
        <w:t>硬质合金</w:t>
      </w:r>
      <w:r>
        <w:rPr>
          <w:rFonts w:hint="eastAsia" w:asciiTheme="minorEastAsia" w:hAnsiTheme="minorEastAsia" w:eastAsiaTheme="minorEastAsia"/>
        </w:rPr>
        <w:t>细棒示意图</w:t>
      </w:r>
    </w:p>
    <w:p>
      <w:pPr>
        <w:tabs>
          <w:tab w:val="left" w:pos="720"/>
        </w:tabs>
        <w:jc w:val="left"/>
        <w:rPr>
          <w:rFonts w:cs="黑体" w:asciiTheme="majorEastAsia" w:hAnsiTheme="majorEastAsia" w:eastAsiaTheme="majorEastAsia"/>
          <w:szCs w:val="21"/>
        </w:rPr>
      </w:pPr>
    </w:p>
    <w:p>
      <w:pPr>
        <w:pStyle w:val="110"/>
        <w:numPr>
          <w:ilvl w:val="0"/>
          <w:numId w:val="0"/>
        </w:numPr>
        <w:spacing w:before="312" w:beforeLines="100" w:after="312" w:afterLines="100"/>
        <w:ind w:left="0" w:firstLine="0" w:firstLineChars="0"/>
        <w:rPr>
          <w:rFonts w:asciiTheme="majorEastAsia" w:hAnsiTheme="majorEastAsia" w:eastAsiaTheme="majorEastAsia"/>
        </w:rPr>
      </w:pPr>
      <w:r>
        <w:rPr>
          <w:rFonts w:hint="default" w:cs="Times New Roman" w:asciiTheme="majorEastAsia" w:hAnsiTheme="majorEastAsia" w:eastAsiaTheme="majorEastAsia"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cs="Times New Roman" w:asciiTheme="majorEastAsia" w:hAnsiTheme="majorEastAsia" w:eastAsiaTheme="majorEastAsia"/>
          <w:kern w:val="2"/>
          <w:sz w:val="21"/>
          <w:szCs w:val="24"/>
          <w:lang w:val="en-US" w:eastAsia="zh-CN" w:bidi="ar-SA"/>
        </w:rPr>
        <w:t xml:space="preserve">   </w:t>
      </w:r>
      <w:r>
        <w:rPr>
          <w:rFonts w:hint="eastAsia" w:asciiTheme="majorEastAsia" w:hAnsiTheme="majorEastAsia" w:eastAsiaTheme="majorEastAsia"/>
        </w:rPr>
        <w:t>仪器设备</w:t>
      </w:r>
    </w:p>
    <w:p>
      <w:pPr>
        <w:pStyle w:val="110"/>
        <w:numPr>
          <w:ilvl w:val="1"/>
          <w:numId w:val="0"/>
        </w:numPr>
        <w:tabs>
          <w:tab w:val="left" w:pos="3285"/>
        </w:tabs>
        <w:spacing w:before="312" w:beforeLines="100" w:after="312" w:afterLines="100"/>
        <w:ind w:left="360" w:hanging="360" w:firstLineChars="0"/>
        <w:rPr>
          <w:rFonts w:asciiTheme="majorEastAsia" w:hAnsiTheme="majorEastAsia" w:eastAsiaTheme="majorEastAsia"/>
        </w:rPr>
      </w:pPr>
      <w:r>
        <w:rPr>
          <w:rFonts w:hint="default" w:cs="Times New Roman" w:asciiTheme="majorEastAsia" w:hAnsiTheme="majorEastAsia" w:eastAsiaTheme="majorEastAsia"/>
          <w:kern w:val="2"/>
          <w:sz w:val="21"/>
          <w:szCs w:val="24"/>
          <w:lang w:val="en-US" w:eastAsia="zh-CN" w:bidi="ar-SA"/>
        </w:rPr>
        <w:t>6.1</w:t>
      </w:r>
      <w:r>
        <w:rPr>
          <w:rFonts w:hint="eastAsia" w:asciiTheme="majorEastAsia" w:hAnsiTheme="majorEastAsia" w:eastAsiaTheme="majorEastAsia"/>
        </w:rPr>
        <w:t>千分尺，精度为0.001mm</w:t>
      </w:r>
    </w:p>
    <w:p>
      <w:pPr>
        <w:pStyle w:val="110"/>
        <w:numPr>
          <w:ilvl w:val="1"/>
          <w:numId w:val="0"/>
        </w:numPr>
        <w:spacing w:before="312" w:beforeLines="100" w:after="312" w:afterLines="100"/>
        <w:ind w:left="360" w:hanging="360" w:firstLineChars="0"/>
        <w:rPr>
          <w:rFonts w:hint="eastAsia" w:asciiTheme="majorEastAsia" w:hAnsiTheme="majorEastAsia" w:eastAsiaTheme="majorEastAsia"/>
        </w:rPr>
      </w:pPr>
      <w:r>
        <w:rPr>
          <w:rFonts w:hint="default" w:cs="Times New Roman" w:asciiTheme="majorEastAsia" w:hAnsiTheme="majorEastAsia" w:eastAsiaTheme="majorEastAsia"/>
          <w:kern w:val="2"/>
          <w:sz w:val="21"/>
          <w:szCs w:val="24"/>
          <w:lang w:val="en-US" w:eastAsia="zh-CN" w:bidi="ar-SA"/>
        </w:rPr>
        <w:t>6.2</w:t>
      </w:r>
      <w:r>
        <w:rPr>
          <w:rFonts w:hint="eastAsia" w:asciiTheme="majorEastAsia" w:hAnsiTheme="majorEastAsia" w:eastAsiaTheme="majorEastAsia"/>
        </w:rPr>
        <w:t xml:space="preserve"> 游标卡尺，精度为0.01mm</w:t>
      </w:r>
    </w:p>
    <w:p>
      <w:pPr>
        <w:adjustRightInd w:val="0"/>
        <w:snapToGrid w:val="0"/>
        <w:rPr>
          <w:rFonts w:asciiTheme="minorEastAsia" w:hAnsiTheme="minorEastAsia" w:eastAsiaTheme="minorEastAsia"/>
          <w:b/>
        </w:rPr>
      </w:pPr>
    </w:p>
    <w:p>
      <w:pPr>
        <w:adjustRightInd w:val="0"/>
        <w:snapToGrid w:val="0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表2 测量</w:t>
      </w:r>
      <w:r>
        <w:rPr>
          <w:rFonts w:asciiTheme="minorEastAsia" w:hAnsiTheme="minorEastAsia" w:eastAsiaTheme="minorEastAsia"/>
        </w:rPr>
        <w:t>装置的分辨力</w:t>
      </w:r>
    </w:p>
    <w:tbl>
      <w:tblPr>
        <w:tblStyle w:val="32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3045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试样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尺寸</w:t>
            </w:r>
          </w:p>
        </w:tc>
        <w:tc>
          <w:tcPr>
            <w:tcW w:w="304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测量装置</w:t>
            </w:r>
          </w:p>
        </w:tc>
        <w:tc>
          <w:tcPr>
            <w:tcW w:w="209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测量精度</w:t>
            </w: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直径</w:t>
            </w:r>
          </w:p>
        </w:tc>
        <w:tc>
          <w:tcPr>
            <w:tcW w:w="304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千分尺</w:t>
            </w:r>
          </w:p>
        </w:tc>
        <w:tc>
          <w:tcPr>
            <w:tcW w:w="209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07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标距</w:t>
            </w:r>
          </w:p>
        </w:tc>
        <w:tc>
          <w:tcPr>
            <w:tcW w:w="3045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游标卡尺</w:t>
            </w:r>
          </w:p>
        </w:tc>
        <w:tc>
          <w:tcPr>
            <w:tcW w:w="2098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0.01</w:t>
            </w:r>
          </w:p>
        </w:tc>
      </w:tr>
    </w:tbl>
    <w:p>
      <w:pPr>
        <w:pStyle w:val="110"/>
        <w:numPr>
          <w:ilvl w:val="-1"/>
          <w:numId w:val="0"/>
        </w:numPr>
        <w:spacing w:before="312" w:beforeLines="100" w:after="312" w:afterLines="100"/>
        <w:ind w:left="0" w:firstLine="0" w:firstLineChars="0"/>
        <w:rPr>
          <w:rFonts w:hint="eastAsia" w:asciiTheme="majorEastAsia" w:hAnsiTheme="majorEastAsia" w:eastAsiaTheme="majorEastAsia"/>
        </w:rPr>
      </w:pPr>
    </w:p>
    <w:p>
      <w:pPr>
        <w:numPr>
          <w:ilvl w:val="1"/>
          <w:numId w:val="0"/>
        </w:numPr>
        <w:adjustRightInd w:val="0"/>
        <w:snapToGrid w:val="0"/>
        <w:spacing w:line="360" w:lineRule="auto"/>
        <w:ind w:left="0" w:firstLine="0"/>
        <w:rPr>
          <w:rFonts w:asciiTheme="majorEastAsia" w:hAnsiTheme="majorEastAsia" w:eastAsiaTheme="majorEastAsia"/>
          <w:szCs w:val="21"/>
        </w:rPr>
      </w:pPr>
      <w:r>
        <w:rPr>
          <w:rFonts w:hint="default" w:cs="Times New Roman" w:asciiTheme="majorEastAsia" w:hAnsiTheme="majorEastAsia" w:eastAsiaTheme="majorEastAsia"/>
          <w:kern w:val="2"/>
          <w:sz w:val="21"/>
          <w:szCs w:val="21"/>
          <w:lang w:val="en-US" w:eastAsia="zh-CN" w:bidi="ar-SA"/>
        </w:rPr>
        <w:t>6.3</w:t>
      </w:r>
      <w:r>
        <w:rPr>
          <w:rFonts w:hint="eastAsia" w:asciiTheme="majorEastAsia" w:hAnsiTheme="majorEastAsia" w:eastAsiaTheme="majorEastAsia"/>
          <w:szCs w:val="21"/>
        </w:rPr>
        <w:t>试验机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Theme="minorEastAsia" w:hAnsiTheme="minorEastAsia" w:eastAsiaTheme="minorEastAsia"/>
          <w:spacing w:val="-20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扭转试验机应满足下列要求（扭转试验机示意图见图2） </w:t>
      </w:r>
      <w:r>
        <w:rPr>
          <w:rFonts w:hint="eastAsia" w:asciiTheme="minorEastAsia" w:hAnsiTheme="minorEastAsia" w:eastAsiaTheme="minorEastAsia"/>
          <w:spacing w:val="-20"/>
          <w:szCs w:val="21"/>
        </w:rPr>
        <w:t>：</w:t>
      </w:r>
    </w:p>
    <w:p>
      <w:pPr>
        <w:numPr>
          <w:ilvl w:val="2"/>
          <w:numId w:val="0"/>
        </w:numPr>
        <w:adjustRightInd w:val="0"/>
        <w:snapToGrid w:val="0"/>
        <w:spacing w:line="360" w:lineRule="auto"/>
        <w:ind w:left="720" w:hanging="720"/>
        <w:rPr>
          <w:rFonts w:asciiTheme="minorEastAsia" w:hAnsiTheme="minorEastAsia" w:eastAsiaTheme="minorEastAsia"/>
          <w:szCs w:val="21"/>
        </w:rPr>
      </w:pPr>
      <w:r>
        <w:rPr>
          <w:rFonts w:hint="default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6.3.1</w:t>
      </w:r>
      <w:r>
        <w:rPr>
          <w:rFonts w:hint="eastAsia" w:asciiTheme="minorEastAsia" w:hAnsiTheme="minorEastAsia" w:eastAsiaTheme="minorEastAsia"/>
          <w:szCs w:val="21"/>
        </w:rPr>
        <w:t>试验时试验机两</w:t>
      </w:r>
      <w:r>
        <w:rPr>
          <w:rFonts w:asciiTheme="minorEastAsia" w:hAnsiTheme="minorEastAsia" w:eastAsiaTheme="minorEastAsia"/>
          <w:szCs w:val="21"/>
        </w:rPr>
        <w:t>夹头之一</w:t>
      </w:r>
      <w:r>
        <w:rPr>
          <w:rFonts w:hint="eastAsia" w:asciiTheme="minorEastAsia" w:hAnsiTheme="minorEastAsia" w:eastAsiaTheme="minorEastAsia"/>
          <w:szCs w:val="21"/>
        </w:rPr>
        <w:t>应</w:t>
      </w:r>
      <w:r>
        <w:rPr>
          <w:rFonts w:asciiTheme="minorEastAsia" w:hAnsiTheme="minorEastAsia" w:eastAsiaTheme="minorEastAsia"/>
          <w:szCs w:val="21"/>
        </w:rPr>
        <w:t>能沿</w:t>
      </w:r>
      <w:r>
        <w:rPr>
          <w:rFonts w:hint="eastAsia" w:asciiTheme="minorEastAsia" w:hAnsiTheme="minorEastAsia" w:eastAsiaTheme="minorEastAsia"/>
          <w:szCs w:val="21"/>
        </w:rPr>
        <w:t>轴向</w:t>
      </w:r>
      <w:r>
        <w:rPr>
          <w:rFonts w:asciiTheme="minorEastAsia" w:hAnsiTheme="minorEastAsia" w:eastAsiaTheme="minorEastAsia"/>
          <w:szCs w:val="21"/>
        </w:rPr>
        <w:t>自由移动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asciiTheme="minorEastAsia" w:hAnsiTheme="minorEastAsia" w:eastAsiaTheme="minorEastAsia"/>
          <w:szCs w:val="21"/>
        </w:rPr>
        <w:t>对试样无附加轴向力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asciiTheme="minorEastAsia" w:hAnsiTheme="minorEastAsia" w:eastAsiaTheme="minorEastAsia"/>
          <w:szCs w:val="21"/>
        </w:rPr>
        <w:t>两</w:t>
      </w:r>
      <w:r>
        <w:rPr>
          <w:rFonts w:hint="eastAsia" w:asciiTheme="minorEastAsia" w:hAnsiTheme="minorEastAsia" w:eastAsiaTheme="minorEastAsia"/>
          <w:szCs w:val="21"/>
        </w:rPr>
        <w:t>夹头保持</w:t>
      </w:r>
      <w:r>
        <w:rPr>
          <w:rFonts w:asciiTheme="minorEastAsia" w:hAnsiTheme="minorEastAsia" w:eastAsiaTheme="minorEastAsia"/>
          <w:szCs w:val="21"/>
        </w:rPr>
        <w:t>同轴</w:t>
      </w:r>
      <w:r>
        <w:rPr>
          <w:rFonts w:hint="eastAsia" w:asciiTheme="minorEastAsia" w:hAnsiTheme="minorEastAsia" w:eastAsiaTheme="minorEastAsia"/>
          <w:szCs w:val="21"/>
        </w:rPr>
        <w:t>；</w:t>
      </w:r>
    </w:p>
    <w:p>
      <w:pPr>
        <w:numPr>
          <w:ilvl w:val="-1"/>
          <w:numId w:val="0"/>
        </w:numPr>
        <w:adjustRightInd w:val="0"/>
        <w:snapToGrid w:val="0"/>
        <w:spacing w:line="360" w:lineRule="auto"/>
        <w:ind w:left="0" w:firstLine="0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夹持样品应带有弹性夹套；</w:t>
      </w:r>
    </w:p>
    <w:p>
      <w:pPr>
        <w:numPr>
          <w:ilvl w:val="2"/>
          <w:numId w:val="0"/>
        </w:numPr>
        <w:tabs>
          <w:tab w:val="left" w:pos="540"/>
        </w:tabs>
        <w:adjustRightInd w:val="0"/>
        <w:spacing w:line="360" w:lineRule="auto"/>
        <w:ind w:left="0" w:firstLine="0"/>
        <w:rPr>
          <w:rFonts w:hint="eastAsia" w:ascii="宋体" w:hAnsi="宋体"/>
          <w:sz w:val="20"/>
        </w:rPr>
      </w:pPr>
      <w:r>
        <w:rPr>
          <w:rFonts w:hint="default" w:ascii="宋体" w:hAnsi="宋体" w:eastAsia="宋体" w:cs="Times New Roman"/>
          <w:kern w:val="2"/>
          <w:sz w:val="20"/>
          <w:lang w:val="en-US" w:eastAsia="zh-CN" w:bidi="ar-SA"/>
        </w:rPr>
        <w:t>6.3.2</w:t>
      </w:r>
      <w:r>
        <w:rPr>
          <w:rFonts w:hint="eastAsia" w:asciiTheme="minorEastAsia" w:hAnsiTheme="minorEastAsia" w:eastAsiaTheme="minorEastAsia"/>
          <w:sz w:val="20"/>
          <w:szCs w:val="20"/>
          <w:lang w:val="en-US" w:eastAsia="zh-CN"/>
        </w:rPr>
        <w:t>试验机安装要求：</w:t>
      </w:r>
    </w:p>
    <w:p>
      <w:pPr>
        <w:numPr>
          <w:ilvl w:val="0"/>
          <w:numId w:val="2"/>
        </w:numPr>
        <w:tabs>
          <w:tab w:val="left" w:pos="540"/>
        </w:tabs>
        <w:adjustRightInd w:val="0"/>
        <w:spacing w:line="360" w:lineRule="auto"/>
        <w:ind w:left="0" w:firstLine="400" w:firstLineChars="200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w:t>室温10℃~35℃范围内；</w:t>
      </w:r>
    </w:p>
    <w:p>
      <w:pPr>
        <w:numPr>
          <w:ilvl w:val="0"/>
          <w:numId w:val="2"/>
        </w:numPr>
        <w:tabs>
          <w:tab w:val="left" w:pos="540"/>
        </w:tabs>
        <w:adjustRightInd w:val="0"/>
        <w:spacing w:line="360" w:lineRule="auto"/>
        <w:ind w:left="0" w:firstLine="400" w:firstLineChars="200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w:t>相对湿度不大于80%；</w:t>
      </w:r>
    </w:p>
    <w:p>
      <w:pPr>
        <w:numPr>
          <w:ilvl w:val="0"/>
          <w:numId w:val="2"/>
        </w:numPr>
        <w:tabs>
          <w:tab w:val="left" w:pos="540"/>
        </w:tabs>
        <w:adjustRightInd w:val="0"/>
        <w:spacing w:line="360" w:lineRule="auto"/>
        <w:ind w:left="0" w:firstLine="400" w:firstLineChars="200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w:t>周围无振动、无腐蚀性介质和无较强电磁场干扰的环境中；</w:t>
      </w:r>
    </w:p>
    <w:p>
      <w:pPr>
        <w:numPr>
          <w:ilvl w:val="0"/>
          <w:numId w:val="2"/>
        </w:numPr>
        <w:tabs>
          <w:tab w:val="left" w:pos="540"/>
        </w:tabs>
        <w:adjustRightInd w:val="0"/>
        <w:spacing w:line="360" w:lineRule="auto"/>
        <w:ind w:left="0" w:firstLine="400" w:firstLineChars="200"/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w:t>电源电压的变化在额定电压的±10%以内；</w:t>
      </w:r>
    </w:p>
    <w:p>
      <w:pPr>
        <w:numPr>
          <w:ilvl w:val="0"/>
          <w:numId w:val="2"/>
        </w:numPr>
        <w:tabs>
          <w:tab w:val="left" w:pos="540"/>
        </w:tabs>
        <w:adjustRightInd w:val="0"/>
        <w:snapToGrid/>
        <w:spacing w:line="360" w:lineRule="auto"/>
        <w:ind w:left="0" w:firstLine="400" w:firstLineChars="200"/>
        <w:rPr>
          <w:rFonts w:asciiTheme="minorEastAsia" w:hAnsiTheme="minorEastAsia" w:eastAsiaTheme="minorEastAsia"/>
          <w:sz w:val="20"/>
          <w:szCs w:val="20"/>
        </w:rPr>
      </w:pPr>
      <w:r>
        <w:rPr>
          <w:rFonts w:hint="eastAsia" w:ascii="宋体" w:hAnsi="宋体"/>
          <w:sz w:val="20"/>
        </w:rPr>
        <w:t>在稳固的基础上正确安装，水平度为0.2/1000。</w:t>
      </w:r>
    </w:p>
    <w:p>
      <w:pPr>
        <w:numPr>
          <w:ilvl w:val="2"/>
          <w:numId w:val="0"/>
        </w:numPr>
        <w:adjustRightInd w:val="0"/>
        <w:snapToGrid w:val="0"/>
        <w:spacing w:line="360" w:lineRule="auto"/>
        <w:ind w:left="0" w:firstLine="0" w:firstLineChars="0"/>
        <w:rPr>
          <w:rFonts w:asciiTheme="minorEastAsia" w:hAnsiTheme="minorEastAsia" w:eastAsiaTheme="minorEastAsia"/>
          <w:szCs w:val="21"/>
        </w:rPr>
      </w:pPr>
      <w:r>
        <w:rPr>
          <w:rFonts w:hint="default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6.3.3</w:t>
      </w:r>
      <w:r>
        <w:rPr>
          <w:rFonts w:hint="eastAsia" w:asciiTheme="minorEastAsia" w:hAnsiTheme="minorEastAsia" w:eastAsiaTheme="minorEastAsia"/>
          <w:szCs w:val="21"/>
        </w:rPr>
        <w:t>试验机在30s内的读数应稳定；</w:t>
      </w:r>
    </w:p>
    <w:p>
      <w:pPr>
        <w:numPr>
          <w:ilvl w:val="2"/>
          <w:numId w:val="0"/>
        </w:numPr>
        <w:adjustRightInd w:val="0"/>
        <w:snapToGrid w:val="0"/>
        <w:spacing w:line="360" w:lineRule="auto"/>
        <w:ind w:left="0" w:firstLine="0"/>
        <w:rPr>
          <w:rFonts w:asciiTheme="minorEastAsia" w:hAnsiTheme="minorEastAsia" w:eastAsiaTheme="minorEastAsia"/>
          <w:szCs w:val="21"/>
        </w:rPr>
      </w:pPr>
      <w:r>
        <w:rPr>
          <w:rFonts w:hint="default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6.3.4</w:t>
      </w:r>
      <w:r>
        <w:rPr>
          <w:rFonts w:hint="eastAsia" w:asciiTheme="minorEastAsia" w:hAnsiTheme="minorEastAsia" w:eastAsiaTheme="minorEastAsia"/>
          <w:szCs w:val="21"/>
        </w:rPr>
        <w:t>试验机应</w:t>
      </w:r>
      <w:r>
        <w:rPr>
          <w:rFonts w:asciiTheme="minorEastAsia" w:hAnsiTheme="minorEastAsia" w:eastAsiaTheme="minorEastAsia"/>
          <w:szCs w:val="21"/>
        </w:rPr>
        <w:t>定期进行校准。</w:t>
      </w:r>
    </w:p>
    <w:p>
      <w:pPr>
        <w:numPr>
          <w:ilvl w:val="2"/>
          <w:numId w:val="0"/>
        </w:numPr>
        <w:adjustRightInd w:val="0"/>
        <w:snapToGrid w:val="0"/>
        <w:spacing w:line="360" w:lineRule="auto"/>
        <w:ind w:left="0" w:firstLine="0"/>
        <w:rPr>
          <w:rFonts w:asciiTheme="minorEastAsia" w:hAnsiTheme="minorEastAsia" w:eastAsiaTheme="minorEastAsia"/>
          <w:szCs w:val="21"/>
        </w:rPr>
      </w:pPr>
    </w:p>
    <w:p>
      <w:pPr>
        <w:numPr>
          <w:ilvl w:val="2"/>
          <w:numId w:val="0"/>
        </w:numPr>
        <w:adjustRightInd w:val="0"/>
        <w:snapToGrid w:val="0"/>
        <w:spacing w:line="360" w:lineRule="auto"/>
        <w:ind w:left="0" w:firstLine="0"/>
        <w:rPr>
          <w:rFonts w:asciiTheme="minorEastAsia" w:hAnsiTheme="minorEastAsia" w:eastAsiaTheme="minorEastAsia"/>
          <w:szCs w:val="21"/>
        </w:rPr>
      </w:pPr>
    </w:p>
    <w:p>
      <w:pPr>
        <w:numPr>
          <w:ilvl w:val="1"/>
          <w:numId w:val="0"/>
        </w:numPr>
        <w:adjustRightInd w:val="0"/>
        <w:snapToGrid w:val="0"/>
        <w:spacing w:line="360" w:lineRule="auto"/>
        <w:ind w:left="0" w:firstLine="0"/>
        <w:rPr>
          <w:rFonts w:asciiTheme="minorEastAsia" w:hAnsiTheme="minorEastAsia" w:eastAsiaTheme="minorEastAsia"/>
          <w:szCs w:val="21"/>
        </w:rPr>
      </w:pPr>
      <w:r>
        <w:rPr>
          <w:rFonts w:hint="default" w:cs="Times New Roman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6.4</w:t>
      </w:r>
      <w:r>
        <w:rPr>
          <w:rFonts w:hint="eastAsia" w:asciiTheme="minorEastAsia" w:hAnsiTheme="minorEastAsia" w:eastAsiaTheme="minorEastAsia"/>
          <w:szCs w:val="21"/>
        </w:rPr>
        <w:t xml:space="preserve"> 扭矩</w:t>
      </w:r>
      <w:r>
        <w:rPr>
          <w:rFonts w:asciiTheme="minorEastAsia" w:hAnsiTheme="minorEastAsia" w:eastAsiaTheme="minorEastAsia"/>
          <w:szCs w:val="21"/>
        </w:rPr>
        <w:t>传感器</w:t>
      </w:r>
    </w:p>
    <w:p>
      <w:pPr>
        <w:adjustRightInd w:val="0"/>
        <w:snapToGrid w:val="0"/>
        <w:spacing w:line="360" w:lineRule="auto"/>
        <w:ind w:left="420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扭矩传感器应满足下列要求：</w:t>
      </w:r>
    </w:p>
    <w:p>
      <w:pPr>
        <w:adjustRightInd w:val="0"/>
        <w:snapToGrid w:val="0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——</w:t>
      </w:r>
      <w:r>
        <w:rPr>
          <w:rFonts w:hint="eastAsia" w:asciiTheme="minorEastAsia" w:hAnsiTheme="minorEastAsia" w:eastAsiaTheme="minorEastAsia"/>
        </w:rPr>
        <w:t>6.</w:t>
      </w: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hint="eastAsia" w:asciiTheme="minorEastAsia" w:hAnsiTheme="minorEastAsia" w:eastAsiaTheme="minorEastAsia"/>
        </w:rPr>
        <w:t>.1 扭角</w:t>
      </w:r>
      <w:r>
        <w:rPr>
          <w:rFonts w:asciiTheme="minorEastAsia" w:hAnsiTheme="minorEastAsia" w:eastAsiaTheme="minorEastAsia"/>
        </w:rPr>
        <w:t>示值</w:t>
      </w:r>
      <w:r>
        <w:rPr>
          <w:rFonts w:hint="eastAsia" w:asciiTheme="minorEastAsia" w:hAnsiTheme="minorEastAsia" w:eastAsiaTheme="minorEastAsia"/>
        </w:rPr>
        <w:t>分辨率：</w:t>
      </w:r>
      <w:r>
        <w:rPr>
          <w:rFonts w:asciiTheme="minorEastAsia" w:hAnsiTheme="minorEastAsia" w:eastAsiaTheme="minorEastAsia"/>
        </w:rPr>
        <w:t>≤0.01°</w:t>
      </w:r>
      <w:r>
        <w:rPr>
          <w:rFonts w:hint="eastAsia" w:asciiTheme="minorEastAsia" w:hAnsiTheme="minorEastAsia" w:eastAsiaTheme="minorEastAsia"/>
        </w:rPr>
        <w:t>；</w:t>
      </w:r>
    </w:p>
    <w:p>
      <w:pPr>
        <w:adjustRightInd w:val="0"/>
        <w:snapToGrid w:val="0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——</w:t>
      </w:r>
      <w:r>
        <w:rPr>
          <w:rFonts w:hint="eastAsia" w:asciiTheme="minorEastAsia" w:hAnsiTheme="minorEastAsia" w:eastAsiaTheme="minorEastAsia"/>
        </w:rPr>
        <w:t>6.</w:t>
      </w: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hint="eastAsia" w:asciiTheme="minorEastAsia" w:hAnsiTheme="minorEastAsia" w:eastAsiaTheme="minorEastAsia"/>
        </w:rPr>
        <w:t>.2 扭角示值相对误差：±0.5%；</w:t>
      </w:r>
    </w:p>
    <w:p>
      <w:pPr>
        <w:adjustRightInd w:val="0"/>
        <w:snapToGrid w:val="0"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——</w:t>
      </w:r>
      <w:r>
        <w:rPr>
          <w:rFonts w:hint="eastAsia" w:asciiTheme="minorEastAsia" w:hAnsiTheme="minorEastAsia" w:eastAsiaTheme="minorEastAsia"/>
        </w:rPr>
        <w:t>6.</w:t>
      </w: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hint="eastAsia" w:asciiTheme="minorEastAsia" w:hAnsiTheme="minorEastAsia" w:eastAsiaTheme="minorEastAsia"/>
        </w:rPr>
        <w:t>.3 扭力示值分辨率</w:t>
      </w:r>
      <w:r>
        <w:rPr>
          <w:rFonts w:asciiTheme="minorEastAsia" w:hAnsiTheme="minorEastAsia" w:eastAsiaTheme="minorEastAsia"/>
        </w:rPr>
        <w:t>：</w:t>
      </w:r>
      <w:r>
        <w:rPr>
          <w:rFonts w:hint="eastAsia" w:asciiTheme="minorEastAsia" w:hAnsiTheme="minorEastAsia" w:eastAsiaTheme="minorEastAsia"/>
        </w:rPr>
        <w:t>0.00</w:t>
      </w:r>
      <w:r>
        <w:rPr>
          <w:rFonts w:asciiTheme="minorEastAsia" w:hAnsiTheme="minorEastAsia" w:eastAsiaTheme="minorEastAsia"/>
        </w:rPr>
        <w:t>1</w:t>
      </w:r>
      <w:r>
        <w:rPr>
          <w:rFonts w:hint="eastAsia" w:asciiTheme="minorEastAsia" w:hAnsiTheme="minorEastAsia" w:eastAsiaTheme="minorEastAsia"/>
        </w:rPr>
        <w:t>N；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eastAsia="zh-CN"/>
        </w:rPr>
        <w:t>——</w:t>
      </w:r>
      <w:r>
        <w:rPr>
          <w:rFonts w:hint="eastAsia" w:asciiTheme="minorEastAsia" w:hAnsiTheme="minorEastAsia" w:eastAsiaTheme="minorEastAsia"/>
        </w:rPr>
        <w:t>6.</w:t>
      </w: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hint="eastAsia" w:asciiTheme="minorEastAsia" w:hAnsiTheme="minorEastAsia" w:eastAsiaTheme="minorEastAsia"/>
        </w:rPr>
        <w:t>.</w:t>
      </w:r>
      <w:r>
        <w:rPr>
          <w:rFonts w:asciiTheme="minorEastAsia" w:hAnsiTheme="minorEastAsia" w:eastAsiaTheme="minorEastAsia"/>
        </w:rPr>
        <w:t>4</w:t>
      </w:r>
      <w:r>
        <w:rPr>
          <w:rFonts w:hint="eastAsia" w:asciiTheme="minorEastAsia" w:hAnsiTheme="minorEastAsia" w:eastAsiaTheme="minorEastAsia"/>
        </w:rPr>
        <w:t xml:space="preserve"> 扭力示值相对误差</w:t>
      </w:r>
      <w:r>
        <w:rPr>
          <w:rFonts w:asciiTheme="minorEastAsia" w:hAnsiTheme="minorEastAsia" w:eastAsiaTheme="minorEastAsia"/>
        </w:rPr>
        <w:t>：±0.5%</w:t>
      </w:r>
      <w:r>
        <w:rPr>
          <w:rFonts w:hint="eastAsia" w:asciiTheme="minorEastAsia" w:hAnsiTheme="minorEastAsia" w:eastAsiaTheme="minorEastAsia"/>
        </w:rPr>
        <w:t>。</w:t>
      </w:r>
    </w:p>
    <w:p>
      <w:pPr>
        <w:adjustRightInd w:val="0"/>
        <w:snapToGrid w:val="0"/>
        <w:spacing w:line="360" w:lineRule="auto"/>
        <w:rPr>
          <w:rFonts w:hint="default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——6.4.5 扭矩传感器应定期进行校准</w:t>
      </w:r>
    </w:p>
    <w:p>
      <w:pPr>
        <w:adjustRightInd w:val="0"/>
        <w:snapToGrid w:val="0"/>
        <w:spacing w:line="360" w:lineRule="auto"/>
        <w:jc w:val="center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939790" cy="2714625"/>
            <wp:effectExtent l="0" t="0" r="381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图</w:t>
      </w:r>
      <w:r>
        <w:rPr>
          <w:rFonts w:asciiTheme="minorEastAsia" w:hAnsiTheme="minorEastAsia" w:eastAsiaTheme="minorEastAsia"/>
        </w:rPr>
        <w:t xml:space="preserve">2 </w:t>
      </w:r>
      <w:r>
        <w:rPr>
          <w:rFonts w:hint="eastAsia" w:asciiTheme="minorEastAsia" w:hAnsiTheme="minorEastAsia" w:eastAsiaTheme="minorEastAsia"/>
        </w:rPr>
        <w:t>扭转试验机示意图</w:t>
      </w:r>
    </w:p>
    <w:p>
      <w:pPr>
        <w:jc w:val="center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</w:rPr>
        <w:t>1——显示器，2——夹头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3——</w:t>
      </w:r>
      <w:r>
        <w:rPr>
          <w:rFonts w:hint="eastAsia" w:asciiTheme="minorEastAsia" w:hAnsiTheme="minorEastAsia" w:eastAsiaTheme="minorEastAsia"/>
        </w:rPr>
        <w:t>旋转手柄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4——操作面板，5——滑轨</w:t>
      </w:r>
    </w:p>
    <w:p>
      <w:pPr>
        <w:adjustRightInd w:val="0"/>
        <w:snapToGrid w:val="0"/>
        <w:spacing w:line="360" w:lineRule="auto"/>
        <w:rPr>
          <w:rFonts w:asciiTheme="minorEastAsia" w:hAnsiTheme="minorEastAsia" w:eastAsiaTheme="minorEastAsia"/>
        </w:rPr>
      </w:pPr>
    </w:p>
    <w:p>
      <w:pPr>
        <w:tabs>
          <w:tab w:val="left" w:pos="3285"/>
        </w:tabs>
        <w:spacing w:before="312" w:beforeLines="100" w:after="312" w:afterLines="10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szCs w:val="22"/>
        </w:rPr>
        <w:t>7  试验条件</w:t>
      </w:r>
      <w:r>
        <w:rPr>
          <w:rFonts w:hint="eastAsia" w:asciiTheme="majorEastAsia" w:hAnsiTheme="majorEastAsia" w:eastAsiaTheme="majorEastAsia"/>
        </w:rPr>
        <w:tab/>
      </w:r>
    </w:p>
    <w:p>
      <w:pPr>
        <w:numPr>
          <w:ilvl w:val="1"/>
          <w:numId w:val="3"/>
        </w:numPr>
        <w:adjustRightInd w:val="0"/>
        <w:snapToGrid w:val="0"/>
        <w:spacing w:line="360" w:lineRule="auto"/>
        <w:rPr>
          <w:rFonts w:asciiTheme="minorEastAsia" w:hAnsiTheme="minorEastAsia" w:eastAsiaTheme="minorEastAsia"/>
          <w:bCs/>
        </w:rPr>
      </w:pPr>
      <w:r>
        <w:rPr>
          <w:rFonts w:hint="eastAsia" w:asciiTheme="minorEastAsia" w:hAnsiTheme="minorEastAsia" w:eastAsiaTheme="minorEastAsia"/>
          <w:bCs/>
        </w:rPr>
        <w:t>试验温度宜为</w:t>
      </w:r>
      <w:r>
        <w:rPr>
          <w:rFonts w:hint="eastAsia" w:asciiTheme="minorEastAsia" w:hAnsiTheme="minorEastAsia" w:eastAsiaTheme="minorEastAsia"/>
          <w:bCs/>
          <w:lang w:val="en-US" w:eastAsia="zh-CN"/>
        </w:rPr>
        <w:t>25±5</w:t>
      </w:r>
      <w:r>
        <w:rPr>
          <w:rFonts w:hint="eastAsia" w:asciiTheme="minorEastAsia" w:hAnsiTheme="minorEastAsia" w:eastAsiaTheme="minorEastAsia"/>
          <w:bCs/>
        </w:rPr>
        <w:t>℃。</w:t>
      </w:r>
    </w:p>
    <w:p>
      <w:pPr>
        <w:numPr>
          <w:ilvl w:val="1"/>
          <w:numId w:val="3"/>
        </w:numPr>
        <w:adjustRightInd w:val="0"/>
        <w:snapToGrid w:val="0"/>
        <w:spacing w:line="360" w:lineRule="auto"/>
        <w:rPr>
          <w:rFonts w:asciiTheme="minorEastAsia" w:hAnsiTheme="minorEastAsia" w:eastAsiaTheme="minorEastAsia"/>
          <w:bCs/>
        </w:rPr>
      </w:pPr>
      <w:r>
        <w:rPr>
          <w:rFonts w:hint="eastAsia" w:asciiTheme="minorEastAsia" w:hAnsiTheme="minorEastAsia" w:eastAsiaTheme="minorEastAsia"/>
          <w:bCs/>
        </w:rPr>
        <w:t>根据不同的材质选择扭转</w:t>
      </w:r>
      <w:r>
        <w:rPr>
          <w:rFonts w:asciiTheme="minorEastAsia" w:hAnsiTheme="minorEastAsia" w:eastAsiaTheme="minorEastAsia"/>
          <w:bCs/>
        </w:rPr>
        <w:t>速度</w:t>
      </w:r>
      <w:r>
        <w:rPr>
          <w:rFonts w:hint="eastAsia" w:asciiTheme="minorEastAsia" w:hAnsiTheme="minorEastAsia" w:eastAsiaTheme="minorEastAsia"/>
          <w:bCs/>
        </w:rPr>
        <w:t>，一般</w:t>
      </w:r>
      <w:r>
        <w:rPr>
          <w:rFonts w:asciiTheme="minorEastAsia" w:hAnsiTheme="minorEastAsia" w:eastAsiaTheme="minorEastAsia"/>
          <w:bCs/>
        </w:rPr>
        <w:t>在20</w:t>
      </w:r>
      <w:r>
        <w:rPr>
          <w:rFonts w:hint="eastAsia" w:asciiTheme="minorEastAsia" w:hAnsiTheme="minorEastAsia" w:eastAsiaTheme="minorEastAsia"/>
          <w:bCs/>
        </w:rPr>
        <w:t>°</w:t>
      </w:r>
      <w:r>
        <w:rPr>
          <w:rFonts w:asciiTheme="minorEastAsia" w:hAnsiTheme="minorEastAsia" w:eastAsiaTheme="minorEastAsia"/>
          <w:bCs/>
        </w:rPr>
        <w:t>-60</w:t>
      </w:r>
      <w:r>
        <w:rPr>
          <w:rFonts w:hint="eastAsia" w:asciiTheme="minorEastAsia" w:hAnsiTheme="minorEastAsia" w:eastAsiaTheme="minorEastAsia"/>
          <w:bCs/>
        </w:rPr>
        <w:t>°/</w:t>
      </w:r>
      <w:r>
        <w:rPr>
          <w:rFonts w:asciiTheme="minorEastAsia" w:hAnsiTheme="minorEastAsia" w:eastAsiaTheme="minorEastAsia"/>
          <w:bCs/>
        </w:rPr>
        <w:t>min范围内</w:t>
      </w:r>
      <w:r>
        <w:rPr>
          <w:rFonts w:hint="eastAsia" w:asciiTheme="minorEastAsia" w:hAnsiTheme="minorEastAsia" w:eastAsiaTheme="minorEastAsia"/>
          <w:bCs/>
        </w:rPr>
        <w:t>。</w:t>
      </w:r>
    </w:p>
    <w:p>
      <w:pPr>
        <w:adjustRightInd w:val="0"/>
        <w:snapToGrid w:val="0"/>
        <w:spacing w:before="156" w:beforeLines="50" w:after="156" w:afterLines="5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8</w:t>
      </w:r>
      <w:r>
        <w:rPr>
          <w:rFonts w:hint="eastAsia" w:asciiTheme="majorEastAsia" w:hAnsiTheme="majorEastAsia" w:eastAsiaTheme="majorEastAsia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</w:rPr>
        <w:t>试验步骤</w:t>
      </w:r>
    </w:p>
    <w:p>
      <w:pPr>
        <w:adjustRightInd w:val="0"/>
        <w:snapToGrid w:val="0"/>
        <w:spacing w:before="0" w:beforeLines="-2147483648" w:after="0" w:afterLines="-2147483648" w:line="360" w:lineRule="auto"/>
        <w:ind w:firstLine="0" w:firstLineChars="0"/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试验过程示意图如图3所示。以下为扭转试验步骤：</w:t>
      </w:r>
    </w:p>
    <w:p>
      <w:pPr>
        <w:adjustRightInd w:val="0"/>
        <w:snapToGrid w:val="0"/>
        <w:spacing w:before="0" w:beforeLines="-2147483648" w:after="0" w:afterLines="-2147483648" w:line="360" w:lineRule="auto"/>
        <w:ind w:firstLine="0" w:firstLineChars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8.1</w:t>
      </w:r>
      <w:r>
        <w:rPr>
          <w:rFonts w:hint="eastAsia" w:asciiTheme="minorEastAsia" w:hAnsiTheme="minorEastAsia" w:eastAsiaTheme="minorEastAsia"/>
          <w:lang w:val="en-US" w:eastAsia="zh-CN"/>
        </w:rPr>
        <w:t xml:space="preserve"> 试样尺寸测量：</w:t>
      </w:r>
      <w:r>
        <w:rPr>
          <w:rFonts w:hint="eastAsia" w:asciiTheme="minorEastAsia" w:hAnsiTheme="minorEastAsia" w:eastAsiaTheme="minorEastAsia"/>
        </w:rPr>
        <w:t>在试样</w:t>
      </w:r>
      <w:r>
        <w:rPr>
          <w:rFonts w:asciiTheme="minorEastAsia" w:hAnsiTheme="minorEastAsia" w:eastAsiaTheme="minorEastAsia"/>
        </w:rPr>
        <w:t>两端及</w:t>
      </w:r>
      <w:r>
        <w:rPr>
          <w:rFonts w:hint="eastAsia" w:asciiTheme="minorEastAsia" w:hAnsiTheme="minorEastAsia" w:eastAsiaTheme="minorEastAsia"/>
        </w:rPr>
        <w:t>中间处</w:t>
      </w:r>
      <w:r>
        <w:rPr>
          <w:rFonts w:asciiTheme="minorEastAsia" w:hAnsiTheme="minorEastAsia" w:eastAsiaTheme="minorEastAsia"/>
        </w:rPr>
        <w:t>两个</w:t>
      </w:r>
      <w:r>
        <w:rPr>
          <w:rFonts w:hint="eastAsia" w:asciiTheme="minorEastAsia" w:hAnsiTheme="minorEastAsia" w:eastAsiaTheme="minorEastAsia"/>
        </w:rPr>
        <w:t>相互</w:t>
      </w:r>
      <w:r>
        <w:rPr>
          <w:rFonts w:asciiTheme="minorEastAsia" w:hAnsiTheme="minorEastAsia" w:eastAsiaTheme="minorEastAsia"/>
        </w:rPr>
        <w:t>垂直的方向上</w:t>
      </w:r>
      <w:r>
        <w:rPr>
          <w:rFonts w:hint="eastAsia" w:asciiTheme="minorEastAsia" w:hAnsiTheme="minorEastAsia" w:eastAsiaTheme="minorEastAsia"/>
        </w:rPr>
        <w:t>各测</w:t>
      </w:r>
      <w:r>
        <w:rPr>
          <w:rFonts w:asciiTheme="minorEastAsia" w:hAnsiTheme="minorEastAsia" w:eastAsiaTheme="minorEastAsia"/>
        </w:rPr>
        <w:t>一次直径</w:t>
      </w:r>
      <w:r>
        <w:rPr>
          <w:rFonts w:hint="eastAsia" w:asciiTheme="minorEastAsia" w:hAnsiTheme="minorEastAsia" w:eastAsiaTheme="minorEastAsia"/>
        </w:rPr>
        <w:t>，并</w:t>
      </w:r>
      <w:r>
        <w:rPr>
          <w:rFonts w:asciiTheme="minorEastAsia" w:hAnsiTheme="minorEastAsia" w:eastAsiaTheme="minorEastAsia"/>
        </w:rPr>
        <w:t>取其算术平均值，</w:t>
      </w:r>
      <w:r>
        <w:rPr>
          <w:rFonts w:hint="eastAsia" w:asciiTheme="minorEastAsia" w:hAnsiTheme="minorEastAsia" w:eastAsiaTheme="minorEastAsia"/>
        </w:rPr>
        <w:t>取用3处测得</w:t>
      </w:r>
      <w:r>
        <w:rPr>
          <w:rFonts w:asciiTheme="minorEastAsia" w:hAnsiTheme="minorEastAsia" w:eastAsiaTheme="minorEastAsia"/>
        </w:rPr>
        <w:t>直径的</w:t>
      </w:r>
      <w:r>
        <w:rPr>
          <w:rFonts w:hint="eastAsia" w:asciiTheme="minorEastAsia" w:hAnsiTheme="minorEastAsia" w:eastAsiaTheme="minorEastAsia"/>
        </w:rPr>
        <w:t>算术</w:t>
      </w:r>
      <w:r>
        <w:rPr>
          <w:rFonts w:asciiTheme="minorEastAsia" w:hAnsiTheme="minorEastAsia" w:eastAsiaTheme="minorEastAsia"/>
        </w:rPr>
        <w:t>平均值中的最小值</w:t>
      </w:r>
      <w:r>
        <w:rPr>
          <w:rFonts w:hint="eastAsia" w:asciiTheme="minorEastAsia" w:hAnsiTheme="minorEastAsia" w:eastAsiaTheme="minorEastAsia"/>
        </w:rPr>
        <w:t>计算试样</w:t>
      </w:r>
      <w:r>
        <w:rPr>
          <w:rFonts w:asciiTheme="minorEastAsia" w:hAnsiTheme="minorEastAsia" w:eastAsiaTheme="minorEastAsia"/>
        </w:rPr>
        <w:t>的截面系数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</w:rPr>
        <w:t>按表2选用测量装置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</w:rPr>
        <w:t>测量装置应定期进行校准。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8.2 将试样放入有扭矩传感器一侧的弹性夹套中，旋转手柄，锁紧夹头，点击归零按钮使传感器数据归零；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8.</w:t>
      </w:r>
      <w:r>
        <w:rPr>
          <w:rFonts w:hint="eastAsia" w:asciiTheme="minorEastAsia" w:hAnsiTheme="minorEastAsia" w:eastAsiaTheme="minorEastAsia"/>
          <w:lang w:val="en-US" w:eastAsia="zh-CN"/>
        </w:rPr>
        <w:t xml:space="preserve">3 </w:t>
      </w:r>
      <w:r>
        <w:rPr>
          <w:rFonts w:hint="eastAsia" w:asciiTheme="minorEastAsia" w:hAnsiTheme="minorEastAsia" w:eastAsiaTheme="minorEastAsia"/>
        </w:rPr>
        <w:t>移动移动传感器侧夹头，使样品进入连接电机侧夹头中，调整两夹头之间的跨距为50</w:t>
      </w:r>
      <w:r>
        <w:rPr>
          <w:rFonts w:hint="eastAsia" w:asciiTheme="minorEastAsia" w:hAnsiTheme="minorEastAsia" w:eastAsiaTheme="minorEastAsia"/>
          <w:lang w:val="en-US" w:eastAsia="zh-CN"/>
        </w:rPr>
        <w:t>±0.5</w:t>
      </w:r>
      <w:r>
        <w:rPr>
          <w:rFonts w:hint="eastAsia" w:asciiTheme="minorEastAsia" w:hAnsiTheme="minorEastAsia" w:eastAsiaTheme="minorEastAsia"/>
        </w:rPr>
        <w:t>mm，旋转夹持装置，锁紧连接电机一侧夹套，保留此时产生的初始扭矩数据；</w:t>
      </w:r>
    </w:p>
    <w:p>
      <w:pPr>
        <w:adjustRightInd w:val="0"/>
        <w:snapToGrid w:val="0"/>
        <w:spacing w:before="156" w:beforeLines="50" w:after="156" w:afterLines="5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8.</w:t>
      </w:r>
      <w:r>
        <w:rPr>
          <w:rFonts w:hint="eastAsia" w:asciiTheme="minorEastAsia" w:hAnsiTheme="minorEastAsia" w:eastAsiaTheme="minorEastAsia"/>
          <w:lang w:val="en-US" w:eastAsia="zh-CN"/>
        </w:rPr>
        <w:t xml:space="preserve">4 </w:t>
      </w:r>
      <w:r>
        <w:rPr>
          <w:rFonts w:hint="eastAsia" w:asciiTheme="minorEastAsia" w:hAnsiTheme="minorEastAsia" w:eastAsiaTheme="minorEastAsia"/>
        </w:rPr>
        <w:t xml:space="preserve">运行试验机，对样品施加扭矩，直至试样断裂，记录试验过程中的最大扭矩。 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3689350" cy="2232025"/>
            <wp:effectExtent l="0" t="0" r="635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before="0" w:beforeLines="-2147483648" w:after="0" w:afterLines="-2147483648" w:line="240" w:lineRule="auto"/>
        <w:jc w:val="center"/>
        <w:rPr>
          <w:rFonts w:asciiTheme="minorEastAsia" w:hAnsiTheme="minorEastAsia" w:eastAsiaTheme="minorEastAsia"/>
        </w:rPr>
      </w:pPr>
      <w:r>
        <w:rPr>
          <w:rFonts w:hint="eastAsia"/>
        </w:rPr>
        <w:t>图3 扭转</w:t>
      </w:r>
      <w:r>
        <w:t>试验示意图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——测试试样</w:t>
      </w:r>
    </w:p>
    <w:p>
      <w:pPr>
        <w:adjustRightInd w:val="0"/>
        <w:snapToGrid w:val="0"/>
        <w:spacing w:before="156" w:beforeLines="50" w:after="156" w:afterLines="50"/>
        <w:rPr>
          <w:rFonts w:asciiTheme="majorEastAsia" w:hAnsiTheme="majorEastAsia" w:eastAsiaTheme="majorEastAsia"/>
          <w:b/>
        </w:rPr>
      </w:pPr>
      <w:r>
        <w:rPr>
          <w:rFonts w:hint="eastAsia" w:asciiTheme="majorEastAsia" w:hAnsiTheme="majorEastAsia" w:eastAsiaTheme="majorEastAsia"/>
        </w:rPr>
        <w:t>9 试验数据处理</w:t>
      </w:r>
      <w:r>
        <w:rPr>
          <w:rFonts w:asciiTheme="majorEastAsia" w:hAnsiTheme="majorEastAsia" w:eastAsiaTheme="majorEastAsia"/>
        </w:rPr>
        <w:t>：</w:t>
      </w:r>
    </w:p>
    <w:p>
      <w:pPr>
        <w:adjustRightInd w:val="0"/>
        <w:snapToGrid w:val="0"/>
        <w:spacing w:before="156" w:beforeLines="50" w:after="156" w:afterLines="50" w:line="360" w:lineRule="auto"/>
        <w:ind w:firstLine="315" w:firstLineChars="15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截面系数W按公式（1）计算，式中d0为</w:t>
      </w:r>
      <w:r>
        <w:rPr>
          <w:rFonts w:hint="eastAsia" w:asciiTheme="minorEastAsia" w:hAnsiTheme="minorEastAsia" w:eastAsiaTheme="minorEastAsia"/>
          <w:lang w:val="en-US" w:eastAsia="zh-CN"/>
        </w:rPr>
        <w:t>试样外径，</w:t>
      </w:r>
      <w:r>
        <w:rPr>
          <w:rFonts w:asciiTheme="minorEastAsia" w:hAnsiTheme="minorEastAsia" w:eastAsiaTheme="minorEastAsia"/>
        </w:rPr>
        <w:t>抗扭强度</w:t>
      </w:r>
      <w:r>
        <w:rPr>
          <w:rFonts w:hint="eastAsia" w:asciiTheme="minorEastAsia" w:hAnsiTheme="minorEastAsia" w:eastAsiaTheme="minorEastAsia"/>
        </w:rPr>
        <w:t>τm按公式（</w:t>
      </w:r>
      <w:r>
        <w:rPr>
          <w:rFonts w:hint="eastAsia" w:asciiTheme="minorEastAsia" w:hAnsiTheme="minorEastAsia" w:eastAsiaTheme="minorEastAsia"/>
          <w:lang w:val="en-US" w:eastAsia="zh-CN"/>
        </w:rPr>
        <w:t>1</w:t>
      </w:r>
      <w:r>
        <w:rPr>
          <w:rFonts w:hint="eastAsia" w:asciiTheme="minorEastAsia" w:hAnsiTheme="minorEastAsia" w:eastAsiaTheme="minorEastAsia"/>
        </w:rPr>
        <w:t>）计算。</w:t>
      </w:r>
    </w:p>
    <w:p>
      <w:pPr>
        <w:adjustRightInd w:val="0"/>
        <w:snapToGrid w:val="0"/>
        <w:spacing w:before="156" w:beforeLines="50" w:after="156" w:afterLines="50" w:line="360" w:lineRule="auto"/>
        <w:ind w:firstLine="315" w:firstLineChars="15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使用</w:t>
      </w:r>
      <w:r>
        <w:rPr>
          <w:rFonts w:asciiTheme="minorEastAsia" w:hAnsiTheme="minorEastAsia" w:eastAsiaTheme="minorEastAsia"/>
        </w:rPr>
        <w:t>自动测试系统</w:t>
      </w:r>
      <w:r>
        <w:rPr>
          <w:rFonts w:hint="eastAsia" w:asciiTheme="minorEastAsia" w:hAnsiTheme="minorEastAsia" w:eastAsiaTheme="minorEastAsia"/>
        </w:rPr>
        <w:t>时得到</w:t>
      </w:r>
      <w:r>
        <w:rPr>
          <w:rFonts w:asciiTheme="minorEastAsia" w:hAnsiTheme="minorEastAsia" w:eastAsiaTheme="minorEastAsia"/>
        </w:rPr>
        <w:t>这一</w:t>
      </w:r>
      <w:r>
        <w:rPr>
          <w:rFonts w:hint="eastAsia" w:asciiTheme="minorEastAsia" w:hAnsiTheme="minorEastAsia" w:eastAsiaTheme="minorEastAsia"/>
        </w:rPr>
        <w:t>性能时，可不</w:t>
      </w:r>
      <w:r>
        <w:rPr>
          <w:rFonts w:asciiTheme="minorEastAsia" w:hAnsiTheme="minorEastAsia" w:eastAsiaTheme="minorEastAsia"/>
        </w:rPr>
        <w:t>绘制扭矩</w:t>
      </w:r>
      <w:r>
        <w:rPr>
          <w:rFonts w:hint="eastAsia" w:asciiTheme="minorEastAsia" w:hAnsiTheme="minorEastAsia" w:eastAsiaTheme="minorEastAsia"/>
        </w:rPr>
        <w:t>-扭角曲线</w:t>
      </w:r>
      <w:r>
        <w:rPr>
          <w:rFonts w:asciiTheme="minorEastAsia" w:hAnsiTheme="minorEastAsia" w:eastAsiaTheme="minorEastAsia"/>
        </w:rPr>
        <w:t>。</w:t>
      </w:r>
    </w:p>
    <w:p>
      <w:pPr>
        <w:pStyle w:val="54"/>
        <w:spacing w:line="360" w:lineRule="auto"/>
        <w:ind w:firstLine="2310" w:firstLineChars="1100"/>
        <w:rPr>
          <w:rFonts w:cs="Cambria Math" w:asciiTheme="minorEastAsia" w:hAnsiTheme="minorEastAsia" w:eastAsiaTheme="minorEastAsia"/>
        </w:rPr>
      </w:pPr>
      <w:r>
        <w:rPr>
          <w:rFonts w:asciiTheme="minorEastAsia" w:hAnsiTheme="minorEastAsia" w:eastAsiaTheme="minorEastAsia"/>
          <w:position w:val="-24"/>
        </w:rPr>
        <w:object>
          <v:shape id="_x0000_i1025" o:spt="75" type="#_x0000_t75" style="height:31pt;width:42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5">
            <o:LockedField>false</o:LockedField>
          </o:OLEObject>
        </w:object>
      </w:r>
      <w:r>
        <w:rPr>
          <w:rFonts w:cs="Cambria Math" w:asciiTheme="minorEastAsia" w:hAnsiTheme="minorEastAsia" w:eastAsiaTheme="minorEastAsia"/>
        </w:rPr>
        <w:t xml:space="preserve">                            </w:t>
      </w:r>
      <w:r>
        <w:rPr>
          <w:rFonts w:hint="eastAsia" w:cs="Cambria Math" w:asciiTheme="minorEastAsia" w:hAnsiTheme="minorEastAsia" w:eastAsiaTheme="minorEastAsia"/>
        </w:rPr>
        <w:t>···········(</w:t>
      </w:r>
      <w:r>
        <w:rPr>
          <w:rFonts w:cs="Cambria Math" w:asciiTheme="minorEastAsia" w:hAnsiTheme="minorEastAsia" w:eastAsiaTheme="minorEastAsia"/>
        </w:rPr>
        <w:t>1</w:t>
      </w:r>
      <w:r>
        <w:rPr>
          <w:rFonts w:hint="eastAsia" w:cs="Cambria Math" w:asciiTheme="minorEastAsia" w:hAnsiTheme="minorEastAsia" w:eastAsiaTheme="minorEastAsia"/>
        </w:rPr>
        <w:t>)</w:t>
      </w:r>
    </w:p>
    <w:p>
      <w:pPr>
        <w:pStyle w:val="54"/>
        <w:spacing w:line="360" w:lineRule="auto"/>
        <w:ind w:firstLine="210" w:firstLineChars="100"/>
        <w:rPr>
          <w:rFonts w:cs="Cambria Math" w:asciiTheme="minorEastAsia" w:hAnsiTheme="minorEastAsia" w:eastAsiaTheme="minorEastAsia"/>
        </w:rPr>
      </w:pPr>
      <w:r>
        <w:rPr>
          <w:rFonts w:hint="eastAsia" w:cs="Cambria Math" w:asciiTheme="minorEastAsia" w:hAnsiTheme="minorEastAsia" w:eastAsiaTheme="minorEastAsia"/>
        </w:rPr>
        <w:t>式中W按公式（2）计算</w:t>
      </w:r>
    </w:p>
    <w:p>
      <w:pPr>
        <w:pStyle w:val="54"/>
        <w:spacing w:line="360" w:lineRule="auto"/>
        <w:ind w:firstLine="420"/>
        <w:rPr>
          <w:rFonts w:cs="Cambria Math" w:asciiTheme="minorEastAsia" w:hAnsiTheme="minorEastAsia" w:eastAsiaTheme="minorEastAsia"/>
        </w:rPr>
      </w:pPr>
      <w:r>
        <w:rPr>
          <w:rFonts w:cs="Cambria Math" w:asciiTheme="minorEastAsia" w:hAnsiTheme="minorEastAsia" w:eastAsiaTheme="minorEastAsia"/>
        </w:rPr>
        <w:t xml:space="preserve">              </w:t>
      </w:r>
      <w:r>
        <w:rPr>
          <w:rFonts w:hint="eastAsia" w:cs="Cambria Math" w:asciiTheme="minorEastAsia" w:hAnsiTheme="minorEastAsia" w:eastAsiaTheme="minorEastAsia"/>
          <w:lang w:val="en-US" w:eastAsia="zh-CN"/>
        </w:rPr>
        <w:t xml:space="preserve">   </w:t>
      </w:r>
      <w:r>
        <w:rPr>
          <w:rFonts w:cs="Cambria Math" w:asciiTheme="minorEastAsia" w:hAnsiTheme="minorEastAsia" w:eastAsiaTheme="minorEastAsia"/>
        </w:rPr>
        <w:t xml:space="preserve"> </w:t>
      </w:r>
      <w:r>
        <w:rPr>
          <w:rFonts w:cs="Cambria Math" w:asciiTheme="minorEastAsia" w:hAnsiTheme="minorEastAsia" w:eastAsiaTheme="minorEastAsia"/>
          <w:position w:val="-24"/>
        </w:rPr>
        <w:object>
          <v:shape id="_x0000_i1026" o:spt="75" type="#_x0000_t75" style="height:34pt;width:53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17">
            <o:LockedField>false</o:LockedField>
          </o:OLEObject>
        </w:object>
      </w:r>
      <w:r>
        <w:rPr>
          <w:rFonts w:cs="Cambria Math" w:asciiTheme="minorEastAsia" w:hAnsiTheme="minorEastAsia" w:eastAsiaTheme="minorEastAsia"/>
        </w:rPr>
        <w:t xml:space="preserve">                      </w:t>
      </w:r>
      <w:r>
        <w:rPr>
          <w:rFonts w:hint="eastAsia" w:cs="Cambria Math" w:asciiTheme="minorEastAsia" w:hAnsiTheme="minorEastAsia" w:eastAsiaTheme="minorEastAsia"/>
          <w:lang w:val="en-US" w:eastAsia="zh-CN"/>
        </w:rPr>
        <w:t xml:space="preserve">    </w:t>
      </w:r>
      <w:r>
        <w:rPr>
          <w:rFonts w:hint="eastAsia" w:cs="Cambria Math" w:asciiTheme="minorEastAsia" w:hAnsiTheme="minorEastAsia" w:eastAsiaTheme="minorEastAsia"/>
        </w:rPr>
        <w:t>···········(</w:t>
      </w:r>
      <w:r>
        <w:rPr>
          <w:rFonts w:cs="Cambria Math" w:asciiTheme="minorEastAsia" w:hAnsiTheme="minorEastAsia" w:eastAsiaTheme="minorEastAsia"/>
        </w:rPr>
        <w:t>2</w:t>
      </w:r>
      <w:r>
        <w:rPr>
          <w:rFonts w:hint="eastAsia" w:cs="Cambria Math" w:asciiTheme="minorEastAsia" w:hAnsiTheme="minorEastAsia" w:eastAsiaTheme="minorEastAsia"/>
        </w:rPr>
        <w:t>)</w:t>
      </w:r>
    </w:p>
    <w:p>
      <w:pPr>
        <w:adjustRightInd w:val="0"/>
        <w:snapToGrid w:val="0"/>
        <w:ind w:firstLine="420" w:firstLineChars="200"/>
        <w:rPr>
          <w:rFonts w:asciiTheme="minorEastAsia" w:hAnsiTheme="minorEastAsia" w:eastAsiaTheme="minorEastAsia"/>
          <w:bCs/>
        </w:rPr>
      </w:pPr>
      <w:r>
        <w:rPr>
          <w:rFonts w:hint="eastAsia" w:asciiTheme="minorEastAsia" w:hAnsiTheme="minorEastAsia" w:eastAsiaTheme="minorEastAsia"/>
          <w:bCs/>
        </w:rPr>
        <w:t>计算结果保留整数。</w:t>
      </w:r>
    </w:p>
    <w:p>
      <w:pPr>
        <w:adjustRightInd w:val="0"/>
        <w:snapToGrid w:val="0"/>
        <w:ind w:firstLine="420" w:firstLineChars="200"/>
        <w:rPr>
          <w:rFonts w:asciiTheme="minorEastAsia" w:hAnsiTheme="minorEastAsia" w:eastAsiaTheme="minorEastAsia"/>
          <w:bCs/>
        </w:rPr>
      </w:pPr>
    </w:p>
    <w:p>
      <w:pPr>
        <w:adjustRightInd w:val="0"/>
        <w:snapToGrid w:val="0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lang w:val="en-US" w:eastAsia="zh-CN"/>
        </w:rPr>
        <w:t xml:space="preserve">10 </w:t>
      </w:r>
      <w:r>
        <w:rPr>
          <w:rFonts w:hint="eastAsia" w:asciiTheme="majorEastAsia" w:hAnsiTheme="majorEastAsia" w:eastAsiaTheme="majorEastAsia"/>
        </w:rPr>
        <w:t>试验报告</w:t>
      </w:r>
    </w:p>
    <w:p>
      <w:pPr>
        <w:adjustRightInd w:val="0"/>
        <w:snapToGrid w:val="0"/>
        <w:ind w:left="360"/>
        <w:rPr>
          <w:rFonts w:asciiTheme="minorEastAsia" w:hAnsiTheme="minorEastAsia" w:eastAsiaTheme="minorEastAsia"/>
        </w:rPr>
      </w:pPr>
    </w:p>
    <w:p>
      <w:pPr>
        <w:adjustRightInd w:val="0"/>
        <w:snapToGrid w:val="0"/>
        <w:ind w:left="36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试验</w:t>
      </w:r>
      <w:r>
        <w:rPr>
          <w:rFonts w:asciiTheme="minorEastAsia" w:hAnsiTheme="minorEastAsia" w:eastAsiaTheme="minorEastAsia"/>
        </w:rPr>
        <w:t>报告</w:t>
      </w:r>
      <w:r>
        <w:rPr>
          <w:rFonts w:hint="eastAsia" w:asciiTheme="minorEastAsia" w:hAnsiTheme="minorEastAsia" w:eastAsiaTheme="minorEastAsia"/>
        </w:rPr>
        <w:t>应</w:t>
      </w:r>
      <w:r>
        <w:rPr>
          <w:rFonts w:asciiTheme="minorEastAsia" w:hAnsiTheme="minorEastAsia" w:eastAsiaTheme="minorEastAsia"/>
        </w:rPr>
        <w:t>包括以下内容：</w:t>
      </w:r>
    </w:p>
    <w:p>
      <w:pPr>
        <w:numPr>
          <w:ilvl w:val="0"/>
          <w:numId w:val="4"/>
        </w:numPr>
        <w:adjustRightInd w:val="0"/>
        <w:snapToGrid w:val="0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本</w:t>
      </w:r>
      <w:r>
        <w:rPr>
          <w:rFonts w:hint="eastAsia" w:asciiTheme="minorEastAsia" w:hAnsiTheme="minorEastAsia" w:eastAsiaTheme="minorEastAsia"/>
        </w:rPr>
        <w:t>文件编</w:t>
      </w:r>
      <w:r>
        <w:rPr>
          <w:rFonts w:asciiTheme="minorEastAsia" w:hAnsiTheme="minorEastAsia" w:eastAsiaTheme="minorEastAsia"/>
        </w:rPr>
        <w:t>号</w:t>
      </w:r>
      <w:r>
        <w:rPr>
          <w:rFonts w:hint="eastAsia" w:asciiTheme="minorEastAsia" w:hAnsiTheme="minorEastAsia" w:eastAsiaTheme="minorEastAsia"/>
        </w:rPr>
        <w:t>；</w:t>
      </w:r>
    </w:p>
    <w:p>
      <w:pPr>
        <w:numPr>
          <w:ilvl w:val="0"/>
          <w:numId w:val="4"/>
        </w:numPr>
        <w:adjustRightInd w:val="0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试样编号</w:t>
      </w:r>
      <w:r>
        <w:rPr>
          <w:rFonts w:asciiTheme="minorEastAsia" w:hAnsiTheme="minorEastAsia" w:eastAsiaTheme="minorEastAsia"/>
        </w:rPr>
        <w:t>；</w:t>
      </w:r>
    </w:p>
    <w:p>
      <w:pPr>
        <w:numPr>
          <w:ilvl w:val="0"/>
          <w:numId w:val="4"/>
        </w:numPr>
        <w:adjustRightInd w:val="0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试验</w:t>
      </w:r>
      <w:r>
        <w:rPr>
          <w:rFonts w:asciiTheme="minorEastAsia" w:hAnsiTheme="minorEastAsia" w:eastAsiaTheme="minorEastAsia"/>
        </w:rPr>
        <w:t>结果</w:t>
      </w:r>
      <w:r>
        <w:rPr>
          <w:rFonts w:hint="eastAsia" w:asciiTheme="minorEastAsia" w:hAnsiTheme="minorEastAsia" w:eastAsiaTheme="minorEastAsia"/>
        </w:rPr>
        <w:t>；</w:t>
      </w:r>
    </w:p>
    <w:p>
      <w:pPr>
        <w:numPr>
          <w:ilvl w:val="0"/>
          <w:numId w:val="4"/>
        </w:numPr>
        <w:adjustRightInd w:val="0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可能影响试验结果的任何细节（提供试验条件，材质、尺寸、长度、速度、室温）</w:t>
      </w:r>
      <w:r>
        <w:rPr>
          <w:rFonts w:asciiTheme="minorEastAsia" w:hAnsiTheme="minorEastAsia" w:eastAsiaTheme="minorEastAsia"/>
        </w:rPr>
        <w:t>。</w:t>
      </w:r>
    </w:p>
    <w:p>
      <w:pPr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sz w:val="20"/>
        </w:rPr>
        <w:pict>
          <v:line id="直线 27" o:spid="_x0000_s2072" o:spt="20" style="position:absolute;left:0pt;margin-left:153.45pt;margin-top:31.55pt;height:0pt;width:108pt;z-index:251669504;mso-width-relative:page;mso-height-relative:page;" coordsize="21600,21600">
            <v:path arrowok="t"/>
            <v:fill focussize="0,0"/>
            <v:stroke weight="1.75pt"/>
            <v:imagedata o:title=""/>
            <o:lock v:ext="edit"/>
          </v:line>
        </w:pict>
      </w:r>
    </w:p>
    <w:p>
      <w:pPr>
        <w:tabs>
          <w:tab w:val="left" w:pos="3285"/>
        </w:tabs>
        <w:spacing w:before="312" w:beforeLines="100" w:after="312" w:afterLines="100"/>
        <w:rPr>
          <w:rFonts w:asciiTheme="minorEastAsia" w:hAnsiTheme="minorEastAsia" w:eastAsiaTheme="minorEastAsia"/>
          <w:szCs w:val="22"/>
        </w:rPr>
      </w:pPr>
    </w:p>
    <w:p>
      <w:pPr>
        <w:tabs>
          <w:tab w:val="left" w:pos="3285"/>
        </w:tabs>
        <w:spacing w:before="312" w:beforeLines="100" w:after="312" w:afterLines="100"/>
        <w:rPr>
          <w:rFonts w:asciiTheme="minorEastAsia" w:hAnsiTheme="minorEastAsia" w:eastAsiaTheme="minorEastAsia"/>
          <w:szCs w:val="22"/>
        </w:rPr>
      </w:pPr>
    </w:p>
    <w:sectPr>
      <w:footerReference r:id="rId9" w:type="default"/>
      <w:footerReference r:id="rId10" w:type="even"/>
      <w:pgSz w:w="11907" w:h="16839"/>
      <w:pgMar w:top="1418" w:right="1134" w:bottom="1134" w:left="1418" w:header="851" w:footer="851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5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separate"/>
    </w:r>
    <w:r>
      <w:rPr>
        <w:rStyle w:val="35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framePr w:wrap="around" w:vAnchor="text" w:hAnchor="margin" w:xAlign="right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separate"/>
    </w:r>
    <w:r>
      <w:rPr>
        <w:rStyle w:val="35"/>
      </w:rPr>
      <w:t>14</w:t>
    </w:r>
    <w:r>
      <w:fldChar w:fldCharType="end"/>
    </w:r>
  </w:p>
  <w:p>
    <w:pPr>
      <w:pStyle w:val="2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5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separate"/>
    </w:r>
    <w:r>
      <w:rPr>
        <w:rStyle w:val="35"/>
      </w:rPr>
      <w:t>I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5"/>
      <w:rPr>
        <w:rStyle w:val="35"/>
      </w:rPr>
    </w:pPr>
    <w:r>
      <w:pict>
        <v:shape id="文本框 1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5"/>
                </w:pPr>
                <w:r>
                  <w:fldChar w:fldCharType="begin"/>
                </w:r>
                <w:r>
                  <w:rPr>
                    <w:rStyle w:val="35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35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</w:pPr>
    <w:r>
      <w:pict>
        <v:shape id="_x0000_s1025" o:spid="_x0000_s1025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4"/>
                  <w:rPr>
                    <w:rStyle w:val="35"/>
                  </w:rPr>
                </w:pPr>
                <w:r>
                  <w:fldChar w:fldCharType="begin"/>
                </w:r>
                <w:r>
                  <w:rPr>
                    <w:rStyle w:val="35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35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9"/>
    </w:pPr>
    <w:r>
      <w:t>GB/T 2080—××××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9"/>
      <w:jc w:val="both"/>
      <w:rPr>
        <w:rFonts w:hint="default" w:eastAsia="黑体"/>
        <w:lang w:val="en-US" w:eastAsia="zh-CN"/>
      </w:rPr>
    </w:pPr>
    <w:r>
      <w:rPr>
        <w:rFonts w:hint="eastAsia" w:ascii="黑体" w:hAnsi="黑体" w:eastAsia="黑体" w:cs="黑体"/>
      </w:rPr>
      <w:t xml:space="preserve">YS/T </w:t>
    </w:r>
    <w:r>
      <w:rPr>
        <w:rFonts w:hint="eastAsia" w:ascii="黑体" w:hAnsi="黑体" w:eastAsia="黑体" w:cs="黑体"/>
        <w:lang w:val="en-US" w:eastAsia="zh-CN"/>
      </w:rPr>
      <w:t>0400</w:t>
    </w:r>
    <w:r>
      <w:rPr>
        <w:rFonts w:hint="eastAsia" w:ascii="黑体" w:hAnsi="黑体" w:eastAsia="黑体" w:cs="黑体"/>
      </w:rPr>
      <w:t>—</w:t>
    </w:r>
    <w:r>
      <w:rPr>
        <w:rFonts w:hint="eastAsia" w:ascii="黑体" w:hAnsi="黑体" w:eastAsia="黑体" w:cs="黑体"/>
        <w:lang w:val="en-US" w:eastAsia="zh-CN"/>
      </w:rPr>
      <w:t>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9"/>
      <w:rPr>
        <w:rFonts w:hint="default" w:eastAsia="黑体"/>
        <w:lang w:val="en-US" w:eastAsia="zh-CN"/>
      </w:rPr>
    </w:pPr>
    <w:r>
      <w:rPr>
        <w:rFonts w:hint="eastAsia" w:ascii="黑体" w:hAnsi="黑体" w:eastAsia="黑体" w:cs="黑体"/>
      </w:rPr>
      <w:t xml:space="preserve">YS/T </w:t>
    </w:r>
    <w:r>
      <w:rPr>
        <w:rFonts w:hint="eastAsia" w:ascii="黑体" w:hAnsi="黑体" w:eastAsia="黑体" w:cs="黑体"/>
        <w:lang w:val="en-US" w:eastAsia="zh-CN"/>
      </w:rPr>
      <w:t>0400</w:t>
    </w:r>
    <w:r>
      <w:rPr>
        <w:rFonts w:hint="eastAsia" w:ascii="黑体" w:hAnsi="黑体" w:eastAsia="黑体" w:cs="黑体"/>
      </w:rPr>
      <w:t>—</w:t>
    </w:r>
    <w:r>
      <w:rPr>
        <w:rFonts w:hint="eastAsia" w:ascii="黑体" w:hAnsi="黑体" w:eastAsia="黑体" w:cs="黑体"/>
        <w:lang w:val="en-US" w:eastAsia="zh-CN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21F532"/>
    <w:multiLevelType w:val="singleLevel"/>
    <w:tmpl w:val="F321F53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 w:eastAsia="黑体"/>
        <w:sz w:val="21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25"/>
        </w:tabs>
        <w:ind w:left="525" w:hanging="52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2">
    <w:nsid w:val="0C2C171C"/>
    <w:multiLevelType w:val="multilevel"/>
    <w:tmpl w:val="0C2C171C"/>
    <w:lvl w:ilvl="0" w:tentative="0">
      <w:start w:val="1"/>
      <w:numFmt w:val="lowerLetter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DBA2222"/>
    <w:multiLevelType w:val="multilevel"/>
    <w:tmpl w:val="4DBA2222"/>
    <w:lvl w:ilvl="0" w:tentative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attachedTemplate r:id="rId1"/>
  <w:revisionView w:markup="0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IwYjNiYjU0ZWI5N2ZiZDM3NzY5ZTMzOTlkZjE3YjEifQ=="/>
  </w:docVars>
  <w:rsids>
    <w:rsidRoot w:val="00537D9A"/>
    <w:rsid w:val="000008CD"/>
    <w:rsid w:val="000035BB"/>
    <w:rsid w:val="00015B60"/>
    <w:rsid w:val="000216BD"/>
    <w:rsid w:val="0002231F"/>
    <w:rsid w:val="00023735"/>
    <w:rsid w:val="0002648A"/>
    <w:rsid w:val="00036563"/>
    <w:rsid w:val="00044235"/>
    <w:rsid w:val="00073F21"/>
    <w:rsid w:val="00076DAE"/>
    <w:rsid w:val="000A35AD"/>
    <w:rsid w:val="000C0E3B"/>
    <w:rsid w:val="000C231D"/>
    <w:rsid w:val="000C3DF6"/>
    <w:rsid w:val="000D1009"/>
    <w:rsid w:val="000D787F"/>
    <w:rsid w:val="000E1CD5"/>
    <w:rsid w:val="000F5A7A"/>
    <w:rsid w:val="001069C0"/>
    <w:rsid w:val="0011096B"/>
    <w:rsid w:val="00124CB7"/>
    <w:rsid w:val="001362A1"/>
    <w:rsid w:val="0016239D"/>
    <w:rsid w:val="001743B6"/>
    <w:rsid w:val="00175321"/>
    <w:rsid w:val="00177EBE"/>
    <w:rsid w:val="001845F6"/>
    <w:rsid w:val="001A4EF3"/>
    <w:rsid w:val="001A731F"/>
    <w:rsid w:val="001B03EA"/>
    <w:rsid w:val="001B3558"/>
    <w:rsid w:val="001C1166"/>
    <w:rsid w:val="001D09A0"/>
    <w:rsid w:val="001D193C"/>
    <w:rsid w:val="001D3A23"/>
    <w:rsid w:val="001E4A3F"/>
    <w:rsid w:val="001E56D4"/>
    <w:rsid w:val="001F3DEA"/>
    <w:rsid w:val="002027F0"/>
    <w:rsid w:val="00202B87"/>
    <w:rsid w:val="002156FE"/>
    <w:rsid w:val="00215734"/>
    <w:rsid w:val="00215DA7"/>
    <w:rsid w:val="002260FD"/>
    <w:rsid w:val="00233875"/>
    <w:rsid w:val="0023491C"/>
    <w:rsid w:val="00267540"/>
    <w:rsid w:val="00271E96"/>
    <w:rsid w:val="002B3319"/>
    <w:rsid w:val="002C126C"/>
    <w:rsid w:val="002C1EDF"/>
    <w:rsid w:val="002C35BD"/>
    <w:rsid w:val="002C38E7"/>
    <w:rsid w:val="002C3B96"/>
    <w:rsid w:val="002C5CFD"/>
    <w:rsid w:val="002D4F6D"/>
    <w:rsid w:val="002F7762"/>
    <w:rsid w:val="00303EE1"/>
    <w:rsid w:val="00330FA6"/>
    <w:rsid w:val="00331BA3"/>
    <w:rsid w:val="00332DAA"/>
    <w:rsid w:val="003715E9"/>
    <w:rsid w:val="003928C9"/>
    <w:rsid w:val="003A54BB"/>
    <w:rsid w:val="003E6530"/>
    <w:rsid w:val="003F4A1F"/>
    <w:rsid w:val="003F4FB5"/>
    <w:rsid w:val="00401A3B"/>
    <w:rsid w:val="00424D6B"/>
    <w:rsid w:val="00434005"/>
    <w:rsid w:val="00447C41"/>
    <w:rsid w:val="00451092"/>
    <w:rsid w:val="004531A2"/>
    <w:rsid w:val="0046519F"/>
    <w:rsid w:val="00476767"/>
    <w:rsid w:val="00491D59"/>
    <w:rsid w:val="004D4FCB"/>
    <w:rsid w:val="004E0D41"/>
    <w:rsid w:val="004E60C1"/>
    <w:rsid w:val="00537751"/>
    <w:rsid w:val="00537D9A"/>
    <w:rsid w:val="0054090F"/>
    <w:rsid w:val="0054581B"/>
    <w:rsid w:val="005C02AF"/>
    <w:rsid w:val="005F4D43"/>
    <w:rsid w:val="00601564"/>
    <w:rsid w:val="0060589E"/>
    <w:rsid w:val="006167EB"/>
    <w:rsid w:val="00623F2F"/>
    <w:rsid w:val="006405F4"/>
    <w:rsid w:val="0064160F"/>
    <w:rsid w:val="00647674"/>
    <w:rsid w:val="00674679"/>
    <w:rsid w:val="00677386"/>
    <w:rsid w:val="00680BF2"/>
    <w:rsid w:val="006A412F"/>
    <w:rsid w:val="006B0801"/>
    <w:rsid w:val="006B23FB"/>
    <w:rsid w:val="006B6DA6"/>
    <w:rsid w:val="006D039B"/>
    <w:rsid w:val="006D4867"/>
    <w:rsid w:val="006E5B89"/>
    <w:rsid w:val="006F6BB6"/>
    <w:rsid w:val="006F79C0"/>
    <w:rsid w:val="00704DC5"/>
    <w:rsid w:val="00706CD3"/>
    <w:rsid w:val="00707EBC"/>
    <w:rsid w:val="00722B6A"/>
    <w:rsid w:val="00761612"/>
    <w:rsid w:val="00765B0A"/>
    <w:rsid w:val="007736E6"/>
    <w:rsid w:val="007756BB"/>
    <w:rsid w:val="00796B5A"/>
    <w:rsid w:val="007C182F"/>
    <w:rsid w:val="007C4385"/>
    <w:rsid w:val="007F4F05"/>
    <w:rsid w:val="00820092"/>
    <w:rsid w:val="00845801"/>
    <w:rsid w:val="00865D93"/>
    <w:rsid w:val="00877135"/>
    <w:rsid w:val="00895514"/>
    <w:rsid w:val="00897D4D"/>
    <w:rsid w:val="008A2A4F"/>
    <w:rsid w:val="008A69C3"/>
    <w:rsid w:val="008B6FCF"/>
    <w:rsid w:val="008D2B14"/>
    <w:rsid w:val="008F3C6D"/>
    <w:rsid w:val="008F3CEF"/>
    <w:rsid w:val="008F53C6"/>
    <w:rsid w:val="00903547"/>
    <w:rsid w:val="00903887"/>
    <w:rsid w:val="009138AB"/>
    <w:rsid w:val="009226C8"/>
    <w:rsid w:val="00931B25"/>
    <w:rsid w:val="009370E9"/>
    <w:rsid w:val="00943EF3"/>
    <w:rsid w:val="0094413F"/>
    <w:rsid w:val="00952A93"/>
    <w:rsid w:val="00952E10"/>
    <w:rsid w:val="00953251"/>
    <w:rsid w:val="009644A5"/>
    <w:rsid w:val="009809DB"/>
    <w:rsid w:val="00994618"/>
    <w:rsid w:val="009B655B"/>
    <w:rsid w:val="009C11DF"/>
    <w:rsid w:val="009D202A"/>
    <w:rsid w:val="009D7E23"/>
    <w:rsid w:val="009E26A5"/>
    <w:rsid w:val="009E4122"/>
    <w:rsid w:val="009F2C25"/>
    <w:rsid w:val="00A016B6"/>
    <w:rsid w:val="00A26341"/>
    <w:rsid w:val="00A34461"/>
    <w:rsid w:val="00A40D1B"/>
    <w:rsid w:val="00A541C1"/>
    <w:rsid w:val="00A62377"/>
    <w:rsid w:val="00A62BC1"/>
    <w:rsid w:val="00A71507"/>
    <w:rsid w:val="00A75F18"/>
    <w:rsid w:val="00A8204F"/>
    <w:rsid w:val="00A90830"/>
    <w:rsid w:val="00AA14E5"/>
    <w:rsid w:val="00AB1C58"/>
    <w:rsid w:val="00AB36DD"/>
    <w:rsid w:val="00AB6EAB"/>
    <w:rsid w:val="00AC5DBA"/>
    <w:rsid w:val="00AD072A"/>
    <w:rsid w:val="00AE4E7F"/>
    <w:rsid w:val="00AE7BDE"/>
    <w:rsid w:val="00AF4F25"/>
    <w:rsid w:val="00B00DAA"/>
    <w:rsid w:val="00B01EA9"/>
    <w:rsid w:val="00B308E4"/>
    <w:rsid w:val="00B40E38"/>
    <w:rsid w:val="00B633B9"/>
    <w:rsid w:val="00B71914"/>
    <w:rsid w:val="00B8481E"/>
    <w:rsid w:val="00B90D62"/>
    <w:rsid w:val="00B91780"/>
    <w:rsid w:val="00B97318"/>
    <w:rsid w:val="00B97594"/>
    <w:rsid w:val="00BA2874"/>
    <w:rsid w:val="00BD1788"/>
    <w:rsid w:val="00BF7A0B"/>
    <w:rsid w:val="00C04026"/>
    <w:rsid w:val="00C12365"/>
    <w:rsid w:val="00C12C56"/>
    <w:rsid w:val="00C16603"/>
    <w:rsid w:val="00C43440"/>
    <w:rsid w:val="00C62FFE"/>
    <w:rsid w:val="00C75F20"/>
    <w:rsid w:val="00C82CDC"/>
    <w:rsid w:val="00C90136"/>
    <w:rsid w:val="00C9353B"/>
    <w:rsid w:val="00CA7C97"/>
    <w:rsid w:val="00CB039C"/>
    <w:rsid w:val="00CD0B06"/>
    <w:rsid w:val="00CE57F9"/>
    <w:rsid w:val="00CF15CF"/>
    <w:rsid w:val="00CF268C"/>
    <w:rsid w:val="00D014CD"/>
    <w:rsid w:val="00D04EEB"/>
    <w:rsid w:val="00D2191B"/>
    <w:rsid w:val="00D246B7"/>
    <w:rsid w:val="00D31508"/>
    <w:rsid w:val="00D32336"/>
    <w:rsid w:val="00D32D28"/>
    <w:rsid w:val="00D3603E"/>
    <w:rsid w:val="00D429F7"/>
    <w:rsid w:val="00D511D1"/>
    <w:rsid w:val="00D55CA6"/>
    <w:rsid w:val="00D56853"/>
    <w:rsid w:val="00D633F8"/>
    <w:rsid w:val="00D724E8"/>
    <w:rsid w:val="00D85996"/>
    <w:rsid w:val="00D86F49"/>
    <w:rsid w:val="00D97FA3"/>
    <w:rsid w:val="00DA240F"/>
    <w:rsid w:val="00DA4334"/>
    <w:rsid w:val="00DB0BE7"/>
    <w:rsid w:val="00DC667A"/>
    <w:rsid w:val="00DD2166"/>
    <w:rsid w:val="00DE7C7C"/>
    <w:rsid w:val="00DF50FB"/>
    <w:rsid w:val="00E06B68"/>
    <w:rsid w:val="00E23CBC"/>
    <w:rsid w:val="00E24854"/>
    <w:rsid w:val="00E30017"/>
    <w:rsid w:val="00E30B4D"/>
    <w:rsid w:val="00E43EE8"/>
    <w:rsid w:val="00E52496"/>
    <w:rsid w:val="00E63086"/>
    <w:rsid w:val="00E84302"/>
    <w:rsid w:val="00E85567"/>
    <w:rsid w:val="00EA587A"/>
    <w:rsid w:val="00EA6B9E"/>
    <w:rsid w:val="00EB018A"/>
    <w:rsid w:val="00EB2AD2"/>
    <w:rsid w:val="00EB75F0"/>
    <w:rsid w:val="00EC0B56"/>
    <w:rsid w:val="00EC3DFD"/>
    <w:rsid w:val="00ED06AD"/>
    <w:rsid w:val="00F06568"/>
    <w:rsid w:val="00F42100"/>
    <w:rsid w:val="00F54581"/>
    <w:rsid w:val="00F57924"/>
    <w:rsid w:val="00F6558D"/>
    <w:rsid w:val="00F76F91"/>
    <w:rsid w:val="00F8086A"/>
    <w:rsid w:val="00F86554"/>
    <w:rsid w:val="00FA5A0C"/>
    <w:rsid w:val="00FC1E85"/>
    <w:rsid w:val="00FD597E"/>
    <w:rsid w:val="00FE4497"/>
    <w:rsid w:val="00FE6BF2"/>
    <w:rsid w:val="00FE70C0"/>
    <w:rsid w:val="00FF3350"/>
    <w:rsid w:val="020605AA"/>
    <w:rsid w:val="02B4441B"/>
    <w:rsid w:val="036A77C0"/>
    <w:rsid w:val="039B7D01"/>
    <w:rsid w:val="03D41080"/>
    <w:rsid w:val="03D5249D"/>
    <w:rsid w:val="04137DFA"/>
    <w:rsid w:val="048821A9"/>
    <w:rsid w:val="071E2DBF"/>
    <w:rsid w:val="077444BB"/>
    <w:rsid w:val="083A64E8"/>
    <w:rsid w:val="085A7152"/>
    <w:rsid w:val="088E2623"/>
    <w:rsid w:val="089845D5"/>
    <w:rsid w:val="09BB409E"/>
    <w:rsid w:val="0A69677B"/>
    <w:rsid w:val="0C6E08A4"/>
    <w:rsid w:val="0D592AE9"/>
    <w:rsid w:val="0D951880"/>
    <w:rsid w:val="103B02CA"/>
    <w:rsid w:val="11602A0C"/>
    <w:rsid w:val="12CE229A"/>
    <w:rsid w:val="142669A3"/>
    <w:rsid w:val="16EF460D"/>
    <w:rsid w:val="174C0B5B"/>
    <w:rsid w:val="181C68FE"/>
    <w:rsid w:val="184A6D71"/>
    <w:rsid w:val="19453803"/>
    <w:rsid w:val="1A0F63B8"/>
    <w:rsid w:val="1AC915B1"/>
    <w:rsid w:val="1BC46939"/>
    <w:rsid w:val="1CB610D8"/>
    <w:rsid w:val="1D6B0FC8"/>
    <w:rsid w:val="1D827913"/>
    <w:rsid w:val="1F0D3E5A"/>
    <w:rsid w:val="1FD36039"/>
    <w:rsid w:val="20620545"/>
    <w:rsid w:val="2305290B"/>
    <w:rsid w:val="237E2246"/>
    <w:rsid w:val="2654200F"/>
    <w:rsid w:val="26D555CC"/>
    <w:rsid w:val="26DC7013"/>
    <w:rsid w:val="26FD4A38"/>
    <w:rsid w:val="293C0195"/>
    <w:rsid w:val="29961567"/>
    <w:rsid w:val="29AD568E"/>
    <w:rsid w:val="29DA2273"/>
    <w:rsid w:val="2AF54729"/>
    <w:rsid w:val="2BBD3DD9"/>
    <w:rsid w:val="2CE83322"/>
    <w:rsid w:val="2F9945DD"/>
    <w:rsid w:val="2FA4415B"/>
    <w:rsid w:val="30CD12B2"/>
    <w:rsid w:val="315B6F72"/>
    <w:rsid w:val="3335258D"/>
    <w:rsid w:val="33B4111B"/>
    <w:rsid w:val="351B4814"/>
    <w:rsid w:val="3559005E"/>
    <w:rsid w:val="35C319C4"/>
    <w:rsid w:val="35EE58B4"/>
    <w:rsid w:val="36DF46A8"/>
    <w:rsid w:val="38B5637E"/>
    <w:rsid w:val="3A2A0215"/>
    <w:rsid w:val="3B443603"/>
    <w:rsid w:val="3C9D4EC0"/>
    <w:rsid w:val="3F725D97"/>
    <w:rsid w:val="3FA962D7"/>
    <w:rsid w:val="400220BE"/>
    <w:rsid w:val="41C562C1"/>
    <w:rsid w:val="44E56CC6"/>
    <w:rsid w:val="44F078A9"/>
    <w:rsid w:val="458B5C77"/>
    <w:rsid w:val="476E0DE5"/>
    <w:rsid w:val="47A74340"/>
    <w:rsid w:val="48310C7F"/>
    <w:rsid w:val="48652348"/>
    <w:rsid w:val="48AB4C4F"/>
    <w:rsid w:val="49AA1BD1"/>
    <w:rsid w:val="4A837EE1"/>
    <w:rsid w:val="4B2F1A13"/>
    <w:rsid w:val="4B3B1A06"/>
    <w:rsid w:val="4B613C6E"/>
    <w:rsid w:val="4C803A34"/>
    <w:rsid w:val="4D113EA2"/>
    <w:rsid w:val="4E7B594C"/>
    <w:rsid w:val="4F017D17"/>
    <w:rsid w:val="509504F3"/>
    <w:rsid w:val="50C3607E"/>
    <w:rsid w:val="52397945"/>
    <w:rsid w:val="53237DDB"/>
    <w:rsid w:val="53832CE8"/>
    <w:rsid w:val="56B166CF"/>
    <w:rsid w:val="57D460CD"/>
    <w:rsid w:val="589C2951"/>
    <w:rsid w:val="59DF69D8"/>
    <w:rsid w:val="5A65252C"/>
    <w:rsid w:val="5B046197"/>
    <w:rsid w:val="5B364790"/>
    <w:rsid w:val="5C1A021F"/>
    <w:rsid w:val="5CDF2868"/>
    <w:rsid w:val="5F494DB6"/>
    <w:rsid w:val="5F834380"/>
    <w:rsid w:val="60E944C3"/>
    <w:rsid w:val="64454BCA"/>
    <w:rsid w:val="64865437"/>
    <w:rsid w:val="64CC6647"/>
    <w:rsid w:val="66B10198"/>
    <w:rsid w:val="67876460"/>
    <w:rsid w:val="68024591"/>
    <w:rsid w:val="682944F6"/>
    <w:rsid w:val="68842645"/>
    <w:rsid w:val="693C6AC7"/>
    <w:rsid w:val="69C50A0E"/>
    <w:rsid w:val="69D53E19"/>
    <w:rsid w:val="6B3722B0"/>
    <w:rsid w:val="6C060F08"/>
    <w:rsid w:val="6D97577B"/>
    <w:rsid w:val="6DD0514F"/>
    <w:rsid w:val="6F2068B1"/>
    <w:rsid w:val="6F5163A9"/>
    <w:rsid w:val="6F8D3411"/>
    <w:rsid w:val="70B74DE7"/>
    <w:rsid w:val="71475807"/>
    <w:rsid w:val="71A7248A"/>
    <w:rsid w:val="72232CB9"/>
    <w:rsid w:val="73721EE4"/>
    <w:rsid w:val="73D019E7"/>
    <w:rsid w:val="74CB4D40"/>
    <w:rsid w:val="75F162B1"/>
    <w:rsid w:val="770A6902"/>
    <w:rsid w:val="77682E61"/>
    <w:rsid w:val="77EB1B22"/>
    <w:rsid w:val="77F07918"/>
    <w:rsid w:val="7B7D6B3E"/>
    <w:rsid w:val="7D9421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34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2"/>
    <w:semiHidden/>
    <w:qFormat/>
    <w:uiPriority w:val="0"/>
  </w:style>
  <w:style w:type="paragraph" w:styleId="12">
    <w:name w:val="toc 6"/>
    <w:basedOn w:val="13"/>
    <w:semiHidden/>
    <w:qFormat/>
    <w:uiPriority w:val="0"/>
  </w:style>
  <w:style w:type="paragraph" w:styleId="13">
    <w:name w:val="toc 5"/>
    <w:basedOn w:val="14"/>
    <w:semiHidden/>
    <w:qFormat/>
    <w:uiPriority w:val="0"/>
  </w:style>
  <w:style w:type="paragraph" w:styleId="14">
    <w:name w:val="toc 4"/>
    <w:basedOn w:val="15"/>
    <w:semiHidden/>
    <w:qFormat/>
    <w:uiPriority w:val="0"/>
  </w:style>
  <w:style w:type="paragraph" w:styleId="15">
    <w:name w:val="toc 3"/>
    <w:basedOn w:val="16"/>
    <w:semiHidden/>
    <w:qFormat/>
    <w:uiPriority w:val="0"/>
  </w:style>
  <w:style w:type="paragraph" w:styleId="16">
    <w:name w:val="toc 2"/>
    <w:basedOn w:val="17"/>
    <w:semiHidden/>
    <w:qFormat/>
    <w:uiPriority w:val="0"/>
  </w:style>
  <w:style w:type="paragraph" w:styleId="17">
    <w:name w:val="toc 1"/>
    <w:semiHidden/>
    <w:qFormat/>
    <w:uiPriority w:val="0"/>
    <w:pPr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18">
    <w:name w:val="Document Map"/>
    <w:basedOn w:val="1"/>
    <w:semiHidden/>
    <w:qFormat/>
    <w:uiPriority w:val="0"/>
    <w:pPr>
      <w:shd w:val="clear" w:color="auto" w:fill="000080"/>
    </w:pPr>
  </w:style>
  <w:style w:type="paragraph" w:styleId="19">
    <w:name w:val="annotation text"/>
    <w:basedOn w:val="1"/>
    <w:link w:val="47"/>
    <w:qFormat/>
    <w:uiPriority w:val="0"/>
    <w:pPr>
      <w:jc w:val="left"/>
    </w:pPr>
  </w:style>
  <w:style w:type="paragraph" w:styleId="20">
    <w:name w:val="Body Text"/>
    <w:basedOn w:val="1"/>
    <w:qFormat/>
    <w:uiPriority w:val="0"/>
    <w:pPr>
      <w:spacing w:after="120"/>
    </w:pPr>
  </w:style>
  <w:style w:type="paragraph" w:styleId="21">
    <w:name w:val="HTML Address"/>
    <w:basedOn w:val="1"/>
    <w:qFormat/>
    <w:uiPriority w:val="0"/>
    <w:rPr>
      <w:i/>
      <w:iCs/>
    </w:rPr>
  </w:style>
  <w:style w:type="paragraph" w:styleId="22">
    <w:name w:val="toc 8"/>
    <w:basedOn w:val="11"/>
    <w:semiHidden/>
    <w:qFormat/>
    <w:uiPriority w:val="0"/>
  </w:style>
  <w:style w:type="paragraph" w:styleId="23">
    <w:name w:val="Balloon Text"/>
    <w:basedOn w:val="1"/>
    <w:link w:val="48"/>
    <w:qFormat/>
    <w:uiPriority w:val="0"/>
    <w:rPr>
      <w:sz w:val="18"/>
      <w:szCs w:val="18"/>
    </w:rPr>
  </w:style>
  <w:style w:type="paragraph" w:styleId="24">
    <w:name w:val="footer"/>
    <w:basedOn w:val="1"/>
    <w:link w:val="49"/>
    <w:qFormat/>
    <w:uiPriority w:val="0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25">
    <w:name w:val="header"/>
    <w:basedOn w:val="1"/>
    <w:link w:val="5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6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27">
    <w:name w:val="toc 9"/>
    <w:basedOn w:val="22"/>
    <w:semiHidden/>
    <w:qFormat/>
    <w:uiPriority w:val="0"/>
  </w:style>
  <w:style w:type="paragraph" w:styleId="28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2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0">
    <w:name w:val="annotation subject"/>
    <w:basedOn w:val="19"/>
    <w:next w:val="19"/>
    <w:link w:val="51"/>
    <w:qFormat/>
    <w:uiPriority w:val="0"/>
    <w:rPr>
      <w:b/>
      <w:bCs/>
    </w:rPr>
  </w:style>
  <w:style w:type="paragraph" w:styleId="31">
    <w:name w:val="Body Text First Indent"/>
    <w:basedOn w:val="20"/>
    <w:qFormat/>
    <w:uiPriority w:val="0"/>
    <w:pPr>
      <w:ind w:firstLine="420" w:firstLineChars="100"/>
    </w:pPr>
    <w:rPr>
      <w:szCs w:val="24"/>
    </w:rPr>
  </w:style>
  <w:style w:type="table" w:styleId="33">
    <w:name w:val="Table Grid"/>
    <w:basedOn w:val="3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5">
    <w:name w:val="page number"/>
    <w:qFormat/>
    <w:uiPriority w:val="0"/>
    <w:rPr>
      <w:rFonts w:ascii="Times New Roman" w:hAnsi="Times New Roman" w:eastAsia="宋体"/>
      <w:sz w:val="18"/>
    </w:rPr>
  </w:style>
  <w:style w:type="character" w:styleId="36">
    <w:name w:val="HTML Definition"/>
    <w:qFormat/>
    <w:uiPriority w:val="0"/>
    <w:rPr>
      <w:i/>
      <w:iCs/>
    </w:rPr>
  </w:style>
  <w:style w:type="character" w:styleId="37">
    <w:name w:val="HTML Typewriter"/>
    <w:qFormat/>
    <w:uiPriority w:val="0"/>
    <w:rPr>
      <w:rFonts w:ascii="Courier New" w:hAnsi="Courier New"/>
      <w:sz w:val="20"/>
      <w:szCs w:val="20"/>
    </w:rPr>
  </w:style>
  <w:style w:type="character" w:styleId="38">
    <w:name w:val="HTML Acronym"/>
    <w:basedOn w:val="34"/>
    <w:qFormat/>
    <w:uiPriority w:val="0"/>
  </w:style>
  <w:style w:type="character" w:styleId="39">
    <w:name w:val="HTML Variable"/>
    <w:qFormat/>
    <w:uiPriority w:val="0"/>
    <w:rPr>
      <w:i/>
      <w:iCs/>
    </w:rPr>
  </w:style>
  <w:style w:type="character" w:styleId="40">
    <w:name w:val="Hyperlink"/>
    <w:qFormat/>
    <w:uiPriority w:val="0"/>
    <w:rPr>
      <w:rFonts w:ascii="Times New Roman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styleId="41">
    <w:name w:val="HTML Code"/>
    <w:qFormat/>
    <w:uiPriority w:val="0"/>
    <w:rPr>
      <w:rFonts w:ascii="Courier New" w:hAnsi="Courier New"/>
      <w:sz w:val="20"/>
      <w:szCs w:val="20"/>
    </w:rPr>
  </w:style>
  <w:style w:type="character" w:styleId="42">
    <w:name w:val="annotation reference"/>
    <w:qFormat/>
    <w:uiPriority w:val="0"/>
    <w:rPr>
      <w:sz w:val="21"/>
      <w:szCs w:val="21"/>
    </w:rPr>
  </w:style>
  <w:style w:type="character" w:styleId="43">
    <w:name w:val="HTML Cite"/>
    <w:qFormat/>
    <w:uiPriority w:val="0"/>
    <w:rPr>
      <w:i/>
      <w:iCs/>
    </w:rPr>
  </w:style>
  <w:style w:type="character" w:styleId="44">
    <w:name w:val="footnote reference"/>
    <w:semiHidden/>
    <w:qFormat/>
    <w:uiPriority w:val="0"/>
    <w:rPr>
      <w:vertAlign w:val="superscript"/>
    </w:rPr>
  </w:style>
  <w:style w:type="character" w:styleId="45">
    <w:name w:val="HTML Keyboard"/>
    <w:qFormat/>
    <w:uiPriority w:val="0"/>
    <w:rPr>
      <w:rFonts w:ascii="Courier New" w:hAnsi="Courier New"/>
      <w:sz w:val="20"/>
      <w:szCs w:val="20"/>
    </w:rPr>
  </w:style>
  <w:style w:type="character" w:styleId="46">
    <w:name w:val="HTML Sample"/>
    <w:qFormat/>
    <w:uiPriority w:val="0"/>
    <w:rPr>
      <w:rFonts w:ascii="Courier New" w:hAnsi="Courier New"/>
    </w:rPr>
  </w:style>
  <w:style w:type="character" w:customStyle="1" w:styleId="47">
    <w:name w:val="Comment Text Char"/>
    <w:link w:val="19"/>
    <w:qFormat/>
    <w:uiPriority w:val="0"/>
    <w:rPr>
      <w:kern w:val="2"/>
      <w:sz w:val="21"/>
    </w:rPr>
  </w:style>
  <w:style w:type="character" w:customStyle="1" w:styleId="48">
    <w:name w:val="Balloon Text Char"/>
    <w:link w:val="23"/>
    <w:qFormat/>
    <w:uiPriority w:val="0"/>
    <w:rPr>
      <w:kern w:val="2"/>
      <w:sz w:val="18"/>
      <w:szCs w:val="18"/>
    </w:rPr>
  </w:style>
  <w:style w:type="character" w:customStyle="1" w:styleId="49">
    <w:name w:val="Footer Char"/>
    <w:link w:val="24"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0">
    <w:name w:val="Header Char"/>
    <w:link w:val="25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1">
    <w:name w:val="Comment Subject Char"/>
    <w:link w:val="30"/>
    <w:qFormat/>
    <w:uiPriority w:val="0"/>
    <w:rPr>
      <w:b/>
      <w:bCs/>
      <w:kern w:val="2"/>
      <w:sz w:val="21"/>
    </w:rPr>
  </w:style>
  <w:style w:type="character" w:customStyle="1" w:styleId="52">
    <w:name w:val="个人答复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53">
    <w:name w:val="段 Char"/>
    <w:link w:val="54"/>
    <w:qFormat/>
    <w:uiPriority w:val="0"/>
    <w:rPr>
      <w:rFonts w:ascii="宋体"/>
      <w:sz w:val="21"/>
      <w:lang w:val="en-US" w:eastAsia="zh-CN" w:bidi="ar-SA"/>
    </w:rPr>
  </w:style>
  <w:style w:type="paragraph" w:customStyle="1" w:styleId="54">
    <w:name w:val="段"/>
    <w:link w:val="53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character" w:customStyle="1" w:styleId="55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character" w:customStyle="1" w:styleId="56">
    <w:name w:val="个人撰写风格"/>
    <w:qFormat/>
    <w:uiPriority w:val="0"/>
    <w:rPr>
      <w:rFonts w:ascii="Arial" w:hAnsi="Arial" w:eastAsia="宋体" w:cs="Arial"/>
      <w:color w:val="auto"/>
      <w:sz w:val="20"/>
    </w:rPr>
  </w:style>
  <w:style w:type="paragraph" w:customStyle="1" w:styleId="57">
    <w:name w:val="封面标准文稿类别"/>
    <w:qFormat/>
    <w:uiPriority w:val="0"/>
    <w:pPr>
      <w:spacing w:before="440" w:line="400" w:lineRule="exact"/>
      <w:jc w:val="center"/>
    </w:pPr>
    <w:rPr>
      <w:rFonts w:ascii="宋体" w:hAnsi="Calibri" w:eastAsia="宋体" w:cs="Times New Roman"/>
      <w:sz w:val="24"/>
      <w:lang w:val="en-US" w:eastAsia="zh-CN" w:bidi="ar-SA"/>
    </w:rPr>
  </w:style>
  <w:style w:type="paragraph" w:customStyle="1" w:styleId="58">
    <w:name w:val="附录五级条标题"/>
    <w:basedOn w:val="59"/>
    <w:next w:val="54"/>
    <w:qFormat/>
    <w:uiPriority w:val="0"/>
    <w:pPr>
      <w:outlineLvl w:val="6"/>
    </w:pPr>
  </w:style>
  <w:style w:type="paragraph" w:customStyle="1" w:styleId="59">
    <w:name w:val="附录四级条标题"/>
    <w:basedOn w:val="60"/>
    <w:next w:val="54"/>
    <w:qFormat/>
    <w:uiPriority w:val="0"/>
    <w:pPr>
      <w:outlineLvl w:val="5"/>
    </w:pPr>
  </w:style>
  <w:style w:type="paragraph" w:customStyle="1" w:styleId="60">
    <w:name w:val="附录三级条标题"/>
    <w:basedOn w:val="61"/>
    <w:next w:val="54"/>
    <w:qFormat/>
    <w:uiPriority w:val="0"/>
    <w:pPr>
      <w:outlineLvl w:val="4"/>
    </w:pPr>
  </w:style>
  <w:style w:type="paragraph" w:customStyle="1" w:styleId="61">
    <w:name w:val="附录二级条标题"/>
    <w:basedOn w:val="62"/>
    <w:next w:val="54"/>
    <w:qFormat/>
    <w:uiPriority w:val="0"/>
    <w:pPr>
      <w:outlineLvl w:val="3"/>
    </w:pPr>
  </w:style>
  <w:style w:type="paragraph" w:customStyle="1" w:styleId="62">
    <w:name w:val="附录一级条标题"/>
    <w:basedOn w:val="63"/>
    <w:next w:val="54"/>
    <w:qFormat/>
    <w:uiPriority w:val="0"/>
    <w:pPr>
      <w:autoSpaceDN w:val="0"/>
      <w:spacing w:beforeLines="0" w:afterLines="0"/>
      <w:outlineLvl w:val="2"/>
    </w:pPr>
  </w:style>
  <w:style w:type="paragraph" w:customStyle="1" w:styleId="63">
    <w:name w:val="附录章标题"/>
    <w:next w:val="54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Calibri" w:eastAsia="黑体" w:cs="Times New Roman"/>
      <w:kern w:val="21"/>
      <w:sz w:val="21"/>
      <w:lang w:val="en-US" w:eastAsia="zh-CN" w:bidi="ar-SA"/>
    </w:rPr>
  </w:style>
  <w:style w:type="paragraph" w:customStyle="1" w:styleId="64">
    <w:name w:val="参考文献、索引标题"/>
    <w:basedOn w:val="65"/>
    <w:next w:val="1"/>
    <w:qFormat/>
    <w:uiPriority w:val="0"/>
    <w:pPr>
      <w:spacing w:after="200"/>
    </w:pPr>
    <w:rPr>
      <w:sz w:val="21"/>
    </w:rPr>
  </w:style>
  <w:style w:type="paragraph" w:customStyle="1" w:styleId="65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Calibri" w:eastAsia="黑体" w:cs="Times New Roman"/>
      <w:sz w:val="32"/>
      <w:lang w:val="en-US" w:eastAsia="zh-CN" w:bidi="ar-SA"/>
    </w:rPr>
  </w:style>
  <w:style w:type="paragraph" w:customStyle="1" w:styleId="66">
    <w:name w:val="一级条标题"/>
    <w:next w:val="54"/>
    <w:qFormat/>
    <w:uiPriority w:val="0"/>
    <w:pPr>
      <w:outlineLvl w:val="2"/>
    </w:pPr>
    <w:rPr>
      <w:rFonts w:ascii="Calibri" w:hAnsi="Calibri" w:eastAsia="黑体" w:cs="Times New Roman"/>
      <w:sz w:val="21"/>
      <w:lang w:val="en-US" w:eastAsia="zh-CN" w:bidi="ar-SA"/>
    </w:rPr>
  </w:style>
  <w:style w:type="paragraph" w:customStyle="1" w:styleId="67">
    <w:name w:val="正文图标题"/>
    <w:next w:val="54"/>
    <w:qFormat/>
    <w:uiPriority w:val="0"/>
    <w:pPr>
      <w:jc w:val="center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68">
    <w:name w:val="目次、标准名称标题"/>
    <w:basedOn w:val="65"/>
    <w:next w:val="54"/>
    <w:qFormat/>
    <w:uiPriority w:val="0"/>
    <w:pPr>
      <w:spacing w:line="460" w:lineRule="exact"/>
    </w:pPr>
  </w:style>
  <w:style w:type="paragraph" w:customStyle="1" w:styleId="69">
    <w:name w:val="示例"/>
    <w:next w:val="54"/>
    <w:qFormat/>
    <w:uiPriority w:val="0"/>
    <w:pPr>
      <w:tabs>
        <w:tab w:val="left" w:pos="816"/>
      </w:tabs>
      <w:ind w:firstLine="419" w:firstLineChars="233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70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Calibri" w:hAnsi="Calibri" w:eastAsia="宋体" w:cs="Times New Roman"/>
      <w:sz w:val="28"/>
      <w:lang w:val="en-US" w:eastAsia="zh-CN" w:bidi="ar-SA"/>
    </w:rPr>
  </w:style>
  <w:style w:type="paragraph" w:customStyle="1" w:styleId="71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72">
    <w:name w:val="封面一致性程度标识"/>
    <w:qFormat/>
    <w:uiPriority w:val="0"/>
    <w:pPr>
      <w:spacing w:before="440" w:line="400" w:lineRule="exact"/>
      <w:jc w:val="center"/>
    </w:pPr>
    <w:rPr>
      <w:rFonts w:ascii="宋体" w:hAnsi="Calibri" w:eastAsia="宋体" w:cs="Times New Roman"/>
      <w:sz w:val="28"/>
      <w:lang w:val="en-US" w:eastAsia="zh-CN" w:bidi="ar-SA"/>
    </w:rPr>
  </w:style>
  <w:style w:type="paragraph" w:customStyle="1" w:styleId="73">
    <w:name w:val="列项◆（三级）"/>
    <w:qFormat/>
    <w:uiPriority w:val="0"/>
    <w:pPr>
      <w:tabs>
        <w:tab w:val="left" w:pos="960"/>
      </w:tabs>
      <w:ind w:left="800" w:leftChars="600" w:hanging="200" w:hangingChars="200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74">
    <w:name w:val="注×："/>
    <w:qFormat/>
    <w:uiPriority w:val="0"/>
    <w:pPr>
      <w:widowControl w:val="0"/>
      <w:tabs>
        <w:tab w:val="left" w:pos="630"/>
      </w:tabs>
      <w:autoSpaceDE w:val="0"/>
      <w:autoSpaceDN w:val="0"/>
      <w:ind w:left="900" w:hanging="500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75">
    <w:name w:val="标准书脚_奇数页"/>
    <w:qFormat/>
    <w:uiPriority w:val="0"/>
    <w:pPr>
      <w:spacing w:before="120"/>
      <w:jc w:val="right"/>
    </w:pPr>
    <w:rPr>
      <w:rFonts w:ascii="Calibri" w:hAnsi="Calibri" w:eastAsia="宋体" w:cs="Times New Roman"/>
      <w:sz w:val="18"/>
      <w:lang w:val="en-US" w:eastAsia="zh-CN" w:bidi="ar-SA"/>
    </w:rPr>
  </w:style>
  <w:style w:type="paragraph" w:customStyle="1" w:styleId="76">
    <w:name w:val="附录标识"/>
    <w:basedOn w:val="65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77">
    <w:name w:val="二级条标题"/>
    <w:basedOn w:val="66"/>
    <w:next w:val="54"/>
    <w:qFormat/>
    <w:uiPriority w:val="0"/>
    <w:pPr>
      <w:outlineLvl w:val="3"/>
    </w:pPr>
  </w:style>
  <w:style w:type="paragraph" w:customStyle="1" w:styleId="78">
    <w:name w:val="封面标准号2"/>
    <w:basedOn w:val="70"/>
    <w:qFormat/>
    <w:uiPriority w:val="0"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79">
    <w:name w:val="二级无"/>
    <w:basedOn w:val="77"/>
    <w:qFormat/>
    <w:uiPriority w:val="0"/>
    <w:rPr>
      <w:rFonts w:ascii="宋体" w:eastAsia="宋体"/>
      <w:szCs w:val="21"/>
    </w:rPr>
  </w:style>
  <w:style w:type="paragraph" w:customStyle="1" w:styleId="80">
    <w:name w:val="条文脚注"/>
    <w:basedOn w:val="26"/>
    <w:qFormat/>
    <w:uiPriority w:val="0"/>
    <w:pPr>
      <w:ind w:left="780" w:leftChars="200" w:hanging="360" w:hangingChars="200"/>
      <w:jc w:val="both"/>
    </w:pPr>
    <w:rPr>
      <w:rFonts w:ascii="宋体"/>
    </w:rPr>
  </w:style>
  <w:style w:type="paragraph" w:customStyle="1" w:styleId="81">
    <w:name w:val="发布部门"/>
    <w:next w:val="54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Calibri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82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83">
    <w:name w:val="列项——（一级）"/>
    <w:qFormat/>
    <w:uiPriority w:val="0"/>
    <w:pPr>
      <w:widowControl w:val="0"/>
      <w:tabs>
        <w:tab w:val="left" w:pos="1140"/>
      </w:tabs>
      <w:ind w:left="840" w:hanging="42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84">
    <w:name w:val="图表脚注"/>
    <w:next w:val="54"/>
    <w:qFormat/>
    <w:uiPriority w:val="0"/>
    <w:pPr>
      <w:ind w:left="300" w:leftChars="200" w:hanging="100" w:hangingChars="100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85">
    <w:name w:val="封面标准代替信息"/>
    <w:basedOn w:val="78"/>
    <w:qFormat/>
    <w:uiPriority w:val="0"/>
    <w:pPr>
      <w:framePr w:wrap="around"/>
      <w:spacing w:before="57"/>
    </w:pPr>
    <w:rPr>
      <w:rFonts w:ascii="宋体"/>
      <w:sz w:val="21"/>
    </w:rPr>
  </w:style>
  <w:style w:type="paragraph" w:customStyle="1" w:styleId="86">
    <w:name w:val="实施日期"/>
    <w:basedOn w:val="87"/>
    <w:qFormat/>
    <w:uiPriority w:val="0"/>
    <w:pPr>
      <w:framePr w:hSpace="0" w:wrap="around" w:xAlign="right"/>
      <w:jc w:val="right"/>
    </w:pPr>
  </w:style>
  <w:style w:type="paragraph" w:customStyle="1" w:styleId="87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Calibri" w:hAnsi="Calibri" w:eastAsia="黑体" w:cs="Times New Roman"/>
      <w:sz w:val="28"/>
      <w:lang w:val="en-US" w:eastAsia="zh-CN" w:bidi="ar-SA"/>
    </w:rPr>
  </w:style>
  <w:style w:type="paragraph" w:customStyle="1" w:styleId="88">
    <w:name w:val="标准书眉_偶数页"/>
    <w:basedOn w:val="89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89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Calibri" w:hAnsi="Calibri" w:eastAsia="宋体" w:cs="Times New Roman"/>
      <w:sz w:val="21"/>
      <w:lang w:val="en-US" w:eastAsia="zh-CN" w:bidi="ar-SA"/>
    </w:rPr>
  </w:style>
  <w:style w:type="paragraph" w:customStyle="1" w:styleId="90">
    <w:name w:val="其他发布部门"/>
    <w:basedOn w:val="81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91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Calibri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92">
    <w:name w:val="三级条标题"/>
    <w:basedOn w:val="77"/>
    <w:next w:val="54"/>
    <w:qFormat/>
    <w:uiPriority w:val="0"/>
    <w:pPr>
      <w:outlineLvl w:val="4"/>
    </w:pPr>
  </w:style>
  <w:style w:type="paragraph" w:customStyle="1" w:styleId="93">
    <w:name w:val="五级条标题"/>
    <w:basedOn w:val="94"/>
    <w:next w:val="54"/>
    <w:qFormat/>
    <w:uiPriority w:val="0"/>
    <w:pPr>
      <w:outlineLvl w:val="6"/>
    </w:pPr>
  </w:style>
  <w:style w:type="paragraph" w:customStyle="1" w:styleId="94">
    <w:name w:val="四级条标题"/>
    <w:basedOn w:val="92"/>
    <w:next w:val="54"/>
    <w:qFormat/>
    <w:uiPriority w:val="0"/>
    <w:pPr>
      <w:outlineLvl w:val="5"/>
    </w:pPr>
  </w:style>
  <w:style w:type="paragraph" w:customStyle="1" w:styleId="95">
    <w:name w:val="注："/>
    <w:next w:val="54"/>
    <w:qFormat/>
    <w:uiPriority w:val="0"/>
    <w:pPr>
      <w:widowControl w:val="0"/>
      <w:autoSpaceDE w:val="0"/>
      <w:autoSpaceDN w:val="0"/>
      <w:ind w:left="840" w:hanging="420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96">
    <w:name w:val="标准书脚_偶数页"/>
    <w:qFormat/>
    <w:uiPriority w:val="0"/>
    <w:pPr>
      <w:spacing w:before="120"/>
    </w:pPr>
    <w:rPr>
      <w:rFonts w:ascii="Calibri" w:hAnsi="Calibri" w:eastAsia="宋体" w:cs="Times New Roman"/>
      <w:sz w:val="18"/>
      <w:lang w:val="en-US" w:eastAsia="zh-CN" w:bidi="ar-SA"/>
    </w:rPr>
  </w:style>
  <w:style w:type="paragraph" w:customStyle="1" w:styleId="97">
    <w:name w:val="标准书眉一"/>
    <w:qFormat/>
    <w:uiPriority w:val="0"/>
    <w:pPr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8">
    <w:name w:val="正文表标题"/>
    <w:next w:val="54"/>
    <w:qFormat/>
    <w:uiPriority w:val="0"/>
    <w:pPr>
      <w:jc w:val="center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99">
    <w:name w:val="列项●（二级）"/>
    <w:qFormat/>
    <w:uiPriority w:val="0"/>
    <w:pPr>
      <w:tabs>
        <w:tab w:val="left" w:pos="840"/>
      </w:tabs>
      <w:ind w:left="600" w:leftChars="400" w:hanging="200" w:hanging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0">
    <w:name w:val="编号列项（三级）"/>
    <w:qFormat/>
    <w:uiPriority w:val="0"/>
    <w:pPr>
      <w:ind w:left="800" w:leftChars="600" w:hanging="200" w:hangingChars="200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1">
    <w:name w:val="封面标准文稿编辑信息"/>
    <w:qFormat/>
    <w:uiPriority w:val="0"/>
    <w:pPr>
      <w:spacing w:before="180" w:line="180" w:lineRule="exact"/>
      <w:jc w:val="center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02">
    <w:name w:val="封面正文"/>
    <w:qFormat/>
    <w:uiPriority w:val="0"/>
    <w:pPr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103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Calibri" w:hAnsi="Calibri" w:eastAsia="黑体" w:cs="Times New Roman"/>
      <w:sz w:val="21"/>
      <w:lang w:val="en-US" w:eastAsia="zh-CN" w:bidi="ar-SA"/>
    </w:rPr>
  </w:style>
  <w:style w:type="paragraph" w:customStyle="1" w:styleId="104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Calibri" w:hAnsi="Calibri" w:eastAsia="宋体" w:cs="Times New Roman"/>
      <w:b/>
      <w:w w:val="130"/>
      <w:sz w:val="96"/>
      <w:lang w:val="en-US" w:eastAsia="zh-CN" w:bidi="ar-SA"/>
    </w:rPr>
  </w:style>
  <w:style w:type="paragraph" w:customStyle="1" w:styleId="105">
    <w:name w:val="附录图标题"/>
    <w:next w:val="54"/>
    <w:qFormat/>
    <w:uiPriority w:val="0"/>
    <w:pPr>
      <w:tabs>
        <w:tab w:val="left" w:pos="360"/>
      </w:tabs>
      <w:jc w:val="center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106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07">
    <w:name w:val="章标题"/>
    <w:next w:val="54"/>
    <w:qFormat/>
    <w:uiPriority w:val="0"/>
    <w:pPr>
      <w:spacing w:beforeLines="50" w:afterLines="5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108">
    <w:name w:val="附录表标题"/>
    <w:next w:val="54"/>
    <w:qFormat/>
    <w:uiPriority w:val="0"/>
    <w:pPr>
      <w:tabs>
        <w:tab w:val="left" w:pos="360"/>
      </w:tabs>
      <w:jc w:val="center"/>
      <w:textAlignment w:val="baseline"/>
    </w:pPr>
    <w:rPr>
      <w:rFonts w:ascii="黑体" w:hAnsi="Calibri" w:eastAsia="黑体" w:cs="Times New Roman"/>
      <w:kern w:val="21"/>
      <w:sz w:val="21"/>
      <w:lang w:val="en-US" w:eastAsia="zh-CN" w:bidi="ar-SA"/>
    </w:rPr>
  </w:style>
  <w:style w:type="paragraph" w:customStyle="1" w:styleId="109">
    <w:name w:val="目次、索引正文"/>
    <w:qFormat/>
    <w:uiPriority w:val="0"/>
    <w:pPr>
      <w:spacing w:line="320" w:lineRule="exact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110">
    <w:name w:val="List 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111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Calibri" w:eastAsia="黑体" w:cs="Times New Roman"/>
      <w:sz w:val="52"/>
      <w:lang w:val="en-US" w:eastAsia="zh-CN" w:bidi="ar-SA"/>
    </w:rPr>
  </w:style>
  <w:style w:type="paragraph" w:customStyle="1" w:styleId="112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Calibri" w:hAnsi="Calibri" w:eastAsia="宋体" w:cs="Times New Roman"/>
      <w:sz w:val="28"/>
      <w:lang w:val="en-US" w:eastAsia="zh-CN" w:bidi="ar-SA"/>
    </w:rPr>
  </w:style>
  <w:style w:type="paragraph" w:customStyle="1" w:styleId="113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5.wmf"/><Relationship Id="rId17" Type="http://schemas.openxmlformats.org/officeDocument/2006/relationships/oleObject" Target="embeddings/oleObject2.bin"/><Relationship Id="rId16" Type="http://schemas.openxmlformats.org/officeDocument/2006/relationships/image" Target="media/image4.wmf"/><Relationship Id="rId15" Type="http://schemas.openxmlformats.org/officeDocument/2006/relationships/oleObject" Target="embeddings/oleObject1.bin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ds\tds2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5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7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112626-7930-43E5-B9CB-556CEF0624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tds2.dot</Template>
  <Company>CNIS</Company>
  <Pages>8</Pages>
  <Words>1598</Words>
  <Characters>1801</Characters>
  <Lines>16</Lines>
  <Paragraphs>4</Paragraphs>
  <TotalTime>77</TotalTime>
  <ScaleCrop>false</ScaleCrop>
  <LinksUpToDate>false</LinksUpToDate>
  <CharactersWithSpaces>1911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2024-12-10T07:48:00Z</dcterms:created>
  <dc:creator>匿名用户</dc:creator>
  <cp:lastModifiedBy>廖杰培</cp:lastModifiedBy>
  <cp:lastPrinted>2025-08-06T02:34:00Z</cp:lastPrinted>
  <dcterms:modified xsi:type="dcterms:W3CDTF">2025-08-06T03:17:15Z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S属性">
    <vt:lpwstr>TDS 2.0 Document</vt:lpwstr>
  </property>
  <property fmtid="{D5CDD505-2E9C-101B-9397-08002B2CF9AE}" pid="3" name="KSOProductBuildVer">
    <vt:lpwstr>2052-12.1.0.16929</vt:lpwstr>
  </property>
  <property fmtid="{D5CDD505-2E9C-101B-9397-08002B2CF9AE}" pid="4" name="ICV">
    <vt:lpwstr>8C0ED48CA85840AAA07EBE0FFB195B7E</vt:lpwstr>
  </property>
</Properties>
</file>