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317" w:name="_GoBack"/>
            <w:bookmarkEnd w:id="317"/>
            <w:bookmarkStart w:id="0" w:name="_Hlk206147154"/>
            <w:bookmarkEnd w:id="0"/>
            <w:bookmarkStart w:id="1" w:name="_Hlk206145608"/>
            <w:bookmarkStart w:id="2" w:name="_Hlk206145692"/>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3"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77.150.99</w:t>
            </w:r>
            <w:r>
              <w:rPr>
                <w:rFonts w:ascii="黑体" w:hAnsi="黑体" w:eastAsia="黑体"/>
                <w:sz w:val="21"/>
                <w:szCs w:val="21"/>
              </w:rPr>
              <w:fldChar w:fldCharType="end"/>
            </w:r>
            <w:bookmarkEnd w:id="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4"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H 65</w:t>
            </w:r>
            <w:r>
              <w:rPr>
                <w:rFonts w:ascii="黑体" w:hAnsi="黑体" w:eastAsia="黑体"/>
                <w:sz w:val="21"/>
                <w:szCs w:val="21"/>
              </w:rPr>
              <w:fldChar w:fldCharType="end"/>
            </w:r>
            <w:bookmarkEnd w:id="4"/>
          </w:p>
        </w:tc>
      </w:tr>
    </w:tbl>
    <w:p>
      <w:pPr>
        <w:pStyle w:val="50"/>
        <w:framePr w:w="9639" w:h="624" w:hRule="exact" w:hSpace="181" w:vSpace="181" w:wrap="around" w:hAnchor="page" w:x="1305" w:y="2269"/>
      </w:pPr>
      <w:bookmarkStart w:id="5" w:name="_Hlk26473981"/>
      <w:r>
        <w:rPr>
          <w:rFonts w:hint="eastAsia"/>
        </w:rPr>
        <w:t>中华人民共和国国家标准</w:t>
      </w:r>
    </w:p>
    <w:bookmarkEnd w:id="5"/>
    <w:p>
      <w:pPr>
        <w:pStyle w:val="195"/>
        <w:framePr/>
        <w:rPr>
          <w:lang w:val="fr-FR"/>
        </w:rPr>
      </w:pPr>
      <w:r>
        <w:fldChar w:fldCharType="begin">
          <w:ffData>
            <w:name w:val="文字1"/>
            <w:enabled/>
            <w:calcOnExit w:val="0"/>
            <w:textInput>
              <w:default w:val="GB/T"/>
            </w:textInput>
          </w:ffData>
        </w:fldChar>
      </w:r>
      <w:bookmarkStart w:id="6" w:name="文字1"/>
      <w:r>
        <w:rPr>
          <w:lang w:val="fr-FR"/>
        </w:rPr>
        <w:instrText xml:space="preserve"> FORMTEXT </w:instrText>
      </w:r>
      <w:r>
        <w:fldChar w:fldCharType="separate"/>
      </w:r>
      <w:r>
        <w:rPr>
          <w:lang w:val="fr-FR"/>
        </w:rPr>
        <w:t>GB/T</w:t>
      </w:r>
      <w:r>
        <w:fldChar w:fldCharType="end"/>
      </w:r>
      <w:bookmarkEnd w:id="6"/>
      <w:r>
        <w:rPr>
          <w:lang w:val="fr-FR"/>
        </w:rPr>
        <w:t xml:space="preserve"> </w:t>
      </w:r>
      <w:r>
        <w:fldChar w:fldCharType="begin">
          <w:ffData>
            <w:name w:val="NSTD_CODE_F"/>
            <w:enabled/>
            <w:calcOnExit w:val="0"/>
            <w:textInput>
              <w:default w:val="XXXXX"/>
            </w:textInput>
          </w:ffData>
        </w:fldChar>
      </w:r>
      <w:bookmarkStart w:id="7" w:name="NSTD_CODE_F"/>
      <w:r>
        <w:rPr>
          <w:lang w:val="fr-FR"/>
        </w:rPr>
        <w:instrText xml:space="preserve"> FORMTEXT </w:instrText>
      </w:r>
      <w:r>
        <w:fldChar w:fldCharType="separate"/>
      </w:r>
      <w:r>
        <w:rPr>
          <w:lang w:val="fr-FR"/>
        </w:rPr>
        <w:t>XXXXX</w:t>
      </w:r>
      <w:r>
        <w:fldChar w:fldCharType="end"/>
      </w:r>
      <w:bookmarkEnd w:id="7"/>
      <w:r>
        <w:rPr>
          <w:rFonts w:hAnsi="黑体"/>
          <w:lang w:val="fr-FR"/>
        </w:rPr>
        <w:t>—</w:t>
      </w:r>
      <w:r>
        <w:fldChar w:fldCharType="begin">
          <w:ffData>
            <w:name w:val="NSTD_CODE_B"/>
            <w:enabled/>
            <w:calcOnExit w:val="0"/>
            <w:textInput>
              <w:default w:val="XXXX"/>
            </w:textInput>
          </w:ffData>
        </w:fldChar>
      </w:r>
      <w:bookmarkStart w:id="8" w:name="NSTD_CODE_B"/>
      <w:r>
        <w:rPr>
          <w:lang w:val="fr-FR"/>
        </w:rPr>
        <w:instrText xml:space="preserve"> FORMTEXT </w:instrText>
      </w:r>
      <w:r>
        <w:fldChar w:fldCharType="separate"/>
      </w:r>
      <w:r>
        <w:rPr>
          <w:lang w:val="fr-FR"/>
        </w:rPr>
        <w:t>XXXX</w:t>
      </w:r>
      <w:r>
        <w:fldChar w:fldCharType="end"/>
      </w:r>
      <w:bookmarkEnd w:id="8"/>
    </w:p>
    <w:p>
      <w:pPr>
        <w:pStyle w:val="196"/>
        <w:framePr/>
        <w:rPr>
          <w:rFonts w:hint="eastAsia" w:hAnsi="黑体"/>
        </w:rPr>
      </w:pPr>
      <w:r>
        <w:rPr>
          <w:rFonts w:hAnsi="黑体"/>
        </w:rPr>
        <w:fldChar w:fldCharType="begin">
          <w:ffData>
            <w:name w:val="OSTD_CODE"/>
            <w:enabled/>
            <w:calcOnExit w:val="0"/>
            <w:textInput/>
          </w:ffData>
        </w:fldChar>
      </w:r>
      <w:bookmarkStart w:id="9"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9"/>
    </w:p>
    <w:p>
      <w:pPr>
        <w:spacing w:line="240" w:lineRule="auto"/>
        <w:ind w:left="8080"/>
        <w:rPr>
          <w:rFonts w:hint="eastAsia"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0"/>
        <w:framePr w:w="9639" w:h="6976" w:hRule="exact" w:hSpace="0" w:vSpace="0" w:wrap="around" w:hAnchor="page" w:y="6408"/>
        <w:jc w:val="center"/>
        <w:rPr>
          <w:rFonts w:hint="eastAsia" w:ascii="黑体" w:hAnsi="黑体" w:eastAsia="黑体"/>
          <w:b w:val="0"/>
          <w:bCs w:val="0"/>
          <w:w w:val="100"/>
        </w:rPr>
      </w:pPr>
    </w:p>
    <w:p>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Pr>
          <w:rFonts w:hint="eastAsia"/>
        </w:rPr>
        <w:t>稀土永磁材料区块链数据共享技术规范</w:t>
      </w:r>
      <w:r>
        <w:fldChar w:fldCharType="end"/>
      </w:r>
      <w:bookmarkEnd w:id="10"/>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hint="eastAsia" w:ascii="黑体" w:hAnsi="黑体"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1" w:name="ESTD_NAME"/>
      <w:r>
        <w:rPr>
          <w:rFonts w:eastAsia="黑体"/>
          <w:szCs w:val="28"/>
        </w:rPr>
        <w:instrText xml:space="preserve"> FORMTEXT </w:instrText>
      </w:r>
      <w:r>
        <w:rPr>
          <w:rFonts w:eastAsia="黑体"/>
          <w:szCs w:val="28"/>
        </w:rPr>
        <w:fldChar w:fldCharType="separate"/>
      </w:r>
      <w:r>
        <w:rPr>
          <w:rFonts w:hint="eastAsia" w:eastAsia="黑体"/>
          <w:szCs w:val="28"/>
        </w:rPr>
        <w:t xml:space="preserve">Technical specification for blockchain-based data sharing of rare earth permanent magnet materials </w:t>
      </w:r>
      <w:r>
        <w:rPr>
          <w:rFonts w:ascii="黑体" w:hAnsi="黑体" w:eastAsia="黑体"/>
          <w:szCs w:val="28"/>
        </w:rPr>
        <w:fldChar w:fldCharType="end"/>
      </w:r>
      <w:bookmarkEnd w:id="11"/>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2"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2"/>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13" w:name="下拉1"/>
      <w:r>
        <w:rPr>
          <w:sz w:val="24"/>
          <w:szCs w:val="28"/>
        </w:rPr>
        <w:instrText xml:space="preserve"> FORMDROPDOWN </w:instrText>
      </w:r>
      <w:r>
        <w:rPr>
          <w:sz w:val="24"/>
          <w:szCs w:val="28"/>
        </w:rPr>
        <w:fldChar w:fldCharType="separate"/>
      </w:r>
      <w:r>
        <w:rPr>
          <w:sz w:val="24"/>
          <w:szCs w:val="28"/>
        </w:rPr>
        <w:fldChar w:fldCharType="end"/>
      </w:r>
      <w:bookmarkEnd w:id="13"/>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4"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4"/>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5" w:name="下拉2"/>
      <w:r>
        <w:rPr>
          <w:b/>
          <w:sz w:val="21"/>
          <w:szCs w:val="28"/>
        </w:rPr>
        <w:instrText xml:space="preserve"> FORMDROPDOWN </w:instrText>
      </w:r>
      <w:r>
        <w:rPr>
          <w:b/>
          <w:sz w:val="21"/>
          <w:szCs w:val="28"/>
        </w:rPr>
        <w:fldChar w:fldCharType="separate"/>
      </w:r>
      <w:r>
        <w:rPr>
          <w:b/>
          <w:sz w:val="21"/>
          <w:szCs w:val="28"/>
        </w:rPr>
        <w:fldChar w:fldCharType="end"/>
      </w:r>
      <w:bookmarkEnd w:id="15"/>
    </w:p>
    <w:p>
      <w:pPr>
        <w:pStyle w:val="193"/>
        <w:framePr w:wrap="around" w:y="14176"/>
      </w:pPr>
      <w:r>
        <w:rPr>
          <w:rFonts w:ascii="黑体"/>
        </w:rPr>
        <w:fldChar w:fldCharType="begin">
          <w:ffData>
            <w:name w:val="PLSH_DATE_Y"/>
            <w:enabled/>
            <w:calcOnExit w:val="0"/>
            <w:textInput>
              <w:default w:val="XXXX"/>
              <w:maxLength w:val="4"/>
            </w:textInput>
          </w:ffData>
        </w:fldChar>
      </w:r>
      <w:bookmarkStart w:id="1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2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1"/>
      <w:r>
        <w:rPr>
          <w:rFonts w:hint="eastAsia"/>
        </w:rPr>
        <w:t>实施</w:t>
      </w: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hint="eastAsia" w:ascii="宋体" w:hAnsi="宋体"/>
          <w:sz w:val="28"/>
          <w:szCs w:val="28"/>
        </w:rPr>
        <w:t>`</w:t>
      </w:r>
    </w:p>
    <w:bookmarkEnd w:id="1"/>
    <w:p>
      <w:pPr>
        <w:pStyle w:val="91"/>
        <w:spacing w:after="468"/>
      </w:pPr>
      <w:bookmarkStart w:id="22" w:name="BookMark1"/>
      <w:bookmarkStart w:id="23" w:name="_Toc149836390"/>
      <w:r>
        <w:rPr>
          <w:rFonts w:hint="eastAsia"/>
          <w:spacing w:val="320"/>
        </w:rPr>
        <w:t>目</w:t>
      </w:r>
      <w:r>
        <w:rPr>
          <w:rFonts w:hint="eastAsia"/>
        </w:rPr>
        <w:t>次</w:t>
      </w:r>
      <w:bookmarkEnd w:id="2"/>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TOC \o "1-3" \h \z \u </w:instrText>
      </w:r>
      <w:r>
        <w:fldChar w:fldCharType="separate"/>
      </w:r>
      <w:r>
        <w:fldChar w:fldCharType="begin"/>
      </w:r>
      <w:r>
        <w:instrText xml:space="preserve">HYPERLINK \l "_Toc206152411"</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_Toc206152411 \h</w:instrText>
      </w:r>
      <w:r>
        <w:rPr>
          <w:rFonts w:hint="eastAsia"/>
        </w:rPr>
        <w:instrText xml:space="preserve"> </w:instrText>
      </w:r>
      <w:r>
        <w:rPr>
          <w:rFonts w:hint="eastAsia"/>
        </w:rPr>
        <w:fldChar w:fldCharType="separate"/>
      </w:r>
      <w:r>
        <w:t>II</w:t>
      </w:r>
      <w:r>
        <w:rPr>
          <w:rFonts w:hint="eastAsia"/>
        </w:rPr>
        <w:fldChar w:fldCharType="end"/>
      </w:r>
      <w: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"_Toc206152412" </w:instrText>
      </w:r>
      <w:r>
        <w:fldChar w:fldCharType="separate"/>
      </w:r>
      <w:r>
        <w:rPr>
          <w:rStyle w:val="32"/>
          <w:rFonts w:hint="eastAsia"/>
        </w:rPr>
        <w:t>1 范围</w:t>
      </w:r>
      <w:r>
        <w:rPr>
          <w:rFonts w:hint="eastAsia"/>
        </w:rPr>
        <w:tab/>
      </w:r>
      <w:r>
        <w:rPr>
          <w:rFonts w:hint="eastAsia"/>
        </w:rPr>
        <w:fldChar w:fldCharType="begin"/>
      </w:r>
      <w:r>
        <w:rPr>
          <w:rFonts w:hint="eastAsia"/>
        </w:rPr>
        <w:instrText xml:space="preserve"> </w:instrText>
      </w:r>
      <w:r>
        <w:instrText xml:space="preserve">PAGEREF _Toc206152412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"_Toc206152413" </w:instrText>
      </w:r>
      <w:r>
        <w:fldChar w:fldCharType="separate"/>
      </w:r>
      <w:r>
        <w:rPr>
          <w:rStyle w:val="32"/>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_Toc206152413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"_Toc206152414" </w:instrText>
      </w:r>
      <w:r>
        <w:fldChar w:fldCharType="separate"/>
      </w:r>
      <w:r>
        <w:rPr>
          <w:rStyle w:val="32"/>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_Toc206152414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HYPERLINK \l "_Toc206152415"</w:instrText>
      </w:r>
      <w:r>
        <w:fldChar w:fldCharType="separate"/>
      </w:r>
      <w:r>
        <w:rPr>
          <w:rStyle w:val="32"/>
          <w:rFonts w:hint="eastAsia"/>
        </w:rPr>
        <w:t>4 总体架构</w:t>
      </w:r>
      <w:r>
        <w:rPr>
          <w:rFonts w:hint="eastAsia"/>
        </w:rPr>
        <w:tab/>
      </w:r>
      <w:r>
        <w:rPr>
          <w:rFonts w:hint="eastAsia"/>
        </w:rPr>
        <w:fldChar w:fldCharType="begin"/>
      </w:r>
      <w:r>
        <w:rPr>
          <w:rFonts w:hint="eastAsia"/>
        </w:rPr>
        <w:instrText xml:space="preserve"> </w:instrText>
      </w:r>
      <w:r>
        <w:instrText xml:space="preserve">PAGEREF _Toc206152415 \h</w:instrText>
      </w:r>
      <w:r>
        <w:rPr>
          <w:rFonts w:hint="eastAsia"/>
        </w:rPr>
        <w:instrText xml:space="preserve"> </w:instrText>
      </w:r>
      <w:r>
        <w:rPr>
          <w:rFonts w:hint="eastAsia"/>
        </w:rPr>
        <w:fldChar w:fldCharType="separate"/>
      </w:r>
      <w:r>
        <w:t>2</w:t>
      </w:r>
      <w:r>
        <w:rPr>
          <w:rFonts w:hint="eastAsia"/>
        </w:rPr>
        <w:fldChar w:fldCharType="end"/>
      </w:r>
      <w: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HYPERLINK \l "_Toc206152416"</w:instrText>
      </w:r>
      <w:r>
        <w:fldChar w:fldCharType="separate"/>
      </w:r>
      <w:r>
        <w:rPr>
          <w:rStyle w:val="32"/>
          <w:rFonts w:hint="eastAsia"/>
          <w14:scene3d w14:prst="orthographicFront">
            <w14:lightRig w14:rig="threePt" w14:dir="t">
              <w14:rot w14:lat="0" w14:lon="0" w14:rev="0"/>
            </w14:lightRig>
          </w14:scene3d>
        </w:rPr>
        <w:t>4.1</w:t>
      </w:r>
      <w:r>
        <w:rPr>
          <w:rStyle w:val="32"/>
          <w:rFonts w:hint="eastAsia"/>
        </w:rPr>
        <w:t xml:space="preserve"> 业务架构</w:t>
      </w:r>
      <w:r>
        <w:rPr>
          <w:rFonts w:hint="eastAsia"/>
        </w:rPr>
        <w:tab/>
      </w:r>
      <w:r>
        <w:rPr>
          <w:rFonts w:hint="eastAsia"/>
        </w:rPr>
        <w:fldChar w:fldCharType="begin"/>
      </w:r>
      <w:r>
        <w:rPr>
          <w:rFonts w:hint="eastAsia"/>
        </w:rPr>
        <w:instrText xml:space="preserve"> </w:instrText>
      </w:r>
      <w:r>
        <w:instrText xml:space="preserve">PAGEREF _Toc206152416 \h</w:instrText>
      </w:r>
      <w:r>
        <w:rPr>
          <w:rFonts w:hint="eastAsia"/>
        </w:rPr>
        <w:instrText xml:space="preserve"> </w:instrText>
      </w:r>
      <w:r>
        <w:rPr>
          <w:rFonts w:hint="eastAsia"/>
        </w:rPr>
        <w:fldChar w:fldCharType="separate"/>
      </w:r>
      <w:r>
        <w:t>2</w:t>
      </w:r>
      <w:r>
        <w:rPr>
          <w:rFonts w:hint="eastAsia"/>
        </w:rPr>
        <w:fldChar w:fldCharType="end"/>
      </w:r>
      <w: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"_Toc206152417" </w:instrText>
      </w:r>
      <w:r>
        <w:fldChar w:fldCharType="separate"/>
      </w:r>
      <w:r>
        <w:rPr>
          <w:rStyle w:val="32"/>
          <w:rFonts w:hint="eastAsia"/>
          <w14:scene3d w14:prst="orthographicFront">
            <w14:lightRig w14:rig="threePt" w14:dir="t">
              <w14:rot w14:lat="0" w14:lon="0" w14:rev="0"/>
            </w14:lightRig>
          </w14:scene3d>
        </w:rPr>
        <w:t>4.2</w:t>
      </w:r>
      <w:r>
        <w:rPr>
          <w:rStyle w:val="32"/>
          <w:rFonts w:hint="eastAsia"/>
        </w:rPr>
        <w:t xml:space="preserve"> 功能架构</w:t>
      </w:r>
      <w:r>
        <w:rPr>
          <w:rFonts w:hint="eastAsia"/>
        </w:rPr>
        <w:tab/>
      </w:r>
      <w:r>
        <w:rPr>
          <w:rFonts w:hint="eastAsia"/>
        </w:rPr>
        <w:fldChar w:fldCharType="begin"/>
      </w:r>
      <w:r>
        <w:rPr>
          <w:rFonts w:hint="eastAsia"/>
        </w:rPr>
        <w:instrText xml:space="preserve"> </w:instrText>
      </w:r>
      <w:r>
        <w:instrText xml:space="preserve">PAGEREF _Toc206152417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"_Toc206152418" </w:instrText>
      </w:r>
      <w:r>
        <w:fldChar w:fldCharType="separate"/>
      </w:r>
      <w:r>
        <w:rPr>
          <w:rStyle w:val="32"/>
          <w:rFonts w:hint="eastAsia"/>
        </w:rPr>
        <w:t>5 稀土永磁材料区块链数据共享流程</w:t>
      </w:r>
      <w:r>
        <w:rPr>
          <w:rFonts w:hint="eastAsia"/>
        </w:rPr>
        <w:tab/>
      </w:r>
      <w:r>
        <w:rPr>
          <w:rFonts w:hint="eastAsia"/>
        </w:rPr>
        <w:fldChar w:fldCharType="begin"/>
      </w:r>
      <w:r>
        <w:rPr>
          <w:rFonts w:hint="eastAsia"/>
        </w:rPr>
        <w:instrText xml:space="preserve"> </w:instrText>
      </w:r>
      <w:r>
        <w:instrText xml:space="preserve">PAGEREF _Toc206152418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"_Toc206152419" </w:instrText>
      </w:r>
      <w:r>
        <w:fldChar w:fldCharType="separate"/>
      </w:r>
      <w:r>
        <w:rPr>
          <w:rStyle w:val="32"/>
          <w:rFonts w:hint="eastAsia"/>
          <w14:scene3d w14:prst="orthographicFront">
            <w14:lightRig w14:rig="threePt" w14:dir="t">
              <w14:rot w14:lat="0" w14:lon="0" w14:rev="0"/>
            </w14:lightRig>
          </w14:scene3d>
        </w:rPr>
        <w:t>5.1</w:t>
      </w:r>
      <w:r>
        <w:rPr>
          <w:rStyle w:val="32"/>
          <w:rFonts w:hint="eastAsia"/>
        </w:rPr>
        <w:t xml:space="preserve"> 数据共享流程</w:t>
      </w:r>
      <w:r>
        <w:rPr>
          <w:rFonts w:hint="eastAsia"/>
        </w:rPr>
        <w:tab/>
      </w:r>
      <w:r>
        <w:rPr>
          <w:rFonts w:hint="eastAsia"/>
        </w:rPr>
        <w:fldChar w:fldCharType="begin"/>
      </w:r>
      <w:r>
        <w:rPr>
          <w:rFonts w:hint="eastAsia"/>
        </w:rPr>
        <w:instrText xml:space="preserve"> </w:instrText>
      </w:r>
      <w:r>
        <w:instrText xml:space="preserve">PAGEREF _Toc206152419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"_Toc206152420" </w:instrText>
      </w:r>
      <w:r>
        <w:fldChar w:fldCharType="separate"/>
      </w:r>
      <w:r>
        <w:rPr>
          <w:rStyle w:val="32"/>
          <w:rFonts w:hint="eastAsia"/>
          <w14:scene3d w14:prst="orthographicFront">
            <w14:lightRig w14:rig="threePt" w14:dir="t">
              <w14:rot w14:lat="0" w14:lon="0" w14:rev="0"/>
            </w14:lightRig>
          </w14:scene3d>
        </w:rPr>
        <w:t>5.2</w:t>
      </w:r>
      <w:r>
        <w:rPr>
          <w:rStyle w:val="32"/>
          <w:rFonts w:hint="eastAsia"/>
        </w:rPr>
        <w:t xml:space="preserve"> 数据提供</w:t>
      </w:r>
      <w:r>
        <w:rPr>
          <w:rFonts w:hint="eastAsia"/>
        </w:rPr>
        <w:tab/>
      </w:r>
      <w:r>
        <w:rPr>
          <w:rFonts w:hint="eastAsia"/>
        </w:rPr>
        <w:fldChar w:fldCharType="begin"/>
      </w:r>
      <w:r>
        <w:rPr>
          <w:rFonts w:hint="eastAsia"/>
        </w:rPr>
        <w:instrText xml:space="preserve"> </w:instrText>
      </w:r>
      <w:r>
        <w:instrText xml:space="preserve">PAGEREF _Toc206152420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"_Toc206152423" </w:instrText>
      </w:r>
      <w:r>
        <w:fldChar w:fldCharType="separate"/>
      </w:r>
      <w:r>
        <w:rPr>
          <w:rStyle w:val="32"/>
          <w:rFonts w:hint="eastAsia"/>
          <w14:scene3d w14:prst="orthographicFront">
            <w14:lightRig w14:rig="threePt" w14:dir="t">
              <w14:rot w14:lat="0" w14:lon="0" w14:rev="0"/>
            </w14:lightRig>
          </w14:scene3d>
        </w:rPr>
        <w:t>5.3</w:t>
      </w:r>
      <w:r>
        <w:rPr>
          <w:rStyle w:val="32"/>
          <w:rFonts w:hint="eastAsia"/>
        </w:rPr>
        <w:t xml:space="preserve"> 数据使用</w:t>
      </w:r>
      <w:r>
        <w:rPr>
          <w:rFonts w:hint="eastAsia"/>
        </w:rPr>
        <w:tab/>
      </w:r>
      <w:r>
        <w:rPr>
          <w:rFonts w:hint="eastAsia"/>
        </w:rPr>
        <w:fldChar w:fldCharType="begin"/>
      </w:r>
      <w:r>
        <w:rPr>
          <w:rFonts w:hint="eastAsia"/>
        </w:rPr>
        <w:instrText xml:space="preserve"> </w:instrText>
      </w:r>
      <w:r>
        <w:instrText xml:space="preserve">PAGEREF _Toc206152423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"_Toc206152426" </w:instrText>
      </w:r>
      <w:r>
        <w:fldChar w:fldCharType="separate"/>
      </w:r>
      <w:r>
        <w:rPr>
          <w:rStyle w:val="32"/>
          <w:rFonts w:hint="eastAsia"/>
          <w14:scene3d w14:prst="orthographicFront">
            <w14:lightRig w14:rig="threePt" w14:dir="t">
              <w14:rot w14:lat="0" w14:lon="0" w14:rev="0"/>
            </w14:lightRig>
          </w14:scene3d>
        </w:rPr>
        <w:t>5.4</w:t>
      </w:r>
      <w:r>
        <w:rPr>
          <w:rStyle w:val="32"/>
          <w:rFonts w:hint="eastAsia"/>
        </w:rPr>
        <w:t xml:space="preserve"> 数据追溯</w:t>
      </w:r>
      <w:r>
        <w:rPr>
          <w:rFonts w:hint="eastAsia"/>
        </w:rPr>
        <w:tab/>
      </w:r>
      <w:r>
        <w:rPr>
          <w:rFonts w:hint="eastAsia"/>
        </w:rPr>
        <w:fldChar w:fldCharType="begin"/>
      </w:r>
      <w:r>
        <w:rPr>
          <w:rFonts w:hint="eastAsia"/>
        </w:rPr>
        <w:instrText xml:space="preserve"> </w:instrText>
      </w:r>
      <w:r>
        <w:instrText xml:space="preserve">PAGEREF _Toc206152426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"_Toc206152429" </w:instrText>
      </w:r>
      <w:r>
        <w:fldChar w:fldCharType="separate"/>
      </w:r>
      <w:r>
        <w:rPr>
          <w:rStyle w:val="32"/>
          <w:rFonts w:hint="eastAsia"/>
          <w14:scene3d w14:prst="orthographicFront">
            <w14:lightRig w14:rig="threePt" w14:dir="t">
              <w14:rot w14:lat="0" w14:lon="0" w14:rev="0"/>
            </w14:lightRig>
          </w14:scene3d>
        </w:rPr>
        <w:t>5.5</w:t>
      </w:r>
      <w:r>
        <w:rPr>
          <w:rStyle w:val="32"/>
          <w:rFonts w:hint="eastAsia"/>
        </w:rPr>
        <w:t xml:space="preserve"> 数据评估</w:t>
      </w:r>
      <w:r>
        <w:rPr>
          <w:rFonts w:hint="eastAsia"/>
        </w:rPr>
        <w:tab/>
      </w:r>
      <w:r>
        <w:rPr>
          <w:rFonts w:hint="eastAsia"/>
        </w:rPr>
        <w:fldChar w:fldCharType="begin"/>
      </w:r>
      <w:r>
        <w:rPr>
          <w:rFonts w:hint="eastAsia"/>
        </w:rPr>
        <w:instrText xml:space="preserve"> </w:instrText>
      </w:r>
      <w:r>
        <w:instrText xml:space="preserve">PAGEREF _Toc206152429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"_Toc206152430" </w:instrText>
      </w:r>
      <w:r>
        <w:fldChar w:fldCharType="separate"/>
      </w:r>
      <w:r>
        <w:rPr>
          <w:rStyle w:val="32"/>
          <w:rFonts w:hint="eastAsia"/>
          <w14:scene3d w14:prst="orthographicFront">
            <w14:lightRig w14:rig="threePt" w14:dir="t">
              <w14:rot w14:lat="0" w14:lon="0" w14:rev="0"/>
            </w14:lightRig>
          </w14:scene3d>
        </w:rPr>
        <w:t>5.6</w:t>
      </w:r>
      <w:r>
        <w:rPr>
          <w:rStyle w:val="32"/>
          <w:rFonts w:hint="eastAsia"/>
        </w:rPr>
        <w:t xml:space="preserve"> 数据监测</w:t>
      </w:r>
      <w:r>
        <w:rPr>
          <w:rFonts w:hint="eastAsia"/>
        </w:rPr>
        <w:tab/>
      </w:r>
      <w:r>
        <w:rPr>
          <w:rFonts w:hint="eastAsia"/>
        </w:rPr>
        <w:fldChar w:fldCharType="begin"/>
      </w:r>
      <w:r>
        <w:rPr>
          <w:rFonts w:hint="eastAsia"/>
        </w:rPr>
        <w:instrText xml:space="preserve"> </w:instrText>
      </w:r>
      <w:r>
        <w:instrText xml:space="preserve">PAGEREF _Toc206152430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"_Toc206152431" </w:instrText>
      </w:r>
      <w:r>
        <w:fldChar w:fldCharType="separate"/>
      </w:r>
      <w:r>
        <w:rPr>
          <w:rStyle w:val="32"/>
          <w:rFonts w:hint="eastAsia"/>
        </w:rPr>
        <w:t>6 数据基本约定</w:t>
      </w:r>
      <w:r>
        <w:rPr>
          <w:rFonts w:hint="eastAsia"/>
        </w:rPr>
        <w:tab/>
      </w:r>
      <w:r>
        <w:rPr>
          <w:rFonts w:hint="eastAsia"/>
        </w:rPr>
        <w:fldChar w:fldCharType="begin"/>
      </w:r>
      <w:r>
        <w:rPr>
          <w:rFonts w:hint="eastAsia"/>
        </w:rPr>
        <w:instrText xml:space="preserve"> </w:instrText>
      </w:r>
      <w:r>
        <w:instrText xml:space="preserve">PAGEREF _Toc206152431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"_Toc206152432" </w:instrText>
      </w:r>
      <w:r>
        <w:fldChar w:fldCharType="separate"/>
      </w:r>
      <w:r>
        <w:rPr>
          <w:rStyle w:val="32"/>
          <w:rFonts w:hint="eastAsia"/>
          <w14:scene3d w14:prst="orthographicFront">
            <w14:lightRig w14:rig="threePt" w14:dir="t">
              <w14:rot w14:lat="0" w14:lon="0" w14:rev="0"/>
            </w14:lightRig>
          </w14:scene3d>
        </w:rPr>
        <w:t>6.1</w:t>
      </w:r>
      <w:r>
        <w:rPr>
          <w:rStyle w:val="32"/>
          <w:rFonts w:hint="eastAsia"/>
        </w:rPr>
        <w:t xml:space="preserve"> 数据组成</w:t>
      </w:r>
      <w:r>
        <w:rPr>
          <w:rFonts w:hint="eastAsia"/>
        </w:rPr>
        <w:tab/>
      </w:r>
      <w:r>
        <w:rPr>
          <w:rFonts w:hint="eastAsia"/>
        </w:rPr>
        <w:fldChar w:fldCharType="begin"/>
      </w:r>
      <w:r>
        <w:rPr>
          <w:rFonts w:hint="eastAsia"/>
        </w:rPr>
        <w:instrText xml:space="preserve"> </w:instrText>
      </w:r>
      <w:r>
        <w:instrText xml:space="preserve">PAGEREF _Toc206152432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"_Toc206152433" </w:instrText>
      </w:r>
      <w:r>
        <w:fldChar w:fldCharType="separate"/>
      </w:r>
      <w:r>
        <w:rPr>
          <w:rStyle w:val="32"/>
          <w:rFonts w:hint="eastAsia"/>
          <w14:scene3d w14:prst="orthographicFront">
            <w14:lightRig w14:rig="threePt" w14:dir="t">
              <w14:rot w14:lat="0" w14:lon="0" w14:rev="0"/>
            </w14:lightRig>
          </w14:scene3d>
        </w:rPr>
        <w:t>6.2</w:t>
      </w:r>
      <w:r>
        <w:rPr>
          <w:rStyle w:val="32"/>
          <w:rFonts w:hint="eastAsia"/>
        </w:rPr>
        <w:t xml:space="preserve"> 数据主体</w:t>
      </w:r>
      <w:r>
        <w:rPr>
          <w:rFonts w:hint="eastAsia"/>
        </w:rPr>
        <w:tab/>
      </w:r>
      <w:r>
        <w:rPr>
          <w:rFonts w:hint="eastAsia"/>
        </w:rPr>
        <w:fldChar w:fldCharType="begin"/>
      </w:r>
      <w:r>
        <w:rPr>
          <w:rFonts w:hint="eastAsia"/>
        </w:rPr>
        <w:instrText xml:space="preserve"> </w:instrText>
      </w:r>
      <w:r>
        <w:instrText xml:space="preserve">PAGEREF _Toc206152433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"_Toc206152434" </w:instrText>
      </w:r>
      <w:r>
        <w:fldChar w:fldCharType="separate"/>
      </w:r>
      <w:r>
        <w:rPr>
          <w:rStyle w:val="32"/>
          <w:rFonts w:hint="eastAsia"/>
          <w14:scene3d w14:prst="orthographicFront">
            <w14:lightRig w14:rig="threePt" w14:dir="t">
              <w14:rot w14:lat="0" w14:lon="0" w14:rev="0"/>
            </w14:lightRig>
          </w14:scene3d>
        </w:rPr>
        <w:t>6.3</w:t>
      </w:r>
      <w:r>
        <w:rPr>
          <w:rStyle w:val="32"/>
          <w:rFonts w:hint="eastAsia"/>
        </w:rPr>
        <w:t xml:space="preserve"> 稀土永磁材料元数据</w:t>
      </w:r>
      <w:r>
        <w:rPr>
          <w:rFonts w:hint="eastAsia"/>
        </w:rPr>
        <w:tab/>
      </w:r>
      <w:r>
        <w:rPr>
          <w:rFonts w:hint="eastAsia"/>
        </w:rPr>
        <w:fldChar w:fldCharType="begin"/>
      </w:r>
      <w:r>
        <w:rPr>
          <w:rFonts w:hint="eastAsia"/>
        </w:rPr>
        <w:instrText xml:space="preserve"> </w:instrText>
      </w:r>
      <w:r>
        <w:instrText xml:space="preserve">PAGEREF _Toc206152434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"_Toc206152435" </w:instrText>
      </w:r>
      <w:r>
        <w:fldChar w:fldCharType="separate"/>
      </w:r>
      <w:r>
        <w:rPr>
          <w:rStyle w:val="32"/>
          <w:rFonts w:hint="eastAsia"/>
          <w14:scene3d w14:prst="orthographicFront">
            <w14:lightRig w14:rig="threePt" w14:dir="t">
              <w14:rot w14:lat="0" w14:lon="0" w14:rev="0"/>
            </w14:lightRig>
          </w14:scene3d>
        </w:rPr>
        <w:t>6.4</w:t>
      </w:r>
      <w:r>
        <w:rPr>
          <w:rStyle w:val="32"/>
          <w:rFonts w:hint="eastAsia"/>
        </w:rPr>
        <w:t xml:space="preserve"> 稀土永磁材料特征数据</w:t>
      </w:r>
      <w:r>
        <w:rPr>
          <w:rFonts w:hint="eastAsia"/>
        </w:rPr>
        <w:tab/>
      </w:r>
      <w:r>
        <w:rPr>
          <w:rFonts w:hint="eastAsia"/>
        </w:rPr>
        <w:fldChar w:fldCharType="begin"/>
      </w:r>
      <w:r>
        <w:rPr>
          <w:rFonts w:hint="eastAsia"/>
        </w:rPr>
        <w:instrText xml:space="preserve"> </w:instrText>
      </w:r>
      <w:r>
        <w:instrText xml:space="preserve">PAGEREF _Toc206152435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"_Toc206152436" </w:instrText>
      </w:r>
      <w:r>
        <w:fldChar w:fldCharType="separate"/>
      </w:r>
      <w:r>
        <w:rPr>
          <w:rStyle w:val="32"/>
          <w:rFonts w:hint="eastAsia"/>
        </w:rPr>
        <w:t>7 稀土永磁材料区块链技术要求</w:t>
      </w:r>
      <w:r>
        <w:rPr>
          <w:rFonts w:hint="eastAsia"/>
        </w:rPr>
        <w:tab/>
      </w:r>
      <w:r>
        <w:rPr>
          <w:rFonts w:hint="eastAsia"/>
        </w:rPr>
        <w:fldChar w:fldCharType="begin"/>
      </w:r>
      <w:r>
        <w:rPr>
          <w:rFonts w:hint="eastAsia"/>
        </w:rPr>
        <w:instrText xml:space="preserve"> </w:instrText>
      </w:r>
      <w:r>
        <w:instrText xml:space="preserve">PAGEREF _Toc206152436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"_Toc206152437" </w:instrText>
      </w:r>
      <w:r>
        <w:fldChar w:fldCharType="separate"/>
      </w:r>
      <w:r>
        <w:rPr>
          <w:rStyle w:val="32"/>
          <w:rFonts w:hint="eastAsia"/>
          <w14:scene3d w14:prst="orthographicFront">
            <w14:lightRig w14:rig="threePt" w14:dir="t">
              <w14:rot w14:lat="0" w14:lon="0" w14:rev="0"/>
            </w14:lightRig>
          </w14:scene3d>
        </w:rPr>
        <w:t>7.1</w:t>
      </w:r>
      <w:r>
        <w:rPr>
          <w:rStyle w:val="32"/>
          <w:rFonts w:hint="eastAsia"/>
        </w:rPr>
        <w:t xml:space="preserve"> 稀土永磁产业链数据共享服务平台技术要求</w:t>
      </w:r>
      <w:r>
        <w:rPr>
          <w:rFonts w:hint="eastAsia"/>
        </w:rPr>
        <w:tab/>
      </w:r>
      <w:r>
        <w:rPr>
          <w:rFonts w:hint="eastAsia"/>
        </w:rPr>
        <w:fldChar w:fldCharType="begin"/>
      </w:r>
      <w:r>
        <w:rPr>
          <w:rFonts w:hint="eastAsia"/>
        </w:rPr>
        <w:instrText xml:space="preserve"> </w:instrText>
      </w:r>
      <w:r>
        <w:instrText xml:space="preserve">PAGEREF _Toc206152437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"_Toc206152441" </w:instrText>
      </w:r>
      <w:r>
        <w:fldChar w:fldCharType="separate"/>
      </w:r>
      <w:r>
        <w:rPr>
          <w:rStyle w:val="32"/>
          <w:rFonts w:hint="eastAsia"/>
          <w14:scene3d w14:prst="orthographicFront">
            <w14:lightRig w14:rig="threePt" w14:dir="t">
              <w14:rot w14:lat="0" w14:lon="0" w14:rev="0"/>
            </w14:lightRig>
          </w14:scene3d>
        </w:rPr>
        <w:t>7.2</w:t>
      </w:r>
      <w:r>
        <w:rPr>
          <w:rStyle w:val="32"/>
          <w:rFonts w:hint="eastAsia"/>
        </w:rPr>
        <w:t xml:space="preserve"> 区块链技术要求</w:t>
      </w:r>
      <w:r>
        <w:rPr>
          <w:rFonts w:hint="eastAsia"/>
        </w:rPr>
        <w:tab/>
      </w:r>
      <w:r>
        <w:rPr>
          <w:rFonts w:hint="eastAsia"/>
        </w:rPr>
        <w:fldChar w:fldCharType="begin"/>
      </w:r>
      <w:r>
        <w:rPr>
          <w:rFonts w:hint="eastAsia"/>
        </w:rPr>
        <w:instrText xml:space="preserve"> </w:instrText>
      </w:r>
      <w:r>
        <w:instrText xml:space="preserve">PAGEREF _Toc206152441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"_Toc206152446" </w:instrText>
      </w:r>
      <w:r>
        <w:fldChar w:fldCharType="separate"/>
      </w:r>
      <w:r>
        <w:rPr>
          <w:rStyle w:val="32"/>
          <w:rFonts w:hint="eastAsia"/>
          <w14:scene3d w14:prst="orthographicFront">
            <w14:lightRig w14:rig="threePt" w14:dir="t">
              <w14:rot w14:lat="0" w14:lon="0" w14:rev="0"/>
            </w14:lightRig>
          </w14:scene3d>
        </w:rPr>
        <w:t>7.3</w:t>
      </w:r>
      <w:r>
        <w:rPr>
          <w:rStyle w:val="32"/>
          <w:rFonts w:hint="eastAsia"/>
        </w:rPr>
        <w:t xml:space="preserve"> 区块链中间件技术要求</w:t>
      </w:r>
      <w:r>
        <w:rPr>
          <w:rFonts w:hint="eastAsia"/>
        </w:rPr>
        <w:tab/>
      </w:r>
      <w:r>
        <w:rPr>
          <w:rFonts w:hint="eastAsia"/>
        </w:rPr>
        <w:fldChar w:fldCharType="begin"/>
      </w:r>
      <w:r>
        <w:rPr>
          <w:rFonts w:hint="eastAsia"/>
        </w:rPr>
        <w:instrText xml:space="preserve"> </w:instrText>
      </w:r>
      <w:r>
        <w:instrText xml:space="preserve">PAGEREF _Toc206152446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"_Toc206152447" </w:instrText>
      </w:r>
      <w:r>
        <w:fldChar w:fldCharType="separate"/>
      </w:r>
      <w:r>
        <w:rPr>
          <w:rStyle w:val="32"/>
          <w:rFonts w:hint="eastAsia"/>
          <w14:scene3d w14:prst="orthographicFront">
            <w14:lightRig w14:rig="threePt" w14:dir="t">
              <w14:rot w14:lat="0" w14:lon="0" w14:rev="0"/>
            </w14:lightRig>
          </w14:scene3d>
        </w:rPr>
        <w:t>7.4</w:t>
      </w:r>
      <w:r>
        <w:rPr>
          <w:rStyle w:val="32"/>
          <w:rFonts w:hint="eastAsia"/>
        </w:rPr>
        <w:t xml:space="preserve"> 数据节点技术要求</w:t>
      </w:r>
      <w:r>
        <w:rPr>
          <w:rFonts w:hint="eastAsia"/>
        </w:rPr>
        <w:tab/>
      </w:r>
      <w:r>
        <w:rPr>
          <w:rFonts w:hint="eastAsia"/>
        </w:rPr>
        <w:fldChar w:fldCharType="begin"/>
      </w:r>
      <w:r>
        <w:rPr>
          <w:rFonts w:hint="eastAsia"/>
        </w:rPr>
        <w:instrText xml:space="preserve"> </w:instrText>
      </w:r>
      <w:r>
        <w:instrText xml:space="preserve">PAGEREF _Toc206152447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"_Toc206152450" </w:instrText>
      </w:r>
      <w:r>
        <w:fldChar w:fldCharType="separate"/>
      </w:r>
      <w:r>
        <w:rPr>
          <w:rStyle w:val="32"/>
          <w:rFonts w:hint="eastAsia"/>
          <w14:scene3d w14:prst="orthographicFront">
            <w14:lightRig w14:rig="threePt" w14:dir="t">
              <w14:rot w14:lat="0" w14:lon="0" w14:rev="0"/>
            </w14:lightRig>
          </w14:scene3d>
        </w:rPr>
        <w:t>7.5</w:t>
      </w:r>
      <w:r>
        <w:rPr>
          <w:rStyle w:val="32"/>
          <w:rFonts w:hint="eastAsia"/>
        </w:rPr>
        <w:t xml:space="preserve"> 安全技术要求</w:t>
      </w:r>
      <w:r>
        <w:rPr>
          <w:rFonts w:hint="eastAsia"/>
        </w:rPr>
        <w:tab/>
      </w:r>
      <w:r>
        <w:rPr>
          <w:rFonts w:hint="eastAsia"/>
        </w:rPr>
        <w:fldChar w:fldCharType="begin"/>
      </w:r>
      <w:r>
        <w:rPr>
          <w:rFonts w:hint="eastAsia"/>
        </w:rPr>
        <w:instrText xml:space="preserve"> </w:instrText>
      </w:r>
      <w:r>
        <w:instrText xml:space="preserve">PAGEREF _Toc206152450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"_Toc206152456" </w:instrText>
      </w:r>
      <w:r>
        <w:fldChar w:fldCharType="separate"/>
      </w:r>
      <w:r>
        <w:rPr>
          <w:rStyle w:val="32"/>
          <w:rFonts w:hint="eastAsia"/>
        </w:rPr>
        <w:t>附录A （规范性） 稀土永磁产业链各环节原材料/产品数据对照</w:t>
      </w:r>
      <w:r>
        <w:rPr>
          <w:rFonts w:hint="eastAsia"/>
        </w:rPr>
        <w:tab/>
      </w:r>
      <w:r>
        <w:rPr>
          <w:rFonts w:hint="eastAsia"/>
        </w:rPr>
        <w:fldChar w:fldCharType="begin"/>
      </w:r>
      <w:r>
        <w:rPr>
          <w:rFonts w:hint="eastAsia"/>
        </w:rPr>
        <w:instrText xml:space="preserve"> </w:instrText>
      </w:r>
      <w:r>
        <w:instrText xml:space="preserve">PAGEREF _Toc206152456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"_Toc206152457" </w:instrText>
      </w:r>
      <w:r>
        <w:fldChar w:fldCharType="separate"/>
      </w:r>
      <w:r>
        <w:rPr>
          <w:rStyle w:val="32"/>
          <w:rFonts w:hint="eastAsia"/>
        </w:rPr>
        <w:t>附录B （规范性） 数据权限设置</w:t>
      </w:r>
      <w:r>
        <w:rPr>
          <w:rFonts w:hint="eastAsia"/>
        </w:rPr>
        <w:tab/>
      </w:r>
      <w:r>
        <w:rPr>
          <w:rFonts w:hint="eastAsia"/>
        </w:rPr>
        <w:fldChar w:fldCharType="begin"/>
      </w:r>
      <w:r>
        <w:rPr>
          <w:rFonts w:hint="eastAsia"/>
        </w:rPr>
        <w:instrText xml:space="preserve"> </w:instrText>
      </w:r>
      <w:r>
        <w:instrText xml:space="preserve">PAGEREF _Toc206152457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"_Toc206152458" </w:instrText>
      </w:r>
      <w:r>
        <w:fldChar w:fldCharType="separate"/>
      </w:r>
      <w:r>
        <w:rPr>
          <w:rStyle w:val="32"/>
          <w:rFonts w:hint="eastAsia"/>
        </w:rPr>
        <w:t>附录C （资料性） 材料数据发现算法</w:t>
      </w:r>
      <w:r>
        <w:rPr>
          <w:rFonts w:hint="eastAsia"/>
        </w:rPr>
        <w:tab/>
      </w:r>
      <w:r>
        <w:rPr>
          <w:rFonts w:hint="eastAsia"/>
        </w:rPr>
        <w:fldChar w:fldCharType="begin"/>
      </w:r>
      <w:r>
        <w:rPr>
          <w:rFonts w:hint="eastAsia"/>
        </w:rPr>
        <w:instrText xml:space="preserve"> </w:instrText>
      </w:r>
      <w:r>
        <w:instrText xml:space="preserve">PAGEREF _Toc206152458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19"/>
        <w:rPr>
          <w:rFonts w:hint="eastAsia" w:asciiTheme="minorHAnsi" w:hAnsiTheme="minorHAnsi" w:eastAsiaTheme="minorEastAsia" w:cstheme="minorBidi"/>
          <w:sz w:val="22"/>
          <w:szCs w:val="24"/>
          <w14:ligatures w14:val="standardContextual"/>
        </w:rPr>
      </w:pPr>
      <w:r>
        <w:fldChar w:fldCharType="begin"/>
      </w:r>
      <w:r>
        <w:instrText xml:space="preserve"> HYPERLINK \l "_Toc206152461"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_Toc206152461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91"/>
        <w:spacing w:after="468"/>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rFonts w:ascii="宋体" w:eastAsia="宋体"/>
          <w:sz w:val="21"/>
        </w:rPr>
        <w:fldChar w:fldCharType="end"/>
      </w:r>
    </w:p>
    <w:bookmarkEnd w:id="22"/>
    <w:p>
      <w:pPr>
        <w:pStyle w:val="89"/>
        <w:spacing w:before="900" w:after="468"/>
      </w:pPr>
      <w:bookmarkStart w:id="24" w:name="_Toc150015775"/>
      <w:bookmarkStart w:id="25" w:name="_Toc206152283"/>
      <w:bookmarkStart w:id="26" w:name="_Toc206152411"/>
      <w:r>
        <w:rPr>
          <w:spacing w:val="320"/>
        </w:rPr>
        <w:t>前</w:t>
      </w:r>
      <w:r>
        <w:t>言</w:t>
      </w:r>
      <w:bookmarkEnd w:id="23"/>
      <w:bookmarkEnd w:id="24"/>
      <w:bookmarkEnd w:id="25"/>
      <w:bookmarkEnd w:id="26"/>
      <w:bookmarkStart w:id="27" w:name="BookMark2"/>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本文件由全国稀土标准化技术委员会（SAC/TC 229）提出并归口。</w:t>
      </w:r>
    </w:p>
    <w:p>
      <w:pPr>
        <w:pStyle w:val="56"/>
        <w:ind w:firstLine="420"/>
      </w:pPr>
      <w:r>
        <w:rPr>
          <w:rFonts w:hint="eastAsia"/>
        </w:rPr>
        <w:t>本标准主要起草单位：钢铁研究总院有限公司、北京新材道数智科技有限公司、钢研国际新材料创新中心(深圳)有限公司、福建福链科技有限公司、中原工学院、安泰科技股份有限公司、内蒙古北方稀土新材料技术创新有限公司、包头天和磁材科技股份有限公司、包头市英思特稀磁新材料股份有限公司、中国北方稀土(集团)高科技股份有限公司、中国钢研科技集团有限公司、中稀（深圳）研究院有限公司、北京中科三环高技术股份有限公司、虔东稀土集团股份有限公司、包头稀土研究院、中国科学院宁波材料技术与工程研究所、哈尔滨工业大学、杭州美磁科技有限公司、福建省金龙稀土股份有限公司。</w:t>
      </w:r>
    </w:p>
    <w:p>
      <w:pPr>
        <w:pStyle w:val="56"/>
        <w:ind w:firstLine="420"/>
      </w:pPr>
      <w:r>
        <w:rPr>
          <w:rFonts w:hint="eastAsia"/>
        </w:rPr>
        <w:t>本标准主要起草人：孙旭、王畅畅、李卫、朱明刚、周栋、斯雪明、苏航、谭焕明、朱永亮、潘恒、周磊、方以坤、韩瑞、高乐乐、刁树林、董改华、郑健、李婷婷、姚南红、金国顺、朱晓婷、梁浩、李庚、闫震、王誉、于晶雪、周巧英、柯华、曹朔豪、贾生礼、占礼春、陈大崑、葛梦晨、许国婧、高子原、冀晓曼、刘兵杰、曹慧慧、李慧玲、李俊峰、郝京波、杜阳、张策、屈波、黄书林、宋笑龙、王国华、梁生熙、张久磊。</w:t>
      </w:r>
    </w:p>
    <w:p>
      <w:pPr>
        <w:pStyle w:val="56"/>
        <w:ind w:firstLine="0" w:firstLineChars="0"/>
      </w:pPr>
    </w:p>
    <w:p>
      <w:pPr>
        <w:pStyle w:val="56"/>
        <w:ind w:firstLine="0" w:firstLineChars="0"/>
      </w:pPr>
    </w:p>
    <w:p>
      <w:pPr>
        <w:pStyle w:val="56"/>
        <w:ind w:firstLine="0" w:firstLineChars="0"/>
      </w:pPr>
    </w:p>
    <w:p>
      <w:pPr>
        <w:pStyle w:val="56"/>
        <w:ind w:firstLine="0" w:firstLineChars="0"/>
      </w:pPr>
    </w:p>
    <w:p>
      <w:pPr>
        <w:pStyle w:val="56"/>
        <w:ind w:firstLine="0" w:firstLineChars="0"/>
      </w:pPr>
    </w:p>
    <w:p>
      <w:pPr>
        <w:pStyle w:val="56"/>
        <w:ind w:firstLine="0" w:firstLineChars="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type="lines" w:linePitch="312" w:charSpace="0"/>
        </w:sectPr>
      </w:pPr>
    </w:p>
    <w:bookmarkEnd w:id="27"/>
    <w:p>
      <w:pPr>
        <w:spacing w:line="20" w:lineRule="exact"/>
        <w:jc w:val="center"/>
        <w:rPr>
          <w:rFonts w:hint="eastAsia" w:ascii="黑体" w:hAnsi="黑体" w:eastAsia="黑体"/>
          <w:sz w:val="32"/>
          <w:szCs w:val="32"/>
        </w:rPr>
      </w:pPr>
      <w:bookmarkStart w:id="28"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5F115908D9A045C7A09EFD82840776C7"/>
        </w:placeholder>
      </w:sdtPr>
      <w:sdtContent>
        <w:p>
          <w:pPr>
            <w:pStyle w:val="177"/>
            <w:spacing w:before="312" w:beforeLines="100" w:after="686" w:afterLines="220"/>
            <w:rPr>
              <w:rFonts w:hint="eastAsia"/>
              <w:bCs/>
            </w:rPr>
          </w:pPr>
          <w:bookmarkStart w:id="29" w:name="_Toc205367161"/>
          <w:bookmarkStart w:id="30" w:name="_Toc30756"/>
          <w:bookmarkStart w:id="31" w:name="_Toc205542782"/>
          <w:bookmarkStart w:id="32" w:name="_Toc204675167"/>
          <w:bookmarkStart w:id="33" w:name="_Toc6606"/>
          <w:bookmarkStart w:id="34" w:name="_Toc204675256"/>
          <w:bookmarkStart w:id="35" w:name="_Toc205366742"/>
          <w:bookmarkStart w:id="36" w:name="NEW_STAND_NAME"/>
          <w:bookmarkStart w:id="37" w:name="_Toc205214622"/>
          <w:r>
            <w:rPr>
              <w:rFonts w:hint="eastAsia"/>
              <w:bCs/>
            </w:rPr>
            <w:t>稀土永磁材料区块链数据共享技术规范</w:t>
          </w:r>
        </w:p>
      </w:sdtContent>
    </w:sdt>
    <w:bookmarkEnd w:id="29"/>
    <w:bookmarkEnd w:id="30"/>
    <w:bookmarkEnd w:id="31"/>
    <w:bookmarkEnd w:id="32"/>
    <w:bookmarkEnd w:id="33"/>
    <w:bookmarkEnd w:id="34"/>
    <w:bookmarkEnd w:id="35"/>
    <w:bookmarkEnd w:id="36"/>
    <w:bookmarkEnd w:id="37"/>
    <w:p>
      <w:pPr>
        <w:pStyle w:val="104"/>
        <w:spacing w:before="312" w:after="312"/>
      </w:pPr>
      <w:bookmarkStart w:id="38" w:name="_Toc17233333"/>
      <w:bookmarkStart w:id="39" w:name="_Toc24884211"/>
      <w:bookmarkStart w:id="40" w:name="_Toc17233325"/>
      <w:bookmarkStart w:id="41" w:name="_Toc149836392"/>
      <w:bookmarkStart w:id="42" w:name="_Toc26986771"/>
      <w:bookmarkStart w:id="43" w:name="_Toc206152412"/>
      <w:bookmarkStart w:id="44" w:name="_Toc150015777"/>
      <w:bookmarkStart w:id="45" w:name="_Toc26718930"/>
      <w:bookmarkStart w:id="46" w:name="_Toc24884218"/>
      <w:bookmarkStart w:id="47" w:name="_Toc97190718"/>
      <w:bookmarkStart w:id="48" w:name="_Toc26648465"/>
      <w:bookmarkStart w:id="49" w:name="_Toc26986530"/>
      <w:bookmarkStart w:id="50" w:name="_Toc206152284"/>
      <w:r>
        <w:rPr>
          <w:rFonts w:hint="eastAsia"/>
        </w:rPr>
        <w:t>范围</w:t>
      </w:r>
      <w:bookmarkEnd w:id="38"/>
      <w:bookmarkEnd w:id="39"/>
      <w:bookmarkEnd w:id="40"/>
      <w:bookmarkEnd w:id="41"/>
      <w:bookmarkEnd w:id="42"/>
      <w:bookmarkEnd w:id="43"/>
      <w:bookmarkEnd w:id="44"/>
      <w:bookmarkEnd w:id="45"/>
      <w:bookmarkEnd w:id="46"/>
      <w:bookmarkEnd w:id="47"/>
      <w:bookmarkEnd w:id="48"/>
      <w:bookmarkEnd w:id="49"/>
      <w:bookmarkEnd w:id="50"/>
    </w:p>
    <w:p>
      <w:pPr>
        <w:pStyle w:val="56"/>
        <w:ind w:firstLine="420"/>
      </w:pPr>
      <w:bookmarkStart w:id="51" w:name="_Toc17233326"/>
      <w:bookmarkStart w:id="52" w:name="_Toc17233334"/>
      <w:bookmarkStart w:id="53" w:name="_Toc24884212"/>
      <w:bookmarkStart w:id="54" w:name="_Toc26648466"/>
      <w:bookmarkStart w:id="55" w:name="_Toc24884219"/>
      <w:r>
        <w:rPr>
          <w:rFonts w:hint="eastAsia"/>
        </w:rPr>
        <w:t>本文件提出了稀土永磁材料区块链数据共享的技术总体架构、稀土永磁材料区块链数据共享流程、数据基本约定，以及相关技术要求。</w:t>
      </w:r>
    </w:p>
    <w:p>
      <w:pPr>
        <w:pStyle w:val="56"/>
        <w:ind w:firstLine="420"/>
      </w:pPr>
      <w:r>
        <w:rPr>
          <w:rFonts w:hint="eastAsia"/>
        </w:rPr>
        <w:t>本文件适用于指导基于区块链的稀土永磁产业链数据共享服务平台的建设、管理及应用，实现稀土永磁材料/产品在研发设计、生产制造、服役应用及回收等业务场景下跨行业、跨企业、跨部门的数据提供、发现、使用、共享、追溯、评价及安全监测等数据应用服务。</w:t>
      </w:r>
    </w:p>
    <w:p>
      <w:pPr>
        <w:pStyle w:val="104"/>
        <w:spacing w:before="312" w:after="312"/>
      </w:pPr>
      <w:bookmarkStart w:id="56" w:name="_Toc26718931"/>
      <w:bookmarkStart w:id="57" w:name="_Toc149836393"/>
      <w:bookmarkStart w:id="58" w:name="_Toc150015778"/>
      <w:bookmarkStart w:id="59" w:name="_Toc26986531"/>
      <w:bookmarkStart w:id="60" w:name="_Toc26986772"/>
      <w:bookmarkStart w:id="61" w:name="_Toc97190719"/>
      <w:bookmarkStart w:id="62" w:name="_Toc206152413"/>
      <w:bookmarkStart w:id="63" w:name="_Toc206152285"/>
      <w:r>
        <w:rPr>
          <w:rFonts w:hint="eastAsia"/>
        </w:rPr>
        <w:t>规范性引用文件</w:t>
      </w:r>
      <w:bookmarkEnd w:id="51"/>
      <w:bookmarkEnd w:id="52"/>
      <w:bookmarkEnd w:id="53"/>
      <w:bookmarkEnd w:id="54"/>
      <w:bookmarkEnd w:id="55"/>
      <w:bookmarkEnd w:id="56"/>
      <w:bookmarkEnd w:id="57"/>
      <w:bookmarkEnd w:id="58"/>
      <w:bookmarkEnd w:id="59"/>
      <w:bookmarkEnd w:id="60"/>
      <w:bookmarkEnd w:id="61"/>
      <w:bookmarkEnd w:id="62"/>
      <w:bookmarkEnd w:id="63"/>
    </w:p>
    <w:sdt>
      <w:sdtPr>
        <w:rPr>
          <w:rFonts w:hint="eastAsia"/>
        </w:rPr>
        <w:id w:val="715848253"/>
        <w:placeholder>
          <w:docPart w:val="F09011D90DF04728BE06B32835C091B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GB/T 15676 稀土术语</w:t>
      </w:r>
    </w:p>
    <w:p>
      <w:pPr>
        <w:pStyle w:val="56"/>
        <w:ind w:firstLine="420"/>
      </w:pPr>
      <w:r>
        <w:rPr>
          <w:rFonts w:hint="eastAsia"/>
        </w:rPr>
        <w:t>GB/T 17803 稀土产品牌号表示方法</w:t>
      </w:r>
    </w:p>
    <w:p>
      <w:pPr>
        <w:pStyle w:val="56"/>
        <w:ind w:firstLine="420"/>
      </w:pPr>
      <w:r>
        <w:rPr>
          <w:rFonts w:hint="eastAsia"/>
        </w:rPr>
        <w:t>GB/T 18391.1 信息技术 元数据注册系统（MDR） 第1部分：框架</w:t>
      </w:r>
    </w:p>
    <w:p>
      <w:pPr>
        <w:pStyle w:val="56"/>
        <w:ind w:firstLine="420"/>
      </w:pPr>
      <w:r>
        <w:rPr>
          <w:rFonts w:hint="eastAsia"/>
        </w:rPr>
        <w:t>GB/T 35273 信息安全技术 个人信息安全规范</w:t>
      </w:r>
    </w:p>
    <w:p>
      <w:pPr>
        <w:pStyle w:val="56"/>
        <w:ind w:firstLine="420"/>
      </w:pPr>
      <w:r>
        <w:rPr>
          <w:rFonts w:hint="eastAsia"/>
        </w:rPr>
        <w:t>GB 39176 稀土产品的包装、标志、运输和贮存</w:t>
      </w:r>
    </w:p>
    <w:p>
      <w:pPr>
        <w:pStyle w:val="56"/>
        <w:ind w:firstLine="420"/>
      </w:pPr>
      <w:r>
        <w:rPr>
          <w:rFonts w:hint="eastAsia"/>
        </w:rPr>
        <w:t>GB/T 40645 信息安全技术 互联网信息服务安全通用要求</w:t>
      </w:r>
    </w:p>
    <w:p>
      <w:pPr>
        <w:pStyle w:val="56"/>
        <w:ind w:firstLine="420"/>
      </w:pPr>
      <w:r>
        <w:rPr>
          <w:rFonts w:hint="eastAsia"/>
        </w:rPr>
        <w:t>GB/T 42571 信息安全技术 区块链信息服务安全规范</w:t>
      </w:r>
    </w:p>
    <w:p>
      <w:pPr>
        <w:pStyle w:val="56"/>
        <w:ind w:firstLine="420"/>
      </w:pPr>
      <w:r>
        <w:rPr>
          <w:rFonts w:hint="eastAsia"/>
        </w:rPr>
        <w:t>GB/T 42752 区块链和分布式记账技术 参考架构</w:t>
      </w:r>
    </w:p>
    <w:p>
      <w:pPr>
        <w:pStyle w:val="56"/>
        <w:ind w:firstLine="420"/>
      </w:pPr>
      <w:r>
        <w:rPr>
          <w:rFonts w:hint="eastAsia"/>
        </w:rPr>
        <w:t>GB/T 43572 区块链和分布式记账技术 术语</w:t>
      </w:r>
    </w:p>
    <w:p>
      <w:pPr>
        <w:pStyle w:val="56"/>
        <w:ind w:firstLine="420"/>
      </w:pPr>
      <w:r>
        <w:rPr>
          <w:rFonts w:hint="eastAsia"/>
        </w:rPr>
        <w:t>GB/T 43582 区块链和分布式记账技术 应用程序接口 中间件技术指南</w:t>
      </w:r>
    </w:p>
    <w:p>
      <w:pPr>
        <w:pStyle w:val="104"/>
        <w:spacing w:before="312" w:after="312"/>
      </w:pPr>
      <w:bookmarkStart w:id="64" w:name="_Toc97190720"/>
      <w:bookmarkStart w:id="65" w:name="_Toc150015779"/>
      <w:bookmarkStart w:id="66" w:name="_Toc206152286"/>
      <w:bookmarkStart w:id="67" w:name="_Toc149836394"/>
      <w:bookmarkStart w:id="68" w:name="_Toc206152414"/>
      <w:r>
        <w:rPr>
          <w:rFonts w:hint="eastAsia"/>
          <w:szCs w:val="21"/>
        </w:rPr>
        <w:t>术语和定义</w:t>
      </w:r>
      <w:bookmarkEnd w:id="64"/>
      <w:bookmarkEnd w:id="65"/>
      <w:bookmarkEnd w:id="66"/>
      <w:bookmarkEnd w:id="67"/>
      <w:bookmarkEnd w:id="68"/>
    </w:p>
    <w:sdt>
      <w:sdtPr>
        <w:id w:val="-1909835108"/>
        <w:placeholder>
          <w:docPart w:val="F09011D90DF04728BE06B32835C091B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69" w:name="_Toc26986532"/>
          <w:bookmarkEnd w:id="69"/>
          <w:r>
            <w:rPr>
              <w:rFonts w:hint="eastAsia"/>
            </w:rPr>
            <w:t>GB/T 18391.1、GB/T 42752、GB/T 43572、GB/T 43582</w:t>
          </w:r>
          <w:r>
            <w:t>界定的以及下列术语和定义适用于本文件。</w:t>
          </w:r>
        </w:p>
      </w:sdtContent>
    </w:sdt>
    <w:p>
      <w:pPr>
        <w:spacing w:line="20" w:lineRule="exact"/>
        <w:jc w:val="center"/>
        <w:rPr>
          <w:rFonts w:hint="eastAsia" w:ascii="黑体" w:hAnsi="黑体" w:eastAsia="黑体"/>
          <w:sz w:val="32"/>
          <w:szCs w:val="32"/>
        </w:rPr>
      </w:pPr>
    </w:p>
    <w:p>
      <w:pPr>
        <w:spacing w:line="20" w:lineRule="exact"/>
        <w:jc w:val="center"/>
        <w:rPr>
          <w:rFonts w:hint="eastAsia" w:ascii="黑体" w:hAnsi="黑体" w:eastAsia="黑体"/>
          <w:sz w:val="32"/>
          <w:szCs w:val="32"/>
        </w:rPr>
      </w:pPr>
    </w:p>
    <w:p>
      <w:pPr>
        <w:pStyle w:val="162"/>
        <w:rPr>
          <w:rFonts w:hint="eastAsia" w:ascii="黑体" w:hAnsi="黑体" w:eastAsia="黑体"/>
          <w:bCs/>
        </w:rPr>
      </w:pPr>
      <w:r>
        <w:br w:type="textWrapping"/>
      </w:r>
      <w:bookmarkStart w:id="70" w:name="_Toc205214627"/>
      <w:bookmarkStart w:id="71" w:name="_Toc204675261"/>
      <w:bookmarkStart w:id="72" w:name="_Toc204675172"/>
      <w:bookmarkStart w:id="73" w:name="_Toc205542787"/>
      <w:bookmarkStart w:id="74" w:name="_Toc16711"/>
      <w:bookmarkStart w:id="75" w:name="_Toc205367166"/>
      <w:bookmarkStart w:id="76" w:name="_Toc205366747"/>
      <w:r>
        <w:rPr>
          <w:rFonts w:hint="eastAsia"/>
          <w:bCs/>
        </w:rPr>
        <w:t xml:space="preserve">    </w:t>
      </w:r>
      <w:r>
        <w:rPr>
          <w:rFonts w:hint="eastAsia" w:ascii="黑体" w:hAnsi="黑体" w:eastAsia="黑体"/>
          <w:bCs/>
        </w:rPr>
        <w:t>材料数据区块链 material data blockchain</w:t>
      </w:r>
      <w:bookmarkEnd w:id="70"/>
      <w:bookmarkEnd w:id="71"/>
      <w:bookmarkEnd w:id="72"/>
      <w:bookmarkEnd w:id="73"/>
      <w:bookmarkEnd w:id="74"/>
      <w:bookmarkEnd w:id="75"/>
      <w:bookmarkEnd w:id="76"/>
    </w:p>
    <w:p>
      <w:pPr>
        <w:pStyle w:val="56"/>
        <w:ind w:firstLine="420"/>
      </w:pPr>
      <w:r>
        <w:rPr>
          <w:rFonts w:hint="eastAsia"/>
        </w:rPr>
        <w:t>材料数据区块链是一种基于区块链的新型材料数据基础设施，是区块链技术在材料产业链的系统性应用。通过构建基于区块链的分布式系统，对材料全生命周期数据进行标识、存证和互联，可实现多法人、多用户主体间的数据可信共享。</w:t>
      </w:r>
    </w:p>
    <w:p>
      <w:pPr>
        <w:pStyle w:val="162"/>
      </w:pPr>
    </w:p>
    <w:p>
      <w:pPr>
        <w:pStyle w:val="56"/>
        <w:ind w:firstLine="409" w:firstLineChars="195"/>
        <w:rPr>
          <w:rFonts w:hint="eastAsia" w:ascii="黑体" w:hAnsi="黑体" w:eastAsia="黑体"/>
        </w:rPr>
      </w:pPr>
      <w:r>
        <w:rPr>
          <w:rFonts w:hint="eastAsia" w:ascii="黑体" w:hAnsi="黑体" w:eastAsia="黑体"/>
        </w:rPr>
        <w:t>材料数据区块链数据共享服务平台 material data blockchain data service platform</w:t>
      </w:r>
    </w:p>
    <w:p>
      <w:pPr>
        <w:pStyle w:val="56"/>
        <w:ind w:firstLine="409" w:firstLineChars="195"/>
      </w:pPr>
      <w:r>
        <w:rPr>
          <w:rFonts w:hint="eastAsia"/>
        </w:rPr>
        <w:t>基于材料数据区块链的材料数据发现及共享系统。通过该系统可实现法人节点内部、法人节点之间的材料/产品的数据上链、发现、共享及追溯。</w:t>
      </w:r>
    </w:p>
    <w:p>
      <w:pPr>
        <w:pStyle w:val="162"/>
      </w:pPr>
    </w:p>
    <w:p>
      <w:pPr>
        <w:pStyle w:val="56"/>
        <w:ind w:firstLine="409" w:firstLineChars="195"/>
        <w:rPr>
          <w:rFonts w:hint="eastAsia" w:ascii="黑体" w:hAnsi="黑体" w:eastAsia="黑体"/>
        </w:rPr>
      </w:pPr>
      <w:r>
        <w:rPr>
          <w:rFonts w:hint="eastAsia" w:ascii="黑体" w:hAnsi="黑体" w:eastAsia="黑体"/>
        </w:rPr>
        <w:t>元数据 meta data</w:t>
      </w:r>
    </w:p>
    <w:p>
      <w:pPr>
        <w:pStyle w:val="56"/>
        <w:ind w:firstLine="409" w:firstLineChars="195"/>
      </w:pPr>
      <w:r>
        <w:rPr>
          <w:rFonts w:hint="eastAsia"/>
        </w:rPr>
        <w:t>定义和描述其他数据的数据。</w:t>
      </w:r>
    </w:p>
    <w:p>
      <w:pPr>
        <w:pStyle w:val="56"/>
        <w:ind w:firstLine="409" w:firstLineChars="195"/>
      </w:pPr>
      <w:r>
        <w:rPr>
          <w:rFonts w:hint="eastAsia"/>
        </w:rPr>
        <w:t>[来源：GB/T 18391.1，3.2.16]</w:t>
      </w:r>
    </w:p>
    <w:p>
      <w:pPr>
        <w:pStyle w:val="162"/>
      </w:pPr>
    </w:p>
    <w:p>
      <w:pPr>
        <w:pStyle w:val="56"/>
        <w:ind w:firstLine="409" w:firstLineChars="195"/>
        <w:rPr>
          <w:rFonts w:hint="eastAsia" w:ascii="黑体" w:hAnsi="黑体" w:eastAsia="黑体"/>
        </w:rPr>
      </w:pPr>
      <w:r>
        <w:rPr>
          <w:rFonts w:hint="eastAsia" w:ascii="黑体" w:hAnsi="黑体" w:eastAsia="黑体"/>
        </w:rPr>
        <w:t>稀土永磁材料特征数据 rare earth permanent magnet material characteristic data</w:t>
      </w:r>
    </w:p>
    <w:p>
      <w:pPr>
        <w:pStyle w:val="56"/>
        <w:ind w:firstLine="409" w:firstLineChars="195"/>
      </w:pPr>
      <w:r>
        <w:rPr>
          <w:rFonts w:hint="eastAsia"/>
        </w:rPr>
        <w:t>判定稀土永磁材料类别与属性的基本数据集，包括稀土永磁材料的成分、结构、工艺、性能等要素，以及稀土永磁材料下游应用领域及供应链相关的要素。在稀土永磁材料区块链中作为区分各类稀土永磁材料、产品及下游应用的数据索引。</w:t>
      </w:r>
    </w:p>
    <w:p>
      <w:pPr>
        <w:pStyle w:val="162"/>
      </w:pPr>
    </w:p>
    <w:p>
      <w:pPr>
        <w:pStyle w:val="56"/>
        <w:ind w:firstLine="409" w:firstLineChars="195"/>
        <w:rPr>
          <w:rFonts w:hint="eastAsia" w:ascii="黑体" w:hAnsi="黑体" w:eastAsia="黑体"/>
        </w:rPr>
      </w:pPr>
      <w:r>
        <w:rPr>
          <w:rFonts w:hint="eastAsia" w:ascii="黑体" w:hAnsi="黑体" w:eastAsia="黑体"/>
        </w:rPr>
        <w:t>材料数据主体 material data subject</w:t>
      </w:r>
    </w:p>
    <w:p>
      <w:pPr>
        <w:pStyle w:val="56"/>
        <w:ind w:firstLine="409" w:firstLineChars="195"/>
      </w:pPr>
      <w:r>
        <w:rPr>
          <w:rFonts w:hint="eastAsia"/>
        </w:rPr>
        <w:t>具有价值创造潜力的数据的总称，通常指以电子化形式记录和保存、可机器读取、可重用的数据集合，包括材料研发、生产制造、服役应用、流通等产业链各个环节产生的原始数据资源，也包括进行分析、加工后形成的可满足特定需求的数据产品。</w:t>
      </w:r>
    </w:p>
    <w:p>
      <w:pPr>
        <w:pStyle w:val="162"/>
      </w:pPr>
    </w:p>
    <w:p>
      <w:pPr>
        <w:pStyle w:val="56"/>
        <w:ind w:firstLine="409" w:firstLineChars="195"/>
        <w:rPr>
          <w:rFonts w:hint="eastAsia" w:ascii="黑体" w:hAnsi="黑体" w:eastAsia="黑体"/>
        </w:rPr>
      </w:pPr>
      <w:r>
        <w:rPr>
          <w:rFonts w:hint="eastAsia" w:ascii="黑体" w:hAnsi="黑体" w:eastAsia="黑体"/>
        </w:rPr>
        <w:t>材料数据发现 material data associating</w:t>
      </w:r>
    </w:p>
    <w:p>
      <w:pPr>
        <w:pStyle w:val="56"/>
        <w:ind w:firstLine="409" w:firstLineChars="195"/>
      </w:pPr>
      <w:r>
        <w:rPr>
          <w:rFonts w:hint="eastAsia"/>
        </w:rPr>
        <w:t>在材料区块链数据共享服务平台内或跨平台，基于材料特征数据或数据目录，发现具有相似属性的材料数据的技术。</w:t>
      </w:r>
    </w:p>
    <w:p>
      <w:pPr>
        <w:pStyle w:val="162"/>
      </w:pPr>
    </w:p>
    <w:p>
      <w:pPr>
        <w:pStyle w:val="56"/>
        <w:ind w:firstLine="409" w:firstLineChars="195"/>
        <w:rPr>
          <w:rFonts w:hint="eastAsia" w:ascii="黑体" w:hAnsi="黑体" w:eastAsia="黑体"/>
        </w:rPr>
      </w:pPr>
      <w:r>
        <w:rPr>
          <w:rFonts w:hint="eastAsia" w:ascii="黑体" w:hAnsi="黑体" w:eastAsia="黑体"/>
        </w:rPr>
        <w:t>材料数据共享 material data sharing</w:t>
      </w:r>
    </w:p>
    <w:p>
      <w:pPr>
        <w:pStyle w:val="56"/>
        <w:ind w:firstLine="409" w:firstLineChars="195"/>
      </w:pPr>
      <w:r>
        <w:rPr>
          <w:rFonts w:hint="eastAsia"/>
        </w:rPr>
        <w:t>在材料数据产权确认的前提下，在一定条件下与他方共同使用材料数据的机制及过程，涵盖数据提供、数据发现、数据授权使用等。</w:t>
      </w:r>
    </w:p>
    <w:p>
      <w:pPr>
        <w:pStyle w:val="162"/>
      </w:pPr>
    </w:p>
    <w:p>
      <w:pPr>
        <w:pStyle w:val="56"/>
        <w:ind w:firstLine="409" w:firstLineChars="195"/>
        <w:rPr>
          <w:rFonts w:hint="eastAsia" w:ascii="黑体" w:hAnsi="黑体" w:eastAsia="黑体"/>
        </w:rPr>
      </w:pPr>
      <w:r>
        <w:rPr>
          <w:rFonts w:hint="eastAsia" w:ascii="黑体" w:hAnsi="黑体" w:eastAsia="黑体"/>
        </w:rPr>
        <w:t>智能合约 smart contract</w:t>
      </w:r>
    </w:p>
    <w:p>
      <w:pPr>
        <w:pStyle w:val="56"/>
        <w:ind w:firstLine="409" w:firstLineChars="195"/>
      </w:pPr>
      <w:r>
        <w:rPr>
          <w:rFonts w:hint="eastAsia"/>
        </w:rPr>
        <w:t>存储在分布式记账技术系统中的计算机程序，该程序的任何执行结果都记录在分布式账本。</w:t>
      </w:r>
    </w:p>
    <w:p>
      <w:pPr>
        <w:pStyle w:val="56"/>
        <w:ind w:firstLine="409" w:firstLineChars="195"/>
      </w:pPr>
      <w:r>
        <w:rPr>
          <w:rFonts w:hint="eastAsia"/>
        </w:rPr>
        <w:t>[来源：GB/T 43572,3.72]</w:t>
      </w:r>
    </w:p>
    <w:p>
      <w:pPr>
        <w:pStyle w:val="162"/>
      </w:pPr>
    </w:p>
    <w:p>
      <w:pPr>
        <w:pStyle w:val="56"/>
        <w:ind w:firstLine="409" w:firstLineChars="195"/>
        <w:rPr>
          <w:rFonts w:hint="eastAsia" w:ascii="黑体" w:hAnsi="黑体" w:eastAsia="黑体"/>
        </w:rPr>
      </w:pPr>
      <w:r>
        <w:rPr>
          <w:rFonts w:hint="eastAsia" w:ascii="黑体" w:hAnsi="黑体" w:eastAsia="黑体"/>
        </w:rPr>
        <w:t>共识机制 consensus mechanism</w:t>
      </w:r>
    </w:p>
    <w:p>
      <w:pPr>
        <w:pStyle w:val="56"/>
        <w:ind w:firstLine="409" w:firstLineChars="195"/>
      </w:pPr>
      <w:r>
        <w:rPr>
          <w:rFonts w:hint="eastAsia"/>
        </w:rPr>
        <w:t>在分布式节点间达成共识的规则和程序。</w:t>
      </w:r>
    </w:p>
    <w:p>
      <w:pPr>
        <w:pStyle w:val="56"/>
        <w:ind w:firstLine="409" w:firstLineChars="195"/>
      </w:pPr>
      <w:r>
        <w:rPr>
          <w:rFonts w:hint="eastAsia"/>
        </w:rPr>
        <w:t>[来源：GB/T 42752,3.8]</w:t>
      </w:r>
    </w:p>
    <w:p>
      <w:pPr>
        <w:pStyle w:val="162"/>
      </w:pPr>
    </w:p>
    <w:p>
      <w:pPr>
        <w:pStyle w:val="56"/>
        <w:ind w:firstLine="409" w:firstLineChars="195"/>
        <w:rPr>
          <w:rFonts w:hint="eastAsia" w:ascii="黑体" w:hAnsi="黑体" w:eastAsia="黑体"/>
        </w:rPr>
      </w:pPr>
      <w:r>
        <w:rPr>
          <w:rFonts w:hint="eastAsia" w:ascii="黑体" w:hAnsi="黑体" w:eastAsia="黑体"/>
        </w:rPr>
        <w:t>中间件 middleware</w:t>
      </w:r>
    </w:p>
    <w:p>
      <w:pPr>
        <w:pStyle w:val="56"/>
        <w:ind w:firstLine="409" w:firstLineChars="195"/>
      </w:pPr>
      <w:r>
        <w:rPr>
          <w:rFonts w:hint="eastAsia"/>
        </w:rPr>
        <w:t>位于系统软件之上，用于支持分布式应用软件，连接不同软件实体的支撑软件。</w:t>
      </w:r>
    </w:p>
    <w:p>
      <w:pPr>
        <w:pStyle w:val="56"/>
        <w:ind w:firstLine="409" w:firstLineChars="195"/>
      </w:pPr>
      <w:r>
        <w:rPr>
          <w:rFonts w:hint="eastAsia"/>
        </w:rPr>
        <w:t>[来源：GB/T 43582,3.2]</w:t>
      </w:r>
    </w:p>
    <w:p>
      <w:pPr>
        <w:pStyle w:val="162"/>
      </w:pPr>
    </w:p>
    <w:p>
      <w:pPr>
        <w:pStyle w:val="56"/>
        <w:ind w:firstLine="409" w:firstLineChars="195"/>
        <w:rPr>
          <w:rFonts w:hint="eastAsia" w:ascii="黑体" w:hAnsi="黑体" w:eastAsia="黑体"/>
        </w:rPr>
      </w:pPr>
      <w:r>
        <w:rPr>
          <w:rFonts w:hint="eastAsia" w:ascii="黑体" w:hAnsi="黑体" w:eastAsia="黑体"/>
        </w:rPr>
        <w:t>哈希值 hash value</w:t>
      </w:r>
    </w:p>
    <w:p>
      <w:pPr>
        <w:pStyle w:val="56"/>
        <w:ind w:firstLine="409" w:firstLineChars="195"/>
      </w:pPr>
      <w:r>
        <w:rPr>
          <w:rFonts w:hint="eastAsia"/>
        </w:rPr>
        <w:t>密码散列函数输出的比特串。</w:t>
      </w:r>
    </w:p>
    <w:p>
      <w:pPr>
        <w:pStyle w:val="56"/>
        <w:ind w:firstLine="409" w:firstLineChars="195"/>
      </w:pPr>
      <w:r>
        <w:rPr>
          <w:rFonts w:hint="eastAsia"/>
        </w:rPr>
        <w:t>[来源：GB/T 43572,3.39]</w:t>
      </w:r>
    </w:p>
    <w:p>
      <w:pPr>
        <w:pStyle w:val="104"/>
        <w:spacing w:before="312" w:after="312"/>
      </w:pPr>
      <w:bookmarkStart w:id="77" w:name="_Toc206152415"/>
      <w:bookmarkStart w:id="78" w:name="_Toc206152287"/>
      <w:bookmarkStart w:id="79" w:name="_Hlk206147472"/>
      <w:r>
        <w:rPr>
          <w:rFonts w:hint="eastAsia"/>
        </w:rPr>
        <w:t>总体架构</w:t>
      </w:r>
      <w:bookmarkEnd w:id="77"/>
      <w:bookmarkEnd w:id="78"/>
    </w:p>
    <w:bookmarkEnd w:id="79"/>
    <w:p>
      <w:pPr>
        <w:pStyle w:val="105"/>
        <w:spacing w:before="156" w:after="156"/>
      </w:pPr>
      <w:bookmarkStart w:id="80" w:name="_Toc206152288"/>
      <w:bookmarkStart w:id="81" w:name="_Toc206152416"/>
      <w:bookmarkStart w:id="82" w:name="_Hlk206147349"/>
      <w:r>
        <w:rPr>
          <w:rFonts w:hint="eastAsia"/>
        </w:rPr>
        <w:t>业务架构</w:t>
      </w:r>
      <w:bookmarkEnd w:id="80"/>
      <w:bookmarkEnd w:id="81"/>
    </w:p>
    <w:bookmarkEnd w:id="82"/>
    <w:p>
      <w:pPr>
        <w:pStyle w:val="56"/>
        <w:ind w:firstLine="420"/>
        <w:rPr>
          <w:rFonts w:ascii="Times New Roman"/>
        </w:rPr>
      </w:pPr>
      <w:r>
        <w:rPr>
          <w:rFonts w:hint="eastAsia" w:ascii="Times New Roman"/>
        </w:rPr>
        <w:t>稀土永磁材料区块链的业务架构如图1所示。</w:t>
      </w:r>
    </w:p>
    <w:p>
      <w:pPr>
        <w:pStyle w:val="114"/>
        <w:numPr>
          <w:ilvl w:val="0"/>
          <w:numId w:val="0"/>
        </w:numPr>
        <w:spacing w:before="156" w:after="156"/>
      </w:pPr>
      <w:bookmarkStart w:id="83" w:name="_Hlk206147145"/>
      <w:r>
        <w:drawing>
          <wp:inline distT="0" distB="0" distL="0" distR="0">
            <wp:extent cx="5939790" cy="3394075"/>
            <wp:effectExtent l="0" t="0" r="3810" b="0"/>
            <wp:docPr id="617475027" name="图片 8"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75027" name="图片 8" descr="图示&#10;&#10;AI 生成的内容可能不正确。"/>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939790" cy="3394075"/>
                    </a:xfrm>
                    <a:prstGeom prst="rect">
                      <a:avLst/>
                    </a:prstGeom>
                    <a:noFill/>
                    <a:ln>
                      <a:noFill/>
                    </a:ln>
                  </pic:spPr>
                </pic:pic>
              </a:graphicData>
            </a:graphic>
          </wp:inline>
        </w:drawing>
      </w:r>
      <w:bookmarkEnd w:id="83"/>
      <w:r>
        <w:t xml:space="preserve">图 </w:t>
      </w:r>
      <w:r>
        <w:fldChar w:fldCharType="begin"/>
      </w:r>
      <w:r>
        <w:instrText xml:space="preserve"> SEQ 图 \* ARABIC </w:instrText>
      </w:r>
      <w:r>
        <w:fldChar w:fldCharType="separate"/>
      </w:r>
      <w:r>
        <w:t>1</w:t>
      </w:r>
      <w:r>
        <w:fldChar w:fldCharType="end"/>
      </w:r>
      <w:r>
        <w:rPr>
          <w:rFonts w:hint="eastAsia"/>
        </w:rPr>
        <w:t>稀土永磁材料区块链业务架构</w:t>
      </w:r>
    </w:p>
    <w:p>
      <w:pPr>
        <w:pStyle w:val="56"/>
        <w:ind w:firstLine="420"/>
        <w:rPr>
          <w:rFonts w:ascii="Times New Roman"/>
          <w:szCs w:val="21"/>
        </w:rPr>
      </w:pPr>
      <w:r>
        <w:rPr>
          <w:rFonts w:ascii="Times New Roman"/>
          <w:szCs w:val="21"/>
        </w:rPr>
        <w:t>稀土永磁材料区块链的</w:t>
      </w:r>
      <w:r>
        <w:rPr>
          <w:rFonts w:hint="eastAsia" w:ascii="Times New Roman"/>
          <w:szCs w:val="21"/>
        </w:rPr>
        <w:t>领域场景，包括上游原材料产业、中游永磁制造加工产业，以及下游应用产业。</w:t>
      </w:r>
      <w:r>
        <w:rPr>
          <w:rFonts w:ascii="Times New Roman"/>
          <w:szCs w:val="21"/>
        </w:rPr>
        <w:t>面向的业务场景</w:t>
      </w:r>
      <w:r>
        <w:rPr>
          <w:rFonts w:hint="eastAsia" w:ascii="Times New Roman"/>
          <w:szCs w:val="21"/>
        </w:rPr>
        <w:t>，</w:t>
      </w:r>
      <w:r>
        <w:rPr>
          <w:rFonts w:ascii="Times New Roman"/>
          <w:szCs w:val="21"/>
        </w:rPr>
        <w:t>包括稀土永磁材料</w:t>
      </w:r>
      <w:r>
        <w:rPr>
          <w:rFonts w:hint="eastAsia" w:ascii="Times New Roman"/>
          <w:szCs w:val="21"/>
        </w:rPr>
        <w:t>/</w:t>
      </w:r>
      <w:r>
        <w:rPr>
          <w:rFonts w:ascii="Times New Roman"/>
          <w:szCs w:val="21"/>
        </w:rPr>
        <w:t>产品的研发设计、生产制造、服役应用、回收，以及过程中的物流</w:t>
      </w:r>
      <w:r>
        <w:rPr>
          <w:rFonts w:hint="eastAsia" w:ascii="Times New Roman"/>
          <w:szCs w:val="21"/>
        </w:rPr>
        <w:t>、</w:t>
      </w:r>
      <w:r>
        <w:rPr>
          <w:rFonts w:ascii="Times New Roman"/>
          <w:szCs w:val="21"/>
        </w:rPr>
        <w:t>供应链</w:t>
      </w:r>
      <w:r>
        <w:rPr>
          <w:rFonts w:hint="eastAsia" w:ascii="Times New Roman"/>
          <w:szCs w:val="21"/>
        </w:rPr>
        <w:t>等</w:t>
      </w:r>
      <w:r>
        <w:rPr>
          <w:rFonts w:ascii="Times New Roman"/>
          <w:szCs w:val="21"/>
        </w:rPr>
        <w:t>。稀土永磁材料区块链</w:t>
      </w:r>
      <w:r>
        <w:rPr>
          <w:rFonts w:hint="eastAsia" w:ascii="Times New Roman"/>
          <w:szCs w:val="21"/>
        </w:rPr>
        <w:t>，</w:t>
      </w:r>
      <w:r>
        <w:rPr>
          <w:rFonts w:ascii="Times New Roman"/>
          <w:szCs w:val="21"/>
        </w:rPr>
        <w:t>以材料数据区块链数据共享服务平台的形式，向以上场景中的数据供需双方，提供数据服务</w:t>
      </w:r>
      <w:r>
        <w:rPr>
          <w:rFonts w:hint="eastAsia" w:ascii="Times New Roman"/>
          <w:szCs w:val="21"/>
        </w:rPr>
        <w:t>。稀土永磁材料区块链的具体数据场景及角色如下</w:t>
      </w:r>
      <w:r>
        <w:rPr>
          <w:rFonts w:ascii="Times New Roman"/>
          <w:szCs w:val="21"/>
        </w:rPr>
        <w:t>：</w:t>
      </w:r>
    </w:p>
    <w:p>
      <w:pPr>
        <w:widowControl/>
        <w:numPr>
          <w:ilvl w:val="0"/>
          <w:numId w:val="32"/>
        </w:numPr>
        <w:autoSpaceDE w:val="0"/>
        <w:autoSpaceDN w:val="0"/>
        <w:adjustRightInd/>
        <w:spacing w:line="240" w:lineRule="auto"/>
        <w:rPr>
          <w:rFonts w:ascii="Times New Roman" w:hAnsi="Times New Roman"/>
          <w:kern w:val="0"/>
        </w:rPr>
      </w:pPr>
      <w:r>
        <w:rPr>
          <w:rFonts w:ascii="Times New Roman" w:hAnsi="Times New Roman"/>
          <w:kern w:val="0"/>
        </w:rPr>
        <w:t>数据提供方</w:t>
      </w:r>
      <w:r>
        <w:rPr>
          <w:rFonts w:hint="eastAsia" w:ascii="Times New Roman" w:hAnsi="Times New Roman"/>
          <w:kern w:val="0"/>
        </w:rPr>
        <w:t>，</w:t>
      </w:r>
      <w:r>
        <w:rPr>
          <w:rFonts w:ascii="Times New Roman" w:hAnsi="Times New Roman"/>
          <w:kern w:val="0"/>
        </w:rPr>
        <w:t>可使用稀土永磁产业链数据共享服务平台，实现稀土永磁材料</w:t>
      </w:r>
      <w:r>
        <w:rPr>
          <w:rFonts w:hint="eastAsia" w:ascii="Times New Roman" w:hAnsi="Times New Roman"/>
          <w:kern w:val="0"/>
        </w:rPr>
        <w:t>/</w:t>
      </w:r>
      <w:r>
        <w:rPr>
          <w:rFonts w:ascii="Times New Roman" w:hAnsi="Times New Roman"/>
          <w:kern w:val="0"/>
        </w:rPr>
        <w:t>产品的数据接入与发布，以及授权数据的使用等服务；数据提供方</w:t>
      </w:r>
      <w:r>
        <w:rPr>
          <w:rFonts w:hint="eastAsia" w:ascii="Times New Roman" w:hAnsi="Times New Roman"/>
          <w:kern w:val="0"/>
        </w:rPr>
        <w:t>在稀土永磁产业链的</w:t>
      </w:r>
      <w:r>
        <w:rPr>
          <w:rFonts w:ascii="Times New Roman" w:hAnsi="Times New Roman"/>
          <w:kern w:val="0"/>
        </w:rPr>
        <w:t>数据</w:t>
      </w:r>
      <w:r>
        <w:rPr>
          <w:rFonts w:hint="eastAsia" w:ascii="Times New Roman" w:hAnsi="Times New Roman"/>
          <w:kern w:val="0"/>
        </w:rPr>
        <w:t>信息及</w:t>
      </w:r>
      <w:r>
        <w:rPr>
          <w:rFonts w:ascii="Times New Roman" w:hAnsi="Times New Roman"/>
          <w:kern w:val="0"/>
        </w:rPr>
        <w:t>角色，见附录A；</w:t>
      </w:r>
    </w:p>
    <w:p>
      <w:pPr>
        <w:widowControl/>
        <w:numPr>
          <w:ilvl w:val="0"/>
          <w:numId w:val="32"/>
        </w:numPr>
        <w:autoSpaceDE w:val="0"/>
        <w:autoSpaceDN w:val="0"/>
        <w:adjustRightInd/>
        <w:spacing w:line="240" w:lineRule="auto"/>
        <w:rPr>
          <w:rFonts w:ascii="Times New Roman" w:hAnsi="Times New Roman"/>
          <w:kern w:val="0"/>
        </w:rPr>
      </w:pPr>
      <w:r>
        <w:rPr>
          <w:rFonts w:ascii="Times New Roman" w:hAnsi="Times New Roman"/>
          <w:kern w:val="0"/>
        </w:rPr>
        <w:t>数据使用方</w:t>
      </w:r>
      <w:r>
        <w:rPr>
          <w:rFonts w:hint="eastAsia" w:ascii="Times New Roman" w:hAnsi="Times New Roman"/>
          <w:kern w:val="0"/>
        </w:rPr>
        <w:t>，</w:t>
      </w:r>
      <w:r>
        <w:rPr>
          <w:rFonts w:ascii="Times New Roman" w:hAnsi="Times New Roman"/>
          <w:kern w:val="0"/>
        </w:rPr>
        <w:t>可使用稀土永磁产业链数据共享服务平台，实现稀土永磁材料</w:t>
      </w:r>
      <w:r>
        <w:rPr>
          <w:rFonts w:hint="eastAsia" w:ascii="Times New Roman" w:hAnsi="Times New Roman"/>
          <w:kern w:val="0"/>
        </w:rPr>
        <w:t>/</w:t>
      </w:r>
      <w:r>
        <w:rPr>
          <w:rFonts w:ascii="Times New Roman" w:hAnsi="Times New Roman"/>
          <w:kern w:val="0"/>
        </w:rPr>
        <w:t>产品的数据发现、并获得符合权限要求的材料</w:t>
      </w:r>
      <w:r>
        <w:rPr>
          <w:rFonts w:hint="eastAsia" w:ascii="Times New Roman" w:hAnsi="Times New Roman"/>
          <w:kern w:val="0"/>
        </w:rPr>
        <w:t>/</w:t>
      </w:r>
      <w:r>
        <w:rPr>
          <w:rFonts w:ascii="Times New Roman" w:hAnsi="Times New Roman"/>
          <w:kern w:val="0"/>
        </w:rPr>
        <w:t>产品数据的授权使用；数据使用方</w:t>
      </w:r>
      <w:r>
        <w:rPr>
          <w:rFonts w:hint="eastAsia" w:ascii="Times New Roman" w:hAnsi="Times New Roman"/>
          <w:kern w:val="0"/>
        </w:rPr>
        <w:t>在稀土永磁产业链的</w:t>
      </w:r>
      <w:r>
        <w:rPr>
          <w:rFonts w:ascii="Times New Roman" w:hAnsi="Times New Roman"/>
          <w:kern w:val="0"/>
        </w:rPr>
        <w:t>数据</w:t>
      </w:r>
      <w:r>
        <w:rPr>
          <w:rFonts w:hint="eastAsia" w:ascii="Times New Roman" w:hAnsi="Times New Roman"/>
          <w:kern w:val="0"/>
        </w:rPr>
        <w:t>信息及</w:t>
      </w:r>
      <w:r>
        <w:rPr>
          <w:rFonts w:ascii="Times New Roman" w:hAnsi="Times New Roman"/>
          <w:kern w:val="0"/>
        </w:rPr>
        <w:t>角色，见附录A；</w:t>
      </w:r>
    </w:p>
    <w:p>
      <w:pPr>
        <w:widowControl/>
        <w:numPr>
          <w:ilvl w:val="0"/>
          <w:numId w:val="32"/>
        </w:numPr>
        <w:autoSpaceDE w:val="0"/>
        <w:autoSpaceDN w:val="0"/>
        <w:adjustRightInd/>
        <w:spacing w:line="240" w:lineRule="auto"/>
        <w:rPr>
          <w:rFonts w:ascii="Times New Roman" w:hAnsi="Times New Roman"/>
          <w:kern w:val="0"/>
        </w:rPr>
      </w:pPr>
      <w:r>
        <w:rPr>
          <w:rFonts w:ascii="Times New Roman" w:hAnsi="Times New Roman"/>
          <w:kern w:val="0"/>
        </w:rPr>
        <w:t>稀土永磁产业链数据共享服务平台涉及的数据对象，来源于稀土永磁产业上游、中游及下游的研发、制造、服役及应用、</w:t>
      </w:r>
      <w:r>
        <w:rPr>
          <w:rFonts w:hint="eastAsia" w:ascii="Times New Roman" w:hAnsi="Times New Roman"/>
          <w:kern w:val="0"/>
        </w:rPr>
        <w:t>回收</w:t>
      </w:r>
      <w:r>
        <w:rPr>
          <w:rFonts w:ascii="Times New Roman" w:hAnsi="Times New Roman"/>
          <w:kern w:val="0"/>
        </w:rPr>
        <w:t>及供应链等各个环节的材料数据目录、产品数据目录，或用户授权提供的数据主体；</w:t>
      </w:r>
    </w:p>
    <w:p>
      <w:pPr>
        <w:widowControl/>
        <w:numPr>
          <w:ilvl w:val="0"/>
          <w:numId w:val="32"/>
        </w:numPr>
        <w:autoSpaceDE w:val="0"/>
        <w:autoSpaceDN w:val="0"/>
        <w:adjustRightInd/>
        <w:spacing w:line="240" w:lineRule="auto"/>
        <w:rPr>
          <w:rFonts w:ascii="Times New Roman" w:hAnsi="Times New Roman"/>
          <w:kern w:val="0"/>
        </w:rPr>
      </w:pPr>
      <w:r>
        <w:rPr>
          <w:rFonts w:ascii="Times New Roman" w:hAnsi="Times New Roman"/>
          <w:kern w:val="0"/>
        </w:rPr>
        <w:t>稀土永磁产业链数据共享服务平台</w:t>
      </w:r>
      <w:r>
        <w:rPr>
          <w:rFonts w:hint="eastAsia" w:ascii="Times New Roman" w:hAnsi="Times New Roman"/>
          <w:kern w:val="0"/>
        </w:rPr>
        <w:t>，通过</w:t>
      </w:r>
      <w:r>
        <w:rPr>
          <w:rFonts w:ascii="Times New Roman" w:hAnsi="Times New Roman"/>
          <w:kern w:val="0"/>
        </w:rPr>
        <w:t>数据目录、服务系统、区块链等模块及功能，实现供需方之间材料</w:t>
      </w:r>
      <w:r>
        <w:rPr>
          <w:rFonts w:hint="eastAsia" w:ascii="Times New Roman" w:hAnsi="Times New Roman"/>
          <w:kern w:val="0"/>
        </w:rPr>
        <w:t>/</w:t>
      </w:r>
      <w:r>
        <w:rPr>
          <w:rFonts w:ascii="Times New Roman" w:hAnsi="Times New Roman"/>
          <w:kern w:val="0"/>
        </w:rPr>
        <w:t>产品数据</w:t>
      </w:r>
      <w:r>
        <w:rPr>
          <w:rFonts w:hint="eastAsia" w:ascii="Times New Roman" w:hAnsi="Times New Roman"/>
          <w:kern w:val="0"/>
        </w:rPr>
        <w:t>提供、</w:t>
      </w:r>
      <w:r>
        <w:rPr>
          <w:rFonts w:ascii="Times New Roman" w:hAnsi="Times New Roman"/>
          <w:kern w:val="0"/>
        </w:rPr>
        <w:t>上链存证、数据发现、数据使用、数据追溯、数据评价以及数据监测</w:t>
      </w:r>
      <w:r>
        <w:rPr>
          <w:rFonts w:hint="eastAsia" w:ascii="Times New Roman" w:hAnsi="Times New Roman"/>
          <w:kern w:val="0"/>
        </w:rPr>
        <w:t>等</w:t>
      </w:r>
      <w:r>
        <w:rPr>
          <w:rFonts w:ascii="Times New Roman" w:hAnsi="Times New Roman"/>
          <w:kern w:val="0"/>
        </w:rPr>
        <w:t>。</w:t>
      </w:r>
    </w:p>
    <w:p>
      <w:pPr>
        <w:pStyle w:val="105"/>
        <w:spacing w:before="156" w:after="156"/>
      </w:pPr>
      <w:bookmarkStart w:id="84" w:name="_Toc206152289"/>
      <w:bookmarkStart w:id="85" w:name="_Toc206152417"/>
      <w:bookmarkStart w:id="86" w:name="_Hlk206147506"/>
      <w:r>
        <w:rPr>
          <w:rFonts w:hint="eastAsia"/>
        </w:rPr>
        <w:t>功能架构</w:t>
      </w:r>
      <w:bookmarkEnd w:id="84"/>
      <w:bookmarkEnd w:id="85"/>
    </w:p>
    <w:bookmarkEnd w:id="86"/>
    <w:p>
      <w:pPr>
        <w:widowControl/>
        <w:autoSpaceDE w:val="0"/>
        <w:autoSpaceDN w:val="0"/>
        <w:adjustRightInd/>
        <w:spacing w:line="240" w:lineRule="auto"/>
        <w:ind w:firstLine="420" w:firstLineChars="200"/>
        <w:rPr>
          <w:rFonts w:ascii="Times New Roman" w:hAnsi="Times New Roman"/>
          <w:kern w:val="0"/>
        </w:rPr>
      </w:pPr>
      <w:r>
        <w:rPr>
          <w:rFonts w:hint="eastAsia" w:ascii="Times New Roman" w:hAnsi="Times New Roman"/>
          <w:kern w:val="0"/>
        </w:rPr>
        <w:t>稀土永磁材料数据区块链的功能架构如图2所示：</w:t>
      </w:r>
    </w:p>
    <w:p>
      <w:pPr>
        <w:widowControl/>
        <w:autoSpaceDE w:val="0"/>
        <w:autoSpaceDN w:val="0"/>
        <w:adjustRightInd/>
        <w:spacing w:line="240" w:lineRule="auto"/>
        <w:rPr>
          <w:rFonts w:ascii="Times New Roman" w:hAnsi="Times New Roman"/>
          <w:kern w:val="0"/>
        </w:rPr>
      </w:pPr>
      <w:r>
        <w:drawing>
          <wp:inline distT="0" distB="0" distL="0" distR="0">
            <wp:extent cx="5939790" cy="3416300"/>
            <wp:effectExtent l="0" t="0" r="3810" b="0"/>
            <wp:docPr id="1014444497"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44497" name="图片 1" descr="图示&#10;&#10;AI 生成的内容可能不正确。"/>
                    <pic:cNvPicPr>
                      <a:picLocks noChangeAspect="1"/>
                    </pic:cNvPicPr>
                  </pic:nvPicPr>
                  <pic:blipFill>
                    <a:blip r:embed="rId35"/>
                    <a:stretch>
                      <a:fillRect/>
                    </a:stretch>
                  </pic:blipFill>
                  <pic:spPr>
                    <a:xfrm>
                      <a:off x="0" y="0"/>
                      <a:ext cx="5939790" cy="3416300"/>
                    </a:xfrm>
                    <a:prstGeom prst="rect">
                      <a:avLst/>
                    </a:prstGeom>
                  </pic:spPr>
                </pic:pic>
              </a:graphicData>
            </a:graphic>
          </wp:inline>
        </w:drawing>
      </w:r>
    </w:p>
    <w:p>
      <w:pPr>
        <w:pStyle w:val="114"/>
        <w:numPr>
          <w:ilvl w:val="0"/>
          <w:numId w:val="0"/>
        </w:numPr>
        <w:spacing w:before="156" w:after="156"/>
      </w:pPr>
      <w:r>
        <w:t xml:space="preserve">图 </w:t>
      </w:r>
      <w:r>
        <w:fldChar w:fldCharType="begin"/>
      </w:r>
      <w:r>
        <w:instrText xml:space="preserve"> SEQ 图 \* ARABIC </w:instrText>
      </w:r>
      <w:r>
        <w:fldChar w:fldCharType="separate"/>
      </w:r>
      <w:r>
        <w:t>2</w:t>
      </w:r>
      <w:r>
        <w:fldChar w:fldCharType="end"/>
      </w:r>
      <w:r>
        <w:rPr>
          <w:rFonts w:hint="eastAsia"/>
        </w:rPr>
        <w:t>稀土永磁材料区块链功能架构</w:t>
      </w:r>
    </w:p>
    <w:p>
      <w:pPr>
        <w:widowControl/>
        <w:autoSpaceDE w:val="0"/>
        <w:autoSpaceDN w:val="0"/>
        <w:spacing w:line="240" w:lineRule="auto"/>
        <w:ind w:firstLine="420" w:firstLineChars="200"/>
        <w:rPr>
          <w:kern w:val="0"/>
        </w:rPr>
      </w:pPr>
      <w:r>
        <w:rPr>
          <w:rFonts w:hint="eastAsia"/>
        </w:rPr>
        <w:t>稀土永磁材料区块链</w:t>
      </w:r>
      <w:r>
        <w:rPr>
          <w:rFonts w:hint="eastAsia"/>
          <w:kern w:val="0"/>
        </w:rPr>
        <w:t>的功能架构，包括稀土永磁企业数据节点、区块链中间件、区块链、稀土永磁产业链数据共享服务平台、跨链网关和安全合规等模块，各组成部分的主要功能如下：</w:t>
      </w:r>
    </w:p>
    <w:p>
      <w:pPr>
        <w:widowControl/>
        <w:numPr>
          <w:ilvl w:val="0"/>
          <w:numId w:val="33"/>
        </w:numPr>
        <w:autoSpaceDE w:val="0"/>
        <w:autoSpaceDN w:val="0"/>
        <w:adjustRightInd/>
        <w:spacing w:line="240" w:lineRule="auto"/>
        <w:rPr>
          <w:kern w:val="0"/>
        </w:rPr>
      </w:pPr>
      <w:r>
        <w:rPr>
          <w:rFonts w:hint="eastAsia"/>
          <w:kern w:val="0"/>
        </w:rPr>
        <w:t>稀土永磁企业数据节点：稀土永磁产业链上、中、下游企业，作为平台用户和数据共享参与方，通过该节点将数据目录或数据主体存储于本地数据库中。同时作为数据源，通过区块链中间件向稀土永磁产业链数据共享服务平台提供数据。</w:t>
      </w:r>
    </w:p>
    <w:p>
      <w:pPr>
        <w:widowControl/>
        <w:numPr>
          <w:ilvl w:val="0"/>
          <w:numId w:val="33"/>
        </w:numPr>
        <w:autoSpaceDE w:val="0"/>
        <w:autoSpaceDN w:val="0"/>
        <w:adjustRightInd/>
        <w:spacing w:line="240" w:lineRule="auto"/>
        <w:rPr>
          <w:kern w:val="0"/>
        </w:rPr>
      </w:pPr>
      <w:r>
        <w:rPr>
          <w:rFonts w:hint="eastAsia"/>
          <w:kern w:val="0"/>
        </w:rPr>
        <w:t>区块链中间件：基于区块链技术的应用程序接口中间件，连接稀土永磁产业链上的各个企业数据节点与区块链基础设施层。提供统一的工具、组件和服务，简化对区块链网络的访问和操作，支持数据发布、全局数据发现、事件追溯、权限控制等功能。</w:t>
      </w:r>
    </w:p>
    <w:p>
      <w:pPr>
        <w:widowControl/>
        <w:numPr>
          <w:ilvl w:val="0"/>
          <w:numId w:val="33"/>
        </w:numPr>
        <w:autoSpaceDE w:val="0"/>
        <w:autoSpaceDN w:val="0"/>
        <w:adjustRightInd/>
        <w:spacing w:line="240" w:lineRule="auto"/>
        <w:rPr>
          <w:kern w:val="0"/>
        </w:rPr>
      </w:pPr>
      <w:r>
        <w:rPr>
          <w:rFonts w:hint="eastAsia"/>
          <w:kern w:val="0"/>
        </w:rPr>
        <w:t>区块链：去中心化的通用区块链网络，支撑多节点进行材料数据发现与共享，建议采用联盟链形式，构建通用区块链网络。同时，支持多区块链平台间，进行跨区块链的数据共享。</w:t>
      </w:r>
    </w:p>
    <w:p>
      <w:pPr>
        <w:widowControl/>
        <w:numPr>
          <w:ilvl w:val="0"/>
          <w:numId w:val="33"/>
        </w:numPr>
        <w:autoSpaceDE w:val="0"/>
        <w:autoSpaceDN w:val="0"/>
        <w:adjustRightInd/>
        <w:spacing w:line="240" w:lineRule="auto"/>
        <w:rPr>
          <w:kern w:val="0"/>
        </w:rPr>
      </w:pPr>
      <w:r>
        <w:rPr>
          <w:rFonts w:hint="eastAsia"/>
          <w:kern w:val="0"/>
        </w:rPr>
        <w:t>稀土永磁产业链数据共享服务平台：支撑稀土永磁产业链上、中、下游企业之间进行数据共享服务的载体。提供用户管理、数据共享与运营监测等功能。</w:t>
      </w:r>
    </w:p>
    <w:p>
      <w:pPr>
        <w:numPr>
          <w:ilvl w:val="0"/>
          <w:numId w:val="33"/>
        </w:numPr>
        <w:adjustRightInd/>
        <w:spacing w:line="240" w:lineRule="auto"/>
        <w:rPr>
          <w:kern w:val="0"/>
        </w:rPr>
      </w:pPr>
      <w:r>
        <w:rPr>
          <w:rFonts w:hint="eastAsia"/>
          <w:kern w:val="0"/>
        </w:rPr>
        <w:t>跨链网关：连接不同区块链系统并实现跨链交互的组件，允许它们之间进行资产、数据和信息的转移和交互。</w:t>
      </w:r>
    </w:p>
    <w:p>
      <w:pPr>
        <w:widowControl/>
        <w:numPr>
          <w:ilvl w:val="0"/>
          <w:numId w:val="33"/>
        </w:numPr>
        <w:autoSpaceDE w:val="0"/>
        <w:autoSpaceDN w:val="0"/>
        <w:adjustRightInd/>
        <w:spacing w:line="240" w:lineRule="auto"/>
        <w:rPr>
          <w:kern w:val="0"/>
        </w:rPr>
      </w:pPr>
      <w:r>
        <w:rPr>
          <w:rFonts w:hint="eastAsia"/>
          <w:kern w:val="0"/>
        </w:rPr>
        <w:t>安全合规：稀土永磁产业链数据共享服务平台对数据的使用和存储应符合安全要求，包括基础设施、数据安全、身份与访问控制、审计、容灾与恢复。</w:t>
      </w:r>
    </w:p>
    <w:p>
      <w:pPr>
        <w:pStyle w:val="104"/>
        <w:spacing w:before="312" w:after="312"/>
      </w:pPr>
      <w:bookmarkStart w:id="87" w:name="_Toc206152290"/>
      <w:bookmarkStart w:id="88" w:name="_Toc206152418"/>
      <w:r>
        <w:rPr>
          <w:rFonts w:hint="eastAsia"/>
        </w:rPr>
        <w:t>稀土永磁材料区块链数据共享流程</w:t>
      </w:r>
      <w:bookmarkEnd w:id="87"/>
      <w:bookmarkEnd w:id="88"/>
    </w:p>
    <w:p>
      <w:pPr>
        <w:pStyle w:val="105"/>
        <w:spacing w:before="156" w:after="156"/>
      </w:pPr>
      <w:bookmarkStart w:id="89" w:name="_Toc206152291"/>
      <w:bookmarkStart w:id="90" w:name="_Toc206152419"/>
      <w:bookmarkStart w:id="91" w:name="_Hlk206147563"/>
      <w:r>
        <w:rPr>
          <w:rFonts w:hint="eastAsia"/>
        </w:rPr>
        <w:t>数据共享流程</w:t>
      </w:r>
      <w:bookmarkEnd w:id="89"/>
      <w:bookmarkEnd w:id="90"/>
    </w:p>
    <w:bookmarkEnd w:id="91"/>
    <w:p>
      <w:pPr>
        <w:widowControl/>
        <w:autoSpaceDE w:val="0"/>
        <w:autoSpaceDN w:val="0"/>
        <w:adjustRightInd/>
        <w:spacing w:line="240" w:lineRule="auto"/>
        <w:ind w:firstLine="420" w:firstLineChars="200"/>
        <w:rPr>
          <w:kern w:val="0"/>
        </w:rPr>
      </w:pPr>
      <w:r>
        <w:rPr>
          <w:rFonts w:hint="eastAsia"/>
          <w:kern w:val="0"/>
        </w:rPr>
        <w:t>稀土永磁材料区块链数据共享流程包括数据提供、数据发现、数据使用、数据追溯、数据评估，如图3所示。</w:t>
      </w:r>
    </w:p>
    <w:p>
      <w:pPr>
        <w:widowControl/>
        <w:autoSpaceDE w:val="0"/>
        <w:autoSpaceDN w:val="0"/>
        <w:adjustRightInd/>
        <w:spacing w:line="240" w:lineRule="auto"/>
        <w:rPr>
          <w:kern w:val="0"/>
        </w:rPr>
      </w:pPr>
      <w:r>
        <w:drawing>
          <wp:inline distT="0" distB="0" distL="0" distR="0">
            <wp:extent cx="5939790" cy="2696845"/>
            <wp:effectExtent l="0" t="0" r="3810" b="8255"/>
            <wp:docPr id="1219856598"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56598" name="图片 1" descr="图示&#10;&#10;AI 生成的内容可能不正确。"/>
                    <pic:cNvPicPr>
                      <a:picLocks noChangeAspect="1"/>
                    </pic:cNvPicPr>
                  </pic:nvPicPr>
                  <pic:blipFill>
                    <a:blip r:embed="rId36"/>
                    <a:stretch>
                      <a:fillRect/>
                    </a:stretch>
                  </pic:blipFill>
                  <pic:spPr>
                    <a:xfrm>
                      <a:off x="0" y="0"/>
                      <a:ext cx="5939790" cy="2696845"/>
                    </a:xfrm>
                    <a:prstGeom prst="rect">
                      <a:avLst/>
                    </a:prstGeom>
                  </pic:spPr>
                </pic:pic>
              </a:graphicData>
            </a:graphic>
          </wp:inline>
        </w:drawing>
      </w:r>
    </w:p>
    <w:p>
      <w:pPr>
        <w:pStyle w:val="114"/>
        <w:numPr>
          <w:ilvl w:val="0"/>
          <w:numId w:val="0"/>
        </w:numPr>
        <w:spacing w:before="156" w:after="156"/>
      </w:pPr>
      <w:r>
        <w:t xml:space="preserve">图 </w:t>
      </w:r>
      <w:r>
        <w:rPr>
          <w:rFonts w:hint="eastAsia"/>
        </w:rPr>
        <w:t>3稀土永磁区块链数据共享流程</w:t>
      </w:r>
    </w:p>
    <w:p>
      <w:pPr>
        <w:pStyle w:val="105"/>
        <w:spacing w:before="156" w:after="156"/>
      </w:pPr>
      <w:bookmarkStart w:id="92" w:name="_Toc206152292"/>
      <w:bookmarkStart w:id="93" w:name="_Toc206152420"/>
      <w:bookmarkStart w:id="94" w:name="_Hlk206147650"/>
      <w:r>
        <w:rPr>
          <w:rFonts w:hint="eastAsia"/>
        </w:rPr>
        <w:t>数据提供</w:t>
      </w:r>
      <w:bookmarkEnd w:id="92"/>
      <w:bookmarkEnd w:id="93"/>
    </w:p>
    <w:bookmarkEnd w:id="94"/>
    <w:p>
      <w:pPr>
        <w:pStyle w:val="65"/>
        <w:spacing w:before="156" w:after="156"/>
      </w:pPr>
      <w:bookmarkStart w:id="95" w:name="_Toc206152421"/>
      <w:bookmarkStart w:id="96" w:name="_Toc206152293"/>
      <w:r>
        <w:rPr>
          <w:rFonts w:hint="eastAsia"/>
        </w:rPr>
        <w:t>数据接入与发布</w:t>
      </w:r>
      <w:bookmarkEnd w:id="95"/>
      <w:bookmarkEnd w:id="96"/>
    </w:p>
    <w:p>
      <w:pPr>
        <w:pStyle w:val="56"/>
        <w:ind w:firstLine="420"/>
      </w:pPr>
      <w:r>
        <w:rPr>
          <w:rFonts w:hint="eastAsia"/>
        </w:rPr>
        <w:t>数据提供方接入稀土永磁产业链数据共享服务平台时，工作流程如下：</w:t>
      </w:r>
    </w:p>
    <w:p>
      <w:pPr>
        <w:pStyle w:val="56"/>
        <w:numPr>
          <w:ilvl w:val="1"/>
          <w:numId w:val="34"/>
        </w:numPr>
        <w:ind w:firstLineChars="0"/>
      </w:pPr>
      <w:r>
        <w:rPr>
          <w:rFonts w:hint="eastAsia"/>
        </w:rPr>
        <w:t>获得权限。发起身份认证，数据运营方根据认证结果，分配该数据提供方接入权限；</w:t>
      </w:r>
    </w:p>
    <w:p>
      <w:pPr>
        <w:pStyle w:val="56"/>
        <w:numPr>
          <w:ilvl w:val="1"/>
          <w:numId w:val="34"/>
        </w:numPr>
        <w:ind w:firstLineChars="0"/>
      </w:pPr>
      <w:r>
        <w:rPr>
          <w:rFonts w:hint="eastAsia"/>
        </w:rPr>
        <w:t>数据接入。数据提供方的数据系统与区块链中间件进行连接；</w:t>
      </w:r>
    </w:p>
    <w:p>
      <w:pPr>
        <w:pStyle w:val="56"/>
        <w:numPr>
          <w:ilvl w:val="1"/>
          <w:numId w:val="34"/>
        </w:numPr>
        <w:ind w:firstLineChars="0"/>
      </w:pPr>
      <w:r>
        <w:rPr>
          <w:rFonts w:hint="eastAsia"/>
        </w:rPr>
        <w:t>数据权限设置。数据提供方对数据的访问及使用权限进行设置，规则应符合附录B的规定；</w:t>
      </w:r>
    </w:p>
    <w:p>
      <w:pPr>
        <w:pStyle w:val="56"/>
        <w:numPr>
          <w:ilvl w:val="1"/>
          <w:numId w:val="34"/>
        </w:numPr>
        <w:ind w:firstLineChars="0"/>
      </w:pPr>
      <w:r>
        <w:rPr>
          <w:rFonts w:hint="eastAsia"/>
        </w:rPr>
        <w:t>数据发布。数据提供方将数据发布至稀土永磁产业链数据共享服务平台。</w:t>
      </w:r>
    </w:p>
    <w:p>
      <w:pPr>
        <w:pStyle w:val="65"/>
        <w:spacing w:before="156" w:after="156"/>
      </w:pPr>
      <w:bookmarkStart w:id="97" w:name="_Toc206152294"/>
      <w:bookmarkStart w:id="98" w:name="_Toc206152422"/>
      <w:r>
        <w:rPr>
          <w:rFonts w:hint="eastAsia"/>
        </w:rPr>
        <w:t>数据存证</w:t>
      </w:r>
      <w:bookmarkEnd w:id="97"/>
      <w:bookmarkEnd w:id="98"/>
    </w:p>
    <w:p>
      <w:pPr>
        <w:pStyle w:val="56"/>
        <w:ind w:firstLine="420"/>
      </w:pPr>
      <w:r>
        <w:rPr>
          <w:rFonts w:hint="eastAsia"/>
        </w:rPr>
        <w:t>数据发布同时区块链进行存证，存证内容应包含：</w:t>
      </w:r>
    </w:p>
    <w:p>
      <w:pPr>
        <w:pStyle w:val="56"/>
        <w:numPr>
          <w:ilvl w:val="0"/>
          <w:numId w:val="35"/>
        </w:numPr>
        <w:ind w:firstLineChars="0"/>
      </w:pPr>
      <w:r>
        <w:rPr>
          <w:rFonts w:hint="eastAsia"/>
        </w:rPr>
        <w:t>元数据；</w:t>
      </w:r>
    </w:p>
    <w:p>
      <w:pPr>
        <w:pStyle w:val="56"/>
        <w:numPr>
          <w:ilvl w:val="0"/>
          <w:numId w:val="35"/>
        </w:numPr>
        <w:ind w:firstLineChars="0"/>
      </w:pPr>
      <w:r>
        <w:rPr>
          <w:rFonts w:hint="eastAsia"/>
        </w:rPr>
        <w:t>材料特征数据；</w:t>
      </w:r>
    </w:p>
    <w:p>
      <w:pPr>
        <w:pStyle w:val="56"/>
        <w:numPr>
          <w:ilvl w:val="0"/>
          <w:numId w:val="35"/>
        </w:numPr>
        <w:ind w:firstLineChars="0"/>
      </w:pPr>
      <w:r>
        <w:rPr>
          <w:rFonts w:hint="eastAsia"/>
        </w:rPr>
        <w:t>数据主体哈希值；</w:t>
      </w:r>
    </w:p>
    <w:p>
      <w:pPr>
        <w:pStyle w:val="56"/>
        <w:numPr>
          <w:ilvl w:val="0"/>
          <w:numId w:val="35"/>
        </w:numPr>
        <w:ind w:firstLineChars="0"/>
      </w:pPr>
      <w:r>
        <w:rPr>
          <w:rFonts w:hint="eastAsia"/>
        </w:rPr>
        <w:t>材料数据访问权限。</w:t>
      </w:r>
    </w:p>
    <w:p>
      <w:pPr>
        <w:pStyle w:val="105"/>
        <w:spacing w:before="156" w:after="156"/>
      </w:pPr>
      <w:bookmarkStart w:id="99" w:name="_Toc206152295"/>
      <w:bookmarkStart w:id="100" w:name="_Toc206152423"/>
      <w:r>
        <w:rPr>
          <w:rFonts w:hint="eastAsia"/>
        </w:rPr>
        <w:t>数据使用</w:t>
      </w:r>
      <w:bookmarkEnd w:id="99"/>
      <w:bookmarkEnd w:id="100"/>
    </w:p>
    <w:p>
      <w:pPr>
        <w:pStyle w:val="65"/>
        <w:spacing w:before="156" w:after="156"/>
      </w:pPr>
      <w:bookmarkStart w:id="101" w:name="_Toc206152424"/>
      <w:bookmarkStart w:id="102" w:name="_Toc206152296"/>
      <w:r>
        <w:rPr>
          <w:rFonts w:hint="eastAsia"/>
        </w:rPr>
        <w:t>数据发现</w:t>
      </w:r>
      <w:bookmarkEnd w:id="101"/>
      <w:bookmarkEnd w:id="102"/>
    </w:p>
    <w:p>
      <w:pPr>
        <w:pStyle w:val="94"/>
        <w:spacing w:before="156" w:after="156"/>
      </w:pPr>
      <w:r>
        <w:rPr>
          <w:rFonts w:hint="eastAsia"/>
        </w:rPr>
        <w:t>基于材料特征的数据发现</w:t>
      </w:r>
    </w:p>
    <w:p>
      <w:pPr>
        <w:pStyle w:val="56"/>
        <w:ind w:firstLine="420"/>
      </w:pPr>
      <w:r>
        <w:rPr>
          <w:rFonts w:hint="eastAsia"/>
        </w:rPr>
        <w:t>材料数据间的发现应基于材料特征数据约定的数据模式，可以通过材料模式识别、人工智能等算法实现，模式识别算法可参考附录C构建。</w:t>
      </w:r>
    </w:p>
    <w:p>
      <w:pPr>
        <w:pStyle w:val="94"/>
        <w:spacing w:before="156" w:after="156"/>
      </w:pPr>
      <w:r>
        <w:rPr>
          <w:rFonts w:hint="eastAsia"/>
        </w:rPr>
        <w:t>基于数据目录的数据发现</w:t>
      </w:r>
    </w:p>
    <w:p>
      <w:pPr>
        <w:pStyle w:val="56"/>
        <w:ind w:firstLine="420"/>
      </w:pPr>
      <w:r>
        <w:rPr>
          <w:rFonts w:hint="eastAsia"/>
        </w:rPr>
        <w:t>数据使用方可通过浏览、搜索数据目录的内容，直观发现符合要求的数据。</w:t>
      </w:r>
    </w:p>
    <w:p>
      <w:pPr>
        <w:pStyle w:val="65"/>
        <w:spacing w:before="156" w:after="156"/>
      </w:pPr>
      <w:bookmarkStart w:id="103" w:name="_Toc206152425"/>
      <w:bookmarkStart w:id="104" w:name="_Toc206152297"/>
      <w:r>
        <w:rPr>
          <w:rFonts w:hint="eastAsia"/>
        </w:rPr>
        <w:t>数据授权使用</w:t>
      </w:r>
      <w:bookmarkEnd w:id="103"/>
      <w:bookmarkEnd w:id="104"/>
    </w:p>
    <w:p>
      <w:pPr>
        <w:pStyle w:val="56"/>
        <w:ind w:firstLine="420"/>
      </w:pPr>
      <w:r>
        <w:rPr>
          <w:rFonts w:hint="eastAsia"/>
        </w:rPr>
        <w:t>数据使用方提出数据使用方式及权限请求，经数据提供方审批后，数据使用方可对数据进行使用。</w:t>
      </w:r>
    </w:p>
    <w:p>
      <w:pPr>
        <w:pStyle w:val="56"/>
        <w:ind w:firstLine="420"/>
      </w:pPr>
      <w:r>
        <w:rPr>
          <w:rFonts w:hint="eastAsia"/>
        </w:rPr>
        <w:t>数据使用方式包括：</w:t>
      </w:r>
    </w:p>
    <w:p>
      <w:pPr>
        <w:pStyle w:val="56"/>
        <w:numPr>
          <w:ilvl w:val="0"/>
          <w:numId w:val="36"/>
        </w:numPr>
        <w:ind w:firstLineChars="0"/>
      </w:pPr>
      <w:r>
        <w:rPr>
          <w:rFonts w:hint="eastAsia"/>
        </w:rPr>
        <w:t>数据浏览；</w:t>
      </w:r>
    </w:p>
    <w:p>
      <w:pPr>
        <w:pStyle w:val="56"/>
        <w:numPr>
          <w:ilvl w:val="0"/>
          <w:numId w:val="36"/>
        </w:numPr>
        <w:ind w:firstLineChars="0"/>
      </w:pPr>
      <w:r>
        <w:rPr>
          <w:rFonts w:hint="eastAsia"/>
        </w:rPr>
        <w:t>数据下载；</w:t>
      </w:r>
    </w:p>
    <w:p>
      <w:pPr>
        <w:pStyle w:val="56"/>
        <w:numPr>
          <w:ilvl w:val="0"/>
          <w:numId w:val="36"/>
        </w:numPr>
        <w:ind w:firstLineChars="0"/>
      </w:pPr>
      <w:r>
        <w:rPr>
          <w:rFonts w:hint="eastAsia"/>
        </w:rPr>
        <w:t>数据引用；</w:t>
      </w:r>
    </w:p>
    <w:p>
      <w:pPr>
        <w:pStyle w:val="56"/>
        <w:numPr>
          <w:ilvl w:val="0"/>
          <w:numId w:val="36"/>
        </w:numPr>
        <w:ind w:firstLineChars="0"/>
      </w:pPr>
      <w:r>
        <w:rPr>
          <w:rFonts w:hint="eastAsia"/>
        </w:rPr>
        <w:t>数据建模；</w:t>
      </w:r>
    </w:p>
    <w:p>
      <w:pPr>
        <w:pStyle w:val="56"/>
        <w:numPr>
          <w:ilvl w:val="0"/>
          <w:numId w:val="36"/>
        </w:numPr>
        <w:ind w:firstLineChars="0"/>
      </w:pPr>
      <w:r>
        <w:rPr>
          <w:rFonts w:hint="eastAsia"/>
        </w:rPr>
        <w:t>数据集成。</w:t>
      </w:r>
    </w:p>
    <w:p>
      <w:pPr>
        <w:pStyle w:val="105"/>
        <w:spacing w:before="156" w:after="156"/>
      </w:pPr>
      <w:bookmarkStart w:id="105" w:name="_Toc1782"/>
      <w:bookmarkStart w:id="106" w:name="_Toc205542819"/>
      <w:bookmarkStart w:id="107" w:name="_Toc204675208"/>
      <w:bookmarkStart w:id="108" w:name="_Toc206152426"/>
      <w:bookmarkStart w:id="109" w:name="_Toc206152298"/>
      <w:r>
        <w:rPr>
          <w:rFonts w:hint="eastAsia"/>
        </w:rPr>
        <w:t>数据追溯</w:t>
      </w:r>
      <w:bookmarkEnd w:id="105"/>
      <w:bookmarkEnd w:id="106"/>
      <w:bookmarkEnd w:id="107"/>
      <w:bookmarkEnd w:id="108"/>
      <w:bookmarkEnd w:id="109"/>
    </w:p>
    <w:p>
      <w:pPr>
        <w:pStyle w:val="65"/>
        <w:spacing w:before="156" w:after="156"/>
      </w:pPr>
      <w:bookmarkStart w:id="110" w:name="_Toc206152427"/>
      <w:bookmarkStart w:id="111" w:name="_Toc206152299"/>
      <w:r>
        <w:rPr>
          <w:rFonts w:hint="eastAsia"/>
        </w:rPr>
        <w:t>产业链数据追溯</w:t>
      </w:r>
      <w:bookmarkEnd w:id="110"/>
      <w:bookmarkEnd w:id="111"/>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稀土永磁材料/产品的数据追溯基于稀土永磁产业链数据共享平台，实现如下环节的数据追溯</w:t>
      </w:r>
      <w:r>
        <w:rPr>
          <w:rFonts w:ascii="宋体" w:hAnsi="Times New Roman"/>
          <w:kern w:val="0"/>
          <w:szCs w:val="20"/>
        </w:rPr>
        <w:t>：</w:t>
      </w:r>
    </w:p>
    <w:p>
      <w:pPr>
        <w:widowControl/>
        <w:numPr>
          <w:ilvl w:val="0"/>
          <w:numId w:val="37"/>
        </w:numPr>
        <w:autoSpaceDE w:val="0"/>
        <w:autoSpaceDN w:val="0"/>
        <w:adjustRightInd/>
        <w:spacing w:line="240" w:lineRule="auto"/>
        <w:rPr>
          <w:rFonts w:ascii="宋体" w:hAnsi="Times New Roman"/>
          <w:kern w:val="0"/>
          <w:szCs w:val="20"/>
        </w:rPr>
      </w:pPr>
      <w:r>
        <w:rPr>
          <w:rFonts w:hint="eastAsia" w:ascii="宋体" w:hAnsi="Times New Roman"/>
          <w:kern w:val="0"/>
          <w:szCs w:val="20"/>
        </w:rPr>
        <w:t>稀土永磁原材料自下而上，向上游矿石开采至冶炼分离端的环节，进行数据追溯；</w:t>
      </w:r>
    </w:p>
    <w:p>
      <w:pPr>
        <w:widowControl/>
        <w:numPr>
          <w:ilvl w:val="0"/>
          <w:numId w:val="37"/>
        </w:numPr>
        <w:autoSpaceDE w:val="0"/>
        <w:autoSpaceDN w:val="0"/>
        <w:adjustRightInd/>
        <w:spacing w:line="240" w:lineRule="auto"/>
        <w:rPr>
          <w:rFonts w:ascii="宋体" w:hAnsi="Times New Roman"/>
          <w:kern w:val="0"/>
          <w:szCs w:val="20"/>
        </w:rPr>
      </w:pPr>
      <w:r>
        <w:rPr>
          <w:rFonts w:hint="eastAsia" w:ascii="宋体" w:hAnsi="Times New Roman"/>
          <w:kern w:val="0"/>
          <w:szCs w:val="20"/>
        </w:rPr>
        <w:t>稀土永磁磁体在加工制造过程中多制造工序环节间，进行数据追溯；</w:t>
      </w:r>
    </w:p>
    <w:p>
      <w:pPr>
        <w:widowControl/>
        <w:numPr>
          <w:ilvl w:val="0"/>
          <w:numId w:val="37"/>
        </w:numPr>
        <w:autoSpaceDE w:val="0"/>
        <w:autoSpaceDN w:val="0"/>
        <w:adjustRightInd/>
        <w:spacing w:line="240" w:lineRule="auto"/>
        <w:rPr>
          <w:rFonts w:ascii="宋体" w:hAnsi="Times New Roman"/>
          <w:kern w:val="0"/>
          <w:szCs w:val="20"/>
        </w:rPr>
      </w:pPr>
      <w:r>
        <w:rPr>
          <w:rFonts w:hint="eastAsia" w:ascii="宋体" w:hAnsi="Times New Roman"/>
          <w:kern w:val="0"/>
          <w:szCs w:val="20"/>
        </w:rPr>
        <w:t>稀土永磁产品自上而下，向下游应用的环节，进行数据追溯。</w:t>
      </w:r>
    </w:p>
    <w:p>
      <w:pPr>
        <w:pStyle w:val="65"/>
        <w:spacing w:before="156" w:after="156"/>
      </w:pPr>
      <w:bookmarkStart w:id="112" w:name="_Toc206152300"/>
      <w:bookmarkStart w:id="113" w:name="_Toc206152428"/>
      <w:bookmarkStart w:id="114" w:name="_Toc205367195"/>
      <w:bookmarkStart w:id="115" w:name="_Toc204675298"/>
      <w:bookmarkStart w:id="116" w:name="_Toc204675209"/>
      <w:bookmarkStart w:id="117" w:name="_Toc205542820"/>
      <w:bookmarkStart w:id="118" w:name="_Toc22933"/>
      <w:bookmarkStart w:id="119" w:name="_Toc205214655"/>
      <w:bookmarkStart w:id="120" w:name="_Toc205366776"/>
      <w:r>
        <w:rPr>
          <w:rFonts w:hint="eastAsia"/>
        </w:rPr>
        <w:t>共享事件追溯</w:t>
      </w:r>
      <w:bookmarkEnd w:id="112"/>
      <w:bookmarkEnd w:id="113"/>
    </w:p>
    <w:bookmarkEnd w:id="114"/>
    <w:bookmarkEnd w:id="115"/>
    <w:bookmarkEnd w:id="116"/>
    <w:bookmarkEnd w:id="117"/>
    <w:bookmarkEnd w:id="118"/>
    <w:bookmarkEnd w:id="119"/>
    <w:bookmarkEnd w:id="120"/>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数据共享事件追溯基于稀土永磁产业链数据共享平台，在区块链上实现数据共享全流程存证、追溯，具体上链事件包括：</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数据提供者对其所拥有数据的管理，具体包括：数据发布、权限管理、数据版本更新；</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数据使用方对数据的使用行为，具体包括：数据浏览、数据下载、数据引用、数据建模、数据对接应用；</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数据使用方对数据质量的反馈，具体包括：积极反馈、消极反馈。</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用户对数据的引用。</w:t>
      </w:r>
    </w:p>
    <w:p>
      <w:pPr>
        <w:pStyle w:val="105"/>
        <w:spacing w:before="156" w:after="156"/>
      </w:pPr>
      <w:bookmarkStart w:id="121" w:name="_Toc205542822"/>
      <w:bookmarkStart w:id="122" w:name="_Toc204675211"/>
      <w:bookmarkStart w:id="123" w:name="_Toc9457"/>
      <w:bookmarkStart w:id="124" w:name="_Toc206152301"/>
      <w:bookmarkStart w:id="125" w:name="_Toc206152429"/>
      <w:r>
        <w:rPr>
          <w:rFonts w:hint="eastAsia"/>
        </w:rPr>
        <w:t>数据</w:t>
      </w:r>
      <w:bookmarkEnd w:id="121"/>
      <w:bookmarkEnd w:id="122"/>
      <w:bookmarkEnd w:id="123"/>
      <w:r>
        <w:rPr>
          <w:rFonts w:hint="eastAsia"/>
        </w:rPr>
        <w:t>评估</w:t>
      </w:r>
      <w:bookmarkEnd w:id="124"/>
      <w:bookmarkEnd w:id="125"/>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数据评估包括数据评价及数据估值，具体要求如下：</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应明确责任主体，其中数据使用方对数据质量及应用效果进行评价，平台运营方对数据资产价值进行评估；</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数据评价宜明确具体评价维度，如：完整性、时效性、准确性、合规性及业务契合度等；</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平台运营方宜采用基于区块链技术的量化评估方法，包括但不限于：</w:t>
      </w:r>
    </w:p>
    <w:p>
      <w:pPr>
        <w:widowControl/>
        <w:autoSpaceDE w:val="0"/>
        <w:autoSpaceDN w:val="0"/>
        <w:adjustRightInd/>
        <w:spacing w:line="240" w:lineRule="auto"/>
        <w:ind w:left="860"/>
        <w:rPr>
          <w:rFonts w:ascii="宋体" w:hAnsi="Times New Roman"/>
          <w:kern w:val="0"/>
          <w:szCs w:val="20"/>
        </w:rPr>
      </w:pPr>
      <w:r>
        <w:rPr>
          <w:rFonts w:hint="eastAsia" w:ascii="宋体" w:hAnsi="Times New Roman"/>
          <w:kern w:val="0"/>
          <w:szCs w:val="20"/>
        </w:rPr>
        <w:t>1.链上活跃度指标：数据被交换次数、引用频次等；</w:t>
      </w:r>
    </w:p>
    <w:p>
      <w:pPr>
        <w:widowControl/>
        <w:autoSpaceDE w:val="0"/>
        <w:autoSpaceDN w:val="0"/>
        <w:adjustRightInd/>
        <w:spacing w:line="240" w:lineRule="auto"/>
        <w:ind w:left="860"/>
        <w:rPr>
          <w:rFonts w:ascii="宋体" w:hAnsi="Times New Roman"/>
          <w:kern w:val="0"/>
          <w:szCs w:val="20"/>
        </w:rPr>
      </w:pPr>
      <w:r>
        <w:rPr>
          <w:rFonts w:hint="eastAsia" w:ascii="宋体" w:hAnsi="Times New Roman"/>
          <w:kern w:val="0"/>
          <w:szCs w:val="20"/>
        </w:rPr>
        <w:t>2.使用方反馈数据；</w:t>
      </w:r>
    </w:p>
    <w:p>
      <w:pPr>
        <w:widowControl/>
        <w:autoSpaceDE w:val="0"/>
        <w:autoSpaceDN w:val="0"/>
        <w:adjustRightInd/>
        <w:spacing w:line="240" w:lineRule="auto"/>
        <w:ind w:left="860"/>
        <w:rPr>
          <w:rFonts w:ascii="宋体" w:hAnsi="Times New Roman"/>
          <w:kern w:val="0"/>
          <w:szCs w:val="20"/>
        </w:rPr>
      </w:pPr>
      <w:r>
        <w:rPr>
          <w:rFonts w:hint="eastAsia" w:ascii="宋体" w:hAnsi="Times New Roman"/>
          <w:kern w:val="0"/>
          <w:szCs w:val="20"/>
        </w:rPr>
        <w:t>3.基于上述指标建立的数学模型。</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数据评价结果及数据估值结果应及时、完整地向数据提供方反馈，并明确反馈渠道与记录机制。</w:t>
      </w:r>
    </w:p>
    <w:p>
      <w:pPr>
        <w:pStyle w:val="105"/>
        <w:spacing w:before="156" w:after="156"/>
      </w:pPr>
      <w:bookmarkStart w:id="126" w:name="_Toc206152430"/>
      <w:bookmarkStart w:id="127" w:name="_Toc205542823"/>
      <w:bookmarkStart w:id="128" w:name="_Toc206152302"/>
      <w:r>
        <w:rPr>
          <w:rFonts w:hint="eastAsia"/>
        </w:rPr>
        <w:t>数据监测</w:t>
      </w:r>
      <w:bookmarkEnd w:id="126"/>
      <w:bookmarkEnd w:id="127"/>
      <w:bookmarkEnd w:id="128"/>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稀土永磁产业链数据共享服务平台宜具备如下监测能力：</w:t>
      </w:r>
    </w:p>
    <w:p>
      <w:pPr>
        <w:widowControl/>
        <w:numPr>
          <w:ilvl w:val="0"/>
          <w:numId w:val="40"/>
        </w:numPr>
        <w:autoSpaceDE w:val="0"/>
        <w:autoSpaceDN w:val="0"/>
        <w:adjustRightInd/>
        <w:spacing w:line="240" w:lineRule="auto"/>
        <w:rPr>
          <w:rFonts w:ascii="宋体" w:hAnsi="Times New Roman"/>
          <w:kern w:val="0"/>
          <w:szCs w:val="20"/>
        </w:rPr>
      </w:pPr>
      <w:r>
        <w:rPr>
          <w:rFonts w:ascii="宋体" w:hAnsi="Times New Roman"/>
          <w:kern w:val="0"/>
          <w:szCs w:val="20"/>
        </w:rPr>
        <w:t>规则与算法合规性：对数据共享规则及算法逻辑进行第三方评估验证，确保其公正性与公允性；实施隐私保护设计，防止共享过程中泄露参与方私有数据；</w:t>
      </w:r>
    </w:p>
    <w:p>
      <w:pPr>
        <w:widowControl/>
        <w:numPr>
          <w:ilvl w:val="0"/>
          <w:numId w:val="40"/>
        </w:numPr>
        <w:autoSpaceDE w:val="0"/>
        <w:autoSpaceDN w:val="0"/>
        <w:adjustRightInd/>
        <w:spacing w:line="240" w:lineRule="auto"/>
        <w:rPr>
          <w:rFonts w:ascii="宋体" w:hAnsi="Times New Roman"/>
          <w:kern w:val="0"/>
          <w:szCs w:val="20"/>
        </w:rPr>
      </w:pPr>
      <w:r>
        <w:rPr>
          <w:rFonts w:ascii="宋体" w:hAnsi="Times New Roman"/>
          <w:kern w:val="0"/>
          <w:szCs w:val="20"/>
        </w:rPr>
        <w:t>行为一致性：采用操作日志记录、异常服务实时检测、越权行为自动预警技术</w:t>
      </w:r>
      <w:r>
        <w:rPr>
          <w:rFonts w:hint="eastAsia" w:ascii="宋体" w:hAnsi="Times New Roman"/>
          <w:kern w:val="0"/>
          <w:szCs w:val="20"/>
        </w:rPr>
        <w:t>，</w:t>
      </w:r>
      <w:r>
        <w:rPr>
          <w:rFonts w:ascii="宋体" w:hAnsi="Times New Roman"/>
          <w:kern w:val="0"/>
          <w:szCs w:val="20"/>
        </w:rPr>
        <w:t>确保数据共享行为与约定规则一致，且使用范围不超出授权权限边界；</w:t>
      </w:r>
    </w:p>
    <w:p>
      <w:pPr>
        <w:widowControl/>
        <w:numPr>
          <w:ilvl w:val="0"/>
          <w:numId w:val="40"/>
        </w:numPr>
        <w:autoSpaceDE w:val="0"/>
        <w:autoSpaceDN w:val="0"/>
        <w:adjustRightInd/>
        <w:spacing w:line="240" w:lineRule="auto"/>
        <w:rPr>
          <w:rFonts w:ascii="宋体" w:hAnsi="Times New Roman"/>
          <w:kern w:val="0"/>
          <w:szCs w:val="20"/>
        </w:rPr>
      </w:pPr>
      <w:r>
        <w:rPr>
          <w:rFonts w:ascii="宋体" w:hAnsi="Times New Roman"/>
          <w:kern w:val="0"/>
          <w:szCs w:val="20"/>
        </w:rPr>
        <w:t>安全事件追溯与响应：支持对非授权或非法操作行为安全事件、域数据传输事件、服务过程异常状态</w:t>
      </w:r>
      <w:r>
        <w:rPr>
          <w:rFonts w:hint="eastAsia" w:ascii="宋体" w:hAnsi="Times New Roman"/>
          <w:kern w:val="0"/>
          <w:szCs w:val="20"/>
        </w:rPr>
        <w:t>实</w:t>
      </w:r>
      <w:r>
        <w:rPr>
          <w:rFonts w:ascii="宋体" w:hAnsi="Times New Roman"/>
          <w:kern w:val="0"/>
          <w:szCs w:val="20"/>
        </w:rPr>
        <w:t>施链上查询与跟踪</w:t>
      </w:r>
      <w:r>
        <w:rPr>
          <w:rFonts w:hint="eastAsia" w:ascii="宋体" w:hAnsi="Times New Roman"/>
          <w:kern w:val="0"/>
          <w:szCs w:val="20"/>
        </w:rPr>
        <w:t>。</w:t>
      </w:r>
    </w:p>
    <w:p>
      <w:pPr>
        <w:pStyle w:val="104"/>
        <w:spacing w:before="312" w:after="312"/>
      </w:pPr>
      <w:bookmarkStart w:id="129" w:name="_Toc204675213"/>
      <w:bookmarkStart w:id="130" w:name="_Toc8909"/>
      <w:bookmarkStart w:id="131" w:name="_Toc206152303"/>
      <w:bookmarkStart w:id="132" w:name="_Toc205542824"/>
      <w:bookmarkStart w:id="133" w:name="_Toc2666"/>
      <w:bookmarkStart w:id="134" w:name="_Toc206152431"/>
      <w:r>
        <w:rPr>
          <w:rFonts w:hint="eastAsia"/>
        </w:rPr>
        <w:t>数据基本约定</w:t>
      </w:r>
      <w:bookmarkEnd w:id="129"/>
      <w:bookmarkEnd w:id="130"/>
      <w:bookmarkEnd w:id="131"/>
      <w:bookmarkEnd w:id="132"/>
      <w:bookmarkEnd w:id="133"/>
      <w:bookmarkEnd w:id="134"/>
    </w:p>
    <w:p>
      <w:pPr>
        <w:pStyle w:val="105"/>
        <w:spacing w:before="156" w:after="156"/>
      </w:pPr>
      <w:bookmarkStart w:id="135" w:name="_Toc5707"/>
      <w:bookmarkStart w:id="136" w:name="_Toc206152432"/>
      <w:bookmarkStart w:id="137" w:name="_Toc205542825"/>
      <w:bookmarkStart w:id="138" w:name="_Toc204675214"/>
      <w:bookmarkStart w:id="139" w:name="_Toc206152304"/>
      <w:bookmarkStart w:id="140" w:name="_Toc204675215"/>
      <w:bookmarkStart w:id="141" w:name="_Toc155"/>
      <w:r>
        <w:rPr>
          <w:rFonts w:hint="eastAsia"/>
        </w:rPr>
        <w:t>数据组成</w:t>
      </w:r>
      <w:bookmarkEnd w:id="135"/>
      <w:bookmarkEnd w:id="136"/>
      <w:bookmarkEnd w:id="137"/>
      <w:bookmarkEnd w:id="138"/>
      <w:bookmarkEnd w:id="139"/>
    </w:p>
    <w:p>
      <w:pPr>
        <w:pStyle w:val="56"/>
        <w:ind w:firstLine="420"/>
      </w:pPr>
      <w:r>
        <w:rPr>
          <w:rFonts w:hint="eastAsia"/>
        </w:rPr>
        <w:t>基于区块链的稀土永磁产业链数据的存储结构，主要包括三个层次：数据主体、元数据、稀土永磁材料特征数据。</w:t>
      </w:r>
    </w:p>
    <w:p>
      <w:pPr>
        <w:pStyle w:val="105"/>
        <w:spacing w:before="156" w:after="156"/>
      </w:pPr>
      <w:bookmarkStart w:id="142" w:name="_Toc205542826"/>
      <w:bookmarkStart w:id="143" w:name="_Toc206152305"/>
      <w:bookmarkStart w:id="144" w:name="_Toc206152433"/>
      <w:r>
        <w:rPr>
          <w:rFonts w:hint="eastAsia"/>
        </w:rPr>
        <w:t>数据主体</w:t>
      </w:r>
      <w:bookmarkEnd w:id="140"/>
      <w:bookmarkEnd w:id="141"/>
      <w:bookmarkEnd w:id="142"/>
      <w:bookmarkEnd w:id="143"/>
      <w:bookmarkEnd w:id="144"/>
    </w:p>
    <w:p>
      <w:pPr>
        <w:pStyle w:val="56"/>
        <w:ind w:firstLine="420"/>
      </w:pPr>
      <w:r>
        <w:rPr>
          <w:rFonts w:hint="eastAsia"/>
        </w:rPr>
        <w:t>数据主体的数据结构，应符合表1的规定。</w:t>
      </w:r>
    </w:p>
    <w:p>
      <w:pPr>
        <w:pStyle w:val="112"/>
        <w:spacing w:before="156" w:after="156"/>
      </w:pPr>
      <w:r>
        <w:rPr>
          <w:rFonts w:hint="eastAsia"/>
        </w:rPr>
        <w:t>数据主体数据结构及说明</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2058"/>
        <w:gridCol w:w="4377"/>
        <w:gridCol w:w="1638"/>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jc w:val="center"/>
        </w:trPr>
        <w:tc>
          <w:tcPr>
            <w:tcW w:w="773" w:type="pct"/>
            <w:vAlign w:val="center"/>
          </w:tcPr>
          <w:p>
            <w:pPr>
              <w:pStyle w:val="178"/>
              <w:rPr>
                <w:rFonts w:ascii="Times New Roman"/>
              </w:rPr>
            </w:pPr>
            <w:r>
              <w:rPr>
                <w:rFonts w:ascii="Times New Roman"/>
              </w:rPr>
              <w:t>序号</w:t>
            </w:r>
          </w:p>
        </w:tc>
        <w:tc>
          <w:tcPr>
            <w:tcW w:w="1075" w:type="pct"/>
            <w:vAlign w:val="center"/>
          </w:tcPr>
          <w:p>
            <w:pPr>
              <w:pStyle w:val="178"/>
              <w:rPr>
                <w:rFonts w:ascii="Times New Roman"/>
              </w:rPr>
            </w:pPr>
            <w:r>
              <w:rPr>
                <w:rFonts w:ascii="Times New Roman"/>
              </w:rPr>
              <w:t>数据项名称</w:t>
            </w:r>
          </w:p>
        </w:tc>
        <w:tc>
          <w:tcPr>
            <w:tcW w:w="2287" w:type="pct"/>
            <w:vAlign w:val="center"/>
          </w:tcPr>
          <w:p>
            <w:pPr>
              <w:pStyle w:val="178"/>
              <w:rPr>
                <w:rFonts w:ascii="Times New Roman"/>
              </w:rPr>
            </w:pPr>
            <w:r>
              <w:rPr>
                <w:rFonts w:ascii="Times New Roman"/>
              </w:rPr>
              <w:t>说明</w:t>
            </w:r>
          </w:p>
        </w:tc>
        <w:tc>
          <w:tcPr>
            <w:tcW w:w="856" w:type="pct"/>
            <w:vAlign w:val="center"/>
          </w:tcPr>
          <w:p>
            <w:pPr>
              <w:pStyle w:val="178"/>
            </w:pPr>
            <w:r>
              <w:rPr>
                <w:rFonts w:hint="eastAsia"/>
              </w:rPr>
              <w:t>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jc w:val="center"/>
        </w:trPr>
        <w:tc>
          <w:tcPr>
            <w:tcW w:w="773" w:type="pct"/>
            <w:vAlign w:val="center"/>
          </w:tcPr>
          <w:p>
            <w:pPr>
              <w:pStyle w:val="178"/>
              <w:rPr>
                <w:rFonts w:ascii="Times New Roman"/>
              </w:rPr>
            </w:pPr>
            <w:r>
              <w:rPr>
                <w:rFonts w:ascii="Times New Roman"/>
              </w:rPr>
              <w:t>1</w:t>
            </w:r>
          </w:p>
        </w:tc>
        <w:tc>
          <w:tcPr>
            <w:tcW w:w="1075" w:type="pct"/>
            <w:vAlign w:val="center"/>
          </w:tcPr>
          <w:p>
            <w:pPr>
              <w:pStyle w:val="178"/>
              <w:rPr>
                <w:rFonts w:ascii="Times New Roman"/>
              </w:rPr>
            </w:pPr>
            <w:r>
              <w:rPr>
                <w:rFonts w:ascii="Times New Roman"/>
              </w:rPr>
              <w:t>唯一标识</w:t>
            </w:r>
          </w:p>
        </w:tc>
        <w:tc>
          <w:tcPr>
            <w:tcW w:w="2287" w:type="pct"/>
            <w:vAlign w:val="center"/>
          </w:tcPr>
          <w:p>
            <w:pPr>
              <w:pStyle w:val="178"/>
              <w:rPr>
                <w:rFonts w:ascii="Times New Roman"/>
              </w:rPr>
            </w:pPr>
            <w:r>
              <w:rPr>
                <w:rFonts w:ascii="Times New Roman"/>
              </w:rPr>
              <w:t>材料数据主体的标识</w:t>
            </w:r>
          </w:p>
        </w:tc>
        <w:tc>
          <w:tcPr>
            <w:tcW w:w="856" w:type="pct"/>
            <w:vAlign w:val="center"/>
          </w:tcPr>
          <w:p>
            <w:pPr>
              <w:pStyle w:val="178"/>
            </w:pPr>
            <w:r>
              <w:rPr>
                <w:rFonts w:hint="eastAsia"/>
              </w:rPr>
              <w:t>数值型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jc w:val="center"/>
        </w:trPr>
        <w:tc>
          <w:tcPr>
            <w:tcW w:w="773" w:type="pct"/>
            <w:vAlign w:val="center"/>
          </w:tcPr>
          <w:p>
            <w:pPr>
              <w:pStyle w:val="178"/>
              <w:rPr>
                <w:rFonts w:ascii="Times New Roman"/>
              </w:rPr>
            </w:pPr>
            <w:r>
              <w:rPr>
                <w:rFonts w:ascii="Times New Roman"/>
              </w:rPr>
              <w:t>2</w:t>
            </w:r>
          </w:p>
        </w:tc>
        <w:tc>
          <w:tcPr>
            <w:tcW w:w="1075" w:type="pct"/>
            <w:vAlign w:val="center"/>
          </w:tcPr>
          <w:p>
            <w:pPr>
              <w:pStyle w:val="178"/>
              <w:rPr>
                <w:rFonts w:ascii="Times New Roman"/>
              </w:rPr>
            </w:pPr>
            <w:r>
              <w:rPr>
                <w:rFonts w:ascii="Times New Roman"/>
              </w:rPr>
              <w:t>数据主体文件</w:t>
            </w:r>
          </w:p>
        </w:tc>
        <w:tc>
          <w:tcPr>
            <w:tcW w:w="2287" w:type="pct"/>
            <w:vAlign w:val="center"/>
          </w:tcPr>
          <w:p>
            <w:pPr>
              <w:pStyle w:val="178"/>
              <w:rPr>
                <w:rFonts w:ascii="Times New Roman"/>
              </w:rPr>
            </w:pPr>
            <w:r>
              <w:rPr>
                <w:rFonts w:ascii="Times New Roman"/>
              </w:rPr>
              <w:t>格式包括表格、数据库、网页文本、多媒体、文档等</w:t>
            </w:r>
          </w:p>
        </w:tc>
        <w:tc>
          <w:tcPr>
            <w:tcW w:w="856" w:type="pct"/>
            <w:vAlign w:val="center"/>
          </w:tcPr>
          <w:p>
            <w:pPr>
              <w:pStyle w:val="178"/>
            </w:pPr>
            <w:r>
              <w:rPr>
                <w:rFonts w:hint="eastAsia"/>
              </w:rPr>
              <w:t>二进制流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jc w:val="center"/>
        </w:trPr>
        <w:tc>
          <w:tcPr>
            <w:tcW w:w="773" w:type="pct"/>
            <w:vAlign w:val="center"/>
          </w:tcPr>
          <w:p>
            <w:pPr>
              <w:pStyle w:val="178"/>
              <w:rPr>
                <w:rFonts w:ascii="Times New Roman"/>
              </w:rPr>
            </w:pPr>
            <w:r>
              <w:rPr>
                <w:rFonts w:ascii="Times New Roman"/>
              </w:rPr>
              <w:t>3</w:t>
            </w:r>
          </w:p>
        </w:tc>
        <w:tc>
          <w:tcPr>
            <w:tcW w:w="1075" w:type="pct"/>
            <w:vAlign w:val="center"/>
          </w:tcPr>
          <w:p>
            <w:pPr>
              <w:pStyle w:val="178"/>
              <w:rPr>
                <w:rFonts w:ascii="Times New Roman"/>
              </w:rPr>
            </w:pPr>
            <w:r>
              <w:rPr>
                <w:rFonts w:ascii="Times New Roman"/>
              </w:rPr>
              <w:t>文件属性</w:t>
            </w:r>
          </w:p>
        </w:tc>
        <w:tc>
          <w:tcPr>
            <w:tcW w:w="2287" w:type="pct"/>
            <w:vAlign w:val="center"/>
          </w:tcPr>
          <w:p>
            <w:pPr>
              <w:pStyle w:val="178"/>
              <w:rPr>
                <w:rFonts w:ascii="Times New Roman"/>
              </w:rPr>
            </w:pPr>
            <w:r>
              <w:rPr>
                <w:rFonts w:ascii="Times New Roman"/>
              </w:rPr>
              <w:t>包括文件类型、大小、文件格式</w:t>
            </w:r>
          </w:p>
        </w:tc>
        <w:tc>
          <w:tcPr>
            <w:tcW w:w="856" w:type="pct"/>
            <w:vAlign w:val="center"/>
          </w:tcPr>
          <w:p>
            <w:pPr>
              <w:pStyle w:val="178"/>
            </w:pPr>
            <w:r>
              <w:rPr>
                <w:rFonts w:hint="eastAsia"/>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jc w:val="center"/>
        </w:trPr>
        <w:tc>
          <w:tcPr>
            <w:tcW w:w="773" w:type="pct"/>
            <w:vAlign w:val="center"/>
          </w:tcPr>
          <w:p>
            <w:pPr>
              <w:pStyle w:val="178"/>
              <w:rPr>
                <w:rFonts w:ascii="Times New Roman"/>
              </w:rPr>
            </w:pPr>
            <w:r>
              <w:rPr>
                <w:rFonts w:ascii="Times New Roman"/>
              </w:rPr>
              <w:t>4</w:t>
            </w:r>
          </w:p>
        </w:tc>
        <w:tc>
          <w:tcPr>
            <w:tcW w:w="1075" w:type="pct"/>
            <w:vAlign w:val="center"/>
          </w:tcPr>
          <w:p>
            <w:pPr>
              <w:pStyle w:val="178"/>
              <w:rPr>
                <w:rFonts w:ascii="Times New Roman"/>
              </w:rPr>
            </w:pPr>
            <w:r>
              <w:rPr>
                <w:rFonts w:ascii="Times New Roman"/>
              </w:rPr>
              <w:t>数据主体哈希值</w:t>
            </w:r>
          </w:p>
        </w:tc>
        <w:tc>
          <w:tcPr>
            <w:tcW w:w="2287" w:type="pct"/>
            <w:vAlign w:val="center"/>
          </w:tcPr>
          <w:p>
            <w:pPr>
              <w:pStyle w:val="178"/>
              <w:rPr>
                <w:rFonts w:ascii="Times New Roman"/>
              </w:rPr>
            </w:pPr>
            <w:r>
              <w:rPr>
                <w:rFonts w:ascii="Times New Roman"/>
              </w:rPr>
              <w:t>对数据主体进行哈希计算后的哈希值a</w:t>
            </w:r>
          </w:p>
        </w:tc>
        <w:tc>
          <w:tcPr>
            <w:tcW w:w="856" w:type="pct"/>
            <w:vAlign w:val="center"/>
          </w:tcPr>
          <w:p>
            <w:pPr>
              <w:pStyle w:val="178"/>
            </w:pPr>
            <w:r>
              <w:rPr>
                <w:rFonts w:hint="eastAsia"/>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pPr>
              <w:pStyle w:val="178"/>
              <w:jc w:val="left"/>
              <w:rPr>
                <w:rFonts w:ascii="Times New Roman"/>
              </w:rPr>
            </w:pPr>
            <w:r>
              <w:rPr>
                <w:rFonts w:ascii="Times New Roman"/>
                <w:vertAlign w:val="superscript"/>
              </w:rPr>
              <w:t>a</w:t>
            </w:r>
            <w:r>
              <w:rPr>
                <w:rFonts w:hint="eastAsia" w:ascii="Times New Roman"/>
              </w:rPr>
              <w:t xml:space="preserve"> </w:t>
            </w:r>
            <w:r>
              <w:rPr>
                <w:rFonts w:ascii="Times New Roman"/>
              </w:rPr>
              <w:t>对于较大的文件可以提取感知特征进行哈希运算。</w:t>
            </w:r>
          </w:p>
        </w:tc>
      </w:tr>
    </w:tbl>
    <w:p>
      <w:pPr>
        <w:pStyle w:val="105"/>
        <w:spacing w:before="156" w:after="156"/>
      </w:pPr>
      <w:bookmarkStart w:id="145" w:name="_Hlk204867523"/>
      <w:bookmarkStart w:id="146" w:name="_Toc6976"/>
      <w:bookmarkStart w:id="147" w:name="_Toc206152434"/>
      <w:bookmarkStart w:id="148" w:name="_Toc204675216"/>
      <w:bookmarkStart w:id="149" w:name="_Toc206152306"/>
      <w:bookmarkStart w:id="150" w:name="_Toc205542827"/>
      <w:r>
        <w:rPr>
          <w:rFonts w:hint="eastAsia"/>
        </w:rPr>
        <w:t>稀土永磁</w:t>
      </w:r>
      <w:bookmarkEnd w:id="145"/>
      <w:r>
        <w:rPr>
          <w:rFonts w:hint="eastAsia"/>
        </w:rPr>
        <w:t>材料元数据</w:t>
      </w:r>
      <w:bookmarkEnd w:id="146"/>
      <w:bookmarkEnd w:id="147"/>
      <w:bookmarkEnd w:id="148"/>
      <w:bookmarkEnd w:id="149"/>
      <w:bookmarkEnd w:id="150"/>
    </w:p>
    <w:p>
      <w:pPr>
        <w:pStyle w:val="56"/>
        <w:ind w:firstLine="420"/>
      </w:pPr>
      <w:r>
        <w:rPr>
          <w:rFonts w:hint="eastAsia"/>
        </w:rPr>
        <w:t>稀土永磁材料元数据中文名称应符合GB/T 15676的术语要求，包括数据唯一标识、数据所有者、数据来源类型、数据来源名称、时间戳、外部标识、数字签名等，具体数据结构应符合表2的规定。</w:t>
      </w:r>
    </w:p>
    <w:p>
      <w:pPr>
        <w:pStyle w:val="112"/>
        <w:spacing w:before="156" w:after="156"/>
        <w:rPr>
          <w:rFonts w:ascii="Times New Roman"/>
        </w:rPr>
      </w:pPr>
      <w:r>
        <w:rPr>
          <w:rFonts w:hint="eastAsia" w:ascii="Times New Roman"/>
        </w:rPr>
        <w:t>稀土永磁材料</w:t>
      </w:r>
      <w:r>
        <w:rPr>
          <w:rFonts w:ascii="Times New Roman"/>
        </w:rPr>
        <w:t>元数据结构及说明</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821"/>
        <w:gridCol w:w="5349"/>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序号</w:t>
            </w:r>
          </w:p>
        </w:tc>
        <w:tc>
          <w:tcPr>
            <w:tcW w:w="952" w:type="pct"/>
            <w:vAlign w:val="center"/>
          </w:tcPr>
          <w:p>
            <w:pPr>
              <w:pStyle w:val="178"/>
              <w:rPr>
                <w:rFonts w:ascii="Times New Roman"/>
              </w:rPr>
            </w:pPr>
            <w:r>
              <w:rPr>
                <w:rFonts w:ascii="Times New Roman"/>
              </w:rPr>
              <w:t>数据项名称</w:t>
            </w:r>
          </w:p>
        </w:tc>
        <w:tc>
          <w:tcPr>
            <w:tcW w:w="2796" w:type="pct"/>
            <w:vAlign w:val="center"/>
          </w:tcPr>
          <w:p>
            <w:pPr>
              <w:pStyle w:val="178"/>
              <w:rPr>
                <w:rFonts w:ascii="Times New Roman"/>
              </w:rPr>
            </w:pPr>
            <w:r>
              <w:rPr>
                <w:rFonts w:ascii="Times New Roman"/>
              </w:rPr>
              <w:t>说明</w:t>
            </w:r>
          </w:p>
        </w:tc>
        <w:tc>
          <w:tcPr>
            <w:tcW w:w="857" w:type="pct"/>
            <w:vAlign w:val="center"/>
          </w:tcPr>
          <w:p>
            <w:pPr>
              <w:pStyle w:val="178"/>
              <w:rPr>
                <w:rFonts w:ascii="Times New Roman"/>
              </w:rPr>
            </w:pPr>
            <w:r>
              <w:rPr>
                <w:rFonts w:ascii="Times New Roman"/>
              </w:rPr>
              <w:t>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1</w:t>
            </w:r>
          </w:p>
        </w:tc>
        <w:tc>
          <w:tcPr>
            <w:tcW w:w="952" w:type="pct"/>
            <w:vAlign w:val="center"/>
          </w:tcPr>
          <w:p>
            <w:pPr>
              <w:pStyle w:val="178"/>
              <w:rPr>
                <w:rFonts w:ascii="Times New Roman"/>
              </w:rPr>
            </w:pPr>
            <w:r>
              <w:rPr>
                <w:rFonts w:ascii="Times New Roman"/>
              </w:rPr>
              <w:t>唯一标识</w:t>
            </w:r>
          </w:p>
        </w:tc>
        <w:tc>
          <w:tcPr>
            <w:tcW w:w="2796" w:type="pct"/>
            <w:vAlign w:val="center"/>
          </w:tcPr>
          <w:p>
            <w:pPr>
              <w:pStyle w:val="178"/>
              <w:rPr>
                <w:rFonts w:ascii="Times New Roman"/>
              </w:rPr>
            </w:pPr>
            <w:r>
              <w:rPr>
                <w:rFonts w:ascii="Times New Roman"/>
              </w:rPr>
              <w:t>材料数据的唯一标识</w:t>
            </w:r>
          </w:p>
        </w:tc>
        <w:tc>
          <w:tcPr>
            <w:tcW w:w="857" w:type="pct"/>
            <w:vAlign w:val="center"/>
          </w:tcPr>
          <w:p>
            <w:pPr>
              <w:pStyle w:val="178"/>
              <w:rPr>
                <w:rFonts w:ascii="Times New Roman"/>
              </w:rPr>
            </w:pPr>
            <w:r>
              <w:rPr>
                <w:rFonts w:ascii="Times New Roman"/>
              </w:rPr>
              <w:t>数值型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2</w:t>
            </w:r>
          </w:p>
        </w:tc>
        <w:tc>
          <w:tcPr>
            <w:tcW w:w="952" w:type="pct"/>
            <w:vAlign w:val="center"/>
          </w:tcPr>
          <w:p>
            <w:pPr>
              <w:pStyle w:val="178"/>
              <w:rPr>
                <w:rFonts w:ascii="Times New Roman"/>
              </w:rPr>
            </w:pPr>
            <w:r>
              <w:rPr>
                <w:rFonts w:ascii="Times New Roman"/>
              </w:rPr>
              <w:t>数据所有者</w:t>
            </w:r>
          </w:p>
        </w:tc>
        <w:tc>
          <w:tcPr>
            <w:tcW w:w="2796" w:type="pct"/>
            <w:vAlign w:val="center"/>
          </w:tcPr>
          <w:p>
            <w:pPr>
              <w:pStyle w:val="178"/>
              <w:rPr>
                <w:rFonts w:ascii="Times New Roman"/>
              </w:rPr>
            </w:pPr>
            <w:r>
              <w:rPr>
                <w:rFonts w:ascii="Times New Roman"/>
              </w:rPr>
              <w:t>材料数据版权所有者</w:t>
            </w:r>
          </w:p>
        </w:tc>
        <w:tc>
          <w:tcPr>
            <w:tcW w:w="857" w:type="pct"/>
            <w:vAlign w:val="center"/>
          </w:tcPr>
          <w:p>
            <w:pPr>
              <w:pStyle w:val="178"/>
              <w:rPr>
                <w:rFonts w:ascii="Times New Roman"/>
              </w:rPr>
            </w:pPr>
            <w:r>
              <w:rPr>
                <w:rFonts w:ascii="Times New Roman"/>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3</w:t>
            </w:r>
          </w:p>
        </w:tc>
        <w:tc>
          <w:tcPr>
            <w:tcW w:w="952" w:type="pct"/>
            <w:vAlign w:val="center"/>
          </w:tcPr>
          <w:p>
            <w:pPr>
              <w:pStyle w:val="178"/>
              <w:rPr>
                <w:rFonts w:ascii="Times New Roman"/>
              </w:rPr>
            </w:pPr>
            <w:r>
              <w:rPr>
                <w:rFonts w:ascii="Times New Roman"/>
              </w:rPr>
              <w:t>数据来源类型</w:t>
            </w:r>
          </w:p>
        </w:tc>
        <w:tc>
          <w:tcPr>
            <w:tcW w:w="2796" w:type="pct"/>
            <w:vAlign w:val="center"/>
          </w:tcPr>
          <w:p>
            <w:pPr>
              <w:pStyle w:val="178"/>
              <w:rPr>
                <w:rFonts w:ascii="Times New Roman"/>
              </w:rPr>
            </w:pPr>
            <w:r>
              <w:rPr>
                <w:rFonts w:ascii="Times New Roman"/>
              </w:rPr>
              <w:t>包括设备、计算、引用数据</w:t>
            </w:r>
          </w:p>
        </w:tc>
        <w:tc>
          <w:tcPr>
            <w:tcW w:w="857" w:type="pct"/>
            <w:vAlign w:val="center"/>
          </w:tcPr>
          <w:p>
            <w:pPr>
              <w:pStyle w:val="178"/>
              <w:rPr>
                <w:rFonts w:ascii="Times New Roman"/>
              </w:rPr>
            </w:pPr>
            <w:r>
              <w:rPr>
                <w:rFonts w:ascii="Times New Roman"/>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95" w:type="pct"/>
            <w:vAlign w:val="center"/>
          </w:tcPr>
          <w:p>
            <w:pPr>
              <w:pStyle w:val="178"/>
              <w:rPr>
                <w:rFonts w:ascii="Times New Roman"/>
              </w:rPr>
            </w:pPr>
            <w:r>
              <w:rPr>
                <w:rFonts w:ascii="Times New Roman"/>
              </w:rPr>
              <w:t>4</w:t>
            </w:r>
          </w:p>
        </w:tc>
        <w:tc>
          <w:tcPr>
            <w:tcW w:w="952" w:type="pct"/>
            <w:vAlign w:val="center"/>
          </w:tcPr>
          <w:p>
            <w:pPr>
              <w:pStyle w:val="178"/>
              <w:rPr>
                <w:rFonts w:ascii="Times New Roman"/>
              </w:rPr>
            </w:pPr>
            <w:r>
              <w:rPr>
                <w:rFonts w:ascii="Times New Roman"/>
              </w:rPr>
              <w:t>数据来源名称</w:t>
            </w:r>
          </w:p>
        </w:tc>
        <w:tc>
          <w:tcPr>
            <w:tcW w:w="2796" w:type="pct"/>
            <w:vAlign w:val="center"/>
          </w:tcPr>
          <w:p>
            <w:pPr>
              <w:pStyle w:val="178"/>
              <w:rPr>
                <w:rFonts w:ascii="Times New Roman"/>
              </w:rPr>
            </w:pPr>
            <w:r>
              <w:rPr>
                <w:rFonts w:ascii="Times New Roman"/>
              </w:rPr>
              <w:t>选择数据来源类型后，对数据来源名称进一步进行填写或选择，如检测设备名称、计算软件名称等</w:t>
            </w:r>
          </w:p>
        </w:tc>
        <w:tc>
          <w:tcPr>
            <w:tcW w:w="857" w:type="pct"/>
            <w:vAlign w:val="center"/>
          </w:tcPr>
          <w:p>
            <w:pPr>
              <w:pStyle w:val="178"/>
              <w:rPr>
                <w:rFonts w:ascii="Times New Roman"/>
              </w:rPr>
            </w:pPr>
            <w:r>
              <w:rPr>
                <w:rFonts w:ascii="Times New Roman"/>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5</w:t>
            </w:r>
          </w:p>
        </w:tc>
        <w:tc>
          <w:tcPr>
            <w:tcW w:w="952" w:type="pct"/>
            <w:vAlign w:val="center"/>
          </w:tcPr>
          <w:p>
            <w:pPr>
              <w:pStyle w:val="178"/>
              <w:rPr>
                <w:rFonts w:ascii="Times New Roman"/>
              </w:rPr>
            </w:pPr>
            <w:r>
              <w:rPr>
                <w:rFonts w:ascii="Times New Roman"/>
              </w:rPr>
              <w:t>时间戳</w:t>
            </w:r>
          </w:p>
        </w:tc>
        <w:tc>
          <w:tcPr>
            <w:tcW w:w="2796" w:type="pct"/>
            <w:vAlign w:val="center"/>
          </w:tcPr>
          <w:p>
            <w:pPr>
              <w:pStyle w:val="178"/>
              <w:rPr>
                <w:rFonts w:ascii="Times New Roman"/>
              </w:rPr>
            </w:pPr>
            <w:r>
              <w:rPr>
                <w:rFonts w:ascii="Times New Roman"/>
              </w:rPr>
              <w:t>数据存证时间，作为数据存证优先权的判定依据</w:t>
            </w:r>
          </w:p>
        </w:tc>
        <w:tc>
          <w:tcPr>
            <w:tcW w:w="857" w:type="pct"/>
            <w:vAlign w:val="center"/>
          </w:tcPr>
          <w:p>
            <w:pPr>
              <w:pStyle w:val="178"/>
              <w:rPr>
                <w:rFonts w:ascii="Times New Roman"/>
              </w:rPr>
            </w:pPr>
            <w:r>
              <w:rPr>
                <w:rFonts w:ascii="Times New Roman"/>
              </w:rPr>
              <w:t>日期时间型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6</w:t>
            </w:r>
          </w:p>
        </w:tc>
        <w:tc>
          <w:tcPr>
            <w:tcW w:w="952" w:type="pct"/>
            <w:vAlign w:val="center"/>
          </w:tcPr>
          <w:p>
            <w:pPr>
              <w:pStyle w:val="178"/>
              <w:rPr>
                <w:rFonts w:ascii="Times New Roman"/>
              </w:rPr>
            </w:pPr>
            <w:r>
              <w:rPr>
                <w:rFonts w:ascii="Times New Roman"/>
              </w:rPr>
              <w:t>外部标识</w:t>
            </w:r>
          </w:p>
        </w:tc>
        <w:tc>
          <w:tcPr>
            <w:tcW w:w="2796" w:type="pct"/>
            <w:vAlign w:val="center"/>
          </w:tcPr>
          <w:p>
            <w:pPr>
              <w:pStyle w:val="178"/>
              <w:rPr>
                <w:rFonts w:ascii="Times New Roman"/>
              </w:rPr>
            </w:pPr>
            <w:r>
              <w:rPr>
                <w:rFonts w:ascii="Times New Roman"/>
              </w:rPr>
              <w:t>第三方数据平台标识</w:t>
            </w:r>
          </w:p>
        </w:tc>
        <w:tc>
          <w:tcPr>
            <w:tcW w:w="857" w:type="pct"/>
            <w:vAlign w:val="center"/>
          </w:tcPr>
          <w:p>
            <w:pPr>
              <w:pStyle w:val="178"/>
              <w:rPr>
                <w:rFonts w:ascii="Times New Roman"/>
              </w:rPr>
            </w:pPr>
            <w:r>
              <w:rPr>
                <w:rFonts w:ascii="Times New Roman"/>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7</w:t>
            </w:r>
          </w:p>
        </w:tc>
        <w:tc>
          <w:tcPr>
            <w:tcW w:w="952" w:type="pct"/>
            <w:vAlign w:val="center"/>
          </w:tcPr>
          <w:p>
            <w:pPr>
              <w:pStyle w:val="178"/>
              <w:rPr>
                <w:rFonts w:ascii="Times New Roman"/>
              </w:rPr>
            </w:pPr>
            <w:r>
              <w:rPr>
                <w:rFonts w:ascii="Times New Roman"/>
              </w:rPr>
              <w:t>工序标识</w:t>
            </w:r>
          </w:p>
        </w:tc>
        <w:tc>
          <w:tcPr>
            <w:tcW w:w="2796" w:type="pct"/>
            <w:vAlign w:val="center"/>
          </w:tcPr>
          <w:p>
            <w:pPr>
              <w:pStyle w:val="178"/>
              <w:rPr>
                <w:rFonts w:ascii="Times New Roman"/>
              </w:rPr>
            </w:pPr>
            <w:r>
              <w:rPr>
                <w:rFonts w:ascii="Times New Roman"/>
              </w:rPr>
              <w:t>如炉号、批号、试样号等</w:t>
            </w:r>
          </w:p>
        </w:tc>
        <w:tc>
          <w:tcPr>
            <w:tcW w:w="857" w:type="pct"/>
            <w:vAlign w:val="center"/>
          </w:tcPr>
          <w:p>
            <w:pPr>
              <w:pStyle w:val="178"/>
              <w:rPr>
                <w:rFonts w:ascii="Times New Roman"/>
              </w:rPr>
            </w:pPr>
            <w:r>
              <w:rPr>
                <w:rFonts w:ascii="Times New Roman"/>
              </w:rPr>
              <w:t>字符型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pPr>
              <w:pStyle w:val="178"/>
              <w:rPr>
                <w:rFonts w:ascii="Times New Roman"/>
              </w:rPr>
            </w:pPr>
            <w:r>
              <w:rPr>
                <w:rFonts w:ascii="Times New Roman"/>
              </w:rPr>
              <w:t>8</w:t>
            </w:r>
          </w:p>
        </w:tc>
        <w:tc>
          <w:tcPr>
            <w:tcW w:w="952" w:type="pct"/>
            <w:vAlign w:val="center"/>
          </w:tcPr>
          <w:p>
            <w:pPr>
              <w:pStyle w:val="178"/>
              <w:rPr>
                <w:rFonts w:ascii="Times New Roman"/>
              </w:rPr>
            </w:pPr>
            <w:r>
              <w:rPr>
                <w:rFonts w:ascii="Times New Roman"/>
              </w:rPr>
              <w:t>数字签名</w:t>
            </w:r>
          </w:p>
        </w:tc>
        <w:tc>
          <w:tcPr>
            <w:tcW w:w="2796" w:type="pct"/>
            <w:vAlign w:val="center"/>
          </w:tcPr>
          <w:p>
            <w:pPr>
              <w:pStyle w:val="178"/>
              <w:rPr>
                <w:rFonts w:ascii="Times New Roman"/>
              </w:rPr>
            </w:pPr>
            <w:r>
              <w:rPr>
                <w:rFonts w:ascii="Times New Roman"/>
              </w:rPr>
              <w:t>对数据上链进行确认</w:t>
            </w:r>
          </w:p>
        </w:tc>
        <w:tc>
          <w:tcPr>
            <w:tcW w:w="857" w:type="pct"/>
            <w:vAlign w:val="center"/>
          </w:tcPr>
          <w:p>
            <w:pPr>
              <w:pStyle w:val="178"/>
              <w:rPr>
                <w:rFonts w:ascii="Times New Roman"/>
              </w:rPr>
            </w:pPr>
            <w:r>
              <w:rPr>
                <w:rFonts w:ascii="Times New Roman"/>
              </w:rPr>
              <w:t>字符型</w:t>
            </w:r>
          </w:p>
        </w:tc>
      </w:tr>
    </w:tbl>
    <w:p>
      <w:pPr>
        <w:pStyle w:val="105"/>
        <w:spacing w:before="156" w:after="156"/>
      </w:pPr>
      <w:bookmarkStart w:id="151" w:name="_Toc1733"/>
      <w:bookmarkStart w:id="152" w:name="_Toc206152435"/>
      <w:bookmarkStart w:id="153" w:name="_Toc205542828"/>
      <w:bookmarkStart w:id="154" w:name="_Toc206152307"/>
      <w:bookmarkStart w:id="155" w:name="_Toc204675217"/>
      <w:r>
        <w:rPr>
          <w:rFonts w:hint="eastAsia"/>
        </w:rPr>
        <w:t>稀土永磁材料特征数据</w:t>
      </w:r>
      <w:bookmarkEnd w:id="151"/>
      <w:bookmarkEnd w:id="152"/>
      <w:bookmarkEnd w:id="153"/>
      <w:bookmarkEnd w:id="154"/>
      <w:bookmarkEnd w:id="155"/>
    </w:p>
    <w:p>
      <w:pPr>
        <w:pStyle w:val="56"/>
        <w:ind w:firstLine="420"/>
      </w:pPr>
      <w:r>
        <w:rPr>
          <w:rFonts w:hint="eastAsia"/>
        </w:rPr>
        <w:t>稀土永磁材料的材料特征数据应包括不少于一个材料四面体要素（成分、性能、结构、工艺），亦可包括材料形状、尺寸等，以及永磁产品应用过程中的用途和相关供应链信息，稀土永磁材料特征数据详见表3－表11。其中，表6工艺参数表的值域应符合GB/T 17803规定的稀土永磁产品名称。表11供应链信息表提供的稀土材料/产品的包装、运输及供应链等信息，应符合GB 39176的规定。</w:t>
      </w:r>
    </w:p>
    <w:p>
      <w:pPr>
        <w:pStyle w:val="112"/>
        <w:spacing w:before="156" w:after="156"/>
      </w:pPr>
      <w:r>
        <w:rPr>
          <w:rFonts w:hint="eastAsia"/>
        </w:rPr>
        <w:t>稀土永磁材料特征数据表</w:t>
      </w:r>
    </w:p>
    <w:tbl>
      <w:tblPr>
        <w:tblStyle w:val="26"/>
        <w:tblW w:w="49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306"/>
        <w:gridCol w:w="4464"/>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序号</w:t>
            </w:r>
          </w:p>
        </w:tc>
        <w:tc>
          <w:tcPr>
            <w:tcW w:w="687" w:type="pct"/>
            <w:vAlign w:val="center"/>
          </w:tcPr>
          <w:p>
            <w:pPr>
              <w:pStyle w:val="178"/>
              <w:rPr>
                <w:rFonts w:ascii="Times New Roman"/>
              </w:rPr>
            </w:pPr>
            <w:r>
              <w:rPr>
                <w:rFonts w:ascii="Times New Roman"/>
              </w:rPr>
              <w:t>中文名称</w:t>
            </w:r>
          </w:p>
        </w:tc>
        <w:tc>
          <w:tcPr>
            <w:tcW w:w="2348" w:type="pct"/>
            <w:vAlign w:val="center"/>
          </w:tcPr>
          <w:p>
            <w:pPr>
              <w:pStyle w:val="178"/>
              <w:rPr>
                <w:rFonts w:ascii="Times New Roman"/>
              </w:rPr>
            </w:pPr>
            <w:r>
              <w:rPr>
                <w:rFonts w:ascii="Times New Roman"/>
              </w:rPr>
              <w:t>英文名称</w:t>
            </w:r>
          </w:p>
        </w:tc>
        <w:tc>
          <w:tcPr>
            <w:tcW w:w="1586" w:type="pct"/>
            <w:vAlign w:val="center"/>
          </w:tcPr>
          <w:p>
            <w:pPr>
              <w:pStyle w:val="178"/>
              <w:rPr>
                <w:rFonts w:ascii="Times New Roman"/>
              </w:rPr>
            </w:pPr>
            <w:r>
              <w:rPr>
                <w:rFonts w:ascii="Times New Roman"/>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1</w:t>
            </w:r>
          </w:p>
        </w:tc>
        <w:tc>
          <w:tcPr>
            <w:tcW w:w="687" w:type="pct"/>
            <w:vAlign w:val="center"/>
          </w:tcPr>
          <w:p>
            <w:pPr>
              <w:pStyle w:val="178"/>
              <w:rPr>
                <w:rFonts w:ascii="Times New Roman"/>
              </w:rPr>
            </w:pPr>
            <w:r>
              <w:rPr>
                <w:rFonts w:ascii="Times New Roman"/>
              </w:rPr>
              <w:t>成分</w:t>
            </w:r>
          </w:p>
        </w:tc>
        <w:tc>
          <w:tcPr>
            <w:tcW w:w="2348" w:type="pct"/>
            <w:vAlign w:val="center"/>
          </w:tcPr>
          <w:p>
            <w:pPr>
              <w:pStyle w:val="178"/>
              <w:rPr>
                <w:rFonts w:ascii="Times New Roman"/>
              </w:rPr>
            </w:pPr>
            <w:r>
              <w:rPr>
                <w:rFonts w:ascii="Times New Roman"/>
              </w:rPr>
              <w:t>Chemical</w:t>
            </w:r>
            <w:r>
              <w:rPr>
                <w:rFonts w:hint="eastAsia" w:ascii="Times New Roman"/>
              </w:rPr>
              <w:t xml:space="preserve"> C</w:t>
            </w:r>
            <w:r>
              <w:rPr>
                <w:rFonts w:ascii="Times New Roman"/>
              </w:rPr>
              <w:t>omposition</w:t>
            </w:r>
          </w:p>
        </w:tc>
        <w:tc>
          <w:tcPr>
            <w:tcW w:w="1586" w:type="pct"/>
            <w:vAlign w:val="center"/>
          </w:tcPr>
          <w:p>
            <w:pPr>
              <w:pStyle w:val="178"/>
              <w:rPr>
                <w:rFonts w:ascii="Times New Roman"/>
              </w:rPr>
            </w:pPr>
            <w:r>
              <w:rPr>
                <w:rFonts w:ascii="Times New Roma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2</w:t>
            </w:r>
          </w:p>
        </w:tc>
        <w:tc>
          <w:tcPr>
            <w:tcW w:w="687" w:type="pct"/>
            <w:vAlign w:val="center"/>
          </w:tcPr>
          <w:p>
            <w:pPr>
              <w:pStyle w:val="178"/>
              <w:rPr>
                <w:rFonts w:ascii="Times New Roman"/>
              </w:rPr>
            </w:pPr>
            <w:r>
              <w:rPr>
                <w:rFonts w:ascii="Times New Roman"/>
              </w:rPr>
              <w:t>性能</w:t>
            </w:r>
          </w:p>
        </w:tc>
        <w:tc>
          <w:tcPr>
            <w:tcW w:w="2348" w:type="pct"/>
            <w:vAlign w:val="center"/>
          </w:tcPr>
          <w:p>
            <w:pPr>
              <w:pStyle w:val="178"/>
              <w:rPr>
                <w:rFonts w:ascii="Times New Roman"/>
              </w:rPr>
            </w:pPr>
            <w:r>
              <w:rPr>
                <w:rFonts w:ascii="Times New Roman"/>
              </w:rPr>
              <w:t>Properties</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3</w:t>
            </w:r>
          </w:p>
        </w:tc>
        <w:tc>
          <w:tcPr>
            <w:tcW w:w="687" w:type="pct"/>
            <w:vAlign w:val="center"/>
          </w:tcPr>
          <w:p>
            <w:pPr>
              <w:pStyle w:val="178"/>
              <w:rPr>
                <w:rFonts w:ascii="Times New Roman"/>
              </w:rPr>
            </w:pPr>
            <w:r>
              <w:rPr>
                <w:rFonts w:ascii="Times New Roman"/>
              </w:rPr>
              <w:t>工艺</w:t>
            </w:r>
          </w:p>
        </w:tc>
        <w:tc>
          <w:tcPr>
            <w:tcW w:w="2348" w:type="pct"/>
            <w:vAlign w:val="center"/>
          </w:tcPr>
          <w:p>
            <w:pPr>
              <w:pStyle w:val="178"/>
              <w:rPr>
                <w:rFonts w:ascii="Times New Roman"/>
              </w:rPr>
            </w:pPr>
            <w:r>
              <w:rPr>
                <w:rFonts w:ascii="Times New Roman"/>
              </w:rPr>
              <w:t>Process</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4</w:t>
            </w:r>
          </w:p>
        </w:tc>
        <w:tc>
          <w:tcPr>
            <w:tcW w:w="687" w:type="pct"/>
            <w:vAlign w:val="center"/>
          </w:tcPr>
          <w:p>
            <w:pPr>
              <w:pStyle w:val="178"/>
              <w:rPr>
                <w:rFonts w:ascii="Times New Roman"/>
              </w:rPr>
            </w:pPr>
            <w:r>
              <w:rPr>
                <w:rFonts w:ascii="Times New Roman"/>
              </w:rPr>
              <w:t>结构</w:t>
            </w:r>
          </w:p>
        </w:tc>
        <w:tc>
          <w:tcPr>
            <w:tcW w:w="2348" w:type="pct"/>
            <w:vAlign w:val="center"/>
          </w:tcPr>
          <w:p>
            <w:pPr>
              <w:pStyle w:val="178"/>
              <w:rPr>
                <w:rFonts w:ascii="Times New Roman"/>
              </w:rPr>
            </w:pPr>
            <w:r>
              <w:rPr>
                <w:rFonts w:ascii="Times New Roman"/>
              </w:rPr>
              <w:t>Structure</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5</w:t>
            </w:r>
          </w:p>
        </w:tc>
        <w:tc>
          <w:tcPr>
            <w:tcW w:w="687" w:type="pct"/>
            <w:vAlign w:val="center"/>
          </w:tcPr>
          <w:p>
            <w:pPr>
              <w:pStyle w:val="178"/>
              <w:rPr>
                <w:rFonts w:ascii="Times New Roman"/>
              </w:rPr>
            </w:pPr>
            <w:r>
              <w:rPr>
                <w:rFonts w:ascii="Times New Roman"/>
              </w:rPr>
              <w:t>形状</w:t>
            </w:r>
          </w:p>
        </w:tc>
        <w:tc>
          <w:tcPr>
            <w:tcW w:w="2348" w:type="pct"/>
            <w:vAlign w:val="center"/>
          </w:tcPr>
          <w:p>
            <w:pPr>
              <w:pStyle w:val="178"/>
              <w:rPr>
                <w:rFonts w:ascii="Times New Roman"/>
              </w:rPr>
            </w:pPr>
            <w:r>
              <w:rPr>
                <w:rFonts w:ascii="Times New Roman"/>
              </w:rPr>
              <w:t>Shape</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6</w:t>
            </w:r>
          </w:p>
        </w:tc>
        <w:tc>
          <w:tcPr>
            <w:tcW w:w="687" w:type="pct"/>
            <w:vAlign w:val="center"/>
          </w:tcPr>
          <w:p>
            <w:pPr>
              <w:pStyle w:val="178"/>
              <w:rPr>
                <w:rFonts w:ascii="Times New Roman"/>
              </w:rPr>
            </w:pPr>
            <w:r>
              <w:rPr>
                <w:rFonts w:ascii="Times New Roman"/>
              </w:rPr>
              <w:t>尺寸</w:t>
            </w:r>
          </w:p>
        </w:tc>
        <w:tc>
          <w:tcPr>
            <w:tcW w:w="2348" w:type="pct"/>
            <w:vAlign w:val="center"/>
          </w:tcPr>
          <w:p>
            <w:pPr>
              <w:pStyle w:val="178"/>
              <w:rPr>
                <w:rFonts w:ascii="Times New Roman"/>
              </w:rPr>
            </w:pPr>
            <w:r>
              <w:rPr>
                <w:rFonts w:ascii="Times New Roman"/>
              </w:rPr>
              <w:t>Dimension</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7</w:t>
            </w:r>
          </w:p>
        </w:tc>
        <w:tc>
          <w:tcPr>
            <w:tcW w:w="687" w:type="pct"/>
            <w:vAlign w:val="center"/>
          </w:tcPr>
          <w:p>
            <w:pPr>
              <w:pStyle w:val="178"/>
              <w:rPr>
                <w:rFonts w:ascii="Times New Roman"/>
              </w:rPr>
            </w:pPr>
            <w:r>
              <w:rPr>
                <w:rFonts w:ascii="Times New Roman"/>
              </w:rPr>
              <w:t>用途</w:t>
            </w:r>
          </w:p>
        </w:tc>
        <w:tc>
          <w:tcPr>
            <w:tcW w:w="2348" w:type="pct"/>
            <w:vAlign w:val="center"/>
          </w:tcPr>
          <w:p>
            <w:pPr>
              <w:pStyle w:val="178"/>
              <w:rPr>
                <w:rFonts w:ascii="Times New Roman"/>
              </w:rPr>
            </w:pPr>
            <w:r>
              <w:rPr>
                <w:rFonts w:ascii="Times New Roman"/>
              </w:rPr>
              <w:t>Application</w:t>
            </w:r>
          </w:p>
        </w:tc>
        <w:tc>
          <w:tcPr>
            <w:tcW w:w="1586" w:type="pct"/>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pPr>
              <w:pStyle w:val="178"/>
              <w:rPr>
                <w:rFonts w:ascii="Times New Roman"/>
              </w:rPr>
            </w:pPr>
            <w:r>
              <w:rPr>
                <w:rFonts w:ascii="Times New Roman"/>
              </w:rPr>
              <w:t>8</w:t>
            </w:r>
          </w:p>
        </w:tc>
        <w:tc>
          <w:tcPr>
            <w:tcW w:w="687" w:type="pct"/>
            <w:vAlign w:val="center"/>
          </w:tcPr>
          <w:p>
            <w:pPr>
              <w:pStyle w:val="178"/>
              <w:rPr>
                <w:rFonts w:ascii="Times New Roman"/>
              </w:rPr>
            </w:pPr>
            <w:r>
              <w:rPr>
                <w:rFonts w:ascii="Times New Roman"/>
              </w:rPr>
              <w:t>供应链信息</w:t>
            </w:r>
          </w:p>
        </w:tc>
        <w:tc>
          <w:tcPr>
            <w:tcW w:w="2348" w:type="pct"/>
            <w:vAlign w:val="center"/>
          </w:tcPr>
          <w:p>
            <w:pPr>
              <w:pStyle w:val="178"/>
              <w:rPr>
                <w:rFonts w:ascii="Times New Roman"/>
              </w:rPr>
            </w:pPr>
            <w:r>
              <w:rPr>
                <w:rFonts w:ascii="Times New Roman"/>
              </w:rPr>
              <w:t>Supply</w:t>
            </w:r>
            <w:r>
              <w:rPr>
                <w:rFonts w:hint="eastAsia" w:ascii="Times New Roman"/>
              </w:rPr>
              <w:t xml:space="preserve"> </w:t>
            </w:r>
            <w:r>
              <w:rPr>
                <w:rFonts w:ascii="Times New Roman"/>
              </w:rPr>
              <w:t>Chain</w:t>
            </w:r>
            <w:r>
              <w:rPr>
                <w:rFonts w:hint="eastAsia" w:ascii="Times New Roman"/>
              </w:rPr>
              <w:t xml:space="preserve"> </w:t>
            </w:r>
            <w:r>
              <w:rPr>
                <w:rFonts w:ascii="Times New Roman"/>
              </w:rPr>
              <w:t>Information</w:t>
            </w:r>
          </w:p>
        </w:tc>
        <w:tc>
          <w:tcPr>
            <w:tcW w:w="1586" w:type="pct"/>
            <w:vAlign w:val="center"/>
          </w:tcPr>
          <w:p>
            <w:pPr>
              <w:pStyle w:val="178"/>
              <w:rPr>
                <w:rFonts w:ascii="Times New Roman"/>
              </w:rPr>
            </w:pPr>
            <w:r>
              <w:rPr>
                <w:rFonts w:ascii="Times New Roman"/>
              </w:rPr>
              <w:t>非必选</w:t>
            </w:r>
          </w:p>
        </w:tc>
      </w:tr>
    </w:tbl>
    <w:p>
      <w:pPr>
        <w:pStyle w:val="112"/>
        <w:spacing w:before="156" w:after="156"/>
      </w:pPr>
      <w:r>
        <w:rPr>
          <w:rFonts w:hint="eastAsia"/>
        </w:rPr>
        <w:t>成分参数表</w:t>
      </w:r>
    </w:p>
    <w:tbl>
      <w:tblPr>
        <w:tblStyle w:val="26"/>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014"/>
        <w:gridCol w:w="1598"/>
        <w:gridCol w:w="470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序号</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中文名称</w:t>
            </w:r>
          </w:p>
        </w:tc>
        <w:tc>
          <w:tcPr>
            <w:tcW w:w="848"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英文名称</w:t>
            </w:r>
          </w:p>
        </w:tc>
        <w:tc>
          <w:tcPr>
            <w:tcW w:w="249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值域</w:t>
            </w:r>
          </w:p>
        </w:tc>
        <w:tc>
          <w:tcPr>
            <w:tcW w:w="65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基体元素</w:t>
            </w:r>
          </w:p>
        </w:tc>
        <w:tc>
          <w:tcPr>
            <w:tcW w:w="84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Matrix</w:t>
            </w:r>
            <w:r>
              <w:rPr>
                <w:rFonts w:hint="eastAsia" w:ascii="Times New Roman"/>
              </w:rPr>
              <w:t xml:space="preserve"> T</w:t>
            </w:r>
            <w:r>
              <w:rPr>
                <w:rFonts w:ascii="Times New Roman"/>
              </w:rPr>
              <w:t>ype</w:t>
            </w:r>
          </w:p>
        </w:tc>
        <w:tc>
          <w:tcPr>
            <w:tcW w:w="249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基体材料类型（如Fe、Co），</w:t>
            </w:r>
            <w:r>
              <w:rPr>
                <w:rFonts w:hint="eastAsia" w:ascii="Times New Roman"/>
              </w:rPr>
              <w:t>所有元素均</w:t>
            </w:r>
            <w:r>
              <w:rPr>
                <w:rFonts w:ascii="Times New Roman"/>
              </w:rPr>
              <w:t>按质量百分比标注</w:t>
            </w:r>
          </w:p>
        </w:tc>
        <w:tc>
          <w:tcPr>
            <w:tcW w:w="65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2</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牌号</w:t>
            </w:r>
          </w:p>
        </w:tc>
        <w:tc>
          <w:tcPr>
            <w:tcW w:w="848"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Designation</w:t>
            </w:r>
          </w:p>
        </w:tc>
        <w:tc>
          <w:tcPr>
            <w:tcW w:w="2497"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稀土永磁材料/产品牌号</w:t>
            </w:r>
          </w:p>
        </w:tc>
        <w:tc>
          <w:tcPr>
            <w:tcW w:w="657"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3</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稀土元素</w:t>
            </w:r>
          </w:p>
        </w:tc>
        <w:tc>
          <w:tcPr>
            <w:tcW w:w="84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Rare</w:t>
            </w:r>
            <w:r>
              <w:rPr>
                <w:rFonts w:hint="eastAsia" w:ascii="Times New Roman"/>
              </w:rPr>
              <w:t>-e</w:t>
            </w:r>
            <w:r>
              <w:rPr>
                <w:rFonts w:ascii="Times New Roman"/>
              </w:rPr>
              <w:t>arth</w:t>
            </w:r>
            <w:r>
              <w:rPr>
                <w:rFonts w:hint="eastAsia" w:ascii="Times New Roman"/>
              </w:rPr>
              <w:t xml:space="preserve"> </w:t>
            </w:r>
            <w:r>
              <w:rPr>
                <w:rFonts w:ascii="Times New Roman"/>
              </w:rPr>
              <w:t>Composition</w:t>
            </w:r>
          </w:p>
        </w:tc>
        <w:tc>
          <w:tcPr>
            <w:tcW w:w="249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主要稀土元素（如Nd、Sm等）含量</w:t>
            </w:r>
          </w:p>
        </w:tc>
        <w:tc>
          <w:tcPr>
            <w:tcW w:w="65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4</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合金</w:t>
            </w:r>
            <w:r>
              <w:rPr>
                <w:rFonts w:ascii="Times New Roman"/>
              </w:rPr>
              <w:t>元素</w:t>
            </w:r>
          </w:p>
        </w:tc>
        <w:tc>
          <w:tcPr>
            <w:tcW w:w="84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 xml:space="preserve">Alloy </w:t>
            </w:r>
            <w:r>
              <w:rPr>
                <w:rFonts w:ascii="Times New Roman"/>
              </w:rPr>
              <w:t>Elements</w:t>
            </w:r>
          </w:p>
        </w:tc>
        <w:tc>
          <w:tcPr>
            <w:tcW w:w="249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非稀土添加元素（如Al、Cu、Ga等）含量</w:t>
            </w:r>
          </w:p>
        </w:tc>
        <w:tc>
          <w:tcPr>
            <w:tcW w:w="65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5</w:t>
            </w:r>
          </w:p>
        </w:tc>
        <w:tc>
          <w:tcPr>
            <w:tcW w:w="53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其他元素</w:t>
            </w:r>
          </w:p>
        </w:tc>
        <w:tc>
          <w:tcPr>
            <w:tcW w:w="84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Other</w:t>
            </w:r>
            <w:r>
              <w:rPr>
                <w:rFonts w:hint="eastAsia" w:ascii="Times New Roman"/>
              </w:rPr>
              <w:t xml:space="preserve"> </w:t>
            </w:r>
            <w:r>
              <w:rPr>
                <w:rFonts w:ascii="Times New Roman"/>
              </w:rPr>
              <w:t>Elements</w:t>
            </w:r>
          </w:p>
        </w:tc>
        <w:tc>
          <w:tcPr>
            <w:tcW w:w="249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其他</w:t>
            </w:r>
            <w:r>
              <w:rPr>
                <w:rFonts w:ascii="Times New Roman"/>
              </w:rPr>
              <w:t>辅助元素</w:t>
            </w:r>
            <w:r>
              <w:rPr>
                <w:rFonts w:hint="eastAsia" w:ascii="Times New Roman"/>
              </w:rPr>
              <w:t>（B、N、C</w:t>
            </w:r>
            <w:r>
              <w:rPr>
                <w:rFonts w:ascii="Times New Roman"/>
              </w:rPr>
              <w:t>等</w:t>
            </w:r>
            <w:r>
              <w:rPr>
                <w:rFonts w:hint="eastAsia" w:ascii="Times New Roman"/>
              </w:rPr>
              <w:t>）</w:t>
            </w:r>
            <w:r>
              <w:rPr>
                <w:rFonts w:ascii="Times New Roman"/>
              </w:rPr>
              <w:t>含量</w:t>
            </w:r>
          </w:p>
        </w:tc>
        <w:tc>
          <w:tcPr>
            <w:tcW w:w="657"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非必选</w:t>
            </w:r>
          </w:p>
        </w:tc>
      </w:tr>
    </w:tbl>
    <w:p>
      <w:pPr>
        <w:pStyle w:val="112"/>
        <w:spacing w:before="156" w:after="156"/>
      </w:pPr>
      <w:r>
        <w:rPr>
          <w:rFonts w:hint="eastAsia"/>
        </w:rPr>
        <w:t>性能参数表</w:t>
      </w:r>
    </w:p>
    <w:tbl>
      <w:tblPr>
        <w:tblStyle w:val="26"/>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891"/>
        <w:gridCol w:w="2688"/>
        <w:gridCol w:w="115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序号</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中文名称</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英文名称</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单位</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剩磁</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Remanence</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T</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剩余磁化强度值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2</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矫顽力</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Coercivity</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kA/m</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磁感应强度矫顽力值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3</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内禀矫顽力</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Intrinsic</w:t>
            </w:r>
            <w:r>
              <w:rPr>
                <w:rFonts w:hint="eastAsia" w:ascii="Times New Roman"/>
              </w:rPr>
              <w:t xml:space="preserve"> </w:t>
            </w:r>
            <w:r>
              <w:rPr>
                <w:rFonts w:ascii="Times New Roman"/>
              </w:rPr>
              <w:t>Coerci</w:t>
            </w:r>
            <w:r>
              <w:rPr>
                <w:rFonts w:hint="eastAsia" w:ascii="Times New Roman"/>
              </w:rPr>
              <w:t>ty</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kA/m</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磁极化强度矫顽力值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4</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最大磁能积</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M</w:t>
            </w:r>
            <w:r>
              <w:rPr>
                <w:rFonts w:ascii="Times New Roman"/>
              </w:rPr>
              <w:t>agnetic</w:t>
            </w:r>
            <w:r>
              <w:rPr>
                <w:rFonts w:hint="eastAsia" w:ascii="Times New Roman"/>
              </w:rPr>
              <w:t xml:space="preserve"> E</w:t>
            </w:r>
            <w:r>
              <w:rPr>
                <w:rFonts w:ascii="Times New Roman"/>
              </w:rPr>
              <w:t>nergy</w:t>
            </w:r>
            <w:r>
              <w:rPr>
                <w:rFonts w:hint="eastAsia" w:ascii="Times New Roman"/>
              </w:rPr>
              <w:t xml:space="preserve"> P</w:t>
            </w:r>
            <w:r>
              <w:rPr>
                <w:rFonts w:ascii="Times New Roman"/>
              </w:rPr>
              <w:t>roduct</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kJ/m</w:t>
            </w:r>
            <w:r>
              <w:rPr>
                <w:rFonts w:ascii="Times New Roman"/>
                <w:vertAlign w:val="superscript"/>
              </w:rPr>
              <w:t>3</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ascii="Times New Roman"/>
              </w:rPr>
              <w:t>最大</w:t>
            </w:r>
            <w:r>
              <w:rPr>
                <w:rFonts w:ascii="Times New Roman"/>
              </w:rPr>
              <w:t>磁能积</w:t>
            </w:r>
            <w:r>
              <w:rPr>
                <w:rFonts w:hint="eastAsia" w:ascii="Times New Roman"/>
              </w:rPr>
              <w:t>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5</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磁性能温度系数</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 xml:space="preserve">Magnetic </w:t>
            </w:r>
            <w:r>
              <w:rPr>
                <w:rFonts w:ascii="Times New Roman"/>
              </w:rPr>
              <w:t>Temperature</w:t>
            </w:r>
            <w:r>
              <w:rPr>
                <w:rFonts w:hint="eastAsia" w:ascii="Times New Roman"/>
              </w:rPr>
              <w:t xml:space="preserve"> </w:t>
            </w:r>
            <w:r>
              <w:rPr>
                <w:rFonts w:ascii="Times New Roman"/>
              </w:rPr>
              <w:t>Coefficient</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剩磁或矫顽力的温度系数值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6</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力学性能</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Mechanical</w:t>
            </w:r>
            <w:r>
              <w:rPr>
                <w:rFonts w:hint="eastAsia" w:ascii="Times New Roman"/>
              </w:rPr>
              <w:t xml:space="preserve"> </w:t>
            </w:r>
            <w:r>
              <w:rPr>
                <w:rFonts w:ascii="Times New Roman"/>
              </w:rPr>
              <w:t>Properties</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抗弯强度、维氏硬度、断裂韧性等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7</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服役性能</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Service</w:t>
            </w:r>
            <w:r>
              <w:rPr>
                <w:rFonts w:hint="eastAsia" w:ascii="Times New Roman"/>
              </w:rPr>
              <w:t xml:space="preserve"> </w:t>
            </w:r>
            <w:r>
              <w:rPr>
                <w:rFonts w:ascii="Times New Roman"/>
              </w:rPr>
              <w:t>Performance</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jc w:val="left"/>
            </w:pPr>
            <w:r>
              <w:rPr>
                <w:rFonts w:hint="eastAsia"/>
              </w:rPr>
              <w:t>耐腐蚀性、疲劳寿命、热稳定性、抗辐照性能等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34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8</w:t>
            </w:r>
          </w:p>
        </w:tc>
        <w:tc>
          <w:tcPr>
            <w:tcW w:w="1003"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（自定义）a：</w:t>
            </w:r>
          </w:p>
          <w:p>
            <w:pPr>
              <w:pStyle w:val="178"/>
            </w:pPr>
            <w:r>
              <w:rPr>
                <w:rFonts w:hint="eastAsia"/>
              </w:rPr>
              <w:t>居里温度</w:t>
            </w:r>
          </w:p>
          <w:p>
            <w:pPr>
              <w:pStyle w:val="178"/>
            </w:pPr>
            <w:r>
              <w:rPr>
                <w:rFonts w:hint="eastAsia"/>
              </w:rPr>
              <w:t>密度</w:t>
            </w:r>
          </w:p>
          <w:p>
            <w:pPr>
              <w:pStyle w:val="178"/>
            </w:pPr>
            <w:r>
              <w:rPr>
                <w:rFonts w:hint="eastAsia"/>
              </w:rPr>
              <w:t>失重</w:t>
            </w:r>
          </w:p>
        </w:tc>
        <w:tc>
          <w:tcPr>
            <w:tcW w:w="14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(User-define) a:</w:t>
            </w:r>
          </w:p>
          <w:p>
            <w:pPr>
              <w:pStyle w:val="178"/>
              <w:rPr>
                <w:rFonts w:ascii="Times New Roman"/>
              </w:rPr>
            </w:pPr>
            <w:r>
              <w:rPr>
                <w:rFonts w:ascii="Times New Roman"/>
              </w:rPr>
              <w:t>Curie</w:t>
            </w:r>
            <w:r>
              <w:rPr>
                <w:rFonts w:hint="eastAsia" w:ascii="Times New Roman"/>
              </w:rPr>
              <w:t xml:space="preserve"> </w:t>
            </w:r>
            <w:r>
              <w:rPr>
                <w:rFonts w:ascii="Times New Roman"/>
              </w:rPr>
              <w:t>Temperature</w:t>
            </w:r>
          </w:p>
          <w:p>
            <w:pPr>
              <w:pStyle w:val="178"/>
              <w:rPr>
                <w:rFonts w:ascii="Times New Roman"/>
              </w:rPr>
            </w:pPr>
            <w:r>
              <w:rPr>
                <w:rFonts w:ascii="Times New Roman"/>
              </w:rPr>
              <w:t>Density</w:t>
            </w:r>
          </w:p>
          <w:p>
            <w:pPr>
              <w:pStyle w:val="178"/>
              <w:rPr>
                <w:rFonts w:ascii="Times New Roman"/>
              </w:rPr>
            </w:pPr>
            <w:r>
              <w:rPr>
                <w:rFonts w:hint="eastAsia" w:ascii="Times New Roman"/>
              </w:rPr>
              <w:t>W</w:t>
            </w:r>
            <w:r>
              <w:rPr>
                <w:rFonts w:ascii="Times New Roman"/>
              </w:rPr>
              <w:t>eight</w:t>
            </w:r>
            <w:r>
              <w:rPr>
                <w:rFonts w:hint="eastAsia" w:ascii="Times New Roman"/>
              </w:rPr>
              <w:t xml:space="preserve"> L</w:t>
            </w:r>
            <w:r>
              <w:rPr>
                <w:rFonts w:ascii="Times New Roman"/>
              </w:rPr>
              <w:t>oss</w:t>
            </w:r>
          </w:p>
        </w:tc>
        <w:tc>
          <w:tcPr>
            <w:tcW w:w="6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p>
          <w:p>
            <w:pPr>
              <w:pStyle w:val="178"/>
              <w:rPr>
                <w:rFonts w:ascii="Times New Roman"/>
              </w:rPr>
            </w:pPr>
            <w:r>
              <w:rPr>
                <w:rFonts w:ascii="Times New Roman"/>
              </w:rPr>
              <w:t>K</w:t>
            </w:r>
          </w:p>
          <w:p>
            <w:pPr>
              <w:pStyle w:val="178"/>
              <w:rPr>
                <w:rFonts w:ascii="Times New Roman"/>
              </w:rPr>
            </w:pPr>
            <w:r>
              <w:rPr>
                <w:rFonts w:ascii="Times New Roman"/>
              </w:rPr>
              <w:t>kg/m</w:t>
            </w:r>
            <w:r>
              <w:rPr>
                <w:rFonts w:ascii="Times New Roman"/>
                <w:vertAlign w:val="superscript"/>
              </w:rPr>
              <w:t>3</w:t>
            </w:r>
          </w:p>
          <w:p>
            <w:pPr>
              <w:pStyle w:val="178"/>
              <w:rPr>
                <w:rFonts w:ascii="Times New Roman"/>
              </w:rPr>
            </w:pPr>
            <w:r>
              <w:rPr>
                <w:rFonts w:ascii="Times New Roman"/>
              </w:rPr>
              <w:t>mg/cm</w:t>
            </w:r>
            <w:r>
              <w:rPr>
                <w:rFonts w:ascii="Times New Roman"/>
                <w:vertAlign w:val="superscript"/>
              </w:rPr>
              <w:t>2</w:t>
            </w:r>
          </w:p>
        </w:tc>
        <w:tc>
          <w:tcPr>
            <w:tcW w:w="1614" w:type="pct"/>
            <w:tcBorders>
              <w:top w:val="single" w:color="auto" w:sz="4" w:space="0"/>
              <w:left w:val="single" w:color="auto" w:sz="4" w:space="0"/>
              <w:bottom w:val="single" w:color="auto" w:sz="4" w:space="0"/>
              <w:right w:val="single" w:color="auto" w:sz="4" w:space="0"/>
            </w:tcBorders>
            <w:vAlign w:val="center"/>
          </w:tcPr>
          <w:p>
            <w:pPr>
              <w:pStyle w:val="178"/>
            </w:pPr>
            <w:r>
              <w:rPr>
                <w:rFonts w:hint="eastAsia"/>
              </w:rPr>
              <w:t>自定义数值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pPr>
              <w:jc w:val="left"/>
              <w:rPr>
                <w:rFonts w:cs="宋体"/>
                <w:sz w:val="18"/>
                <w:szCs w:val="18"/>
                <w:lang w:bidi="ar"/>
              </w:rPr>
            </w:pPr>
            <w:r>
              <w:rPr>
                <w:sz w:val="18"/>
                <w:szCs w:val="18"/>
                <w:vertAlign w:val="superscript"/>
                <w:lang w:bidi="ar"/>
              </w:rPr>
              <w:t>a</w:t>
            </w:r>
            <w:r>
              <w:rPr>
                <w:sz w:val="18"/>
                <w:szCs w:val="18"/>
                <w:lang w:bidi="ar"/>
              </w:rPr>
              <w:t xml:space="preserve"> </w:t>
            </w:r>
            <w:r>
              <w:rPr>
                <w:rFonts w:hint="eastAsia" w:cs="宋体"/>
                <w:sz w:val="18"/>
                <w:szCs w:val="18"/>
                <w:lang w:bidi="ar"/>
              </w:rPr>
              <w:t>自定义性能最多宜选两项。</w:t>
            </w:r>
          </w:p>
        </w:tc>
      </w:tr>
    </w:tbl>
    <w:p>
      <w:pPr>
        <w:pStyle w:val="112"/>
        <w:spacing w:before="156" w:after="156"/>
      </w:pPr>
      <w:r>
        <w:rPr>
          <w:rFonts w:hint="eastAsia"/>
        </w:rPr>
        <w:t>工艺参数表</w:t>
      </w:r>
    </w:p>
    <w:tbl>
      <w:tblPr>
        <w:tblStyle w:val="26"/>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821"/>
        <w:gridCol w:w="2192"/>
        <w:gridCol w:w="4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序号</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中文名称</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英文名称</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工艺路线</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Process</w:t>
            </w:r>
            <w:r>
              <w:rPr>
                <w:rFonts w:hint="eastAsia" w:ascii="Times New Roman"/>
              </w:rPr>
              <w:t xml:space="preserve"> </w:t>
            </w:r>
            <w:r>
              <w:rPr>
                <w:rFonts w:ascii="Times New Roman"/>
              </w:rPr>
              <w:t>Routes</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01. 烧结</w:t>
            </w:r>
            <w:r>
              <w:rPr>
                <w:rFonts w:hint="eastAsia" w:ascii="Times New Roman"/>
              </w:rPr>
              <w:t>稀土永磁材料</w:t>
            </w:r>
            <w:r>
              <w:rPr>
                <w:rFonts w:ascii="Times New Roman"/>
              </w:rPr>
              <w:t>： 熔炼+制粉+成型+烧结+回火+机械加工+表面处理；</w:t>
            </w:r>
          </w:p>
          <w:p>
            <w:pPr>
              <w:pStyle w:val="178"/>
              <w:jc w:val="both"/>
              <w:rPr>
                <w:rFonts w:ascii="Times New Roman"/>
              </w:rPr>
            </w:pPr>
            <w:r>
              <w:rPr>
                <w:rFonts w:ascii="Times New Roman"/>
              </w:rPr>
              <w:t xml:space="preserve">02. </w:t>
            </w:r>
            <w:r>
              <w:rPr>
                <w:rFonts w:hint="eastAsia" w:ascii="Times New Roman"/>
              </w:rPr>
              <w:t>晶界扩散钕铁硼永磁材料</w:t>
            </w:r>
            <w:r>
              <w:rPr>
                <w:rFonts w:ascii="Times New Roman"/>
              </w:rPr>
              <w:t>：熔炼+制粉+成型+烧结+机械加工+晶界扩散+回火+机械加工+表面处理；</w:t>
            </w:r>
          </w:p>
          <w:p>
            <w:pPr>
              <w:pStyle w:val="178"/>
              <w:jc w:val="both"/>
              <w:rPr>
                <w:rFonts w:ascii="Times New Roman"/>
              </w:rPr>
            </w:pPr>
            <w:r>
              <w:rPr>
                <w:rFonts w:ascii="Times New Roman"/>
              </w:rPr>
              <w:t>03. 粘结</w:t>
            </w:r>
            <w:r>
              <w:rPr>
                <w:rFonts w:hint="eastAsia" w:ascii="Times New Roman"/>
              </w:rPr>
              <w:t>钕铁硼永磁材料</w:t>
            </w:r>
            <w:r>
              <w:rPr>
                <w:rFonts w:ascii="Times New Roman"/>
              </w:rPr>
              <w:t>：熔炼+</w:t>
            </w:r>
            <w:r>
              <w:rPr>
                <w:rFonts w:hint="eastAsia" w:ascii="Times New Roman"/>
              </w:rPr>
              <w:t>快淬+</w:t>
            </w:r>
            <w:r>
              <w:rPr>
                <w:rFonts w:ascii="Times New Roman"/>
              </w:rPr>
              <w:t>制粉+成型+固化处理；</w:t>
            </w:r>
          </w:p>
          <w:p>
            <w:pPr>
              <w:pStyle w:val="178"/>
              <w:jc w:val="both"/>
              <w:rPr>
                <w:rFonts w:ascii="Times New Roman"/>
              </w:rPr>
            </w:pPr>
            <w:r>
              <w:rPr>
                <w:rFonts w:ascii="Times New Roman"/>
              </w:rPr>
              <w:t>04. 热压</w:t>
            </w:r>
            <w:r>
              <w:rPr>
                <w:rFonts w:hint="eastAsia" w:ascii="Times New Roman"/>
              </w:rPr>
              <w:t>钕铁硼磁材料</w:t>
            </w:r>
            <w:r>
              <w:rPr>
                <w:rFonts w:ascii="Times New Roman"/>
              </w:rPr>
              <w:t>：熔炼+</w:t>
            </w:r>
            <w:r>
              <w:rPr>
                <w:rFonts w:hint="eastAsia" w:ascii="Times New Roman"/>
              </w:rPr>
              <w:t>快淬+</w:t>
            </w:r>
            <w:r>
              <w:rPr>
                <w:rFonts w:ascii="Times New Roman"/>
              </w:rPr>
              <w:t>制粉+热压+热变形；</w:t>
            </w:r>
          </w:p>
          <w:p>
            <w:pPr>
              <w:pStyle w:val="178"/>
              <w:jc w:val="both"/>
              <w:rPr>
                <w:rFonts w:ascii="Times New Roman"/>
              </w:rPr>
            </w:pPr>
            <w:r>
              <w:rPr>
                <w:rFonts w:hint="eastAsia" w:ascii="Times New Roman"/>
              </w:rPr>
              <w:t>05：</w:t>
            </w:r>
            <w:r>
              <w:rPr>
                <w:rFonts w:ascii="Times New Roman"/>
              </w:rPr>
              <w:t>其它工艺路线（需标注工艺</w:t>
            </w:r>
            <w:r>
              <w:rPr>
                <w:rFonts w:hint="eastAsia" w:ascii="Times New Roman"/>
              </w:rPr>
              <w:t>路线</w:t>
            </w:r>
            <w:r>
              <w:rPr>
                <w:rFonts w:ascii="Times New Roman"/>
              </w:rPr>
              <w:t>名称及技术规范）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2</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制粉工艺</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Powder</w:t>
            </w:r>
            <w:r>
              <w:rPr>
                <w:rFonts w:hint="eastAsia" w:ascii="Times New Roman"/>
              </w:rPr>
              <w:t xml:space="preserve"> </w:t>
            </w:r>
            <w:r>
              <w:rPr>
                <w:rFonts w:ascii="Times New Roman"/>
              </w:rPr>
              <w:t>Preparation</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包括机械球磨、气流磨等工艺类型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3</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成型工艺</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Forming</w:t>
            </w:r>
            <w:r>
              <w:rPr>
                <w:rFonts w:hint="eastAsia" w:ascii="Times New Roman"/>
              </w:rPr>
              <w:t xml:space="preserve"> </w:t>
            </w:r>
            <w:r>
              <w:rPr>
                <w:rFonts w:ascii="Times New Roman"/>
              </w:rPr>
              <w:t>Process</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包含磁场取向成型、热压成型等分类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4</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热处理工艺</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Heat</w:t>
            </w:r>
            <w:r>
              <w:rPr>
                <w:rFonts w:hint="eastAsia" w:ascii="Times New Roman"/>
              </w:rPr>
              <w:t xml:space="preserve"> T</w:t>
            </w:r>
            <w:r>
              <w:rPr>
                <w:rFonts w:ascii="Times New Roman"/>
              </w:rPr>
              <w:t>reatment</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涵盖烧结、回火、晶界扩散等关键步骤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5</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表面处理工艺</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Surface</w:t>
            </w:r>
            <w:r>
              <w:rPr>
                <w:rFonts w:hint="eastAsia" w:ascii="Times New Roman"/>
              </w:rPr>
              <w:t xml:space="preserve"> </w:t>
            </w:r>
            <w:r>
              <w:rPr>
                <w:rFonts w:ascii="Times New Roman"/>
              </w:rPr>
              <w:t>Treatment</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包括镀膜、化学腐蚀、酸洗等工艺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6</w:t>
            </w:r>
          </w:p>
        </w:tc>
        <w:tc>
          <w:tcPr>
            <w:tcW w:w="969"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自定义工艺</w:t>
            </w:r>
          </w:p>
        </w:tc>
        <w:tc>
          <w:tcPr>
            <w:tcW w:w="11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User-define</w:t>
            </w:r>
            <w:r>
              <w:rPr>
                <w:rFonts w:hint="eastAsia" w:ascii="Times New Roman"/>
              </w:rPr>
              <w:t xml:space="preserve"> Process</w:t>
            </w:r>
          </w:p>
        </w:tc>
        <w:tc>
          <w:tcPr>
            <w:tcW w:w="2405"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自定义工艺（需标注工艺名称及技术规范）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cs="宋体"/>
                <w:sz w:val="18"/>
                <w:szCs w:val="18"/>
                <w:lang w:bidi="ar"/>
              </w:rPr>
            </w:pPr>
            <w:r>
              <w:rPr>
                <w:sz w:val="18"/>
                <w:szCs w:val="18"/>
                <w:vertAlign w:val="superscript"/>
                <w:lang w:bidi="ar"/>
              </w:rPr>
              <w:t xml:space="preserve">a </w:t>
            </w:r>
            <w:r>
              <w:rPr>
                <w:sz w:val="18"/>
                <w:szCs w:val="18"/>
                <w:lang w:bidi="ar"/>
              </w:rPr>
              <w:t xml:space="preserve"> </w:t>
            </w:r>
            <w:r>
              <w:rPr>
                <w:rFonts w:hint="eastAsia" w:cs="宋体"/>
                <w:sz w:val="18"/>
                <w:szCs w:val="18"/>
                <w:lang w:bidi="ar"/>
              </w:rPr>
              <w:t>自定义工艺最多宜选两项。</w:t>
            </w:r>
          </w:p>
        </w:tc>
      </w:tr>
    </w:tbl>
    <w:p>
      <w:pPr>
        <w:pStyle w:val="112"/>
        <w:spacing w:before="156" w:after="156"/>
      </w:pPr>
      <w:r>
        <w:rPr>
          <w:rFonts w:hint="eastAsia"/>
        </w:rPr>
        <w:t>结构参数表</w:t>
      </w:r>
    </w:p>
    <w:tbl>
      <w:tblPr>
        <w:tblStyle w:val="26"/>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744"/>
        <w:gridCol w:w="2123"/>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序号</w:t>
            </w:r>
          </w:p>
        </w:tc>
        <w:tc>
          <w:tcPr>
            <w:tcW w:w="92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中文名称</w:t>
            </w:r>
          </w:p>
        </w:tc>
        <w:tc>
          <w:tcPr>
            <w:tcW w:w="11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英文名称</w:t>
            </w:r>
          </w:p>
        </w:tc>
        <w:tc>
          <w:tcPr>
            <w:tcW w:w="24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4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1</w:t>
            </w:r>
          </w:p>
        </w:tc>
        <w:tc>
          <w:tcPr>
            <w:tcW w:w="92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晶体结构</w:t>
            </w:r>
          </w:p>
        </w:tc>
        <w:tc>
          <w:tcPr>
            <w:tcW w:w="11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Crystal</w:t>
            </w:r>
            <w:r>
              <w:rPr>
                <w:rFonts w:hint="eastAsia" w:ascii="Times New Roman"/>
              </w:rPr>
              <w:t xml:space="preserve"> S</w:t>
            </w:r>
            <w:r>
              <w:rPr>
                <w:rFonts w:ascii="Times New Roman"/>
              </w:rPr>
              <w:t>tructure</w:t>
            </w:r>
          </w:p>
        </w:tc>
        <w:tc>
          <w:tcPr>
            <w:tcW w:w="24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按晶体学分类（如立方、六方、四方等）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4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2</w:t>
            </w:r>
          </w:p>
        </w:tc>
        <w:tc>
          <w:tcPr>
            <w:tcW w:w="92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微观结构</w:t>
            </w:r>
          </w:p>
        </w:tc>
        <w:tc>
          <w:tcPr>
            <w:tcW w:w="11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Microstructure</w:t>
            </w:r>
          </w:p>
        </w:tc>
        <w:tc>
          <w:tcPr>
            <w:tcW w:w="24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描述材料相组成（如主相、晶界相等），支持扩展自定义相类型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3</w:t>
            </w:r>
          </w:p>
        </w:tc>
        <w:tc>
          <w:tcPr>
            <w:tcW w:w="92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szCs w:val="18"/>
              </w:rPr>
            </w:pPr>
            <w:r>
              <w:rPr>
                <w:rFonts w:ascii="Times New Roman"/>
                <w:szCs w:val="18"/>
              </w:rPr>
              <w:t>自定义结构特征a</w:t>
            </w:r>
          </w:p>
        </w:tc>
        <w:tc>
          <w:tcPr>
            <w:tcW w:w="112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User-define</w:t>
            </w:r>
          </w:p>
        </w:tc>
        <w:tc>
          <w:tcPr>
            <w:tcW w:w="24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企业自定义结构参数（需标注名称及检测标准）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cs="宋体"/>
                <w:sz w:val="18"/>
                <w:szCs w:val="18"/>
                <w:lang w:bidi="ar"/>
              </w:rPr>
            </w:pPr>
            <w:r>
              <w:rPr>
                <w:sz w:val="18"/>
                <w:szCs w:val="18"/>
                <w:vertAlign w:val="superscript"/>
                <w:lang w:bidi="ar"/>
              </w:rPr>
              <w:t xml:space="preserve">a  </w:t>
            </w:r>
            <w:r>
              <w:rPr>
                <w:rFonts w:hint="eastAsia" w:cs="宋体"/>
                <w:sz w:val="18"/>
                <w:szCs w:val="18"/>
                <w:lang w:bidi="ar"/>
              </w:rPr>
              <w:t>自定义结构最多宜选</w:t>
            </w:r>
            <w:r>
              <w:rPr>
                <w:rFonts w:hint="eastAsia" w:cs="宋体"/>
                <w:sz w:val="18"/>
                <w:szCs w:val="18"/>
                <w:lang w:eastAsia="zh" w:bidi="ar"/>
              </w:rPr>
              <w:t>两</w:t>
            </w:r>
            <w:r>
              <w:rPr>
                <w:rFonts w:hint="eastAsia" w:cs="宋体"/>
                <w:sz w:val="18"/>
                <w:szCs w:val="18"/>
                <w:lang w:bidi="ar"/>
              </w:rPr>
              <w:t>项。</w:t>
            </w:r>
          </w:p>
        </w:tc>
      </w:tr>
    </w:tbl>
    <w:p>
      <w:pPr>
        <w:pStyle w:val="112"/>
        <w:spacing w:before="156" w:after="156"/>
      </w:pPr>
      <w:r>
        <w:rPr>
          <w:rFonts w:hint="eastAsia"/>
        </w:rPr>
        <w:t>形状常量表</w:t>
      </w:r>
    </w:p>
    <w:tbl>
      <w:tblPr>
        <w:tblStyle w:val="26"/>
        <w:tblpPr w:leftFromText="180" w:rightFromText="180" w:vertAnchor="text" w:horzAnchor="page" w:tblpX="1456" w:tblpY="91"/>
        <w:tblOverlap w:val="never"/>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549"/>
        <w:gridCol w:w="2124"/>
        <w:gridCol w:w="4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1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序号</w:t>
            </w:r>
          </w:p>
        </w:tc>
        <w:tc>
          <w:tcPr>
            <w:tcW w:w="8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中文名称</w:t>
            </w:r>
          </w:p>
        </w:tc>
        <w:tc>
          <w:tcPr>
            <w:tcW w:w="113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英文名称</w:t>
            </w:r>
          </w:p>
        </w:tc>
        <w:tc>
          <w:tcPr>
            <w:tcW w:w="25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1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8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中间料形状</w:t>
            </w:r>
          </w:p>
        </w:tc>
        <w:tc>
          <w:tcPr>
            <w:tcW w:w="113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Blank</w:t>
            </w:r>
            <w:r>
              <w:rPr>
                <w:rFonts w:hint="eastAsia" w:ascii="Times New Roman"/>
              </w:rPr>
              <w:t xml:space="preserve"> </w:t>
            </w:r>
            <w:r>
              <w:rPr>
                <w:rFonts w:ascii="Times New Roman"/>
              </w:rPr>
              <w:t>Shape</w:t>
            </w:r>
          </w:p>
        </w:tc>
        <w:tc>
          <w:tcPr>
            <w:tcW w:w="25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包括坯料、粉末、薄膜等类型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1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2</w:t>
            </w:r>
          </w:p>
        </w:tc>
        <w:tc>
          <w:tcPr>
            <w:tcW w:w="8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产品端形状</w:t>
            </w:r>
          </w:p>
        </w:tc>
        <w:tc>
          <w:tcPr>
            <w:tcW w:w="1134"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Product</w:t>
            </w:r>
            <w:r>
              <w:rPr>
                <w:rFonts w:hint="eastAsia" w:ascii="Times New Roman"/>
              </w:rPr>
              <w:t xml:space="preserve"> </w:t>
            </w:r>
            <w:r>
              <w:rPr>
                <w:rFonts w:ascii="Times New Roman"/>
              </w:rPr>
              <w:t>Shape</w:t>
            </w:r>
          </w:p>
        </w:tc>
        <w:tc>
          <w:tcPr>
            <w:tcW w:w="252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包括圆柱、矩形体、磁环、磁瓦等类型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2"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3</w:t>
            </w:r>
          </w:p>
        </w:tc>
        <w:tc>
          <w:tcPr>
            <w:tcW w:w="827"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其他特殊形状</w:t>
            </w:r>
          </w:p>
        </w:tc>
        <w:tc>
          <w:tcPr>
            <w:tcW w:w="1134"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Other Special Shape</w:t>
            </w:r>
          </w:p>
        </w:tc>
        <w:tc>
          <w:tcPr>
            <w:tcW w:w="2527" w:type="pct"/>
            <w:tcBorders>
              <w:top w:val="single" w:color="auto" w:sz="4" w:space="0"/>
              <w:left w:val="single" w:color="auto" w:sz="4" w:space="0"/>
              <w:bottom w:val="single" w:color="auto" w:sz="4" w:space="0"/>
              <w:right w:val="single" w:color="auto" w:sz="4" w:space="0"/>
            </w:tcBorders>
          </w:tcPr>
          <w:p>
            <w:pPr>
              <w:pStyle w:val="178"/>
              <w:rPr>
                <w:rFonts w:ascii="Times New Roman"/>
              </w:rPr>
            </w:pPr>
            <w:r>
              <w:rPr>
                <w:rFonts w:hint="eastAsia" w:ascii="Times New Roman"/>
              </w:rPr>
              <w:t>其他特殊形状</w:t>
            </w:r>
          </w:p>
        </w:tc>
      </w:tr>
    </w:tbl>
    <w:p>
      <w:pPr>
        <w:pStyle w:val="112"/>
        <w:spacing w:before="156" w:after="156"/>
      </w:pPr>
      <w:r>
        <w:rPr>
          <w:rFonts w:hint="eastAsia"/>
        </w:rPr>
        <w:t>尺寸参数表</w:t>
      </w:r>
    </w:p>
    <w:tbl>
      <w:tblPr>
        <w:tblStyle w:val="26"/>
        <w:tblW w:w="49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874"/>
        <w:gridCol w:w="2147"/>
        <w:gridCol w:w="4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序号</w:t>
            </w:r>
          </w:p>
        </w:tc>
        <w:tc>
          <w:tcPr>
            <w:tcW w:w="98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中文名称</w:t>
            </w:r>
          </w:p>
        </w:tc>
        <w:tc>
          <w:tcPr>
            <w:tcW w:w="113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英文名称</w:t>
            </w:r>
          </w:p>
        </w:tc>
        <w:tc>
          <w:tcPr>
            <w:tcW w:w="2357"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1</w:t>
            </w:r>
          </w:p>
        </w:tc>
        <w:tc>
          <w:tcPr>
            <w:tcW w:w="98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中间料尺寸</w:t>
            </w:r>
          </w:p>
        </w:tc>
        <w:tc>
          <w:tcPr>
            <w:tcW w:w="113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Intermediate Size</w:t>
            </w:r>
          </w:p>
        </w:tc>
        <w:tc>
          <w:tcPr>
            <w:tcW w:w="2357"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hint="eastAsia" w:ascii="Times New Roman"/>
              </w:rPr>
              <w:t>01. 坯料：长度、宽度、厚度（单位mm）；</w:t>
            </w:r>
          </w:p>
          <w:p>
            <w:pPr>
              <w:pStyle w:val="178"/>
              <w:jc w:val="both"/>
              <w:rPr>
                <w:rFonts w:ascii="Times New Roman"/>
              </w:rPr>
            </w:pPr>
            <w:r>
              <w:rPr>
                <w:rFonts w:hint="eastAsia" w:ascii="Times New Roman"/>
              </w:rPr>
              <w:t>02. 粉末：粒径分布（单位</w:t>
            </w:r>
            <w:r>
              <w:rPr>
                <w:rFonts w:hint="eastAsia" w:ascii="Times New Roman"/>
              </w:rPr>
              <w:sym w:font="Symbol" w:char="006D"/>
            </w:r>
            <w:r>
              <w:rPr>
                <w:rFonts w:hint="eastAsia" w:ascii="Times New Roman"/>
              </w:rPr>
              <w:t>m）；</w:t>
            </w:r>
          </w:p>
          <w:p>
            <w:pPr>
              <w:pStyle w:val="178"/>
              <w:jc w:val="both"/>
              <w:rPr>
                <w:rFonts w:ascii="Times New Roman"/>
              </w:rPr>
            </w:pPr>
            <w:r>
              <w:rPr>
                <w:rFonts w:hint="eastAsia" w:ascii="Times New Roman"/>
              </w:rPr>
              <w:t>03. 薄膜：厚度、面积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2</w:t>
            </w:r>
          </w:p>
        </w:tc>
        <w:tc>
          <w:tcPr>
            <w:tcW w:w="98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产品端尺寸</w:t>
            </w:r>
          </w:p>
        </w:tc>
        <w:tc>
          <w:tcPr>
            <w:tcW w:w="113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Product Size</w:t>
            </w:r>
          </w:p>
        </w:tc>
        <w:tc>
          <w:tcPr>
            <w:tcW w:w="2357"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hint="eastAsia" w:ascii="Times New Roman"/>
              </w:rPr>
              <w:t>01. 圆柱：直径、高度（单位mm）；</w:t>
            </w:r>
          </w:p>
          <w:p>
            <w:pPr>
              <w:pStyle w:val="178"/>
              <w:jc w:val="both"/>
              <w:rPr>
                <w:rFonts w:ascii="Times New Roman"/>
              </w:rPr>
            </w:pPr>
            <w:r>
              <w:rPr>
                <w:rFonts w:hint="eastAsia" w:ascii="Times New Roman"/>
              </w:rPr>
              <w:t>02. 矩形体：长度、宽度、高度（单位mm）；</w:t>
            </w:r>
          </w:p>
          <w:p>
            <w:pPr>
              <w:pStyle w:val="178"/>
              <w:jc w:val="both"/>
              <w:rPr>
                <w:rFonts w:ascii="Times New Roman"/>
              </w:rPr>
            </w:pPr>
            <w:r>
              <w:rPr>
                <w:rFonts w:hint="eastAsia" w:ascii="Times New Roman"/>
              </w:rPr>
              <w:t>03. 磁环：内径、外径、厚度（单位mm）；</w:t>
            </w:r>
          </w:p>
          <w:p>
            <w:pPr>
              <w:pStyle w:val="178"/>
              <w:jc w:val="both"/>
              <w:rPr>
                <w:rFonts w:ascii="Times New Roman"/>
              </w:rPr>
            </w:pPr>
            <w:r>
              <w:rPr>
                <w:rFonts w:hint="eastAsia" w:ascii="Times New Roman"/>
              </w:rPr>
              <w:t>04. 磁瓦：内外径、弧度、长度、宽度、厚度等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3</w:t>
            </w:r>
          </w:p>
        </w:tc>
        <w:tc>
          <w:tcPr>
            <w:tcW w:w="98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自定义尺寸</w:t>
            </w:r>
          </w:p>
        </w:tc>
        <w:tc>
          <w:tcPr>
            <w:tcW w:w="1132"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User-define</w:t>
            </w:r>
          </w:p>
        </w:tc>
        <w:tc>
          <w:tcPr>
            <w:tcW w:w="2357"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hint="eastAsia" w:ascii="Times New Roman"/>
              </w:rPr>
              <w:t>特殊形状或尺寸（需标注定义规则）</w:t>
            </w:r>
          </w:p>
        </w:tc>
      </w:tr>
    </w:tbl>
    <w:p>
      <w:pPr>
        <w:pStyle w:val="112"/>
        <w:spacing w:before="156" w:after="156"/>
      </w:pPr>
      <w:r>
        <w:rPr>
          <w:rFonts w:hint="eastAsia"/>
        </w:rPr>
        <w:t>用途参数表</w:t>
      </w:r>
    </w:p>
    <w:tbl>
      <w:tblPr>
        <w:tblStyle w:val="26"/>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40"/>
        <w:gridCol w:w="2755"/>
        <w:gridCol w:w="4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序号</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中文名称</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英文名称</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值域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工业装备</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Industrial</w:t>
            </w:r>
            <w:r>
              <w:rPr>
                <w:rFonts w:hint="eastAsia" w:ascii="Times New Roman"/>
              </w:rPr>
              <w:t xml:space="preserve"> </w:t>
            </w:r>
            <w:r>
              <w:rPr>
                <w:rFonts w:ascii="Times New Roman"/>
              </w:rPr>
              <w:t>Equipment</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包括轨道交通、电力设备、数控机床等</w:t>
            </w:r>
            <w:r>
              <w:rPr>
                <w:rFonts w:hint="eastAsia" w:ascii="Times New Roman"/>
              </w:rPr>
              <w:t>工业装备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2</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消费电子</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Consumer</w:t>
            </w:r>
            <w:r>
              <w:rPr>
                <w:rFonts w:hint="eastAsia" w:ascii="Times New Roman"/>
              </w:rPr>
              <w:t xml:space="preserve"> </w:t>
            </w:r>
            <w:r>
              <w:rPr>
                <w:rFonts w:ascii="Times New Roman"/>
              </w:rPr>
              <w:t>Electronics</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手机、电脑等消费电子产品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3</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航空航天</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Aviation</w:t>
            </w:r>
            <w:r>
              <w:rPr>
                <w:rFonts w:hint="eastAsia" w:ascii="Times New Roman"/>
              </w:rPr>
              <w:t xml:space="preserve"> </w:t>
            </w:r>
            <w:r>
              <w:rPr>
                <w:rFonts w:ascii="Times New Roman"/>
              </w:rPr>
              <w:t>Aerospace</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航空发动机、卫星等</w:t>
            </w:r>
            <w:r>
              <w:rPr>
                <w:rFonts w:hint="eastAsia" w:ascii="Times New Roman"/>
              </w:rPr>
              <w:t>装备产品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4</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医疗器械</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Medical</w:t>
            </w:r>
            <w:r>
              <w:rPr>
                <w:rFonts w:hint="eastAsia" w:ascii="Times New Roman"/>
              </w:rPr>
              <w:t xml:space="preserve"> </w:t>
            </w:r>
            <w:r>
              <w:rPr>
                <w:rFonts w:ascii="Times New Roman"/>
              </w:rPr>
              <w:t>Devices</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医疗成像设备、手术机器人等</w:t>
            </w:r>
            <w:r>
              <w:rPr>
                <w:rFonts w:hint="eastAsia" w:ascii="Times New Roman"/>
              </w:rPr>
              <w:t>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5</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国防军工</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National Defense &amp; M</w:t>
            </w:r>
            <w:r>
              <w:rPr>
                <w:rFonts w:ascii="Times New Roman"/>
              </w:rPr>
              <w:t>ilitary</w:t>
            </w:r>
            <w:r>
              <w:rPr>
                <w:rFonts w:hint="eastAsia" w:ascii="Times New Roman"/>
              </w:rPr>
              <w:t xml:space="preserve"> Industry</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szCs w:val="21"/>
              </w:rPr>
              <w:t>精确制导武器、雷达与通讯系统等产品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6</w:t>
            </w:r>
          </w:p>
        </w:tc>
        <w:tc>
          <w:tcPr>
            <w:tcW w:w="81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其他</w:t>
            </w:r>
            <w:r>
              <w:rPr>
                <w:rFonts w:hint="eastAsia" w:ascii="Times New Roman"/>
              </w:rPr>
              <w:t>应用</w:t>
            </w:r>
            <w:r>
              <w:rPr>
                <w:rFonts w:ascii="Times New Roman"/>
              </w:rPr>
              <w:t>领域</w:t>
            </w:r>
          </w:p>
        </w:tc>
        <w:tc>
          <w:tcPr>
            <w:tcW w:w="145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Other</w:t>
            </w:r>
            <w:r>
              <w:rPr>
                <w:rFonts w:hint="eastAsia" w:ascii="Times New Roman"/>
              </w:rPr>
              <w:t xml:space="preserve"> </w:t>
            </w:r>
            <w:r>
              <w:rPr>
                <w:rFonts w:ascii="Times New Roman"/>
              </w:rPr>
              <w:t>Application</w:t>
            </w:r>
          </w:p>
        </w:tc>
        <w:tc>
          <w:tcPr>
            <w:tcW w:w="227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企业自定义应用场景（需标注技术规范）</w:t>
            </w:r>
          </w:p>
        </w:tc>
      </w:tr>
    </w:tbl>
    <w:p>
      <w:pPr>
        <w:pStyle w:val="112"/>
        <w:spacing w:before="156" w:after="156"/>
      </w:pPr>
      <w:r>
        <w:rPr>
          <w:rFonts w:hint="eastAsia"/>
        </w:rPr>
        <w:t>供应链信息参数表</w:t>
      </w:r>
    </w:p>
    <w:tbl>
      <w:tblPr>
        <w:tblStyle w:val="26"/>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453"/>
        <w:gridCol w:w="2092"/>
        <w:gridCol w:w="4296"/>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序号</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中文名称</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英文</w:t>
            </w:r>
            <w:r>
              <w:rPr>
                <w:rFonts w:ascii="Times New Roman"/>
              </w:rPr>
              <w:t>名称</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说明</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1</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矿产信息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Mineral </w:t>
            </w:r>
            <w:r>
              <w:rPr>
                <w:rFonts w:hint="eastAsia" w:ascii="Times New Roman"/>
              </w:rPr>
              <w:t>R</w:t>
            </w:r>
            <w:r>
              <w:rPr>
                <w:rFonts w:ascii="Times New Roman"/>
              </w:rPr>
              <w:t xml:space="preserve">esource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矿</w:t>
            </w:r>
            <w:r>
              <w:rPr>
                <w:rFonts w:hint="eastAsia" w:ascii="Times New Roman"/>
              </w:rPr>
              <w:t>产资</w:t>
            </w:r>
            <w:r>
              <w:rPr>
                <w:rFonts w:ascii="Times New Roman"/>
              </w:rPr>
              <w:t>源</w:t>
            </w:r>
            <w:r>
              <w:rPr>
                <w:rFonts w:hint="eastAsia" w:ascii="Times New Roman"/>
              </w:rPr>
              <w:t>，</w:t>
            </w:r>
            <w:r>
              <w:rPr>
                <w:rFonts w:ascii="Times New Roman"/>
              </w:rPr>
              <w:t>矿山或供应商唯一标识</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2</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冶炼分离信息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jc w:val="both"/>
              <w:rPr>
                <w:rFonts w:ascii="Times New Roman"/>
              </w:rPr>
            </w:pPr>
            <w:r>
              <w:rPr>
                <w:rFonts w:ascii="Times New Roman"/>
              </w:rPr>
              <w:t xml:space="preserve">Smelting </w:t>
            </w:r>
            <w:r>
              <w:rPr>
                <w:rFonts w:hint="eastAsia" w:ascii="Times New Roman"/>
              </w:rPr>
              <w:t>&amp;</w:t>
            </w:r>
            <w:r>
              <w:rPr>
                <w:rFonts w:ascii="Times New Roman"/>
              </w:rPr>
              <w:t xml:space="preserve"> </w:t>
            </w:r>
            <w:r>
              <w:rPr>
                <w:rFonts w:hint="eastAsia" w:ascii="Times New Roman"/>
              </w:rPr>
              <w:t>S</w:t>
            </w:r>
            <w:r>
              <w:rPr>
                <w:rFonts w:ascii="Times New Roman"/>
              </w:rPr>
              <w:t xml:space="preserve">eparation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冶炼工艺</w:t>
            </w:r>
            <w:r>
              <w:rPr>
                <w:rFonts w:hint="eastAsia" w:ascii="Times New Roman"/>
              </w:rPr>
              <w:t>类别及</w:t>
            </w:r>
            <w:r>
              <w:rPr>
                <w:rFonts w:ascii="Times New Roman"/>
              </w:rPr>
              <w:t>编码</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3</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磁体制造信息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Magnet </w:t>
            </w:r>
            <w:r>
              <w:rPr>
                <w:rFonts w:hint="eastAsia" w:ascii="Times New Roman"/>
              </w:rPr>
              <w:t>M</w:t>
            </w:r>
            <w:r>
              <w:rPr>
                <w:rFonts w:ascii="Times New Roman"/>
              </w:rPr>
              <w:t xml:space="preserve">anufacturing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产品</w:t>
            </w:r>
            <w:r>
              <w:rPr>
                <w:rFonts w:ascii="Times New Roman"/>
              </w:rPr>
              <w:t>生产批次标识</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4</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加工信息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Processing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加工企业名称、加工工艺类型（如切割、磨削、镀膜等）</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5</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器件组装信息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Device </w:t>
            </w:r>
            <w:r>
              <w:rPr>
                <w:rFonts w:hint="eastAsia" w:ascii="Times New Roman"/>
              </w:rPr>
              <w:t>A</w:t>
            </w:r>
            <w:r>
              <w:rPr>
                <w:rFonts w:ascii="Times New Roman"/>
              </w:rPr>
              <w:t xml:space="preserve">ssembly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磁体集成至电机、传感器等器件的责任方</w:t>
            </w:r>
            <w:r>
              <w:rPr>
                <w:rFonts w:hint="eastAsia" w:ascii="Times New Roman"/>
              </w:rPr>
              <w:t>（组装企业名称）</w:t>
            </w:r>
            <w:r>
              <w:rPr>
                <w:rFonts w:ascii="Times New Roman"/>
              </w:rPr>
              <w:t>；最终器件型号及性能参数</w:t>
            </w:r>
            <w:r>
              <w:rPr>
                <w:rFonts w:hint="eastAsia" w:ascii="Times New Roman"/>
              </w:rPr>
              <w:t>（组装产品规格）</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6</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应用信息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Application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应用领域、应用环境</w:t>
            </w:r>
            <w:r>
              <w:rPr>
                <w:rFonts w:hint="eastAsia" w:ascii="Times New Roman"/>
              </w:rPr>
              <w:t>（</w:t>
            </w:r>
            <w:r>
              <w:rPr>
                <w:rFonts w:ascii="Times New Roman"/>
              </w:rPr>
              <w:t>温度、湿度、腐蚀性等工况描述</w:t>
            </w:r>
            <w:r>
              <w:rPr>
                <w:rFonts w:hint="eastAsia" w:ascii="Times New Roman"/>
              </w:rPr>
              <w:t>）</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7</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回收利用信息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Recycling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回收来源环节</w:t>
            </w:r>
            <w:r>
              <w:rPr>
                <w:rFonts w:hint="eastAsia" w:ascii="Times New Roman"/>
              </w:rPr>
              <w:t>，</w:t>
            </w:r>
            <w:r>
              <w:rPr>
                <w:rFonts w:ascii="Times New Roman"/>
              </w:rPr>
              <w:t>如生产废料、退役器件等；回收利用方式</w:t>
            </w:r>
            <w:r>
              <w:rPr>
                <w:rFonts w:hint="eastAsia" w:ascii="Times New Roman"/>
              </w:rPr>
              <w:t>，如</w:t>
            </w:r>
            <w:r>
              <w:rPr>
                <w:rFonts w:ascii="Times New Roman"/>
              </w:rPr>
              <w:t>再冶炼、材料修复等</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8</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运输信息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Transportation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hAnsi="宋体"/>
              </w:rPr>
              <w:t>包装、运输、贮存等状态</w:t>
            </w:r>
            <w:r>
              <w:rPr>
                <w:rFonts w:hAnsi="宋体"/>
              </w:rPr>
              <w:t>数据</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Ansi="宋体"/>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9</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仓储信息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 xml:space="preserve">Warehousing </w:t>
            </w:r>
            <w:r>
              <w:rPr>
                <w:rFonts w:hint="eastAsia" w:ascii="Times New Roman"/>
              </w:rPr>
              <w:t>I</w:t>
            </w:r>
            <w:r>
              <w:rPr>
                <w:rFonts w:ascii="Times New Roman"/>
              </w:rPr>
              <w:t>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仓储环境参数</w:t>
            </w:r>
            <w:r>
              <w:rPr>
                <w:rFonts w:hint="eastAsia" w:ascii="Times New Roman"/>
              </w:rPr>
              <w:t>，</w:t>
            </w:r>
            <w:r>
              <w:rPr>
                <w:rFonts w:ascii="Times New Roman"/>
              </w:rPr>
              <w:t>存储温度、湿度、防磁要求等</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非必选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ascii="Times New Roman"/>
              </w:rPr>
              <w:t>10</w:t>
            </w:r>
          </w:p>
        </w:tc>
        <w:tc>
          <w:tcPr>
            <w:tcW w:w="76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hAnsi="宋体"/>
              </w:rPr>
              <w:t>其他信息</w:t>
            </w:r>
          </w:p>
        </w:tc>
        <w:tc>
          <w:tcPr>
            <w:tcW w:w="1103"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ascii="Times New Roman"/>
              </w:rPr>
              <w:t>Other</w:t>
            </w:r>
            <w:r>
              <w:rPr>
                <w:rFonts w:hint="eastAsia" w:ascii="Times New Roman"/>
              </w:rPr>
              <w:t xml:space="preserve"> Information</w:t>
            </w:r>
          </w:p>
        </w:tc>
        <w:tc>
          <w:tcPr>
            <w:tcW w:w="2265"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hAnsi="宋体"/>
              </w:rPr>
              <w:t>其他供应链相关信息</w:t>
            </w:r>
          </w:p>
        </w:tc>
        <w:tc>
          <w:tcPr>
            <w:tcW w:w="486" w:type="pct"/>
            <w:tcBorders>
              <w:top w:val="single" w:color="auto" w:sz="4" w:space="0"/>
              <w:left w:val="single" w:color="auto" w:sz="4" w:space="0"/>
              <w:bottom w:val="single" w:color="auto" w:sz="4" w:space="0"/>
              <w:right w:val="single" w:color="auto" w:sz="4" w:space="0"/>
            </w:tcBorders>
            <w:vAlign w:val="center"/>
          </w:tcPr>
          <w:p>
            <w:pPr>
              <w:pStyle w:val="178"/>
              <w:rPr>
                <w:rFonts w:ascii="Times New Roman"/>
              </w:rPr>
            </w:pPr>
            <w:r>
              <w:rPr>
                <w:rFonts w:hint="eastAsia" w:hAnsi="宋体"/>
              </w:rPr>
              <w:t>非必选</w:t>
            </w:r>
          </w:p>
        </w:tc>
      </w:tr>
    </w:tbl>
    <w:p>
      <w:pPr>
        <w:pStyle w:val="104"/>
        <w:spacing w:before="312" w:after="312"/>
      </w:pPr>
      <w:bookmarkStart w:id="156" w:name="_Toc206152308"/>
      <w:bookmarkStart w:id="157" w:name="_Toc206152436"/>
      <w:bookmarkStart w:id="158" w:name="_Toc14777"/>
      <w:bookmarkStart w:id="159" w:name="_Toc204675218"/>
      <w:bookmarkStart w:id="160" w:name="_Toc205542829"/>
      <w:bookmarkStart w:id="161" w:name="_Hlk205366545"/>
      <w:bookmarkStart w:id="162" w:name="_Toc31052"/>
      <w:r>
        <w:rPr>
          <w:rFonts w:hint="eastAsia"/>
        </w:rPr>
        <w:t>稀土永磁材料区块链技术要求</w:t>
      </w:r>
      <w:bookmarkEnd w:id="156"/>
      <w:bookmarkEnd w:id="157"/>
      <w:bookmarkEnd w:id="158"/>
      <w:bookmarkEnd w:id="159"/>
      <w:bookmarkEnd w:id="160"/>
      <w:bookmarkEnd w:id="161"/>
      <w:bookmarkEnd w:id="162"/>
    </w:p>
    <w:p>
      <w:pPr>
        <w:pStyle w:val="105"/>
        <w:spacing w:before="156" w:after="156"/>
      </w:pPr>
      <w:bookmarkStart w:id="163" w:name="_Hlk205366658"/>
      <w:bookmarkStart w:id="164" w:name="_Hlk205367345"/>
      <w:bookmarkStart w:id="165" w:name="_Toc206152437"/>
      <w:bookmarkStart w:id="166" w:name="_Toc205542830"/>
      <w:bookmarkStart w:id="167" w:name="_Toc206152309"/>
      <w:r>
        <w:rPr>
          <w:rFonts w:hint="eastAsia"/>
        </w:rPr>
        <w:t>稀土永磁产业链数据共享服务平台</w:t>
      </w:r>
      <w:bookmarkEnd w:id="163"/>
      <w:bookmarkEnd w:id="164"/>
      <w:r>
        <w:rPr>
          <w:rFonts w:hint="eastAsia"/>
        </w:rPr>
        <w:t>技术要求</w:t>
      </w:r>
      <w:bookmarkEnd w:id="165"/>
      <w:bookmarkEnd w:id="166"/>
      <w:bookmarkEnd w:id="167"/>
    </w:p>
    <w:p>
      <w:pPr>
        <w:pStyle w:val="65"/>
        <w:spacing w:before="156" w:after="156"/>
      </w:pPr>
      <w:bookmarkStart w:id="168" w:name="_Toc205367206"/>
      <w:bookmarkStart w:id="169" w:name="_Toc206152438"/>
      <w:bookmarkStart w:id="170" w:name="_Toc205366796"/>
      <w:bookmarkStart w:id="171" w:name="_Toc206152310"/>
      <w:bookmarkStart w:id="172" w:name="_Toc205542831"/>
      <w:r>
        <w:rPr>
          <w:rFonts w:hint="eastAsia"/>
        </w:rPr>
        <w:t>身份管理</w:t>
      </w:r>
      <w:bookmarkEnd w:id="168"/>
      <w:bookmarkEnd w:id="169"/>
      <w:bookmarkEnd w:id="170"/>
      <w:bookmarkEnd w:id="171"/>
      <w:bookmarkEnd w:id="172"/>
    </w:p>
    <w:p>
      <w:pPr>
        <w:widowControl/>
        <w:autoSpaceDE w:val="0"/>
        <w:autoSpaceDN w:val="0"/>
        <w:adjustRightInd/>
        <w:spacing w:line="240" w:lineRule="auto"/>
        <w:ind w:firstLine="420" w:firstLineChars="200"/>
        <w:rPr>
          <w:rFonts w:ascii="宋体" w:hAnsi="Times New Roman"/>
          <w:kern w:val="0"/>
        </w:rPr>
      </w:pPr>
      <w:r>
        <w:rPr>
          <w:rFonts w:hint="eastAsia" w:ascii="宋体" w:hAnsi="宋体"/>
          <w:kern w:val="0"/>
        </w:rPr>
        <w:t>稀土永磁产业链数据共享服务平台的身份管理的功能包括但不限于以下内容：</w:t>
      </w:r>
    </w:p>
    <w:p>
      <w:pPr>
        <w:widowControl/>
        <w:numPr>
          <w:ilvl w:val="0"/>
          <w:numId w:val="41"/>
        </w:numPr>
        <w:autoSpaceDE w:val="0"/>
        <w:autoSpaceDN w:val="0"/>
        <w:adjustRightInd/>
        <w:spacing w:line="240" w:lineRule="auto"/>
        <w:rPr>
          <w:rFonts w:ascii="宋体" w:hAnsi="Times New Roman"/>
          <w:kern w:val="0"/>
        </w:rPr>
      </w:pPr>
      <w:r>
        <w:rPr>
          <w:rFonts w:hint="eastAsia" w:ascii="宋体" w:hAnsi="宋体"/>
          <w:kern w:val="0"/>
        </w:rPr>
        <w:t>应支持接入主体（含个人和企业）进行身份注册、更新、注销管理；</w:t>
      </w:r>
    </w:p>
    <w:p>
      <w:pPr>
        <w:widowControl/>
        <w:numPr>
          <w:ilvl w:val="0"/>
          <w:numId w:val="41"/>
        </w:numPr>
        <w:autoSpaceDE w:val="0"/>
        <w:autoSpaceDN w:val="0"/>
        <w:adjustRightInd/>
        <w:spacing w:line="240" w:lineRule="auto"/>
        <w:rPr>
          <w:rFonts w:ascii="宋体" w:hAnsi="Times New Roman"/>
          <w:kern w:val="0"/>
        </w:rPr>
      </w:pPr>
      <w:r>
        <w:rPr>
          <w:rFonts w:hint="eastAsia" w:ascii="宋体" w:hAnsi="宋体"/>
          <w:kern w:val="0"/>
        </w:rPr>
        <w:t>应支持区块链中间件进行身份注册、更新、注销管理；</w:t>
      </w:r>
    </w:p>
    <w:p>
      <w:pPr>
        <w:widowControl/>
        <w:numPr>
          <w:ilvl w:val="0"/>
          <w:numId w:val="41"/>
        </w:numPr>
        <w:autoSpaceDE w:val="0"/>
        <w:autoSpaceDN w:val="0"/>
        <w:adjustRightInd/>
        <w:spacing w:line="240" w:lineRule="auto"/>
        <w:rPr>
          <w:rFonts w:ascii="宋体" w:hAnsi="Times New Roman"/>
          <w:kern w:val="0"/>
        </w:rPr>
      </w:pPr>
      <w:r>
        <w:rPr>
          <w:rFonts w:hint="eastAsia" w:ascii="宋体" w:hAnsi="宋体"/>
          <w:kern w:val="0"/>
        </w:rPr>
        <w:t>应支持数据节点进行身份注册、更新、注销管理。</w:t>
      </w:r>
    </w:p>
    <w:p>
      <w:pPr>
        <w:pStyle w:val="65"/>
        <w:spacing w:before="156" w:after="156"/>
      </w:pPr>
      <w:bookmarkStart w:id="173" w:name="_Toc206152311"/>
      <w:bookmarkStart w:id="174" w:name="_Toc206152439"/>
      <w:bookmarkStart w:id="175" w:name="_Toc205542832"/>
      <w:bookmarkStart w:id="176" w:name="_Toc205366797"/>
      <w:bookmarkStart w:id="177" w:name="_Toc205367207"/>
      <w:r>
        <w:rPr>
          <w:rFonts w:hint="eastAsia"/>
        </w:rPr>
        <w:t>数据共享</w:t>
      </w:r>
      <w:bookmarkEnd w:id="173"/>
      <w:bookmarkEnd w:id="174"/>
      <w:bookmarkEnd w:id="175"/>
      <w:bookmarkEnd w:id="176"/>
      <w:bookmarkEnd w:id="177"/>
    </w:p>
    <w:p>
      <w:pPr>
        <w:widowControl/>
        <w:autoSpaceDE w:val="0"/>
        <w:autoSpaceDN w:val="0"/>
        <w:adjustRightInd/>
        <w:spacing w:line="240" w:lineRule="auto"/>
        <w:ind w:firstLine="420" w:firstLineChars="200"/>
        <w:rPr>
          <w:rFonts w:ascii="宋体" w:hAnsi="Times New Roman"/>
          <w:kern w:val="0"/>
        </w:rPr>
      </w:pPr>
      <w:r>
        <w:rPr>
          <w:rFonts w:hint="eastAsia" w:ascii="宋体" w:hAnsi="宋体"/>
          <w:kern w:val="0"/>
        </w:rPr>
        <w:t>稀土永磁产业链数据共享服务平台的共享服务包括但不限于以下内容：</w:t>
      </w:r>
    </w:p>
    <w:p>
      <w:pPr>
        <w:widowControl/>
        <w:numPr>
          <w:ilvl w:val="0"/>
          <w:numId w:val="42"/>
        </w:numPr>
        <w:autoSpaceDE w:val="0"/>
        <w:autoSpaceDN w:val="0"/>
        <w:adjustRightInd/>
        <w:spacing w:line="240" w:lineRule="auto"/>
        <w:rPr>
          <w:rFonts w:ascii="宋体" w:hAnsi="Times New Roman"/>
          <w:kern w:val="0"/>
        </w:rPr>
      </w:pPr>
      <w:r>
        <w:rPr>
          <w:rFonts w:hint="eastAsia" w:ascii="宋体" w:hAnsi="宋体"/>
          <w:kern w:val="0"/>
        </w:rPr>
        <w:t>数据发现服务：应支持数据目录分类和导航，支持基于数据目录的搜索、支持基于关键稀土永磁材料/产品特征参数（如磁性能、成分、工艺、物流及供应链等）的数据发现功能。</w:t>
      </w:r>
    </w:p>
    <w:p>
      <w:pPr>
        <w:widowControl/>
        <w:numPr>
          <w:ilvl w:val="0"/>
          <w:numId w:val="42"/>
        </w:numPr>
        <w:autoSpaceDE w:val="0"/>
        <w:autoSpaceDN w:val="0"/>
        <w:adjustRightInd/>
        <w:spacing w:line="240" w:lineRule="auto"/>
        <w:rPr>
          <w:rFonts w:ascii="宋体" w:hAnsi="Times New Roman"/>
          <w:kern w:val="0"/>
        </w:rPr>
      </w:pPr>
      <w:r>
        <w:rPr>
          <w:rFonts w:hint="eastAsia" w:ascii="宋体" w:hAnsi="宋体"/>
          <w:kern w:val="0"/>
        </w:rPr>
        <w:t>数据申请服务：应支持用户申请使用指定数据，将申请发送给数据提供用户，支持用户填写数据使用目的、数据范围和使用时长等信息。</w:t>
      </w:r>
    </w:p>
    <w:p>
      <w:pPr>
        <w:widowControl/>
        <w:numPr>
          <w:ilvl w:val="0"/>
          <w:numId w:val="42"/>
        </w:numPr>
        <w:autoSpaceDE w:val="0"/>
        <w:autoSpaceDN w:val="0"/>
        <w:adjustRightInd/>
        <w:spacing w:line="240" w:lineRule="auto"/>
        <w:rPr>
          <w:rFonts w:ascii="宋体" w:hAnsi="Times New Roman"/>
          <w:kern w:val="0"/>
        </w:rPr>
      </w:pPr>
      <w:r>
        <w:rPr>
          <w:rFonts w:hint="eastAsia" w:ascii="宋体" w:hAnsi="宋体"/>
          <w:kern w:val="0"/>
        </w:rPr>
        <w:t>数据授权服务：应支持数据提供用户授权用户使用指定数据，授权内容包括数据范围、使用时长等。</w:t>
      </w:r>
    </w:p>
    <w:p>
      <w:pPr>
        <w:widowControl/>
        <w:numPr>
          <w:ilvl w:val="0"/>
          <w:numId w:val="42"/>
        </w:numPr>
        <w:autoSpaceDE w:val="0"/>
        <w:autoSpaceDN w:val="0"/>
        <w:adjustRightInd/>
        <w:spacing w:line="240" w:lineRule="auto"/>
        <w:rPr>
          <w:rFonts w:ascii="宋体" w:hAnsi="Times New Roman"/>
          <w:kern w:val="0"/>
        </w:rPr>
      </w:pPr>
      <w:r>
        <w:rPr>
          <w:rFonts w:hint="eastAsia" w:ascii="宋体" w:hAnsi="宋体"/>
          <w:kern w:val="0"/>
        </w:rPr>
        <w:t>数据应用服务：宜提供可适用于稀土永磁产业链应用的专用数据处理模型、算法与工具软件，提供相关应用的介绍、获取指南或下载链接。</w:t>
      </w:r>
    </w:p>
    <w:p>
      <w:pPr>
        <w:pStyle w:val="65"/>
        <w:spacing w:before="156" w:after="156"/>
      </w:pPr>
      <w:bookmarkStart w:id="178" w:name="_Toc205542833"/>
      <w:bookmarkStart w:id="179" w:name="_Toc206152312"/>
      <w:bookmarkStart w:id="180" w:name="_Toc205367208"/>
      <w:bookmarkStart w:id="181" w:name="_Toc205366798"/>
      <w:bookmarkStart w:id="182" w:name="_Toc206152440"/>
      <w:r>
        <w:rPr>
          <w:rFonts w:hint="eastAsia"/>
        </w:rPr>
        <w:t>运营监测</w:t>
      </w:r>
      <w:bookmarkEnd w:id="178"/>
      <w:bookmarkEnd w:id="179"/>
      <w:bookmarkEnd w:id="180"/>
      <w:bookmarkEnd w:id="181"/>
      <w:bookmarkEnd w:id="182"/>
    </w:p>
    <w:p>
      <w:pPr>
        <w:adjustRightInd/>
        <w:spacing w:line="360" w:lineRule="auto"/>
        <w:ind w:firstLine="420" w:firstLineChars="200"/>
        <w:rPr>
          <w:rFonts w:hint="eastAsia" w:ascii="宋体" w:hAnsi="宋体"/>
          <w:szCs w:val="24"/>
        </w:rPr>
      </w:pPr>
      <w:r>
        <w:rPr>
          <w:rFonts w:hint="eastAsia" w:ascii="宋体" w:hAnsi="宋体"/>
          <w:kern w:val="0"/>
        </w:rPr>
        <w:t>稀土永磁产业链数据共享服务平台的运营监测技术要求，包括但不限于以下内容：</w:t>
      </w:r>
    </w:p>
    <w:p>
      <w:pPr>
        <w:widowControl/>
        <w:numPr>
          <w:ilvl w:val="0"/>
          <w:numId w:val="43"/>
        </w:numPr>
        <w:autoSpaceDE w:val="0"/>
        <w:autoSpaceDN w:val="0"/>
        <w:adjustRightInd/>
        <w:spacing w:line="240" w:lineRule="auto"/>
        <w:rPr>
          <w:rFonts w:ascii="宋体" w:hAnsi="Times New Roman"/>
          <w:kern w:val="0"/>
        </w:rPr>
      </w:pPr>
      <w:r>
        <w:rPr>
          <w:rFonts w:hint="eastAsia" w:ascii="宋体" w:hAnsi="宋体"/>
          <w:kern w:val="0"/>
        </w:rPr>
        <w:t>数据评价服务。应支持收集用户对稀土永磁材料数据的评价。应支持根据数据浏览量、用户申请数量、用户评价等因素对数据价值进行评价。</w:t>
      </w:r>
    </w:p>
    <w:p>
      <w:pPr>
        <w:widowControl/>
        <w:numPr>
          <w:ilvl w:val="0"/>
          <w:numId w:val="43"/>
        </w:numPr>
        <w:autoSpaceDE w:val="0"/>
        <w:autoSpaceDN w:val="0"/>
        <w:adjustRightInd/>
        <w:spacing w:line="240" w:lineRule="auto"/>
        <w:rPr>
          <w:rFonts w:ascii="宋体" w:hAnsi="Times New Roman"/>
          <w:kern w:val="0"/>
        </w:rPr>
      </w:pPr>
      <w:r>
        <w:rPr>
          <w:rFonts w:hint="eastAsia" w:ascii="宋体" w:hAnsi="宋体"/>
          <w:kern w:val="0"/>
        </w:rPr>
        <w:t>数据存证服务。支持对稀土永磁上中下游全环节的数据及产品追溯能力，包括材料来源数据、生产加工数据、质量检测数据、物流信息等，支持对数据申请、共享授权、流转等操作行为生成操作日志。宜支持通过区块链技术进行存证，支持通过哈希值验证数据完整性。</w:t>
      </w:r>
    </w:p>
    <w:p>
      <w:pPr>
        <w:widowControl/>
        <w:numPr>
          <w:ilvl w:val="0"/>
          <w:numId w:val="43"/>
        </w:numPr>
        <w:autoSpaceDE w:val="0"/>
        <w:autoSpaceDN w:val="0"/>
        <w:adjustRightInd/>
        <w:spacing w:line="240" w:lineRule="auto"/>
        <w:rPr>
          <w:rFonts w:ascii="宋体" w:hAnsi="Times New Roman"/>
          <w:kern w:val="0"/>
        </w:rPr>
      </w:pPr>
      <w:r>
        <w:rPr>
          <w:rFonts w:hint="eastAsia" w:ascii="宋体" w:hAnsi="宋体"/>
          <w:kern w:val="0"/>
        </w:rPr>
        <w:t>数据追溯服务。平台应支持版权追溯，即验证数据提供方及授权路径，支持对数据使用行为追溯，即追踪数据在各主体间的访问、处理轨迹及时间节点。</w:t>
      </w:r>
    </w:p>
    <w:p>
      <w:pPr>
        <w:widowControl/>
        <w:numPr>
          <w:ilvl w:val="0"/>
          <w:numId w:val="43"/>
        </w:numPr>
        <w:autoSpaceDE w:val="0"/>
        <w:autoSpaceDN w:val="0"/>
        <w:adjustRightInd/>
        <w:spacing w:line="240" w:lineRule="auto"/>
        <w:rPr>
          <w:rFonts w:ascii="宋体" w:hAnsi="Times New Roman"/>
          <w:kern w:val="0"/>
        </w:rPr>
      </w:pPr>
      <w:r>
        <w:rPr>
          <w:rFonts w:hint="eastAsia" w:ascii="宋体" w:hAnsi="宋体"/>
          <w:kern w:val="0"/>
        </w:rPr>
        <w:t>用户反馈服务。应支持收集用户对平台的意见和建议，帮助平台改进。</w:t>
      </w:r>
    </w:p>
    <w:p>
      <w:pPr>
        <w:widowControl/>
        <w:numPr>
          <w:ilvl w:val="0"/>
          <w:numId w:val="43"/>
        </w:numPr>
        <w:autoSpaceDE w:val="0"/>
        <w:autoSpaceDN w:val="0"/>
        <w:adjustRightInd/>
        <w:spacing w:line="240" w:lineRule="auto"/>
        <w:rPr>
          <w:rFonts w:ascii="宋体" w:hAnsi="Times New Roman"/>
          <w:kern w:val="0"/>
        </w:rPr>
      </w:pPr>
      <w:r>
        <w:rPr>
          <w:rFonts w:hint="eastAsia" w:ascii="宋体" w:hAnsi="宋体"/>
          <w:kern w:val="0"/>
        </w:rPr>
        <w:t>服务统计。应支持对用户数量、平台访问量、数据在线浏览、数据下载数量进行统计，为数据运营分析提供支撑。</w:t>
      </w:r>
    </w:p>
    <w:p>
      <w:pPr>
        <w:pStyle w:val="105"/>
        <w:spacing w:before="156" w:after="156"/>
      </w:pPr>
      <w:bookmarkStart w:id="183" w:name="_Toc205542834"/>
      <w:bookmarkStart w:id="184" w:name="_Toc206152313"/>
      <w:bookmarkStart w:id="185" w:name="_Toc206152441"/>
      <w:r>
        <w:rPr>
          <w:rFonts w:hint="eastAsia"/>
        </w:rPr>
        <w:t>区块链技术要求</w:t>
      </w:r>
      <w:bookmarkEnd w:id="183"/>
      <w:bookmarkEnd w:id="184"/>
      <w:bookmarkEnd w:id="185"/>
    </w:p>
    <w:p>
      <w:pPr>
        <w:pStyle w:val="65"/>
        <w:spacing w:before="156" w:after="156"/>
      </w:pPr>
      <w:bookmarkStart w:id="186" w:name="_Toc205542835"/>
      <w:bookmarkStart w:id="187" w:name="_Toc205367210"/>
      <w:bookmarkStart w:id="188" w:name="_Toc205366787"/>
      <w:bookmarkStart w:id="189" w:name="_Toc206152442"/>
      <w:bookmarkStart w:id="190" w:name="_Toc206152314"/>
      <w:r>
        <w:rPr>
          <w:rFonts w:hint="eastAsia"/>
        </w:rPr>
        <w:t>区块链节点技术要求</w:t>
      </w:r>
      <w:bookmarkEnd w:id="186"/>
      <w:bookmarkEnd w:id="187"/>
      <w:bookmarkEnd w:id="188"/>
      <w:bookmarkEnd w:id="189"/>
      <w:bookmarkEnd w:id="190"/>
    </w:p>
    <w:p>
      <w:pPr>
        <w:adjustRightInd/>
        <w:spacing w:line="360" w:lineRule="auto"/>
        <w:ind w:firstLine="420" w:firstLineChars="200"/>
        <w:rPr>
          <w:rFonts w:hint="eastAsia" w:ascii="宋体" w:hAnsi="宋体" w:cs="宋体"/>
        </w:rPr>
      </w:pPr>
      <w:r>
        <w:rPr>
          <w:rFonts w:hint="eastAsia" w:ascii="宋体" w:hAnsi="宋体" w:cs="宋体"/>
        </w:rPr>
        <w:t>对区块链节点的要求具体如下：</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支持节点间安全通信，防止数据在传输过程中被篡改；</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节点提供独立、完整的数据存储；</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不同节点存储的区块链数据能保持完整性、一致性；</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新增节点可以自动同步完整区块链数据；</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敏感业务数据采用加密的方式存储，确保业务数据只有交易相关方能够解密；</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节点数量应符合高可用原则；</w:t>
      </w:r>
    </w:p>
    <w:p>
      <w:pPr>
        <w:widowControl/>
        <w:numPr>
          <w:ilvl w:val="0"/>
          <w:numId w:val="44"/>
        </w:numPr>
        <w:autoSpaceDE w:val="0"/>
        <w:autoSpaceDN w:val="0"/>
        <w:adjustRightInd/>
        <w:spacing w:line="240" w:lineRule="auto"/>
        <w:rPr>
          <w:rFonts w:ascii="宋体" w:hAnsi="Times New Roman"/>
          <w:kern w:val="0"/>
        </w:rPr>
      </w:pPr>
      <w:r>
        <w:rPr>
          <w:rFonts w:hint="eastAsia" w:ascii="宋体" w:hAnsi="宋体"/>
          <w:kern w:val="0"/>
        </w:rPr>
        <w:t>节点硬件资源容量应当充足，并具备冗余备份能力；</w:t>
      </w:r>
    </w:p>
    <w:p>
      <w:pPr>
        <w:pStyle w:val="65"/>
        <w:spacing w:before="156" w:after="156"/>
      </w:pPr>
      <w:bookmarkStart w:id="191" w:name="_Toc206152315"/>
      <w:bookmarkStart w:id="192" w:name="_Toc205367211"/>
      <w:bookmarkStart w:id="193" w:name="_Toc206152443"/>
      <w:bookmarkStart w:id="194" w:name="_Toc205366788"/>
      <w:bookmarkStart w:id="195" w:name="_Toc205542836"/>
      <w:r>
        <w:rPr>
          <w:rFonts w:hint="eastAsia"/>
        </w:rPr>
        <w:t>数据目录管理技术要求</w:t>
      </w:r>
      <w:bookmarkEnd w:id="191"/>
      <w:bookmarkEnd w:id="192"/>
      <w:bookmarkEnd w:id="193"/>
      <w:bookmarkEnd w:id="194"/>
      <w:bookmarkEnd w:id="195"/>
    </w:p>
    <w:p>
      <w:pPr>
        <w:adjustRightInd/>
        <w:spacing w:line="360" w:lineRule="auto"/>
        <w:ind w:firstLine="420" w:firstLineChars="200"/>
        <w:rPr>
          <w:rFonts w:hint="eastAsia" w:ascii="宋体" w:hAnsi="宋体" w:cs="宋体"/>
        </w:rPr>
      </w:pPr>
      <w:r>
        <w:rPr>
          <w:rFonts w:hint="eastAsia" w:ascii="宋体" w:hAnsi="宋体" w:cs="宋体"/>
        </w:rPr>
        <w:t>数据目录管理要要求具体如下：</w:t>
      </w:r>
    </w:p>
    <w:p>
      <w:pPr>
        <w:widowControl/>
        <w:numPr>
          <w:ilvl w:val="0"/>
          <w:numId w:val="45"/>
        </w:numPr>
        <w:autoSpaceDE w:val="0"/>
        <w:autoSpaceDN w:val="0"/>
        <w:adjustRightInd/>
        <w:spacing w:line="240" w:lineRule="auto"/>
        <w:rPr>
          <w:rFonts w:ascii="宋体" w:hAnsi="Times New Roman"/>
          <w:kern w:val="0"/>
        </w:rPr>
      </w:pPr>
      <w:r>
        <w:rPr>
          <w:rFonts w:hint="eastAsia" w:ascii="宋体" w:hAnsi="宋体"/>
          <w:kern w:val="0"/>
        </w:rPr>
        <w:t>数据目录项（含元数据、稀土永磁材料特征数据等）应以结构化形式记录于区块链上，确保目录项在注册、更新、撤销等操作过程中具备不可篡改性与可溯源性。</w:t>
      </w:r>
    </w:p>
    <w:p>
      <w:pPr>
        <w:widowControl/>
        <w:numPr>
          <w:ilvl w:val="0"/>
          <w:numId w:val="45"/>
        </w:numPr>
        <w:autoSpaceDE w:val="0"/>
        <w:autoSpaceDN w:val="0"/>
        <w:adjustRightInd/>
        <w:spacing w:line="240" w:lineRule="auto"/>
        <w:rPr>
          <w:rFonts w:ascii="宋体" w:hAnsi="Times New Roman"/>
          <w:kern w:val="0"/>
        </w:rPr>
      </w:pPr>
      <w:r>
        <w:rPr>
          <w:rFonts w:hint="eastAsia" w:ascii="宋体" w:hAnsi="宋体"/>
          <w:kern w:val="0"/>
        </w:rPr>
        <w:t>数据目录管理应支持链上版本控制机制，包括新增、修改、废弃等状态变迁的记录，确保用户可访问特定历史版本，防止因版本冲突产生不可控变更。</w:t>
      </w:r>
    </w:p>
    <w:p>
      <w:pPr>
        <w:widowControl/>
        <w:numPr>
          <w:ilvl w:val="0"/>
          <w:numId w:val="45"/>
        </w:numPr>
        <w:autoSpaceDE w:val="0"/>
        <w:autoSpaceDN w:val="0"/>
        <w:adjustRightInd/>
        <w:spacing w:line="240" w:lineRule="auto"/>
        <w:rPr>
          <w:rFonts w:ascii="宋体" w:hAnsi="Times New Roman"/>
          <w:kern w:val="0"/>
        </w:rPr>
      </w:pPr>
      <w:r>
        <w:rPr>
          <w:rFonts w:hint="eastAsia" w:ascii="宋体" w:hAnsi="宋体"/>
          <w:kern w:val="0"/>
        </w:rPr>
        <w:t>区块链上的数据目录应采用行业标准的数据描述结构（见表1、表2、表3、表4和表5），宜支持跨链或跨平台环境中目录项的语义互通与自动解析。</w:t>
      </w:r>
    </w:p>
    <w:p>
      <w:pPr>
        <w:pStyle w:val="65"/>
        <w:spacing w:before="156" w:after="156"/>
      </w:pPr>
      <w:bookmarkStart w:id="196" w:name="_Toc205367212"/>
      <w:bookmarkStart w:id="197" w:name="_Toc206152316"/>
      <w:bookmarkStart w:id="198" w:name="_Toc206152444"/>
      <w:bookmarkStart w:id="199" w:name="_Toc205366789"/>
      <w:bookmarkStart w:id="200" w:name="_Toc205542837"/>
      <w:r>
        <w:rPr>
          <w:rFonts w:hint="eastAsia"/>
        </w:rPr>
        <w:t>数据共享智能合约技术要求</w:t>
      </w:r>
      <w:bookmarkEnd w:id="196"/>
      <w:bookmarkEnd w:id="197"/>
      <w:bookmarkEnd w:id="198"/>
      <w:bookmarkEnd w:id="199"/>
      <w:bookmarkEnd w:id="200"/>
    </w:p>
    <w:p>
      <w:pPr>
        <w:pStyle w:val="225"/>
      </w:pPr>
      <w:r>
        <w:rPr>
          <w:rFonts w:hint="eastAsia" w:hAnsi="宋体"/>
        </w:rPr>
        <w:t>数据共享智能合约用于执行预设逻辑，应包含相关稀土永磁材料数据交互方的数据交换规则和交换流程，并应满足下列要求：</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智能合约管理应符合GB/T 43582的要求。</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数据共享智能合约应支持稀土永磁材料数据交换规则。</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数据共享智能合约应支持数据交换流程的执行。</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合约存储结构（如事件日志、状态变量）应遵循统一数据格式标准，与链下系统交互（如中间件或客户端）时，合约所接收与输出的数据应符合标准指定格式，确保兼容性与互操作。</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应明确具有部署、调用、读写、升级合约权限的角色，把该权限策略内嵌合约或由链外授权模块执行。</w:t>
      </w:r>
    </w:p>
    <w:p>
      <w:pPr>
        <w:widowControl/>
        <w:numPr>
          <w:ilvl w:val="0"/>
          <w:numId w:val="46"/>
        </w:numPr>
        <w:autoSpaceDE w:val="0"/>
        <w:autoSpaceDN w:val="0"/>
        <w:adjustRightInd/>
        <w:spacing w:line="240" w:lineRule="auto"/>
        <w:rPr>
          <w:rFonts w:ascii="宋体" w:hAnsi="Times New Roman"/>
          <w:kern w:val="0"/>
        </w:rPr>
      </w:pPr>
      <w:r>
        <w:rPr>
          <w:rFonts w:hint="eastAsia" w:ascii="宋体" w:hAnsi="宋体"/>
          <w:kern w:val="0"/>
        </w:rPr>
        <w:t>当发生指定行为的条件时，计算机系统自动执行相关合约。</w:t>
      </w:r>
    </w:p>
    <w:p>
      <w:pPr>
        <w:pStyle w:val="225"/>
        <w:rPr>
          <w:rFonts w:hint="eastAsia" w:hAnsi="宋体"/>
        </w:rPr>
      </w:pPr>
      <w:r>
        <w:rPr>
          <w:rFonts w:hint="eastAsia" w:hAnsi="宋体"/>
        </w:rPr>
        <w:t>稀土永磁产业链数据共享服务平台应具备智能合约审核、发布、更新、日志审计、版本管理等功能，智能合约的发布宜通过联盟链投票进行批准。</w:t>
      </w:r>
    </w:p>
    <w:p>
      <w:pPr>
        <w:pStyle w:val="65"/>
        <w:spacing w:before="156" w:after="156"/>
      </w:pPr>
      <w:bookmarkStart w:id="201" w:name="_Toc206152317"/>
      <w:bookmarkStart w:id="202" w:name="_Toc206152445"/>
      <w:bookmarkStart w:id="203" w:name="_Toc205366790"/>
      <w:bookmarkStart w:id="204" w:name="_Toc205542838"/>
      <w:bookmarkStart w:id="205" w:name="_Toc205367213"/>
      <w:r>
        <w:rPr>
          <w:rFonts w:hint="eastAsia"/>
        </w:rPr>
        <w:t>跨链技术要求</w:t>
      </w:r>
      <w:bookmarkEnd w:id="201"/>
      <w:bookmarkEnd w:id="202"/>
      <w:bookmarkEnd w:id="203"/>
      <w:bookmarkEnd w:id="204"/>
      <w:bookmarkEnd w:id="205"/>
    </w:p>
    <w:p>
      <w:pPr>
        <w:widowControl/>
        <w:autoSpaceDE w:val="0"/>
        <w:autoSpaceDN w:val="0"/>
        <w:adjustRightInd/>
        <w:spacing w:line="240" w:lineRule="auto"/>
        <w:ind w:firstLine="420" w:firstLineChars="200"/>
        <w:rPr>
          <w:rFonts w:hint="eastAsia" w:ascii="宋体" w:hAnsi="宋体"/>
          <w:kern w:val="0"/>
        </w:rPr>
      </w:pPr>
      <w:r>
        <w:rPr>
          <w:rFonts w:hint="eastAsia" w:ascii="宋体" w:hAnsi="宋体"/>
          <w:kern w:val="0"/>
        </w:rPr>
        <w:t>区块链宜支持跨链，并满足如下要求：</w:t>
      </w:r>
    </w:p>
    <w:p>
      <w:pPr>
        <w:widowControl/>
        <w:numPr>
          <w:ilvl w:val="0"/>
          <w:numId w:val="47"/>
        </w:numPr>
        <w:autoSpaceDE w:val="0"/>
        <w:autoSpaceDN w:val="0"/>
        <w:adjustRightInd/>
        <w:spacing w:line="240" w:lineRule="auto"/>
        <w:rPr>
          <w:rFonts w:ascii="宋体" w:hAnsi="Times New Roman"/>
          <w:kern w:val="0"/>
        </w:rPr>
      </w:pPr>
      <w:r>
        <w:rPr>
          <w:rFonts w:hint="eastAsia" w:ascii="宋体" w:hAnsi="宋体"/>
          <w:kern w:val="0"/>
        </w:rPr>
        <w:t>跨链形式包括但不限于：联盟链间跨链、与公有链跨链；</w:t>
      </w:r>
    </w:p>
    <w:p>
      <w:pPr>
        <w:widowControl/>
        <w:numPr>
          <w:ilvl w:val="0"/>
          <w:numId w:val="47"/>
        </w:numPr>
        <w:autoSpaceDE w:val="0"/>
        <w:autoSpaceDN w:val="0"/>
        <w:adjustRightInd/>
        <w:spacing w:line="240" w:lineRule="auto"/>
        <w:rPr>
          <w:rFonts w:ascii="宋体" w:hAnsi="Times New Roman"/>
          <w:kern w:val="0"/>
        </w:rPr>
      </w:pPr>
      <w:r>
        <w:rPr>
          <w:rFonts w:ascii="宋体" w:hAnsi="Times New Roman"/>
          <w:kern w:val="0"/>
        </w:rPr>
        <w:t>跨链</w:t>
      </w:r>
      <w:r>
        <w:rPr>
          <w:rFonts w:hint="eastAsia" w:ascii="宋体" w:hAnsi="Times New Roman"/>
          <w:kern w:val="0"/>
        </w:rPr>
        <w:t>满足安全性、兼容性、可拓展性、可审计性；</w:t>
      </w:r>
    </w:p>
    <w:p>
      <w:pPr>
        <w:pStyle w:val="105"/>
        <w:spacing w:before="156" w:after="156"/>
      </w:pPr>
      <w:bookmarkStart w:id="206" w:name="_Toc206152318"/>
      <w:bookmarkStart w:id="207" w:name="_Toc206152446"/>
      <w:bookmarkStart w:id="208" w:name="_Toc205542839"/>
      <w:r>
        <w:rPr>
          <w:rFonts w:hint="eastAsia"/>
        </w:rPr>
        <w:t>区块链中间件技术要求</w:t>
      </w:r>
      <w:bookmarkEnd w:id="206"/>
      <w:bookmarkEnd w:id="207"/>
      <w:bookmarkEnd w:id="208"/>
    </w:p>
    <w:p>
      <w:pPr>
        <w:widowControl/>
        <w:autoSpaceDE w:val="0"/>
        <w:autoSpaceDN w:val="0"/>
        <w:adjustRightInd/>
        <w:spacing w:line="240" w:lineRule="auto"/>
        <w:ind w:firstLine="420" w:firstLineChars="200"/>
        <w:rPr>
          <w:rFonts w:ascii="宋体" w:hAnsi="Times New Roman"/>
          <w:kern w:val="0"/>
        </w:rPr>
      </w:pPr>
      <w:r>
        <w:rPr>
          <w:rFonts w:hint="eastAsia" w:ascii="宋体" w:hAnsi="宋体"/>
          <w:kern w:val="0"/>
        </w:rPr>
        <w:t>稀土永磁产业链数据共享服务平台宜支持通过区块链中间件进行数据发布、数据全局发现、事件追溯、权限控制等功能，要求如下：</w:t>
      </w:r>
    </w:p>
    <w:p>
      <w:pPr>
        <w:widowControl/>
        <w:numPr>
          <w:ilvl w:val="0"/>
          <w:numId w:val="48"/>
        </w:numPr>
        <w:autoSpaceDE w:val="0"/>
        <w:autoSpaceDN w:val="0"/>
        <w:adjustRightInd/>
        <w:spacing w:line="240" w:lineRule="auto"/>
        <w:rPr>
          <w:rFonts w:ascii="宋体" w:hAnsi="Times New Roman"/>
          <w:kern w:val="0"/>
        </w:rPr>
      </w:pPr>
      <w:r>
        <w:rPr>
          <w:rFonts w:hint="eastAsia" w:ascii="宋体" w:hAnsi="宋体"/>
          <w:kern w:val="0"/>
        </w:rPr>
        <w:t>数据发布：应支持按照指定数据目录模板采集稀土永磁数据节点的目录数据，并支持调用智能合约将节点的数据目录发布到区块链上。</w:t>
      </w:r>
    </w:p>
    <w:p>
      <w:pPr>
        <w:widowControl/>
        <w:numPr>
          <w:ilvl w:val="0"/>
          <w:numId w:val="48"/>
        </w:numPr>
        <w:autoSpaceDE w:val="0"/>
        <w:autoSpaceDN w:val="0"/>
        <w:adjustRightInd/>
        <w:spacing w:line="240" w:lineRule="auto"/>
        <w:rPr>
          <w:rFonts w:ascii="宋体" w:hAnsi="Times New Roman"/>
          <w:kern w:val="0"/>
        </w:rPr>
      </w:pPr>
      <w:r>
        <w:rPr>
          <w:rFonts w:hint="eastAsia" w:ascii="宋体" w:hAnsi="宋体"/>
          <w:kern w:val="0"/>
        </w:rPr>
        <w:t>数据全局发现：支持将从区块链上读取其他数据节点发布到区块链上的数据目录，支持数据全局数据目录发现与检索。</w:t>
      </w:r>
    </w:p>
    <w:p>
      <w:pPr>
        <w:widowControl/>
        <w:numPr>
          <w:ilvl w:val="0"/>
          <w:numId w:val="48"/>
        </w:numPr>
        <w:autoSpaceDE w:val="0"/>
        <w:autoSpaceDN w:val="0"/>
        <w:adjustRightInd/>
        <w:spacing w:line="240" w:lineRule="auto"/>
        <w:rPr>
          <w:rFonts w:ascii="宋体" w:hAnsi="Times New Roman"/>
          <w:kern w:val="0"/>
        </w:rPr>
      </w:pPr>
      <w:r>
        <w:rPr>
          <w:rFonts w:hint="eastAsia" w:ascii="宋体" w:hAnsi="宋体"/>
          <w:kern w:val="0"/>
        </w:rPr>
        <w:t>事件追溯：应支持记录系统操作的事件，及事件查看，包括但不限于数据目录模板的发布、数据目录的发布、数据目录查询、数据目录更新等。</w:t>
      </w:r>
    </w:p>
    <w:p>
      <w:pPr>
        <w:widowControl/>
        <w:numPr>
          <w:ilvl w:val="0"/>
          <w:numId w:val="48"/>
        </w:numPr>
        <w:autoSpaceDE w:val="0"/>
        <w:autoSpaceDN w:val="0"/>
        <w:adjustRightInd/>
        <w:spacing w:line="240" w:lineRule="auto"/>
        <w:rPr>
          <w:rFonts w:ascii="宋体" w:hAnsi="Times New Roman"/>
          <w:kern w:val="0"/>
        </w:rPr>
      </w:pPr>
      <w:r>
        <w:rPr>
          <w:rFonts w:hint="eastAsia" w:ascii="宋体" w:hAnsi="宋体"/>
          <w:kern w:val="0"/>
        </w:rPr>
        <w:t>权限控制：区块链中间件宜支持访问控制权限、链用户管理、登录用户及角色的管理功能，应符合GB/T 43582的规定。</w:t>
      </w:r>
    </w:p>
    <w:p>
      <w:pPr>
        <w:pStyle w:val="105"/>
        <w:spacing w:before="156" w:after="156"/>
      </w:pPr>
      <w:bookmarkStart w:id="209" w:name="_Toc205542840"/>
      <w:bookmarkStart w:id="210" w:name="_Toc206152319"/>
      <w:bookmarkStart w:id="211" w:name="_Toc206152447"/>
      <w:bookmarkStart w:id="212" w:name="_Hlk206148218"/>
      <w:r>
        <w:rPr>
          <w:rFonts w:hint="eastAsia"/>
        </w:rPr>
        <w:t>数据节点技术要求</w:t>
      </w:r>
      <w:bookmarkEnd w:id="209"/>
      <w:bookmarkEnd w:id="210"/>
      <w:bookmarkEnd w:id="211"/>
    </w:p>
    <w:bookmarkEnd w:id="212"/>
    <w:p>
      <w:pPr>
        <w:pStyle w:val="65"/>
        <w:spacing w:before="156" w:after="156"/>
      </w:pPr>
      <w:bookmarkStart w:id="213" w:name="_Toc205366792"/>
      <w:bookmarkStart w:id="214" w:name="_Toc205542841"/>
      <w:bookmarkStart w:id="215" w:name="_Toc205367216"/>
      <w:bookmarkStart w:id="216" w:name="_Toc206152320"/>
      <w:bookmarkStart w:id="217" w:name="_Toc206152448"/>
      <w:r>
        <w:rPr>
          <w:rFonts w:hint="eastAsia"/>
        </w:rPr>
        <w:t>数据节点管理</w:t>
      </w:r>
      <w:bookmarkEnd w:id="213"/>
      <w:bookmarkEnd w:id="214"/>
      <w:bookmarkEnd w:id="215"/>
      <w:bookmarkEnd w:id="216"/>
      <w:bookmarkEnd w:id="217"/>
    </w:p>
    <w:p>
      <w:pPr>
        <w:pStyle w:val="225"/>
        <w:spacing w:before="156" w:beforeLines="50" w:after="156" w:afterLines="50"/>
        <w:rPr>
          <w:rFonts w:hint="eastAsia" w:ascii="黑体" w:hAnsi="黑体" w:eastAsia="黑体"/>
          <w:lang w:eastAsia="zh"/>
        </w:rPr>
      </w:pPr>
      <w:r>
        <w:rPr>
          <w:rFonts w:hint="eastAsia" w:ascii="黑体" w:hAnsi="黑体" w:eastAsia="黑体"/>
          <w:lang w:eastAsia="zh"/>
        </w:rPr>
        <w:t>数据节点管理流程</w:t>
      </w:r>
    </w:p>
    <w:p>
      <w:pPr>
        <w:adjustRightInd/>
        <w:spacing w:line="240" w:lineRule="auto"/>
        <w:ind w:firstLine="420" w:firstLineChars="200"/>
        <w:rPr>
          <w:rFonts w:hint="eastAsia" w:ascii="宋体" w:hAnsi="宋体"/>
          <w:szCs w:val="24"/>
        </w:rPr>
      </w:pPr>
      <w:r>
        <w:rPr>
          <w:rFonts w:hint="eastAsia" w:ascii="宋体" w:hAnsi="宋体"/>
          <w:szCs w:val="24"/>
        </w:rPr>
        <w:t>应对接入数据节点的身份、数据及技术系统进行审核。基于区块链的稀土永磁产业链数据节点管理主要包括申请加入/注销、审核、决策投票与节点加入/注销，数据节点管理流程如图4所示。</w:t>
      </w:r>
    </w:p>
    <w:p>
      <w:pPr>
        <w:adjustRightInd/>
        <w:spacing w:line="360" w:lineRule="auto"/>
        <w:rPr>
          <w:rFonts w:hint="eastAsia" w:ascii="宋体" w:hAnsi="宋体"/>
          <w:szCs w:val="24"/>
        </w:rPr>
      </w:pP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"C:\\..\\..\\..\\..\\..\\..\\..\\..\\Wechat\\xwechat_files\\wxid_glk324ar31rf21_22d4\\msg\\DANA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"E:\\..\\..\\..\\..\\..\\Wechat\\xwechat_files\\wxid_glk324ar31rf21_22d4\\msg\\DANA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hint="eastAsia" w:ascii="宋体" w:hAnsi="宋体"/>
          <w:szCs w:val="24"/>
        </w:rPr>
        <w:fldChar w:fldCharType="begin"/>
      </w:r>
      <w:r>
        <w:rPr>
          <w:rFonts w:hint="eastAsia" w:ascii="宋体" w:hAnsi="宋体"/>
          <w:szCs w:val="24"/>
        </w:rPr>
        <w:instrText xml:space="preserve"> INCLUDEPICTURE  "E:\\..\\..\\..\\..\\..\\Wechat\\xwechat_files\\wxid_glk324ar31rf21_22d4\\msg\\DANA WANG\\Documents\\WeChat Files\\wcc0116\\FileStorage\\File\\AppData\\Local\\Temp\\ksohtml43104\\wps2.jpg" \* MERGEFORMATINET </w:instrText>
      </w:r>
      <w:r>
        <w:rPr>
          <w:rFonts w:hint="eastAsia" w:ascii="宋体" w:hAnsi="宋体"/>
          <w:szCs w:val="24"/>
        </w:rPr>
        <w:fldChar w:fldCharType="separate"/>
      </w:r>
      <w:r>
        <w:rPr>
          <w:rFonts w:ascii="宋体" w:hAnsi="宋体"/>
          <w:szCs w:val="24"/>
        </w:rPr>
        <w:pict>
          <v:shape id="_x0000_i1025" o:spt="75" type="#_x0000_t75" style="height:91.5pt;width:468.75pt;" filled="f" o:preferrelative="t" stroked="f" coordsize="21600,21600">
            <v:path/>
            <v:fill on="f" focussize="0,0"/>
            <v:stroke on="f" joinstyle="miter"/>
            <v:imagedata r:id="rId37" r:href="rId38" o:title=""/>
            <o:lock v:ext="edit" aspectratio="t"/>
            <w10:wrap type="none"/>
            <w10:anchorlock/>
          </v:shape>
        </w:pict>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r>
        <w:rPr>
          <w:rFonts w:hint="eastAsia" w:ascii="宋体" w:hAnsi="宋体"/>
          <w:szCs w:val="24"/>
        </w:rPr>
        <w:fldChar w:fldCharType="end"/>
      </w:r>
    </w:p>
    <w:p>
      <w:pPr>
        <w:widowControl/>
        <w:adjustRightInd/>
        <w:spacing w:before="156" w:beforeLines="50" w:after="156" w:afterLines="50" w:line="240" w:lineRule="auto"/>
        <w:jc w:val="center"/>
        <w:rPr>
          <w:rFonts w:ascii="黑体" w:hAnsi="Times New Roman" w:eastAsia="黑体"/>
          <w:kern w:val="0"/>
          <w:szCs w:val="20"/>
        </w:rPr>
      </w:pPr>
      <w:r>
        <w:rPr>
          <w:rFonts w:hint="eastAsia" w:ascii="黑体" w:hAnsi="Times New Roman" w:eastAsia="黑体"/>
          <w:kern w:val="0"/>
          <w:szCs w:val="20"/>
        </w:rPr>
        <w:t>图4数据节点管理流程</w:t>
      </w:r>
    </w:p>
    <w:p>
      <w:pPr>
        <w:pStyle w:val="225"/>
        <w:spacing w:before="156" w:beforeLines="50" w:after="156" w:afterLines="50"/>
        <w:rPr>
          <w:rFonts w:hint="eastAsia" w:ascii="黑体" w:hAnsi="黑体" w:eastAsia="黑体"/>
          <w:lang w:eastAsia="zh"/>
        </w:rPr>
      </w:pPr>
      <w:r>
        <w:rPr>
          <w:rFonts w:hint="eastAsia" w:ascii="黑体" w:hAnsi="黑体" w:eastAsia="黑体"/>
          <w:lang w:eastAsia="zh"/>
        </w:rPr>
        <w:t>数据节点的加入</w:t>
      </w:r>
    </w:p>
    <w:p>
      <w:pPr>
        <w:adjustRightInd/>
        <w:spacing w:line="240" w:lineRule="auto"/>
        <w:ind w:firstLine="420" w:firstLineChars="200"/>
        <w:rPr>
          <w:rFonts w:hint="eastAsia" w:ascii="宋体" w:hAnsi="宋体"/>
          <w:szCs w:val="24"/>
        </w:rPr>
      </w:pPr>
      <w:r>
        <w:rPr>
          <w:rFonts w:hint="eastAsia" w:ascii="宋体" w:hAnsi="宋体"/>
          <w:szCs w:val="24"/>
        </w:rPr>
        <w:t>申请节点加入应满足以下要求：</w:t>
      </w:r>
    </w:p>
    <w:p>
      <w:pPr>
        <w:numPr>
          <w:ilvl w:val="0"/>
          <w:numId w:val="49"/>
        </w:numPr>
        <w:adjustRightInd/>
        <w:spacing w:line="240" w:lineRule="auto"/>
        <w:ind w:firstLine="420" w:firstLineChars="200"/>
        <w:rPr>
          <w:rFonts w:hint="eastAsia" w:ascii="宋体" w:hAnsi="宋体"/>
          <w:szCs w:val="24"/>
        </w:rPr>
      </w:pPr>
      <w:r>
        <w:rPr>
          <w:rFonts w:hint="eastAsia" w:ascii="宋体" w:hAnsi="宋体"/>
          <w:szCs w:val="24"/>
        </w:rPr>
        <w:t xml:space="preserve"> 通过平台运营方身份审核认证。明确节点在产业链中身份类型并提供身份证明文件。</w:t>
      </w:r>
    </w:p>
    <w:p>
      <w:pPr>
        <w:numPr>
          <w:ilvl w:val="0"/>
          <w:numId w:val="49"/>
        </w:numPr>
        <w:adjustRightInd/>
        <w:spacing w:line="240" w:lineRule="auto"/>
        <w:ind w:firstLine="420" w:firstLineChars="200"/>
        <w:rPr>
          <w:rFonts w:hint="eastAsia" w:ascii="宋体" w:hAnsi="宋体"/>
          <w:szCs w:val="24"/>
        </w:rPr>
      </w:pPr>
      <w:r>
        <w:rPr>
          <w:rFonts w:hint="eastAsia" w:ascii="宋体" w:hAnsi="宋体"/>
          <w:szCs w:val="24"/>
        </w:rPr>
        <w:t xml:space="preserve"> 通过平台运营方数据审核。拥有一定数量的符合材料特征数据格式且可被发现的数据。</w:t>
      </w:r>
    </w:p>
    <w:p>
      <w:pPr>
        <w:numPr>
          <w:ilvl w:val="0"/>
          <w:numId w:val="49"/>
        </w:numPr>
        <w:adjustRightInd/>
        <w:spacing w:line="240" w:lineRule="auto"/>
        <w:ind w:firstLine="420" w:firstLineChars="200"/>
        <w:rPr>
          <w:rFonts w:hint="eastAsia" w:ascii="宋体" w:hAnsi="宋体"/>
          <w:szCs w:val="24"/>
        </w:rPr>
      </w:pPr>
      <w:r>
        <w:rPr>
          <w:rFonts w:hint="eastAsia" w:ascii="宋体" w:hAnsi="宋体"/>
          <w:szCs w:val="24"/>
        </w:rPr>
        <w:t xml:space="preserve"> 通过平台运营方技术系统审核。</w:t>
      </w:r>
    </w:p>
    <w:p>
      <w:pPr>
        <w:numPr>
          <w:ilvl w:val="0"/>
          <w:numId w:val="49"/>
        </w:numPr>
        <w:adjustRightInd/>
        <w:spacing w:line="240" w:lineRule="auto"/>
        <w:ind w:firstLine="420" w:firstLineChars="200"/>
        <w:rPr>
          <w:rFonts w:hint="eastAsia" w:ascii="宋体" w:hAnsi="宋体"/>
          <w:szCs w:val="24"/>
        </w:rPr>
      </w:pPr>
      <w:r>
        <w:rPr>
          <w:rFonts w:hint="eastAsia" w:ascii="宋体" w:hAnsi="宋体"/>
          <w:szCs w:val="24"/>
        </w:rPr>
        <w:t xml:space="preserve"> 通过联盟代表决策投票。超过联盟代表总数2/3以上。</w:t>
      </w:r>
    </w:p>
    <w:p>
      <w:pPr>
        <w:pStyle w:val="225"/>
        <w:spacing w:before="156" w:beforeLines="50" w:after="156" w:afterLines="50"/>
        <w:rPr>
          <w:rFonts w:hint="eastAsia" w:ascii="黑体" w:hAnsi="黑体" w:eastAsia="黑体"/>
          <w:lang w:eastAsia="zh"/>
        </w:rPr>
      </w:pPr>
      <w:r>
        <w:rPr>
          <w:rFonts w:hint="eastAsia" w:ascii="黑体" w:hAnsi="黑体" w:eastAsia="黑体"/>
          <w:lang w:eastAsia="zh"/>
        </w:rPr>
        <w:t>数据节点的注销</w:t>
      </w:r>
    </w:p>
    <w:p>
      <w:pPr>
        <w:adjustRightInd/>
        <w:spacing w:line="240" w:lineRule="auto"/>
        <w:ind w:firstLine="420" w:firstLineChars="200"/>
        <w:rPr>
          <w:rFonts w:hint="eastAsia" w:ascii="宋体" w:hAnsi="宋体"/>
          <w:szCs w:val="24"/>
        </w:rPr>
      </w:pPr>
      <w:r>
        <w:rPr>
          <w:rFonts w:hint="eastAsia" w:ascii="宋体" w:hAnsi="宋体"/>
          <w:szCs w:val="24"/>
        </w:rPr>
        <w:t>当节点出现以下情况之一时应对节点进行注销：</w:t>
      </w:r>
    </w:p>
    <w:p>
      <w:pPr>
        <w:numPr>
          <w:ilvl w:val="0"/>
          <w:numId w:val="50"/>
        </w:numPr>
        <w:adjustRightInd/>
        <w:spacing w:line="240" w:lineRule="auto"/>
        <w:rPr>
          <w:rFonts w:hint="eastAsia" w:ascii="宋体" w:hAnsi="宋体"/>
          <w:szCs w:val="24"/>
        </w:rPr>
      </w:pPr>
      <w:r>
        <w:rPr>
          <w:rFonts w:hint="eastAsia" w:ascii="宋体" w:hAnsi="宋体"/>
          <w:szCs w:val="24"/>
        </w:rPr>
        <w:t>主动申请注销并通过联盟代表决策投票，超过联盟代表总数2/3以上；</w:t>
      </w:r>
    </w:p>
    <w:p>
      <w:pPr>
        <w:numPr>
          <w:ilvl w:val="0"/>
          <w:numId w:val="50"/>
        </w:numPr>
        <w:adjustRightInd/>
        <w:spacing w:line="240" w:lineRule="auto"/>
        <w:rPr>
          <w:rFonts w:hint="eastAsia" w:ascii="宋体" w:hAnsi="宋体"/>
          <w:szCs w:val="24"/>
        </w:rPr>
      </w:pPr>
      <w:r>
        <w:rPr>
          <w:rFonts w:hint="eastAsia" w:ascii="宋体" w:hAnsi="宋体"/>
          <w:szCs w:val="24"/>
        </w:rPr>
        <w:t>节点出现异常行为，经平台运营方检测并触发告警机制后未按期整改/处理，且经联盟代表投票表决，赞成注销投票超过代表总数的2/3。</w:t>
      </w:r>
    </w:p>
    <w:p>
      <w:pPr>
        <w:pStyle w:val="65"/>
        <w:spacing w:before="156" w:after="156"/>
        <w:rPr>
          <w:rFonts w:ascii="宋体" w:eastAsia="宋体"/>
        </w:rPr>
      </w:pPr>
      <w:bookmarkStart w:id="218" w:name="_Toc205542842"/>
      <w:bookmarkStart w:id="219" w:name="_Toc205367217"/>
      <w:bookmarkStart w:id="220" w:name="_Toc205366793"/>
      <w:bookmarkStart w:id="221" w:name="_Toc206152321"/>
      <w:bookmarkStart w:id="222" w:name="_Toc206152449"/>
      <w:r>
        <w:rPr>
          <w:rFonts w:hint="eastAsia"/>
        </w:rPr>
        <w:t>数据节点技术系统</w:t>
      </w:r>
      <w:bookmarkEnd w:id="218"/>
      <w:bookmarkEnd w:id="219"/>
      <w:bookmarkEnd w:id="220"/>
      <w:bookmarkEnd w:id="221"/>
      <w:bookmarkEnd w:id="222"/>
    </w:p>
    <w:p>
      <w:pPr>
        <w:adjustRightInd/>
        <w:spacing w:line="240" w:lineRule="auto"/>
        <w:ind w:firstLine="420" w:firstLineChars="200"/>
        <w:rPr>
          <w:rFonts w:hint="eastAsia" w:ascii="宋体" w:hAnsi="宋体"/>
          <w:szCs w:val="24"/>
        </w:rPr>
      </w:pPr>
      <w:r>
        <w:rPr>
          <w:rFonts w:hint="eastAsia" w:ascii="宋体" w:hAnsi="宋体"/>
          <w:szCs w:val="24"/>
        </w:rPr>
        <w:t>数据节点技术系统的要求如下：</w:t>
      </w:r>
    </w:p>
    <w:p>
      <w:pPr>
        <w:numPr>
          <w:ilvl w:val="0"/>
          <w:numId w:val="51"/>
        </w:numPr>
        <w:adjustRightInd/>
        <w:spacing w:line="240" w:lineRule="auto"/>
        <w:rPr>
          <w:rFonts w:hint="eastAsia" w:ascii="宋体" w:hAnsi="宋体"/>
          <w:szCs w:val="24"/>
        </w:rPr>
      </w:pPr>
      <w:r>
        <w:rPr>
          <w:rFonts w:hint="eastAsia" w:ascii="宋体" w:hAnsi="宋体"/>
          <w:szCs w:val="24"/>
        </w:rPr>
        <w:t>应支持多种格式和来源的数据，包括结构化、半结构化和非结构化数据。</w:t>
      </w:r>
    </w:p>
    <w:p>
      <w:pPr>
        <w:numPr>
          <w:ilvl w:val="0"/>
          <w:numId w:val="51"/>
        </w:numPr>
        <w:adjustRightInd/>
        <w:spacing w:line="240" w:lineRule="auto"/>
        <w:rPr>
          <w:rFonts w:hint="eastAsia" w:ascii="宋体" w:hAnsi="宋体"/>
          <w:szCs w:val="24"/>
        </w:rPr>
      </w:pPr>
      <w:r>
        <w:rPr>
          <w:rFonts w:hint="eastAsia" w:ascii="宋体" w:hAnsi="宋体"/>
          <w:szCs w:val="24"/>
        </w:rPr>
        <w:t>宜提供数据预处理、数据脱敏、数据源管理等功能。</w:t>
      </w:r>
    </w:p>
    <w:p>
      <w:pPr>
        <w:numPr>
          <w:ilvl w:val="0"/>
          <w:numId w:val="51"/>
        </w:numPr>
        <w:adjustRightInd/>
        <w:spacing w:line="240" w:lineRule="auto"/>
        <w:rPr>
          <w:rFonts w:hint="eastAsia" w:ascii="宋体" w:hAnsi="宋体"/>
          <w:szCs w:val="24"/>
        </w:rPr>
      </w:pPr>
      <w:r>
        <w:rPr>
          <w:rFonts w:hint="eastAsia" w:ascii="宋体" w:hAnsi="宋体"/>
          <w:szCs w:val="24"/>
        </w:rPr>
        <w:t>应提供安全、高效的数据存储、索引和管理功能，支持数据的快速访问、维护和高效调用。具体要求包括多格式存储、分类分级存储、容灾备份等方面的功能。</w:t>
      </w:r>
    </w:p>
    <w:p>
      <w:pPr>
        <w:numPr>
          <w:ilvl w:val="0"/>
          <w:numId w:val="51"/>
        </w:numPr>
        <w:adjustRightInd/>
        <w:spacing w:line="240" w:lineRule="auto"/>
        <w:rPr>
          <w:rFonts w:hint="eastAsia" w:ascii="宋体" w:hAnsi="宋体"/>
          <w:szCs w:val="24"/>
        </w:rPr>
      </w:pPr>
      <w:r>
        <w:rPr>
          <w:rFonts w:hint="eastAsia" w:ascii="宋体" w:hAnsi="宋体"/>
          <w:szCs w:val="24"/>
        </w:rPr>
        <w:t>应支持数据在数据提供方节点、数据使用方节点及数据运营节点之间的安全传输功能，保障数据传输过程中的机密性和完整性。具体要求包括：安全传输协议、身份验证、完整性校验、错误检测、重传机制等方面的要求。</w:t>
      </w:r>
    </w:p>
    <w:p>
      <w:pPr>
        <w:numPr>
          <w:ilvl w:val="0"/>
          <w:numId w:val="51"/>
        </w:numPr>
        <w:adjustRightInd/>
        <w:spacing w:line="240" w:lineRule="auto"/>
        <w:rPr>
          <w:rFonts w:hint="eastAsia" w:ascii="宋体" w:hAnsi="宋体"/>
          <w:szCs w:val="24"/>
        </w:rPr>
      </w:pPr>
      <w:r>
        <w:rPr>
          <w:rFonts w:hint="eastAsia" w:ascii="宋体" w:hAnsi="宋体"/>
          <w:szCs w:val="24"/>
        </w:rPr>
        <w:t>应支持数据使用方按照智能合约的规定，合法使用数据。具体要求包括数据访问、分析工具、缓存和临时存储、性能优化、数据销毁等方面的功能。</w:t>
      </w:r>
    </w:p>
    <w:p>
      <w:pPr>
        <w:pStyle w:val="105"/>
        <w:spacing w:before="156" w:after="156"/>
      </w:pPr>
      <w:bookmarkStart w:id="223" w:name="_Toc206152322"/>
      <w:bookmarkStart w:id="224" w:name="_Toc206152450"/>
      <w:r>
        <w:rPr>
          <w:rFonts w:hint="eastAsia"/>
        </w:rPr>
        <w:t>安全技术要求</w:t>
      </w:r>
      <w:bookmarkEnd w:id="223"/>
      <w:bookmarkEnd w:id="224"/>
    </w:p>
    <w:p>
      <w:pPr>
        <w:adjustRightInd/>
        <w:spacing w:line="240" w:lineRule="auto"/>
        <w:ind w:firstLine="420" w:firstLineChars="200"/>
        <w:rPr>
          <w:rFonts w:hint="eastAsia" w:ascii="宋体" w:hAnsi="宋体"/>
          <w:szCs w:val="24"/>
        </w:rPr>
      </w:pPr>
      <w:r>
        <w:rPr>
          <w:rFonts w:ascii="宋体" w:hAnsi="宋体"/>
          <w:szCs w:val="24"/>
        </w:rPr>
        <w:t>应综合利用区块链网络、隐私保护计算等技术架构，构建支持可信数据溯源、隐私保护及数据使用控制的安全能力体系。</w:t>
      </w:r>
    </w:p>
    <w:p>
      <w:pPr>
        <w:pStyle w:val="65"/>
        <w:spacing w:before="156" w:after="156"/>
      </w:pPr>
      <w:bookmarkStart w:id="225" w:name="_Toc206152323"/>
      <w:bookmarkStart w:id="226" w:name="_Toc206152451"/>
      <w:r>
        <w:rPr>
          <w:rFonts w:hint="eastAsia"/>
        </w:rPr>
        <w:t>基础设施安全</w:t>
      </w:r>
      <w:bookmarkEnd w:id="225"/>
      <w:bookmarkEnd w:id="226"/>
    </w:p>
    <w:p>
      <w:pPr>
        <w:adjustRightInd/>
        <w:spacing w:line="240" w:lineRule="auto"/>
        <w:ind w:firstLine="420" w:firstLineChars="200"/>
        <w:rPr>
          <w:rFonts w:hint="eastAsia" w:ascii="宋体" w:hAnsi="宋体"/>
          <w:szCs w:val="24"/>
        </w:rPr>
      </w:pPr>
      <w:r>
        <w:rPr>
          <w:rFonts w:hint="eastAsia" w:ascii="宋体" w:hAnsi="宋体"/>
          <w:szCs w:val="24"/>
        </w:rPr>
        <w:t>基础设施安全的要求如下：</w:t>
      </w:r>
    </w:p>
    <w:p>
      <w:pPr>
        <w:numPr>
          <w:ilvl w:val="0"/>
          <w:numId w:val="52"/>
        </w:numPr>
        <w:adjustRightInd/>
        <w:spacing w:line="240" w:lineRule="auto"/>
        <w:rPr>
          <w:rFonts w:hint="eastAsia" w:ascii="宋体" w:hAnsi="宋体"/>
          <w:szCs w:val="24"/>
        </w:rPr>
      </w:pPr>
      <w:r>
        <w:rPr>
          <w:rFonts w:hint="eastAsia" w:ascii="宋体" w:hAnsi="宋体"/>
          <w:szCs w:val="24"/>
        </w:rPr>
        <w:t>应符合GB/T 40645的要求，建立物理与逻辑隔离的基础设施环境，保障服务器、网络设备及存储系统的安全防护能力；</w:t>
      </w:r>
    </w:p>
    <w:p>
      <w:pPr>
        <w:numPr>
          <w:ilvl w:val="0"/>
          <w:numId w:val="52"/>
        </w:numPr>
        <w:adjustRightInd/>
        <w:spacing w:line="240" w:lineRule="auto"/>
        <w:rPr>
          <w:rFonts w:hint="eastAsia" w:ascii="宋体" w:hAnsi="宋体"/>
          <w:szCs w:val="24"/>
        </w:rPr>
      </w:pPr>
      <w:r>
        <w:rPr>
          <w:rFonts w:hint="eastAsia" w:ascii="宋体" w:hAnsi="宋体"/>
          <w:szCs w:val="24"/>
        </w:rPr>
        <w:t>节点（含数据节点、区块链节点）应部署入侵检测与防御机制，防止未授权访问和恶意攻击；</w:t>
      </w:r>
    </w:p>
    <w:p>
      <w:pPr>
        <w:numPr>
          <w:ilvl w:val="0"/>
          <w:numId w:val="52"/>
        </w:numPr>
        <w:adjustRightInd/>
        <w:spacing w:line="240" w:lineRule="auto"/>
        <w:rPr>
          <w:rFonts w:hint="eastAsia" w:ascii="宋体" w:hAnsi="宋体"/>
          <w:szCs w:val="24"/>
        </w:rPr>
      </w:pPr>
      <w:r>
        <w:rPr>
          <w:rFonts w:hint="eastAsia" w:ascii="宋体" w:hAnsi="宋体"/>
          <w:szCs w:val="24"/>
        </w:rPr>
        <w:t>区块链网络在信息的记录、验证和传播过程中，保证消息的真实、一致、隐私及可用，包括通信安全和网络资源安全，应符合GB/T 42571的规定。</w:t>
      </w:r>
    </w:p>
    <w:p>
      <w:pPr>
        <w:pStyle w:val="65"/>
        <w:spacing w:before="156" w:after="156"/>
      </w:pPr>
      <w:r>
        <w:rPr>
          <w:rFonts w:hint="eastAsia"/>
        </w:rPr>
        <w:t xml:space="preserve"> </w:t>
      </w:r>
      <w:bookmarkStart w:id="227" w:name="_Toc206152324"/>
      <w:bookmarkStart w:id="228" w:name="_Toc206152452"/>
      <w:r>
        <w:rPr>
          <w:rFonts w:hint="eastAsia"/>
        </w:rPr>
        <w:t>数据安全</w:t>
      </w:r>
      <w:bookmarkEnd w:id="227"/>
      <w:bookmarkEnd w:id="228"/>
    </w:p>
    <w:p>
      <w:pPr>
        <w:adjustRightInd/>
        <w:spacing w:line="240" w:lineRule="auto"/>
        <w:ind w:firstLine="420" w:firstLineChars="200"/>
        <w:rPr>
          <w:rFonts w:hint="eastAsia" w:ascii="宋体" w:hAnsi="宋体"/>
          <w:szCs w:val="24"/>
        </w:rPr>
      </w:pPr>
      <w:r>
        <w:rPr>
          <w:rFonts w:hint="eastAsia" w:ascii="宋体" w:hAnsi="宋体"/>
          <w:szCs w:val="24"/>
        </w:rPr>
        <w:t>数据安全的要求如下：</w:t>
      </w:r>
    </w:p>
    <w:p>
      <w:pPr>
        <w:numPr>
          <w:ilvl w:val="0"/>
          <w:numId w:val="53"/>
        </w:numPr>
        <w:adjustRightInd/>
        <w:spacing w:line="240" w:lineRule="auto"/>
        <w:rPr>
          <w:rFonts w:hint="eastAsia" w:ascii="宋体" w:hAnsi="宋体"/>
          <w:szCs w:val="24"/>
        </w:rPr>
      </w:pPr>
      <w:r>
        <w:rPr>
          <w:rFonts w:hint="eastAsia" w:ascii="宋体" w:hAnsi="宋体"/>
          <w:kern w:val="0"/>
        </w:rPr>
        <w:t>稀土永磁材料区块链</w:t>
      </w:r>
      <w:r>
        <w:rPr>
          <w:rFonts w:hint="eastAsia" w:ascii="宋体" w:hAnsi="宋体"/>
          <w:szCs w:val="24"/>
        </w:rPr>
        <w:t>应选择合理的加密算法、数据校验方式及共识机制，保证上链数据的完整性，各节点具备数据防篡改能力；</w:t>
      </w:r>
    </w:p>
    <w:p>
      <w:pPr>
        <w:numPr>
          <w:ilvl w:val="0"/>
          <w:numId w:val="53"/>
        </w:numPr>
        <w:adjustRightInd/>
        <w:spacing w:line="240" w:lineRule="auto"/>
        <w:rPr>
          <w:rFonts w:hint="eastAsia" w:ascii="宋体" w:hAnsi="宋体"/>
          <w:szCs w:val="24"/>
        </w:rPr>
      </w:pPr>
      <w:r>
        <w:rPr>
          <w:rFonts w:hint="eastAsia" w:ascii="宋体" w:hAnsi="宋体"/>
          <w:kern w:val="0"/>
        </w:rPr>
        <w:t>稀土永磁产业链数据共享服务平台</w:t>
      </w:r>
      <w:r>
        <w:rPr>
          <w:rFonts w:hint="eastAsia" w:ascii="宋体" w:hAnsi="宋体"/>
          <w:szCs w:val="24"/>
        </w:rPr>
        <w:t>应根据应用需求，对特定或敏感数据进行加密存储，提供隐私数据的授权访问能力；</w:t>
      </w:r>
    </w:p>
    <w:p>
      <w:pPr>
        <w:numPr>
          <w:ilvl w:val="0"/>
          <w:numId w:val="53"/>
        </w:numPr>
        <w:adjustRightInd/>
        <w:spacing w:line="240" w:lineRule="auto"/>
        <w:rPr>
          <w:rFonts w:hint="eastAsia" w:ascii="宋体" w:hAnsi="宋体"/>
          <w:szCs w:val="24"/>
        </w:rPr>
      </w:pPr>
      <w:r>
        <w:rPr>
          <w:rFonts w:hint="eastAsia" w:ascii="宋体" w:hAnsi="宋体"/>
          <w:szCs w:val="24"/>
        </w:rPr>
        <w:t>每个区块或交易在共识、验证以及智能合约执行后，各节点应保证合约数据或区块数据的最终一致性。</w:t>
      </w:r>
    </w:p>
    <w:p>
      <w:pPr>
        <w:pStyle w:val="65"/>
        <w:spacing w:before="156" w:after="156"/>
      </w:pPr>
      <w:bookmarkStart w:id="229" w:name="_Toc206152325"/>
      <w:bookmarkStart w:id="230" w:name="_Toc206152453"/>
      <w:r>
        <w:rPr>
          <w:rFonts w:hint="eastAsia"/>
        </w:rPr>
        <w:t>身份与访问控制</w:t>
      </w:r>
      <w:bookmarkEnd w:id="229"/>
      <w:bookmarkEnd w:id="230"/>
    </w:p>
    <w:p>
      <w:pPr>
        <w:adjustRightInd/>
        <w:spacing w:line="240" w:lineRule="auto"/>
        <w:ind w:firstLine="420" w:firstLineChars="200"/>
        <w:rPr>
          <w:rFonts w:hint="eastAsia" w:ascii="宋体" w:hAnsi="宋体"/>
          <w:szCs w:val="24"/>
        </w:rPr>
      </w:pPr>
      <w:r>
        <w:rPr>
          <w:rFonts w:hint="eastAsia" w:ascii="宋体" w:hAnsi="宋体"/>
          <w:szCs w:val="24"/>
        </w:rPr>
        <w:t>身份与访问控制的要求如下：</w:t>
      </w:r>
    </w:p>
    <w:p>
      <w:pPr>
        <w:numPr>
          <w:ilvl w:val="0"/>
          <w:numId w:val="54"/>
        </w:numPr>
        <w:adjustRightInd/>
        <w:spacing w:line="240" w:lineRule="auto"/>
        <w:rPr>
          <w:rFonts w:hint="eastAsia" w:ascii="宋体" w:hAnsi="宋体"/>
          <w:szCs w:val="24"/>
        </w:rPr>
      </w:pPr>
      <w:r>
        <w:rPr>
          <w:rFonts w:hint="eastAsia" w:ascii="宋体" w:hAnsi="宋体"/>
          <w:kern w:val="0"/>
        </w:rPr>
        <w:t>稀土永磁材料区块链</w:t>
      </w:r>
      <w:r>
        <w:rPr>
          <w:rFonts w:hint="eastAsia" w:ascii="宋体" w:hAnsi="宋体"/>
          <w:szCs w:val="24"/>
        </w:rPr>
        <w:t>应启用访问控制功能，依据安全策略控制用户对资源的访问；</w:t>
      </w:r>
    </w:p>
    <w:p>
      <w:pPr>
        <w:numPr>
          <w:ilvl w:val="0"/>
          <w:numId w:val="54"/>
        </w:numPr>
        <w:adjustRightInd/>
        <w:spacing w:line="240" w:lineRule="auto"/>
        <w:rPr>
          <w:rFonts w:hint="eastAsia" w:ascii="宋体" w:hAnsi="宋体"/>
          <w:szCs w:val="24"/>
        </w:rPr>
      </w:pPr>
      <w:r>
        <w:rPr>
          <w:rFonts w:hint="eastAsia" w:ascii="宋体" w:hAnsi="宋体"/>
          <w:kern w:val="0"/>
        </w:rPr>
        <w:t>稀土永磁产业链数据共享服务平台</w:t>
      </w:r>
      <w:r>
        <w:rPr>
          <w:rFonts w:hint="eastAsia" w:ascii="宋体" w:hAnsi="宋体"/>
          <w:szCs w:val="24"/>
        </w:rPr>
        <w:t>宜根据管理用户的角色分配权限，实现管理用户的权限分离，仅授予管理用户所需的最小权限，应符合GB/T 35273的要求；</w:t>
      </w:r>
    </w:p>
    <w:p>
      <w:pPr>
        <w:numPr>
          <w:ilvl w:val="0"/>
          <w:numId w:val="54"/>
        </w:numPr>
        <w:adjustRightInd/>
        <w:spacing w:line="240" w:lineRule="auto"/>
        <w:rPr>
          <w:rFonts w:hint="eastAsia" w:ascii="宋体" w:hAnsi="宋体"/>
          <w:szCs w:val="24"/>
        </w:rPr>
      </w:pPr>
      <w:r>
        <w:rPr>
          <w:rFonts w:hint="eastAsia" w:ascii="宋体" w:hAnsi="宋体"/>
          <w:kern w:val="0"/>
        </w:rPr>
        <w:t>稀土永磁产业链数据共享服务平台的账户通过授权的方式进行访问，</w:t>
      </w:r>
      <w:r>
        <w:rPr>
          <w:rFonts w:hint="eastAsia" w:ascii="宋体" w:hAnsi="宋体"/>
          <w:szCs w:val="24"/>
        </w:rPr>
        <w:t>对于改变区块链系统、应用状态（如发起交易等）的操作，用户应通过口令或密钥等方式向区块链系统证明自己身份。</w:t>
      </w:r>
    </w:p>
    <w:p>
      <w:pPr>
        <w:pStyle w:val="65"/>
        <w:spacing w:before="156" w:after="156"/>
      </w:pPr>
      <w:bookmarkStart w:id="231" w:name="_Toc206152454"/>
      <w:bookmarkStart w:id="232" w:name="_Toc206152326"/>
      <w:r>
        <w:rPr>
          <w:rFonts w:hint="eastAsia"/>
        </w:rPr>
        <w:t>审计</w:t>
      </w:r>
      <w:bookmarkEnd w:id="231"/>
      <w:bookmarkEnd w:id="232"/>
    </w:p>
    <w:p>
      <w:pPr>
        <w:adjustRightInd/>
        <w:spacing w:line="240" w:lineRule="auto"/>
        <w:ind w:firstLine="420" w:firstLineChars="200"/>
        <w:rPr>
          <w:rFonts w:hint="eastAsia" w:ascii="宋体" w:hAnsi="宋体"/>
          <w:szCs w:val="24"/>
        </w:rPr>
      </w:pPr>
      <w:r>
        <w:rPr>
          <w:rFonts w:hint="eastAsia" w:ascii="宋体" w:hAnsi="宋体"/>
          <w:szCs w:val="24"/>
        </w:rPr>
        <w:t>审计的要求如下：</w:t>
      </w:r>
    </w:p>
    <w:p>
      <w:pPr>
        <w:numPr>
          <w:ilvl w:val="0"/>
          <w:numId w:val="55"/>
        </w:numPr>
        <w:adjustRightInd/>
        <w:spacing w:line="240" w:lineRule="auto"/>
        <w:rPr>
          <w:rFonts w:hint="eastAsia" w:ascii="宋体" w:hAnsi="宋体"/>
          <w:szCs w:val="24"/>
        </w:rPr>
      </w:pPr>
      <w:r>
        <w:rPr>
          <w:rFonts w:hint="eastAsia" w:ascii="宋体" w:hAnsi="宋体"/>
          <w:szCs w:val="24"/>
        </w:rPr>
        <w:t>稀土永磁产业链数据共享服务平台</w:t>
      </w:r>
      <w:r>
        <w:rPr>
          <w:rFonts w:ascii="宋体" w:hAnsi="宋体"/>
          <w:szCs w:val="24"/>
        </w:rPr>
        <w:t>需</w:t>
      </w:r>
      <w:r>
        <w:rPr>
          <w:rFonts w:hint="eastAsia" w:ascii="宋体" w:hAnsi="宋体"/>
          <w:szCs w:val="24"/>
        </w:rPr>
        <w:t>审计内容应包括重要用户行为、系统资源的异常使用和重要系统命令的使用等系统内重要的安全相关事件，并对审计内容进行留存；</w:t>
      </w:r>
    </w:p>
    <w:p>
      <w:pPr>
        <w:numPr>
          <w:ilvl w:val="0"/>
          <w:numId w:val="55"/>
        </w:numPr>
        <w:adjustRightInd/>
        <w:spacing w:line="240" w:lineRule="auto"/>
        <w:rPr>
          <w:rFonts w:hint="eastAsia" w:ascii="宋体" w:hAnsi="宋体"/>
          <w:szCs w:val="24"/>
        </w:rPr>
      </w:pPr>
      <w:r>
        <w:rPr>
          <w:rFonts w:hint="eastAsia" w:ascii="宋体" w:hAnsi="宋体"/>
          <w:szCs w:val="24"/>
        </w:rPr>
        <w:t>审计范围应覆盖到节点主机上的每个操作系统用户和状态数据库用户；</w:t>
      </w:r>
    </w:p>
    <w:p>
      <w:pPr>
        <w:numPr>
          <w:ilvl w:val="0"/>
          <w:numId w:val="55"/>
        </w:numPr>
        <w:adjustRightInd/>
        <w:spacing w:line="240" w:lineRule="auto"/>
        <w:rPr>
          <w:rFonts w:hint="eastAsia" w:ascii="宋体" w:hAnsi="宋体"/>
          <w:szCs w:val="24"/>
        </w:rPr>
      </w:pPr>
      <w:r>
        <w:rPr>
          <w:rFonts w:hint="eastAsia" w:ascii="宋体" w:hAnsi="宋体"/>
          <w:szCs w:val="24"/>
        </w:rPr>
        <w:t>应保护审计进程，避免受到未预期的中断；</w:t>
      </w:r>
    </w:p>
    <w:p>
      <w:pPr>
        <w:numPr>
          <w:ilvl w:val="0"/>
          <w:numId w:val="55"/>
        </w:numPr>
        <w:adjustRightInd/>
        <w:spacing w:line="240" w:lineRule="auto"/>
        <w:rPr>
          <w:rFonts w:hint="eastAsia" w:ascii="宋体" w:hAnsi="宋体"/>
          <w:szCs w:val="24"/>
        </w:rPr>
      </w:pPr>
      <w:r>
        <w:rPr>
          <w:rFonts w:hint="eastAsia" w:ascii="宋体" w:hAnsi="宋体"/>
          <w:szCs w:val="24"/>
        </w:rPr>
        <w:t>应保护审计记录，避免受到未预期的删除、修改或覆盖等</w:t>
      </w:r>
      <w:r>
        <w:rPr>
          <w:rFonts w:ascii="宋体" w:hAnsi="宋体"/>
          <w:szCs w:val="24"/>
        </w:rPr>
        <w:t>。</w:t>
      </w:r>
    </w:p>
    <w:p>
      <w:pPr>
        <w:pStyle w:val="65"/>
        <w:spacing w:before="156" w:after="156"/>
      </w:pPr>
      <w:bookmarkStart w:id="233" w:name="_Toc206152327"/>
      <w:bookmarkStart w:id="234" w:name="_Toc206152455"/>
      <w:r>
        <w:rPr>
          <w:rFonts w:hint="eastAsia"/>
        </w:rPr>
        <w:t>容灾与恢复</w:t>
      </w:r>
      <w:bookmarkEnd w:id="233"/>
      <w:bookmarkEnd w:id="234"/>
    </w:p>
    <w:p>
      <w:pPr>
        <w:adjustRightInd/>
        <w:spacing w:line="360" w:lineRule="auto"/>
        <w:ind w:firstLine="420" w:firstLineChars="200"/>
        <w:rPr>
          <w:rFonts w:hint="eastAsia" w:ascii="宋体" w:hAnsi="宋体"/>
          <w:szCs w:val="24"/>
        </w:rPr>
      </w:pPr>
      <w:r>
        <w:rPr>
          <w:rFonts w:hint="eastAsia" w:ascii="宋体" w:hAnsi="宋体"/>
          <w:szCs w:val="24"/>
        </w:rPr>
        <w:t>容灾与恢复要求如下：</w:t>
      </w:r>
    </w:p>
    <w:p>
      <w:pPr>
        <w:numPr>
          <w:ilvl w:val="0"/>
          <w:numId w:val="56"/>
        </w:numPr>
        <w:adjustRightInd/>
        <w:spacing w:line="240" w:lineRule="auto"/>
        <w:rPr>
          <w:rFonts w:hint="eastAsia" w:ascii="宋体" w:hAnsi="宋体"/>
          <w:szCs w:val="24"/>
        </w:rPr>
      </w:pPr>
      <w:r>
        <w:rPr>
          <w:rFonts w:ascii="宋体" w:hAnsi="宋体"/>
          <w:szCs w:val="24"/>
        </w:rPr>
        <w:t>核心组件（含区块链中间件、</w:t>
      </w:r>
      <w:r>
        <w:rPr>
          <w:rFonts w:hint="eastAsia" w:ascii="宋体" w:hAnsi="宋体"/>
          <w:szCs w:val="24"/>
        </w:rPr>
        <w:t>数据节点</w:t>
      </w:r>
      <w:r>
        <w:rPr>
          <w:rFonts w:ascii="宋体" w:hAnsi="宋体"/>
          <w:szCs w:val="24"/>
        </w:rPr>
        <w:t>）</w:t>
      </w:r>
      <w:r>
        <w:rPr>
          <w:rFonts w:hint="eastAsia" w:ascii="宋体" w:hAnsi="宋体"/>
          <w:szCs w:val="24"/>
        </w:rPr>
        <w:t>宜</w:t>
      </w:r>
      <w:r>
        <w:rPr>
          <w:rFonts w:ascii="宋体" w:hAnsi="宋体"/>
          <w:szCs w:val="24"/>
        </w:rPr>
        <w:t>部署异地容灾备份机制</w:t>
      </w:r>
      <w:r>
        <w:rPr>
          <w:rFonts w:hint="eastAsia" w:ascii="宋体" w:hAnsi="宋体"/>
          <w:szCs w:val="24"/>
        </w:rPr>
        <w:t>；</w:t>
      </w:r>
    </w:p>
    <w:p>
      <w:pPr>
        <w:numPr>
          <w:ilvl w:val="0"/>
          <w:numId w:val="56"/>
        </w:numPr>
        <w:adjustRightInd/>
        <w:spacing w:line="240" w:lineRule="auto"/>
        <w:rPr>
          <w:rFonts w:hint="eastAsia" w:ascii="宋体" w:hAnsi="宋体"/>
          <w:szCs w:val="24"/>
        </w:rPr>
      </w:pPr>
      <w:r>
        <w:rPr>
          <w:rFonts w:ascii="宋体" w:hAnsi="宋体"/>
          <w:szCs w:val="24"/>
        </w:rPr>
        <w:t>数据目录及存证信息</w:t>
      </w:r>
      <w:r>
        <w:rPr>
          <w:rFonts w:hint="eastAsia" w:ascii="宋体" w:hAnsi="宋体"/>
          <w:szCs w:val="24"/>
        </w:rPr>
        <w:t>宜</w:t>
      </w:r>
      <w:r>
        <w:rPr>
          <w:rFonts w:ascii="宋体" w:hAnsi="宋体"/>
          <w:szCs w:val="24"/>
        </w:rPr>
        <w:t>支持区块链分片存储或离线冷备份，</w:t>
      </w:r>
      <w:r>
        <w:rPr>
          <w:rFonts w:hint="eastAsia" w:ascii="宋体" w:hAnsi="宋体"/>
          <w:szCs w:val="24"/>
        </w:rPr>
        <w:t>保障</w:t>
      </w:r>
      <w:r>
        <w:rPr>
          <w:rFonts w:ascii="宋体" w:hAnsi="宋体"/>
          <w:szCs w:val="24"/>
        </w:rPr>
        <w:t>灾难场景下可恢复。</w:t>
      </w:r>
    </w:p>
    <w:p>
      <w:pPr>
        <w:adjustRightInd/>
        <w:spacing w:line="240" w:lineRule="auto"/>
        <w:rPr>
          <w:rFonts w:hint="eastAsia" w:ascii="宋体" w:hAnsi="宋体"/>
          <w:szCs w:val="24"/>
        </w:rPr>
      </w:pPr>
    </w:p>
    <w:p>
      <w:pPr>
        <w:adjustRightInd/>
        <w:spacing w:line="240" w:lineRule="auto"/>
        <w:rPr>
          <w:rFonts w:hint="eastAsia" w:ascii="宋体" w:hAnsi="宋体"/>
          <w:szCs w:val="24"/>
        </w:rPr>
      </w:pPr>
    </w:p>
    <w:p>
      <w:pPr>
        <w:pStyle w:val="56"/>
        <w:ind w:firstLine="420"/>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type="lines" w:linePitch="312" w:charSpace="0"/>
        </w:sectPr>
      </w:pPr>
    </w:p>
    <w:p>
      <w:pPr>
        <w:pStyle w:val="198"/>
        <w:rPr>
          <w:rFonts w:hint="eastAsia"/>
          <w:vanish w:val="0"/>
        </w:rPr>
      </w:pPr>
      <w:bookmarkStart w:id="235" w:name="BookMark5"/>
    </w:p>
    <w:p>
      <w:pPr>
        <w:pStyle w:val="199"/>
        <w:rPr>
          <w:vanish w:val="0"/>
        </w:rPr>
      </w:pPr>
    </w:p>
    <w:p>
      <w:pPr>
        <w:pStyle w:val="76"/>
        <w:spacing w:before="78" w:beforeLines="25" w:after="156"/>
      </w:pPr>
      <w:r>
        <w:br w:type="textWrapping"/>
      </w:r>
      <w:bookmarkStart w:id="236" w:name="_Toc150015793"/>
      <w:bookmarkStart w:id="237" w:name="_Toc149582236"/>
      <w:bookmarkStart w:id="238" w:name="_Toc149836408"/>
      <w:bookmarkStart w:id="239" w:name="_Toc149581299"/>
      <w:bookmarkStart w:id="240" w:name="_Toc206152328"/>
      <w:bookmarkStart w:id="241" w:name="_Toc206152456"/>
      <w:r>
        <w:rPr>
          <w:rFonts w:hint="eastAsia"/>
        </w:rPr>
        <w:t>（规范性）</w:t>
      </w:r>
      <w:r>
        <w:br w:type="textWrapping"/>
      </w:r>
      <w:bookmarkEnd w:id="236"/>
      <w:bookmarkEnd w:id="237"/>
      <w:bookmarkEnd w:id="238"/>
      <w:bookmarkEnd w:id="239"/>
      <w:r>
        <w:rPr>
          <w:rFonts w:hint="eastAsia"/>
        </w:rPr>
        <w:t>稀土永磁产业链各环节原材料/产品数据对照</w:t>
      </w:r>
      <w:bookmarkEnd w:id="240"/>
      <w:bookmarkEnd w:id="241"/>
    </w:p>
    <w:p>
      <w:pPr>
        <w:pStyle w:val="56"/>
        <w:ind w:firstLine="420"/>
        <w:rPr>
          <w:rFonts w:hint="eastAsia" w:hAnsi="宋体"/>
        </w:rPr>
      </w:pPr>
      <w:r>
        <w:rPr>
          <w:rFonts w:hint="eastAsia" w:hAnsi="宋体"/>
        </w:rPr>
        <w:t>列出了稀土永磁产业链上游、中游及下游各环节涉及原材料/产品，在供需环节的输入/输出数据信息（包含但不限于以下内容）</w:t>
      </w:r>
      <w:r>
        <w:rPr>
          <w:rFonts w:hAnsi="宋体"/>
        </w:rPr>
        <w:t xml:space="preserve">，具体见表 </w:t>
      </w:r>
      <w:r>
        <w:rPr>
          <w:rFonts w:hint="eastAsia" w:hAnsi="宋体"/>
        </w:rPr>
        <w:t>A.</w:t>
      </w:r>
      <w:r>
        <w:rPr>
          <w:rFonts w:hAnsi="宋体"/>
        </w:rPr>
        <w:t>1。</w:t>
      </w:r>
    </w:p>
    <w:p>
      <w:pPr>
        <w:pStyle w:val="77"/>
        <w:spacing w:before="156" w:after="156"/>
        <w:ind w:firstLine="420"/>
      </w:pPr>
      <w:bookmarkStart w:id="242" w:name="_Hlk205541663"/>
      <w:r>
        <w:rPr>
          <w:rFonts w:hint="eastAsia"/>
        </w:rPr>
        <w:t>稀土永磁产业链各环节的原材料/产品数据信息对照</w:t>
      </w:r>
      <w:bookmarkEnd w:id="242"/>
      <w:r>
        <w:rPr>
          <w:rFonts w:hint="eastAsia"/>
        </w:rPr>
        <w:t>表</w:t>
      </w:r>
    </w:p>
    <w:tbl>
      <w:tblPr>
        <w:tblStyle w:val="26"/>
        <w:tblW w:w="5166" w:type="pct"/>
        <w:tblInd w:w="-318" w:type="dxa"/>
        <w:tblLayout w:type="autofit"/>
        <w:tblCellMar>
          <w:top w:w="0" w:type="dxa"/>
          <w:left w:w="108" w:type="dxa"/>
          <w:bottom w:w="0" w:type="dxa"/>
          <w:right w:w="108" w:type="dxa"/>
        </w:tblCellMar>
      </w:tblPr>
      <w:tblGrid>
        <w:gridCol w:w="995"/>
        <w:gridCol w:w="3063"/>
        <w:gridCol w:w="3314"/>
        <w:gridCol w:w="2516"/>
      </w:tblGrid>
      <w:tr>
        <w:tblPrEx>
          <w:tblCellMar>
            <w:top w:w="0" w:type="dxa"/>
            <w:left w:w="108" w:type="dxa"/>
            <w:bottom w:w="0" w:type="dxa"/>
            <w:right w:w="108" w:type="dxa"/>
          </w:tblCellMar>
        </w:tblPrEx>
        <w:trPr>
          <w:trHeight w:val="510" w:hRule="atLeast"/>
        </w:trPr>
        <w:tc>
          <w:tcPr>
            <w:tcW w:w="503" w:type="pct"/>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bCs/>
                <w:sz w:val="18"/>
                <w:szCs w:val="18"/>
              </w:rPr>
            </w:pPr>
            <w:r>
              <w:rPr>
                <w:rFonts w:hint="eastAsia"/>
                <w:bCs/>
                <w:sz w:val="18"/>
                <w:szCs w:val="18"/>
              </w:rPr>
              <w:t>供需环节</w:t>
            </w:r>
          </w:p>
        </w:tc>
        <w:tc>
          <w:tcPr>
            <w:tcW w:w="1549" w:type="pct"/>
            <w:tcBorders>
              <w:top w:val="single" w:color="000000" w:sz="4" w:space="0"/>
              <w:left w:val="nil"/>
              <w:bottom w:val="single" w:color="000000" w:sz="4" w:space="0"/>
              <w:right w:val="single" w:color="000000" w:sz="4" w:space="0"/>
            </w:tcBorders>
            <w:noWrap/>
            <w:vAlign w:val="center"/>
          </w:tcPr>
          <w:p>
            <w:pPr>
              <w:spacing w:line="240" w:lineRule="auto"/>
              <w:jc w:val="center"/>
              <w:rPr>
                <w:bCs/>
                <w:sz w:val="18"/>
                <w:szCs w:val="18"/>
              </w:rPr>
            </w:pPr>
            <w:r>
              <w:rPr>
                <w:bCs/>
                <w:sz w:val="18"/>
                <w:szCs w:val="18"/>
              </w:rPr>
              <w:t>稀土永磁上游</w:t>
            </w:r>
          </w:p>
        </w:tc>
        <w:tc>
          <w:tcPr>
            <w:tcW w:w="1676" w:type="pct"/>
            <w:tcBorders>
              <w:top w:val="single" w:color="000000" w:sz="4" w:space="0"/>
              <w:left w:val="nil"/>
              <w:bottom w:val="single" w:color="000000" w:sz="4" w:space="0"/>
              <w:right w:val="single" w:color="000000" w:sz="4" w:space="0"/>
            </w:tcBorders>
            <w:noWrap/>
            <w:vAlign w:val="center"/>
          </w:tcPr>
          <w:p>
            <w:pPr>
              <w:spacing w:line="240" w:lineRule="auto"/>
              <w:jc w:val="center"/>
              <w:rPr>
                <w:bCs/>
                <w:sz w:val="18"/>
                <w:szCs w:val="18"/>
              </w:rPr>
            </w:pPr>
            <w:r>
              <w:rPr>
                <w:bCs/>
                <w:sz w:val="18"/>
                <w:szCs w:val="18"/>
              </w:rPr>
              <w:t>稀土永磁中游</w:t>
            </w:r>
          </w:p>
        </w:tc>
        <w:tc>
          <w:tcPr>
            <w:tcW w:w="1272" w:type="pct"/>
            <w:tcBorders>
              <w:top w:val="single" w:color="000000" w:sz="4" w:space="0"/>
              <w:left w:val="nil"/>
              <w:bottom w:val="single" w:color="000000" w:sz="4" w:space="0"/>
              <w:right w:val="single" w:color="000000" w:sz="4" w:space="0"/>
            </w:tcBorders>
            <w:vAlign w:val="center"/>
          </w:tcPr>
          <w:p>
            <w:pPr>
              <w:spacing w:line="240" w:lineRule="auto"/>
              <w:jc w:val="center"/>
              <w:rPr>
                <w:bCs/>
                <w:sz w:val="18"/>
                <w:szCs w:val="18"/>
              </w:rPr>
            </w:pPr>
            <w:r>
              <w:rPr>
                <w:bCs/>
                <w:sz w:val="18"/>
                <w:szCs w:val="18"/>
              </w:rPr>
              <w:t>稀土永磁下游</w:t>
            </w:r>
          </w:p>
        </w:tc>
      </w:tr>
      <w:tr>
        <w:tblPrEx>
          <w:tblCellMar>
            <w:top w:w="0" w:type="dxa"/>
            <w:left w:w="108" w:type="dxa"/>
            <w:bottom w:w="0" w:type="dxa"/>
            <w:right w:w="108" w:type="dxa"/>
          </w:tblCellMar>
        </w:tblPrEx>
        <w:trPr>
          <w:trHeight w:val="907" w:hRule="atLeast"/>
        </w:trPr>
        <w:tc>
          <w:tcPr>
            <w:tcW w:w="503"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bCs/>
                <w:sz w:val="18"/>
                <w:szCs w:val="18"/>
              </w:rPr>
            </w:pPr>
            <w:r>
              <w:rPr>
                <w:rFonts w:hint="eastAsia"/>
                <w:bCs/>
                <w:color w:val="000000"/>
                <w:sz w:val="18"/>
                <w:szCs w:val="18"/>
              </w:rPr>
              <w:t>研发设计</w:t>
            </w:r>
          </w:p>
        </w:tc>
        <w:tc>
          <w:tcPr>
            <w:tcW w:w="1549" w:type="pct"/>
            <w:vMerge w:val="restart"/>
            <w:tcBorders>
              <w:top w:val="single" w:color="000000" w:sz="4" w:space="0"/>
              <w:left w:val="nil"/>
              <w:right w:val="single" w:color="000000" w:sz="4" w:space="0"/>
            </w:tcBorders>
            <w:vAlign w:val="center"/>
          </w:tcPr>
          <w:p>
            <w:pPr>
              <w:spacing w:line="240" w:lineRule="auto"/>
              <w:rPr>
                <w:bCs/>
                <w:sz w:val="18"/>
                <w:szCs w:val="18"/>
              </w:rPr>
            </w:pPr>
            <w:r>
              <w:rPr>
                <w:rFonts w:hint="eastAsia"/>
                <w:bCs/>
                <w:color w:val="201C1D"/>
                <w:kern w:val="0"/>
                <w:sz w:val="18"/>
                <w:szCs w:val="18"/>
              </w:rPr>
              <w:t>稀土永磁原材料/产品（稀土精矿、纯化氧化物产品、稀土金属产品、</w:t>
            </w:r>
            <w:r>
              <w:rPr>
                <w:rFonts w:hint="eastAsia" w:cs="宋体"/>
                <w:bCs/>
                <w:color w:val="201C1D"/>
                <w:kern w:val="0"/>
                <w:sz w:val="18"/>
                <w:szCs w:val="18"/>
              </w:rPr>
              <w:t>稀土中间合金产品</w:t>
            </w:r>
            <w:r>
              <w:rPr>
                <w:rFonts w:hint="eastAsia"/>
                <w:bCs/>
                <w:color w:val="201C1D"/>
                <w:kern w:val="0"/>
                <w:sz w:val="18"/>
                <w:szCs w:val="18"/>
              </w:rPr>
              <w:t>等）的</w:t>
            </w:r>
            <w:r>
              <w:rPr>
                <w:bCs/>
                <w:color w:val="201C1D"/>
                <w:kern w:val="0"/>
                <w:sz w:val="18"/>
                <w:szCs w:val="18"/>
              </w:rPr>
              <w:t>成分</w:t>
            </w:r>
            <w:r>
              <w:rPr>
                <w:rFonts w:hint="eastAsia"/>
                <w:bCs/>
                <w:color w:val="201C1D"/>
                <w:kern w:val="0"/>
                <w:sz w:val="18"/>
                <w:szCs w:val="18"/>
              </w:rPr>
              <w:t>、</w:t>
            </w:r>
            <w:r>
              <w:rPr>
                <w:bCs/>
                <w:color w:val="201C1D"/>
                <w:kern w:val="0"/>
                <w:sz w:val="18"/>
                <w:szCs w:val="18"/>
              </w:rPr>
              <w:t>形状</w:t>
            </w:r>
            <w:r>
              <w:rPr>
                <w:rFonts w:hint="eastAsia"/>
                <w:bCs/>
                <w:color w:val="201C1D"/>
                <w:kern w:val="0"/>
                <w:sz w:val="18"/>
                <w:szCs w:val="18"/>
              </w:rPr>
              <w:t>、</w:t>
            </w:r>
            <w:r>
              <w:rPr>
                <w:bCs/>
                <w:color w:val="201C1D"/>
                <w:kern w:val="0"/>
                <w:sz w:val="18"/>
                <w:szCs w:val="18"/>
              </w:rPr>
              <w:t>尺寸</w:t>
            </w:r>
            <w:r>
              <w:rPr>
                <w:rFonts w:hint="eastAsia"/>
                <w:bCs/>
                <w:color w:val="201C1D"/>
                <w:kern w:val="0"/>
                <w:sz w:val="18"/>
                <w:szCs w:val="18"/>
              </w:rPr>
              <w:t>、</w:t>
            </w:r>
            <w:r>
              <w:rPr>
                <w:bCs/>
                <w:color w:val="201C1D"/>
                <w:kern w:val="0"/>
                <w:sz w:val="18"/>
                <w:szCs w:val="18"/>
              </w:rPr>
              <w:t>结构、工艺</w:t>
            </w:r>
            <w:r>
              <w:rPr>
                <w:rFonts w:hint="eastAsia"/>
                <w:bCs/>
                <w:color w:val="201C1D"/>
                <w:kern w:val="0"/>
                <w:sz w:val="18"/>
                <w:szCs w:val="18"/>
              </w:rPr>
              <w:t>、性能等数据信息；</w:t>
            </w:r>
          </w:p>
        </w:tc>
        <w:tc>
          <w:tcPr>
            <w:tcW w:w="1676" w:type="pct"/>
            <w:vMerge w:val="restart"/>
            <w:tcBorders>
              <w:top w:val="single" w:color="000000" w:sz="4" w:space="0"/>
              <w:left w:val="nil"/>
              <w:right w:val="single" w:color="000000" w:sz="4" w:space="0"/>
            </w:tcBorders>
            <w:vAlign w:val="center"/>
          </w:tcPr>
          <w:p>
            <w:pPr>
              <w:spacing w:line="240" w:lineRule="auto"/>
              <w:rPr>
                <w:bCs/>
                <w:sz w:val="18"/>
                <w:szCs w:val="18"/>
              </w:rPr>
            </w:pPr>
            <w:r>
              <w:rPr>
                <w:rFonts w:hint="eastAsia"/>
                <w:bCs/>
                <w:color w:val="000000"/>
                <w:kern w:val="0"/>
                <w:sz w:val="18"/>
                <w:szCs w:val="18"/>
              </w:rPr>
              <w:t>稀土永磁材料/产品的</w:t>
            </w:r>
            <w:r>
              <w:rPr>
                <w:bCs/>
                <w:color w:val="201C1D"/>
                <w:kern w:val="0"/>
                <w:sz w:val="18"/>
                <w:szCs w:val="18"/>
              </w:rPr>
              <w:t>成分</w:t>
            </w:r>
            <w:r>
              <w:rPr>
                <w:rFonts w:hint="eastAsia"/>
                <w:bCs/>
                <w:color w:val="201C1D"/>
                <w:kern w:val="0"/>
                <w:sz w:val="18"/>
                <w:szCs w:val="18"/>
              </w:rPr>
              <w:t>、</w:t>
            </w:r>
            <w:r>
              <w:rPr>
                <w:bCs/>
                <w:color w:val="201C1D"/>
                <w:kern w:val="0"/>
                <w:sz w:val="18"/>
                <w:szCs w:val="18"/>
              </w:rPr>
              <w:t>形状</w:t>
            </w:r>
            <w:r>
              <w:rPr>
                <w:rFonts w:hint="eastAsia"/>
                <w:bCs/>
                <w:color w:val="201C1D"/>
                <w:kern w:val="0"/>
                <w:sz w:val="18"/>
                <w:szCs w:val="18"/>
              </w:rPr>
              <w:t>、</w:t>
            </w:r>
            <w:r>
              <w:rPr>
                <w:bCs/>
                <w:color w:val="201C1D"/>
                <w:kern w:val="0"/>
                <w:sz w:val="18"/>
                <w:szCs w:val="18"/>
              </w:rPr>
              <w:t>尺寸</w:t>
            </w:r>
            <w:r>
              <w:rPr>
                <w:rFonts w:hint="eastAsia"/>
                <w:bCs/>
                <w:color w:val="201C1D"/>
                <w:kern w:val="0"/>
                <w:sz w:val="18"/>
                <w:szCs w:val="18"/>
              </w:rPr>
              <w:t>、</w:t>
            </w:r>
            <w:r>
              <w:rPr>
                <w:bCs/>
                <w:color w:val="201C1D"/>
                <w:kern w:val="0"/>
                <w:sz w:val="18"/>
                <w:szCs w:val="18"/>
              </w:rPr>
              <w:t>结构、工艺</w:t>
            </w:r>
            <w:r>
              <w:rPr>
                <w:rFonts w:hint="eastAsia"/>
                <w:bCs/>
                <w:color w:val="201C1D"/>
                <w:kern w:val="0"/>
                <w:sz w:val="18"/>
                <w:szCs w:val="18"/>
              </w:rPr>
              <w:t>、性能等数据信息；</w:t>
            </w:r>
          </w:p>
        </w:tc>
        <w:tc>
          <w:tcPr>
            <w:tcW w:w="1272" w:type="pct"/>
            <w:vMerge w:val="restart"/>
            <w:tcBorders>
              <w:top w:val="single" w:color="000000" w:sz="4" w:space="0"/>
              <w:left w:val="nil"/>
              <w:right w:val="single" w:color="000000" w:sz="4" w:space="0"/>
            </w:tcBorders>
            <w:vAlign w:val="center"/>
          </w:tcPr>
          <w:p>
            <w:pPr>
              <w:spacing w:line="240" w:lineRule="auto"/>
              <w:rPr>
                <w:b/>
                <w:sz w:val="18"/>
                <w:szCs w:val="18"/>
              </w:rPr>
            </w:pPr>
            <w:r>
              <w:rPr>
                <w:rFonts w:hint="eastAsia"/>
                <w:bCs/>
                <w:color w:val="000000"/>
                <w:kern w:val="0"/>
                <w:sz w:val="18"/>
                <w:szCs w:val="18"/>
              </w:rPr>
              <w:t>稀土永磁产品下游部件、装备的尺寸、结构、加工、组装，以及对稀土永磁产品的性能、设计需求</w:t>
            </w:r>
            <w:r>
              <w:rPr>
                <w:rFonts w:hint="eastAsia"/>
                <w:bCs/>
                <w:color w:val="201C1D"/>
                <w:kern w:val="0"/>
                <w:sz w:val="18"/>
                <w:szCs w:val="18"/>
              </w:rPr>
              <w:t>等数据信息；</w:t>
            </w:r>
          </w:p>
        </w:tc>
      </w:tr>
      <w:tr>
        <w:tblPrEx>
          <w:tblCellMar>
            <w:top w:w="0" w:type="dxa"/>
            <w:left w:w="108" w:type="dxa"/>
            <w:bottom w:w="0" w:type="dxa"/>
            <w:right w:w="108" w:type="dxa"/>
          </w:tblCellMar>
        </w:tblPrEx>
        <w:trPr>
          <w:trHeight w:val="907" w:hRule="atLeast"/>
        </w:trPr>
        <w:tc>
          <w:tcPr>
            <w:tcW w:w="503"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bCs/>
                <w:sz w:val="18"/>
                <w:szCs w:val="18"/>
              </w:rPr>
            </w:pPr>
            <w:r>
              <w:rPr>
                <w:rFonts w:hint="eastAsia"/>
                <w:bCs/>
                <w:color w:val="000000"/>
                <w:sz w:val="18"/>
                <w:szCs w:val="18"/>
              </w:rPr>
              <w:t>生产制造</w:t>
            </w:r>
          </w:p>
        </w:tc>
        <w:tc>
          <w:tcPr>
            <w:tcW w:w="1549" w:type="pct"/>
            <w:vMerge w:val="continue"/>
            <w:tcBorders>
              <w:left w:val="nil"/>
              <w:bottom w:val="single" w:color="000000" w:sz="4" w:space="0"/>
              <w:right w:val="single" w:color="000000" w:sz="4" w:space="0"/>
            </w:tcBorders>
            <w:vAlign w:val="center"/>
          </w:tcPr>
          <w:p>
            <w:pPr>
              <w:spacing w:line="240" w:lineRule="auto"/>
              <w:rPr>
                <w:bCs/>
                <w:sz w:val="18"/>
                <w:szCs w:val="18"/>
              </w:rPr>
            </w:pPr>
          </w:p>
        </w:tc>
        <w:tc>
          <w:tcPr>
            <w:tcW w:w="1676" w:type="pct"/>
            <w:vMerge w:val="continue"/>
            <w:tcBorders>
              <w:left w:val="nil"/>
              <w:bottom w:val="single" w:color="000000" w:sz="4" w:space="0"/>
              <w:right w:val="single" w:color="000000" w:sz="4" w:space="0"/>
            </w:tcBorders>
            <w:vAlign w:val="center"/>
          </w:tcPr>
          <w:p>
            <w:pPr>
              <w:spacing w:line="240" w:lineRule="auto"/>
              <w:jc w:val="center"/>
              <w:rPr>
                <w:bCs/>
                <w:sz w:val="18"/>
                <w:szCs w:val="18"/>
              </w:rPr>
            </w:pPr>
          </w:p>
        </w:tc>
        <w:tc>
          <w:tcPr>
            <w:tcW w:w="1272" w:type="pct"/>
            <w:vMerge w:val="continue"/>
            <w:tcBorders>
              <w:left w:val="nil"/>
              <w:bottom w:val="single" w:color="000000" w:sz="4" w:space="0"/>
              <w:right w:val="single" w:color="000000" w:sz="4" w:space="0"/>
            </w:tcBorders>
            <w:vAlign w:val="center"/>
          </w:tcPr>
          <w:p>
            <w:pPr>
              <w:spacing w:line="240" w:lineRule="auto"/>
              <w:jc w:val="center"/>
              <w:rPr>
                <w:bCs/>
                <w:sz w:val="18"/>
                <w:szCs w:val="18"/>
              </w:rPr>
            </w:pPr>
          </w:p>
        </w:tc>
      </w:tr>
      <w:tr>
        <w:tblPrEx>
          <w:tblCellMar>
            <w:top w:w="0" w:type="dxa"/>
            <w:left w:w="108" w:type="dxa"/>
            <w:bottom w:w="0" w:type="dxa"/>
            <w:right w:w="108" w:type="dxa"/>
          </w:tblCellMar>
        </w:tblPrEx>
        <w:trPr>
          <w:trHeight w:val="1121" w:hRule="atLeast"/>
        </w:trPr>
        <w:tc>
          <w:tcPr>
            <w:tcW w:w="503"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bCs/>
                <w:sz w:val="18"/>
                <w:szCs w:val="18"/>
              </w:rPr>
            </w:pPr>
            <w:r>
              <w:rPr>
                <w:rFonts w:hint="eastAsia"/>
                <w:bCs/>
                <w:color w:val="000000"/>
                <w:sz w:val="18"/>
                <w:szCs w:val="18"/>
              </w:rPr>
              <w:t>服役应用</w:t>
            </w:r>
          </w:p>
        </w:tc>
        <w:tc>
          <w:tcPr>
            <w:tcW w:w="1549" w:type="pct"/>
            <w:tcBorders>
              <w:top w:val="single" w:color="000000" w:sz="4" w:space="0"/>
              <w:left w:val="nil"/>
              <w:bottom w:val="single" w:color="000000" w:sz="4" w:space="0"/>
              <w:right w:val="single" w:color="000000" w:sz="4" w:space="0"/>
            </w:tcBorders>
            <w:vAlign w:val="center"/>
          </w:tcPr>
          <w:p>
            <w:pPr>
              <w:spacing w:line="240" w:lineRule="auto"/>
              <w:jc w:val="center"/>
              <w:rPr>
                <w:bCs/>
                <w:sz w:val="18"/>
                <w:szCs w:val="18"/>
              </w:rPr>
            </w:pPr>
            <w:r>
              <w:rPr>
                <w:rFonts w:hint="eastAsia" w:ascii="Times New Roman" w:hAnsi="Times New Roman"/>
                <w:bCs/>
                <w:color w:val="000000"/>
                <w:kern w:val="0"/>
                <w:sz w:val="18"/>
                <w:szCs w:val="18"/>
              </w:rPr>
              <w:t>—</w:t>
            </w:r>
          </w:p>
        </w:tc>
        <w:tc>
          <w:tcPr>
            <w:tcW w:w="1676" w:type="pct"/>
            <w:tcBorders>
              <w:top w:val="single" w:color="000000" w:sz="4" w:space="0"/>
              <w:left w:val="nil"/>
              <w:bottom w:val="single" w:color="000000" w:sz="4" w:space="0"/>
              <w:right w:val="single" w:color="000000" w:sz="4" w:space="0"/>
            </w:tcBorders>
            <w:vAlign w:val="center"/>
          </w:tcPr>
          <w:p>
            <w:pPr>
              <w:spacing w:line="240" w:lineRule="auto"/>
              <w:jc w:val="center"/>
              <w:rPr>
                <w:bCs/>
                <w:sz w:val="18"/>
                <w:szCs w:val="18"/>
              </w:rPr>
            </w:pPr>
            <w:r>
              <w:rPr>
                <w:rFonts w:hint="eastAsia" w:ascii="Times New Roman" w:hAnsi="Times New Roman"/>
                <w:bCs/>
                <w:color w:val="000000"/>
                <w:kern w:val="0"/>
                <w:sz w:val="18"/>
                <w:szCs w:val="18"/>
              </w:rPr>
              <w:t>—</w:t>
            </w:r>
          </w:p>
        </w:tc>
        <w:tc>
          <w:tcPr>
            <w:tcW w:w="1272" w:type="pct"/>
            <w:tcBorders>
              <w:top w:val="single" w:color="000000" w:sz="4" w:space="0"/>
              <w:left w:val="nil"/>
              <w:bottom w:val="single" w:color="000000" w:sz="4" w:space="0"/>
              <w:right w:val="single" w:color="000000" w:sz="4" w:space="0"/>
            </w:tcBorders>
            <w:vAlign w:val="center"/>
          </w:tcPr>
          <w:p>
            <w:pPr>
              <w:spacing w:line="240" w:lineRule="auto"/>
              <w:jc w:val="left"/>
              <w:rPr>
                <w:bCs/>
                <w:sz w:val="18"/>
                <w:szCs w:val="18"/>
              </w:rPr>
            </w:pPr>
            <w:r>
              <w:rPr>
                <w:rFonts w:hint="eastAsia"/>
                <w:bCs/>
                <w:color w:val="000000"/>
                <w:kern w:val="0"/>
                <w:sz w:val="18"/>
                <w:szCs w:val="18"/>
              </w:rPr>
              <w:t>稀土永磁产品下游部件、装备的尺寸、结构、</w:t>
            </w:r>
            <w:r>
              <w:rPr>
                <w:bCs/>
                <w:color w:val="201C1D"/>
                <w:kern w:val="0"/>
                <w:sz w:val="18"/>
                <w:szCs w:val="18"/>
              </w:rPr>
              <w:t>加工、组装</w:t>
            </w:r>
            <w:r>
              <w:rPr>
                <w:rFonts w:hint="eastAsia"/>
                <w:bCs/>
                <w:color w:val="201C1D"/>
                <w:kern w:val="0"/>
                <w:sz w:val="18"/>
                <w:szCs w:val="18"/>
              </w:rPr>
              <w:t>，</w:t>
            </w:r>
            <w:r>
              <w:rPr>
                <w:rFonts w:hint="eastAsia"/>
                <w:bCs/>
                <w:color w:val="000000"/>
                <w:kern w:val="0"/>
                <w:sz w:val="18"/>
                <w:szCs w:val="18"/>
              </w:rPr>
              <w:t>稀土永磁产品的服役性能、应用场景领域</w:t>
            </w:r>
            <w:r>
              <w:rPr>
                <w:rFonts w:hint="eastAsia"/>
                <w:bCs/>
                <w:color w:val="201C1D"/>
                <w:kern w:val="0"/>
                <w:sz w:val="18"/>
                <w:szCs w:val="18"/>
              </w:rPr>
              <w:t>等数据信息；</w:t>
            </w:r>
          </w:p>
        </w:tc>
      </w:tr>
      <w:tr>
        <w:tblPrEx>
          <w:tblCellMar>
            <w:top w:w="0" w:type="dxa"/>
            <w:left w:w="108" w:type="dxa"/>
            <w:bottom w:w="0" w:type="dxa"/>
            <w:right w:w="108" w:type="dxa"/>
          </w:tblCellMar>
        </w:tblPrEx>
        <w:trPr>
          <w:trHeight w:val="1137" w:hRule="atLeast"/>
        </w:trPr>
        <w:tc>
          <w:tcPr>
            <w:tcW w:w="503"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bCs/>
                <w:sz w:val="18"/>
                <w:szCs w:val="18"/>
              </w:rPr>
            </w:pPr>
            <w:r>
              <w:rPr>
                <w:rFonts w:hint="eastAsia"/>
                <w:bCs/>
                <w:color w:val="000000"/>
                <w:sz w:val="18"/>
                <w:szCs w:val="18"/>
              </w:rPr>
              <w:t>回收</w:t>
            </w:r>
          </w:p>
        </w:tc>
        <w:tc>
          <w:tcPr>
            <w:tcW w:w="1549" w:type="pct"/>
            <w:tcBorders>
              <w:top w:val="single" w:color="000000" w:sz="4" w:space="0"/>
              <w:left w:val="nil"/>
              <w:bottom w:val="single" w:color="000000" w:sz="4" w:space="0"/>
              <w:right w:val="single" w:color="000000" w:sz="4" w:space="0"/>
            </w:tcBorders>
            <w:vAlign w:val="center"/>
          </w:tcPr>
          <w:p>
            <w:pPr>
              <w:spacing w:line="240" w:lineRule="auto"/>
              <w:rPr>
                <w:bCs/>
                <w:sz w:val="18"/>
                <w:szCs w:val="18"/>
              </w:rPr>
            </w:pPr>
            <w:r>
              <w:rPr>
                <w:rFonts w:hint="eastAsia"/>
                <w:bCs/>
                <w:color w:val="201C1D"/>
                <w:kern w:val="0"/>
                <w:sz w:val="18"/>
                <w:szCs w:val="18"/>
              </w:rPr>
              <w:t>稀土永磁原材料/产品（稀土精矿、纯化氧化物产品、稀土金属产品、</w:t>
            </w:r>
            <w:r>
              <w:rPr>
                <w:rFonts w:hint="eastAsia" w:cs="宋体"/>
                <w:bCs/>
                <w:color w:val="201C1D"/>
                <w:kern w:val="0"/>
                <w:sz w:val="18"/>
                <w:szCs w:val="18"/>
              </w:rPr>
              <w:t>稀土中间合金产品</w:t>
            </w:r>
            <w:r>
              <w:rPr>
                <w:rFonts w:hint="eastAsia"/>
                <w:bCs/>
                <w:color w:val="201C1D"/>
                <w:kern w:val="0"/>
                <w:sz w:val="18"/>
                <w:szCs w:val="18"/>
              </w:rPr>
              <w:t>等）的</w:t>
            </w:r>
            <w:r>
              <w:rPr>
                <w:bCs/>
                <w:color w:val="201C1D"/>
                <w:kern w:val="0"/>
                <w:sz w:val="18"/>
                <w:szCs w:val="18"/>
              </w:rPr>
              <w:t>成分</w:t>
            </w:r>
            <w:r>
              <w:rPr>
                <w:rFonts w:hint="eastAsia"/>
                <w:bCs/>
                <w:color w:val="201C1D"/>
                <w:kern w:val="0"/>
                <w:sz w:val="18"/>
                <w:szCs w:val="18"/>
              </w:rPr>
              <w:t>、</w:t>
            </w:r>
            <w:r>
              <w:rPr>
                <w:bCs/>
                <w:color w:val="201C1D"/>
                <w:kern w:val="0"/>
                <w:sz w:val="18"/>
                <w:szCs w:val="18"/>
              </w:rPr>
              <w:t>形状</w:t>
            </w:r>
            <w:r>
              <w:rPr>
                <w:rFonts w:hint="eastAsia"/>
                <w:bCs/>
                <w:color w:val="201C1D"/>
                <w:kern w:val="0"/>
                <w:sz w:val="18"/>
                <w:szCs w:val="18"/>
              </w:rPr>
              <w:t>、</w:t>
            </w:r>
            <w:r>
              <w:rPr>
                <w:bCs/>
                <w:color w:val="201C1D"/>
                <w:kern w:val="0"/>
                <w:sz w:val="18"/>
                <w:szCs w:val="18"/>
              </w:rPr>
              <w:t>尺寸</w:t>
            </w:r>
            <w:r>
              <w:rPr>
                <w:rFonts w:hint="eastAsia"/>
                <w:bCs/>
                <w:color w:val="201C1D"/>
                <w:kern w:val="0"/>
                <w:sz w:val="18"/>
                <w:szCs w:val="18"/>
              </w:rPr>
              <w:t>、性能等数据信息；</w:t>
            </w:r>
          </w:p>
        </w:tc>
        <w:tc>
          <w:tcPr>
            <w:tcW w:w="1676" w:type="pct"/>
            <w:tcBorders>
              <w:top w:val="single" w:color="000000" w:sz="4" w:space="0"/>
              <w:left w:val="nil"/>
              <w:bottom w:val="single" w:color="000000" w:sz="4" w:space="0"/>
              <w:right w:val="single" w:color="000000" w:sz="4" w:space="0"/>
            </w:tcBorders>
            <w:vAlign w:val="center"/>
          </w:tcPr>
          <w:p>
            <w:pPr>
              <w:spacing w:line="240" w:lineRule="auto"/>
              <w:rPr>
                <w:bCs/>
                <w:sz w:val="18"/>
                <w:szCs w:val="18"/>
              </w:rPr>
            </w:pPr>
            <w:r>
              <w:rPr>
                <w:rFonts w:hint="eastAsia"/>
                <w:bCs/>
                <w:color w:val="000000"/>
                <w:kern w:val="0"/>
                <w:sz w:val="18"/>
                <w:szCs w:val="18"/>
              </w:rPr>
              <w:t>稀土永磁材料/产品的</w:t>
            </w:r>
            <w:r>
              <w:rPr>
                <w:bCs/>
                <w:color w:val="201C1D"/>
                <w:kern w:val="0"/>
                <w:sz w:val="18"/>
                <w:szCs w:val="18"/>
              </w:rPr>
              <w:t>成分</w:t>
            </w:r>
            <w:r>
              <w:rPr>
                <w:rFonts w:hint="eastAsia"/>
                <w:bCs/>
                <w:color w:val="201C1D"/>
                <w:kern w:val="0"/>
                <w:sz w:val="18"/>
                <w:szCs w:val="18"/>
              </w:rPr>
              <w:t>、</w:t>
            </w:r>
            <w:r>
              <w:rPr>
                <w:bCs/>
                <w:color w:val="201C1D"/>
                <w:kern w:val="0"/>
                <w:sz w:val="18"/>
                <w:szCs w:val="18"/>
              </w:rPr>
              <w:t>形状</w:t>
            </w:r>
            <w:r>
              <w:rPr>
                <w:rFonts w:hint="eastAsia"/>
                <w:bCs/>
                <w:color w:val="201C1D"/>
                <w:kern w:val="0"/>
                <w:sz w:val="18"/>
                <w:szCs w:val="18"/>
              </w:rPr>
              <w:t>、</w:t>
            </w:r>
            <w:r>
              <w:rPr>
                <w:bCs/>
                <w:color w:val="201C1D"/>
                <w:kern w:val="0"/>
                <w:sz w:val="18"/>
                <w:szCs w:val="18"/>
              </w:rPr>
              <w:t>尺寸</w:t>
            </w:r>
            <w:r>
              <w:rPr>
                <w:rFonts w:hint="eastAsia"/>
                <w:bCs/>
                <w:color w:val="201C1D"/>
                <w:kern w:val="0"/>
                <w:sz w:val="18"/>
                <w:szCs w:val="18"/>
              </w:rPr>
              <w:t>、性能等数据信息；</w:t>
            </w:r>
          </w:p>
        </w:tc>
        <w:tc>
          <w:tcPr>
            <w:tcW w:w="1272" w:type="pct"/>
            <w:tcBorders>
              <w:top w:val="single" w:color="000000" w:sz="4" w:space="0"/>
              <w:left w:val="nil"/>
              <w:bottom w:val="single" w:color="000000" w:sz="4" w:space="0"/>
              <w:right w:val="single" w:color="000000" w:sz="4" w:space="0"/>
            </w:tcBorders>
            <w:vAlign w:val="center"/>
          </w:tcPr>
          <w:p>
            <w:pPr>
              <w:spacing w:line="240" w:lineRule="auto"/>
              <w:jc w:val="center"/>
              <w:rPr>
                <w:bCs/>
                <w:sz w:val="18"/>
                <w:szCs w:val="18"/>
              </w:rPr>
            </w:pPr>
            <w:r>
              <w:rPr>
                <w:rFonts w:hint="eastAsia" w:ascii="Times New Roman" w:hAnsi="Times New Roman"/>
                <w:bCs/>
                <w:color w:val="000000"/>
                <w:kern w:val="0"/>
                <w:sz w:val="18"/>
                <w:szCs w:val="18"/>
              </w:rPr>
              <w:t>—</w:t>
            </w:r>
          </w:p>
        </w:tc>
      </w:tr>
      <w:tr>
        <w:tblPrEx>
          <w:tblCellMar>
            <w:top w:w="0" w:type="dxa"/>
            <w:left w:w="108" w:type="dxa"/>
            <w:bottom w:w="0" w:type="dxa"/>
            <w:right w:w="108" w:type="dxa"/>
          </w:tblCellMar>
        </w:tblPrEx>
        <w:trPr>
          <w:trHeight w:val="1566" w:hRule="atLeast"/>
        </w:trPr>
        <w:tc>
          <w:tcPr>
            <w:tcW w:w="503"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bCs/>
                <w:sz w:val="18"/>
                <w:szCs w:val="18"/>
              </w:rPr>
            </w:pPr>
            <w:r>
              <w:rPr>
                <w:rFonts w:hint="eastAsia"/>
                <w:bCs/>
                <w:color w:val="000000"/>
                <w:sz w:val="18"/>
                <w:szCs w:val="18"/>
              </w:rPr>
              <w:t>供应链</w:t>
            </w:r>
          </w:p>
        </w:tc>
        <w:tc>
          <w:tcPr>
            <w:tcW w:w="1549" w:type="pct"/>
            <w:tcBorders>
              <w:top w:val="single" w:color="000000" w:sz="4" w:space="0"/>
              <w:left w:val="nil"/>
              <w:bottom w:val="single" w:color="000000" w:sz="4" w:space="0"/>
              <w:right w:val="single" w:color="000000" w:sz="4" w:space="0"/>
            </w:tcBorders>
            <w:vAlign w:val="center"/>
          </w:tcPr>
          <w:p>
            <w:pPr>
              <w:spacing w:line="240" w:lineRule="auto"/>
              <w:rPr>
                <w:bCs/>
                <w:sz w:val="18"/>
                <w:szCs w:val="18"/>
              </w:rPr>
            </w:pPr>
            <w:r>
              <w:rPr>
                <w:rFonts w:hint="eastAsia"/>
                <w:bCs/>
                <w:color w:val="201C1D"/>
                <w:kern w:val="0"/>
                <w:sz w:val="18"/>
                <w:szCs w:val="18"/>
              </w:rPr>
              <w:t>稀土永磁原材料/产品（稀土精矿、纯化氧化物产品、稀土金属产品、</w:t>
            </w:r>
            <w:r>
              <w:rPr>
                <w:rFonts w:hint="eastAsia" w:cs="宋体"/>
                <w:bCs/>
                <w:color w:val="201C1D"/>
                <w:kern w:val="0"/>
                <w:sz w:val="18"/>
                <w:szCs w:val="18"/>
              </w:rPr>
              <w:t>稀土中间合金产品</w:t>
            </w:r>
            <w:r>
              <w:rPr>
                <w:rFonts w:hint="eastAsia"/>
                <w:bCs/>
                <w:color w:val="201C1D"/>
                <w:kern w:val="0"/>
                <w:sz w:val="18"/>
                <w:szCs w:val="18"/>
              </w:rPr>
              <w:t>等）的</w:t>
            </w:r>
            <w:r>
              <w:rPr>
                <w:bCs/>
                <w:color w:val="201C1D"/>
                <w:kern w:val="0"/>
                <w:sz w:val="18"/>
                <w:szCs w:val="18"/>
              </w:rPr>
              <w:t>物料来源</w:t>
            </w:r>
            <w:r>
              <w:rPr>
                <w:rFonts w:ascii="Times New Roman" w:hAnsi="Times New Roman"/>
                <w:bCs/>
                <w:color w:val="201C1D"/>
                <w:kern w:val="0"/>
                <w:sz w:val="18"/>
                <w:szCs w:val="18"/>
              </w:rPr>
              <w:t>/</w:t>
            </w:r>
            <w:r>
              <w:rPr>
                <w:bCs/>
                <w:color w:val="201C1D"/>
                <w:kern w:val="0"/>
                <w:sz w:val="18"/>
                <w:szCs w:val="18"/>
              </w:rPr>
              <w:t>产地</w:t>
            </w:r>
            <w:r>
              <w:rPr>
                <w:rFonts w:hint="eastAsia"/>
                <w:bCs/>
                <w:color w:val="201C1D"/>
                <w:kern w:val="0"/>
                <w:sz w:val="18"/>
                <w:szCs w:val="18"/>
              </w:rPr>
              <w:t>、</w:t>
            </w:r>
            <w:r>
              <w:rPr>
                <w:bCs/>
                <w:color w:val="201C1D"/>
                <w:kern w:val="0"/>
                <w:sz w:val="18"/>
                <w:szCs w:val="18"/>
              </w:rPr>
              <w:t>供应链</w:t>
            </w:r>
            <w:r>
              <w:rPr>
                <w:rFonts w:hint="eastAsia"/>
                <w:bCs/>
                <w:color w:val="201C1D"/>
                <w:kern w:val="0"/>
                <w:sz w:val="18"/>
                <w:szCs w:val="18"/>
              </w:rPr>
              <w:t>等</w:t>
            </w:r>
            <w:r>
              <w:rPr>
                <w:bCs/>
                <w:color w:val="201C1D"/>
                <w:kern w:val="0"/>
                <w:sz w:val="18"/>
                <w:szCs w:val="18"/>
              </w:rPr>
              <w:t>信息</w:t>
            </w:r>
            <w:r>
              <w:rPr>
                <w:rFonts w:hint="eastAsia"/>
                <w:bCs/>
                <w:color w:val="201C1D"/>
                <w:kern w:val="0"/>
                <w:sz w:val="18"/>
                <w:szCs w:val="18"/>
              </w:rPr>
              <w:t>；</w:t>
            </w:r>
          </w:p>
        </w:tc>
        <w:tc>
          <w:tcPr>
            <w:tcW w:w="1676" w:type="pct"/>
            <w:tcBorders>
              <w:top w:val="single" w:color="000000" w:sz="4" w:space="0"/>
              <w:left w:val="nil"/>
              <w:bottom w:val="single" w:color="000000" w:sz="4" w:space="0"/>
              <w:right w:val="single" w:color="000000" w:sz="4" w:space="0"/>
            </w:tcBorders>
            <w:vAlign w:val="center"/>
          </w:tcPr>
          <w:p>
            <w:pPr>
              <w:spacing w:line="240" w:lineRule="auto"/>
              <w:rPr>
                <w:bCs/>
                <w:sz w:val="18"/>
                <w:szCs w:val="18"/>
              </w:rPr>
            </w:pPr>
            <w:r>
              <w:rPr>
                <w:rFonts w:hint="eastAsia"/>
                <w:bCs/>
                <w:color w:val="201C1D"/>
                <w:kern w:val="0"/>
                <w:sz w:val="18"/>
                <w:szCs w:val="18"/>
              </w:rPr>
              <w:t>稀土永磁材料</w:t>
            </w:r>
            <w:r>
              <w:rPr>
                <w:rFonts w:hint="eastAsia" w:cs="宋体"/>
                <w:bCs/>
                <w:color w:val="201C1D"/>
                <w:kern w:val="0"/>
                <w:sz w:val="18"/>
                <w:szCs w:val="18"/>
              </w:rPr>
              <w:t>/产品</w:t>
            </w:r>
            <w:r>
              <w:rPr>
                <w:rFonts w:hint="eastAsia"/>
                <w:bCs/>
                <w:color w:val="201C1D"/>
                <w:kern w:val="0"/>
                <w:sz w:val="18"/>
                <w:szCs w:val="18"/>
              </w:rPr>
              <w:t>的</w:t>
            </w:r>
            <w:r>
              <w:rPr>
                <w:bCs/>
                <w:color w:val="201C1D"/>
                <w:kern w:val="0"/>
                <w:sz w:val="18"/>
                <w:szCs w:val="18"/>
              </w:rPr>
              <w:t>来源</w:t>
            </w:r>
            <w:r>
              <w:rPr>
                <w:rFonts w:ascii="Times New Roman" w:hAnsi="Times New Roman"/>
                <w:bCs/>
                <w:color w:val="201C1D"/>
                <w:kern w:val="0"/>
                <w:sz w:val="18"/>
                <w:szCs w:val="18"/>
              </w:rPr>
              <w:t>/</w:t>
            </w:r>
            <w:r>
              <w:rPr>
                <w:bCs/>
                <w:color w:val="201C1D"/>
                <w:kern w:val="0"/>
                <w:sz w:val="18"/>
                <w:szCs w:val="18"/>
              </w:rPr>
              <w:t>产地</w:t>
            </w:r>
            <w:r>
              <w:rPr>
                <w:rFonts w:hint="eastAsia"/>
                <w:bCs/>
                <w:color w:val="201C1D"/>
                <w:kern w:val="0"/>
                <w:sz w:val="18"/>
                <w:szCs w:val="18"/>
              </w:rPr>
              <w:t>、</w:t>
            </w:r>
            <w:r>
              <w:rPr>
                <w:bCs/>
                <w:color w:val="201C1D"/>
                <w:kern w:val="0"/>
                <w:sz w:val="18"/>
                <w:szCs w:val="18"/>
              </w:rPr>
              <w:t>供应链</w:t>
            </w:r>
            <w:r>
              <w:rPr>
                <w:rFonts w:hint="eastAsia"/>
                <w:bCs/>
                <w:color w:val="201C1D"/>
                <w:kern w:val="0"/>
                <w:sz w:val="18"/>
                <w:szCs w:val="18"/>
              </w:rPr>
              <w:t>等</w:t>
            </w:r>
            <w:r>
              <w:rPr>
                <w:bCs/>
                <w:color w:val="201C1D"/>
                <w:kern w:val="0"/>
                <w:sz w:val="18"/>
                <w:szCs w:val="18"/>
              </w:rPr>
              <w:t>信息</w:t>
            </w:r>
            <w:r>
              <w:rPr>
                <w:rFonts w:hint="eastAsia"/>
                <w:bCs/>
                <w:color w:val="201C1D"/>
                <w:kern w:val="0"/>
                <w:sz w:val="18"/>
                <w:szCs w:val="18"/>
              </w:rPr>
              <w:t>；</w:t>
            </w:r>
          </w:p>
        </w:tc>
        <w:tc>
          <w:tcPr>
            <w:tcW w:w="1272" w:type="pct"/>
            <w:tcBorders>
              <w:top w:val="single" w:color="000000" w:sz="4" w:space="0"/>
              <w:left w:val="nil"/>
              <w:bottom w:val="single" w:color="000000" w:sz="4" w:space="0"/>
              <w:right w:val="single" w:color="000000" w:sz="4" w:space="0"/>
            </w:tcBorders>
            <w:vAlign w:val="center"/>
          </w:tcPr>
          <w:p>
            <w:pPr>
              <w:spacing w:line="240" w:lineRule="auto"/>
              <w:rPr>
                <w:bCs/>
                <w:sz w:val="18"/>
                <w:szCs w:val="18"/>
              </w:rPr>
            </w:pPr>
            <w:r>
              <w:rPr>
                <w:rFonts w:hint="eastAsia"/>
                <w:bCs/>
                <w:color w:val="201C1D"/>
                <w:kern w:val="0"/>
                <w:sz w:val="18"/>
                <w:szCs w:val="18"/>
              </w:rPr>
              <w:t>稀土永磁</w:t>
            </w:r>
            <w:r>
              <w:rPr>
                <w:rFonts w:hint="eastAsia" w:cs="宋体"/>
                <w:bCs/>
                <w:color w:val="201C1D"/>
                <w:kern w:val="0"/>
                <w:sz w:val="18"/>
                <w:szCs w:val="18"/>
              </w:rPr>
              <w:t>产品下游部件、装备的</w:t>
            </w:r>
            <w:r>
              <w:rPr>
                <w:bCs/>
                <w:color w:val="201C1D"/>
                <w:kern w:val="0"/>
                <w:sz w:val="18"/>
                <w:szCs w:val="18"/>
              </w:rPr>
              <w:t>供应链</w:t>
            </w:r>
            <w:r>
              <w:rPr>
                <w:rFonts w:hint="eastAsia"/>
                <w:bCs/>
                <w:color w:val="201C1D"/>
                <w:kern w:val="0"/>
                <w:sz w:val="18"/>
                <w:szCs w:val="18"/>
              </w:rPr>
              <w:t>等数据</w:t>
            </w:r>
            <w:r>
              <w:rPr>
                <w:bCs/>
                <w:color w:val="201C1D"/>
                <w:kern w:val="0"/>
                <w:sz w:val="18"/>
                <w:szCs w:val="18"/>
              </w:rPr>
              <w:t>信息</w:t>
            </w:r>
            <w:r>
              <w:rPr>
                <w:rFonts w:hint="eastAsia"/>
                <w:bCs/>
                <w:color w:val="201C1D"/>
                <w:kern w:val="0"/>
                <w:sz w:val="18"/>
                <w:szCs w:val="18"/>
              </w:rPr>
              <w:t>；</w:t>
            </w:r>
          </w:p>
        </w:tc>
      </w:tr>
    </w:tbl>
    <w:p>
      <w:pPr>
        <w:pStyle w:val="56"/>
        <w:ind w:firstLine="420"/>
      </w:pPr>
    </w:p>
    <w:p>
      <w:pPr>
        <w:widowControl/>
        <w:adjustRightInd/>
        <w:spacing w:line="240" w:lineRule="auto"/>
        <w:jc w:val="left"/>
        <w:rPr>
          <w:rFonts w:ascii="宋体" w:hAnsi="Times New Roman"/>
          <w:kern w:val="0"/>
          <w:szCs w:val="20"/>
        </w:rPr>
      </w:pPr>
      <w:r>
        <w:br w:type="page"/>
      </w:r>
    </w:p>
    <w:p>
      <w:pPr>
        <w:pStyle w:val="56"/>
        <w:ind w:firstLine="420"/>
      </w:pPr>
    </w:p>
    <w:p>
      <w:pPr>
        <w:pStyle w:val="198"/>
        <w:rPr>
          <w:rFonts w:hint="eastAsia"/>
          <w:vanish w:val="0"/>
        </w:rPr>
      </w:pPr>
    </w:p>
    <w:p>
      <w:pPr>
        <w:pStyle w:val="199"/>
        <w:rPr>
          <w:vanish w:val="0"/>
        </w:rPr>
      </w:pPr>
    </w:p>
    <w:p>
      <w:pPr>
        <w:pStyle w:val="76"/>
        <w:spacing w:before="78" w:beforeLines="25" w:after="156"/>
      </w:pPr>
      <w:r>
        <w:br w:type="textWrapping"/>
      </w:r>
      <w:bookmarkStart w:id="243" w:name="_Toc149836411"/>
      <w:bookmarkStart w:id="244" w:name="_Toc150015796"/>
      <w:bookmarkStart w:id="245" w:name="_Toc149582239"/>
      <w:bookmarkStart w:id="246" w:name="_Toc206152457"/>
      <w:bookmarkStart w:id="247" w:name="_Toc206152329"/>
      <w:r>
        <w:rPr>
          <w:rFonts w:hint="eastAsia"/>
        </w:rPr>
        <w:t>（规范性）</w:t>
      </w:r>
      <w:r>
        <w:br w:type="textWrapping"/>
      </w:r>
      <w:bookmarkEnd w:id="243"/>
      <w:bookmarkEnd w:id="244"/>
      <w:bookmarkEnd w:id="245"/>
      <w:r>
        <w:rPr>
          <w:rFonts w:hint="eastAsia"/>
        </w:rPr>
        <w:t>数据权限设置</w:t>
      </w:r>
      <w:bookmarkEnd w:id="246"/>
      <w:bookmarkEnd w:id="247"/>
    </w:p>
    <w:p>
      <w:pPr>
        <w:pStyle w:val="56"/>
        <w:ind w:firstLine="420"/>
      </w:pPr>
      <w:r>
        <w:rPr>
          <w:rFonts w:hint="eastAsia"/>
        </w:rPr>
        <w:t>数据提供方应对数据进行权限设置</w:t>
      </w:r>
      <w:r>
        <w:t xml:space="preserve">。根据材料数据在材料数据区块链中的发现与查看权限，将访问权限划分为 7 个等级， 具体见表 </w:t>
      </w:r>
      <w:r>
        <w:rPr>
          <w:rFonts w:hint="eastAsia"/>
        </w:rPr>
        <w:t>B.</w:t>
      </w:r>
      <w:r>
        <w:t>1。</w:t>
      </w:r>
    </w:p>
    <w:p>
      <w:pPr>
        <w:pStyle w:val="77"/>
        <w:spacing w:before="156" w:after="156"/>
        <w:ind w:firstLine="420"/>
      </w:pPr>
      <w:r>
        <w:rPr>
          <w:rFonts w:hint="eastAsia"/>
        </w:rPr>
        <w:t>数据访问权限分级表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644"/>
        <w:gridCol w:w="1644"/>
        <w:gridCol w:w="4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数据权限级别</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数据可发现</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数据可见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L0</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完全不可发现</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完全不可见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数据完全隐藏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L1-0</w:t>
            </w:r>
          </w:p>
        </w:tc>
        <w:tc>
          <w:tcPr>
            <w:tcW w:w="859" w:type="pct"/>
            <w:vMerge w:val="restart"/>
            <w:vAlign w:val="center"/>
          </w:tcPr>
          <w:p>
            <w:pPr>
              <w:spacing w:line="240" w:lineRule="auto"/>
              <w:jc w:val="center"/>
              <w:rPr>
                <w:rFonts w:ascii="Times New Roman" w:hAnsi="Times New Roman"/>
                <w:sz w:val="18"/>
                <w:szCs w:val="18"/>
              </w:rPr>
            </w:pPr>
            <w:r>
              <w:rPr>
                <w:rFonts w:ascii="Times New Roman" w:hAnsi="Times New Roman"/>
                <w:sz w:val="18"/>
                <w:szCs w:val="18"/>
              </w:rPr>
              <w:t>定向可发现</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完全不可见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该条数据可被指定用户发现，但无法查阅数据内容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L1-P</w:t>
            </w:r>
          </w:p>
        </w:tc>
        <w:tc>
          <w:tcPr>
            <w:tcW w:w="859" w:type="pct"/>
            <w:vMerge w:val="continue"/>
            <w:vAlign w:val="center"/>
          </w:tcPr>
          <w:p>
            <w:pPr>
              <w:spacing w:line="240" w:lineRule="auto"/>
              <w:jc w:val="center"/>
              <w:rPr>
                <w:rFonts w:ascii="Times New Roman" w:hAnsi="Times New Roman"/>
                <w:sz w:val="18"/>
                <w:szCs w:val="18"/>
              </w:rPr>
            </w:pP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部分可见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该条数据可被指定用户发现，并可查阅数据所有者指定的部分内容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L1-V</w:t>
            </w:r>
          </w:p>
        </w:tc>
        <w:tc>
          <w:tcPr>
            <w:tcW w:w="859" w:type="pct"/>
            <w:vMerge w:val="continue"/>
            <w:vAlign w:val="center"/>
          </w:tcPr>
          <w:p>
            <w:pPr>
              <w:spacing w:line="240" w:lineRule="auto"/>
              <w:jc w:val="center"/>
              <w:rPr>
                <w:rFonts w:ascii="Times New Roman" w:hAnsi="Times New Roman"/>
                <w:sz w:val="18"/>
                <w:szCs w:val="18"/>
              </w:rPr>
            </w:pP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全部可见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该条数据可被指定用户发现，并可查阅全部内容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w:t>
            </w:r>
            <w:r>
              <w:rPr>
                <w:rFonts w:ascii="Times New Roman" w:hAnsi="Times New Roman"/>
                <w:sz w:val="18"/>
                <w:szCs w:val="18"/>
                <w:lang w:eastAsia="zh"/>
              </w:rPr>
              <w:t>2</w:t>
            </w:r>
            <w:r>
              <w:rPr>
                <w:rFonts w:ascii="Times New Roman" w:hAnsi="Times New Roman"/>
                <w:sz w:val="18"/>
                <w:szCs w:val="18"/>
              </w:rPr>
              <w:t>-0</w:t>
            </w:r>
          </w:p>
        </w:tc>
        <w:tc>
          <w:tcPr>
            <w:tcW w:w="859" w:type="pct"/>
            <w:vMerge w:val="restart"/>
            <w:vAlign w:val="center"/>
          </w:tcPr>
          <w:p>
            <w:pPr>
              <w:spacing w:line="240" w:lineRule="auto"/>
              <w:jc w:val="center"/>
              <w:rPr>
                <w:rFonts w:ascii="Times New Roman" w:hAnsi="Times New Roman"/>
                <w:sz w:val="18"/>
                <w:szCs w:val="18"/>
              </w:rPr>
            </w:pPr>
            <w:r>
              <w:rPr>
                <w:rFonts w:ascii="Times New Roman" w:hAnsi="Times New Roman"/>
                <w:sz w:val="18"/>
                <w:szCs w:val="18"/>
              </w:rPr>
              <w:t>全网可发现</w:t>
            </w: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完全不可见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该条数据可被全网发现， 但无法查阅数据内容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w:t>
            </w:r>
            <w:r>
              <w:rPr>
                <w:rFonts w:ascii="Times New Roman" w:hAnsi="Times New Roman"/>
                <w:sz w:val="18"/>
                <w:szCs w:val="18"/>
                <w:lang w:eastAsia="zh"/>
              </w:rPr>
              <w:t>2</w:t>
            </w:r>
            <w:r>
              <w:rPr>
                <w:rFonts w:ascii="Times New Roman" w:hAnsi="Times New Roman"/>
                <w:sz w:val="18"/>
                <w:szCs w:val="18"/>
              </w:rPr>
              <w:t>-P</w:t>
            </w:r>
          </w:p>
        </w:tc>
        <w:tc>
          <w:tcPr>
            <w:tcW w:w="859" w:type="pct"/>
            <w:vMerge w:val="continue"/>
            <w:vAlign w:val="center"/>
          </w:tcPr>
          <w:p>
            <w:pPr>
              <w:spacing w:line="240" w:lineRule="auto"/>
              <w:jc w:val="center"/>
              <w:rPr>
                <w:rFonts w:ascii="Times New Roman" w:hAnsi="Times New Roman"/>
                <w:sz w:val="18"/>
                <w:szCs w:val="18"/>
              </w:rPr>
            </w:pP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部分可见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该条数据可被全网发现， 并可查阅数据所有者指定的部分内容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Align w:val="center"/>
          </w:tcPr>
          <w:p>
            <w:pPr>
              <w:spacing w:line="240" w:lineRule="auto"/>
              <w:jc w:val="center"/>
              <w:rPr>
                <w:rFonts w:ascii="Times New Roman" w:hAnsi="Times New Roman"/>
                <w:sz w:val="18"/>
                <w:szCs w:val="18"/>
              </w:rPr>
            </w:pPr>
            <w:r>
              <w:rPr>
                <w:rFonts w:ascii="Times New Roman" w:hAnsi="Times New Roman"/>
                <w:sz w:val="18"/>
                <w:szCs w:val="18"/>
              </w:rPr>
              <w:t>L</w:t>
            </w:r>
            <w:r>
              <w:rPr>
                <w:rFonts w:ascii="Times New Roman" w:hAnsi="Times New Roman"/>
                <w:sz w:val="18"/>
                <w:szCs w:val="18"/>
                <w:lang w:eastAsia="zh"/>
              </w:rPr>
              <w:t>2</w:t>
            </w:r>
            <w:r>
              <w:rPr>
                <w:rFonts w:ascii="Times New Roman" w:hAnsi="Times New Roman"/>
                <w:sz w:val="18"/>
                <w:szCs w:val="18"/>
              </w:rPr>
              <w:t>-V</w:t>
            </w:r>
          </w:p>
        </w:tc>
        <w:tc>
          <w:tcPr>
            <w:tcW w:w="859" w:type="pct"/>
            <w:vMerge w:val="continue"/>
            <w:vAlign w:val="center"/>
          </w:tcPr>
          <w:p>
            <w:pPr>
              <w:spacing w:line="240" w:lineRule="auto"/>
              <w:jc w:val="center"/>
              <w:rPr>
                <w:rFonts w:ascii="Times New Roman" w:hAnsi="Times New Roman"/>
                <w:sz w:val="18"/>
                <w:szCs w:val="18"/>
              </w:rPr>
            </w:pPr>
          </w:p>
        </w:tc>
        <w:tc>
          <w:tcPr>
            <w:tcW w:w="859" w:type="pct"/>
            <w:vAlign w:val="center"/>
          </w:tcPr>
          <w:p>
            <w:pPr>
              <w:spacing w:line="240" w:lineRule="auto"/>
              <w:jc w:val="center"/>
              <w:rPr>
                <w:rFonts w:ascii="Times New Roman" w:hAnsi="Times New Roman"/>
                <w:sz w:val="18"/>
                <w:szCs w:val="18"/>
              </w:rPr>
            </w:pPr>
            <w:r>
              <w:rPr>
                <w:rFonts w:ascii="Times New Roman" w:hAnsi="Times New Roman"/>
                <w:sz w:val="18"/>
                <w:szCs w:val="18"/>
              </w:rPr>
              <w:t>全部可见</w:t>
            </w:r>
          </w:p>
        </w:tc>
        <w:tc>
          <w:tcPr>
            <w:tcW w:w="2424" w:type="pct"/>
            <w:vAlign w:val="center"/>
          </w:tcPr>
          <w:p>
            <w:pPr>
              <w:spacing w:line="240" w:lineRule="auto"/>
              <w:jc w:val="center"/>
              <w:rPr>
                <w:rFonts w:ascii="Times New Roman" w:hAnsi="Times New Roman"/>
                <w:sz w:val="18"/>
                <w:szCs w:val="18"/>
              </w:rPr>
            </w:pPr>
            <w:r>
              <w:rPr>
                <w:rFonts w:ascii="Times New Roman" w:hAnsi="Times New Roman"/>
                <w:sz w:val="18"/>
                <w:szCs w:val="18"/>
              </w:rPr>
              <w:t>该条数据可被全网发现， 并可查阅全部内容</w:t>
            </w:r>
          </w:p>
        </w:tc>
      </w:tr>
      <w:bookmarkEnd w:id="235"/>
    </w:tbl>
    <w:p>
      <w:pPr>
        <w:pStyle w:val="56"/>
        <w:ind w:firstLine="0" w:firstLineChars="0"/>
      </w:pPr>
      <w:bookmarkStart w:id="248" w:name="BookMark6"/>
    </w:p>
    <w:p>
      <w:pPr>
        <w:pStyle w:val="56"/>
        <w:ind w:firstLine="420"/>
      </w:pPr>
    </w:p>
    <w:p>
      <w:pPr>
        <w:widowControl/>
        <w:adjustRightInd/>
        <w:spacing w:line="240" w:lineRule="auto"/>
        <w:jc w:val="left"/>
        <w:rPr>
          <w:rFonts w:ascii="宋体" w:hAnsi="Times New Roman"/>
          <w:kern w:val="0"/>
          <w:szCs w:val="20"/>
        </w:rPr>
      </w:pPr>
      <w:r>
        <w:br w:type="page"/>
      </w:r>
    </w:p>
    <w:p>
      <w:pPr>
        <w:pStyle w:val="56"/>
        <w:ind w:firstLine="420"/>
      </w:pPr>
    </w:p>
    <w:p>
      <w:pPr>
        <w:pStyle w:val="76"/>
        <w:spacing w:before="78" w:beforeLines="25" w:after="156"/>
      </w:pPr>
      <w:r>
        <w:br w:type="textWrapping"/>
      </w:r>
      <w:bookmarkStart w:id="249" w:name="_Toc206152330"/>
      <w:bookmarkStart w:id="250" w:name="_Toc206152458"/>
      <w:r>
        <w:rPr>
          <w:rFonts w:hint="eastAsia"/>
        </w:rPr>
        <w:t>（资料性）</w:t>
      </w:r>
      <w:r>
        <w:br w:type="textWrapping"/>
      </w:r>
      <w:r>
        <w:rPr>
          <w:rFonts w:hint="eastAsia"/>
        </w:rPr>
        <w:t>材料数据发现算法</w:t>
      </w:r>
      <w:bookmarkEnd w:id="249"/>
      <w:bookmarkEnd w:id="250"/>
    </w:p>
    <w:p>
      <w:pPr>
        <w:pStyle w:val="78"/>
        <w:spacing w:before="156" w:after="156"/>
      </w:pPr>
      <w:bookmarkStart w:id="251" w:name="_Toc204675333"/>
      <w:bookmarkStart w:id="252" w:name="_Toc205542852"/>
      <w:bookmarkStart w:id="253" w:name="_Toc15054"/>
      <w:bookmarkStart w:id="254" w:name="_Toc204675244"/>
      <w:bookmarkStart w:id="255" w:name="_Toc206152459"/>
      <w:bookmarkStart w:id="256" w:name="_Toc206152331"/>
      <w:r>
        <w:t>算法概述</w:t>
      </w:r>
      <w:bookmarkEnd w:id="251"/>
      <w:bookmarkEnd w:id="252"/>
      <w:bookmarkEnd w:id="253"/>
      <w:bookmarkEnd w:id="254"/>
      <w:bookmarkEnd w:id="255"/>
      <w:bookmarkEnd w:id="256"/>
    </w:p>
    <w:p>
      <w:pPr>
        <w:widowControl/>
        <w:autoSpaceDE w:val="0"/>
        <w:autoSpaceDN w:val="0"/>
        <w:adjustRightInd/>
        <w:spacing w:line="240" w:lineRule="auto"/>
        <w:ind w:left="420"/>
        <w:rPr>
          <w:rFonts w:ascii="宋体" w:hAnsi="Times New Roman"/>
          <w:kern w:val="0"/>
          <w:szCs w:val="20"/>
        </w:rPr>
      </w:pPr>
      <w:r>
        <w:rPr>
          <w:rFonts w:hint="eastAsia" w:ascii="宋体" w:hAnsi="Times New Roman"/>
          <w:kern w:val="0"/>
          <w:szCs w:val="20"/>
        </w:rPr>
        <w:t>可采用本附录中方式或其他方式，实现材料数据的发现。</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应用材料模式识别技术，可实现相似材料数据的发现。算法主要包括三部分：材料特征向量抽取、数据关联度计算、专家规则。通过本算法对节点中可发现的材料逐一进行关联度计算，按关联度由高到低排序，选择关联度最高的若干数据，即可实现该节点中相似材料数据的发现。</w:t>
      </w:r>
      <w:bookmarkStart w:id="257" w:name="_Toc27130"/>
      <w:bookmarkEnd w:id="257"/>
      <w:bookmarkStart w:id="258" w:name="_Toc3177"/>
      <w:bookmarkEnd w:id="258"/>
      <w:bookmarkStart w:id="259" w:name="_Toc8066"/>
      <w:bookmarkEnd w:id="259"/>
      <w:bookmarkStart w:id="260" w:name="_Toc11979"/>
      <w:bookmarkEnd w:id="260"/>
      <w:bookmarkStart w:id="261" w:name="_Toc4809"/>
      <w:bookmarkEnd w:id="261"/>
      <w:bookmarkStart w:id="262" w:name="_Toc11373"/>
      <w:bookmarkEnd w:id="262"/>
      <w:bookmarkStart w:id="263" w:name="_Toc5028"/>
    </w:p>
    <w:bookmarkEnd w:id="263"/>
    <w:p>
      <w:pPr>
        <w:pStyle w:val="78"/>
        <w:spacing w:before="156" w:after="156"/>
      </w:pPr>
      <w:bookmarkStart w:id="264" w:name="_Toc15660"/>
      <w:bookmarkStart w:id="265" w:name="_Toc204675334"/>
      <w:bookmarkStart w:id="266" w:name="_Toc204675245"/>
      <w:bookmarkStart w:id="267" w:name="_Toc205542853"/>
      <w:bookmarkStart w:id="268" w:name="_Toc206152332"/>
      <w:bookmarkStart w:id="269" w:name="_Toc206152460"/>
      <w:r>
        <w:t>计算方法</w:t>
      </w:r>
      <w:bookmarkEnd w:id="264"/>
      <w:bookmarkEnd w:id="265"/>
      <w:bookmarkEnd w:id="266"/>
      <w:bookmarkEnd w:id="267"/>
      <w:bookmarkEnd w:id="268"/>
      <w:bookmarkEnd w:id="269"/>
    </w:p>
    <w:p>
      <w:pPr>
        <w:pStyle w:val="79"/>
        <w:spacing w:before="156" w:after="156"/>
      </w:pPr>
      <w:bookmarkStart w:id="270" w:name="_Toc23680"/>
      <w:bookmarkEnd w:id="270"/>
      <w:bookmarkStart w:id="271" w:name="_Toc18635"/>
      <w:bookmarkEnd w:id="271"/>
      <w:bookmarkStart w:id="272" w:name="_Toc2768"/>
      <w:bookmarkEnd w:id="272"/>
      <w:bookmarkStart w:id="273" w:name="_Toc27726"/>
      <w:bookmarkEnd w:id="273"/>
      <w:bookmarkStart w:id="274" w:name="_Toc18322"/>
      <w:bookmarkEnd w:id="274"/>
      <w:bookmarkStart w:id="275" w:name="_Toc23144"/>
      <w:bookmarkEnd w:id="275"/>
      <w:bookmarkStart w:id="276" w:name="_Toc205367228"/>
      <w:bookmarkStart w:id="277" w:name="_Toc205542854"/>
      <w:bookmarkStart w:id="278" w:name="_Toc10709"/>
      <w:bookmarkStart w:id="279" w:name="_Toc205366809"/>
      <w:bookmarkStart w:id="280" w:name="_Toc204675246"/>
      <w:bookmarkStart w:id="281" w:name="_Toc205214688"/>
      <w:bookmarkStart w:id="282" w:name="_Toc204675335"/>
      <w:r>
        <w:t>材料特征向量抽取</w:t>
      </w:r>
      <w:bookmarkEnd w:id="276"/>
      <w:bookmarkEnd w:id="277"/>
      <w:bookmarkEnd w:id="278"/>
      <w:bookmarkEnd w:id="279"/>
      <w:bookmarkEnd w:id="280"/>
      <w:bookmarkEnd w:id="281"/>
      <w:bookmarkEnd w:id="282"/>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材料数据按照公式（B.1）与公式（B.2）抽象为一组包括成分、性能、工艺、结构、形状在内的特征向量。</w:t>
      </w:r>
    </w:p>
    <w:p>
      <w:pPr>
        <w:adjustRightInd/>
        <w:spacing w:line="360" w:lineRule="auto"/>
        <w:ind w:firstLine="2940" w:firstLineChars="1225"/>
        <w:jc w:val="center"/>
        <w:rPr>
          <w:rFonts w:ascii="Times New Roman" w:hAnsi="Times New Roman"/>
        </w:rPr>
      </w:pPr>
      <w:r>
        <w:rPr>
          <w:rFonts w:ascii="Times New Roman" w:hAnsi="Times New Roman"/>
          <w:position w:val="-66"/>
          <w:sz w:val="24"/>
          <w:szCs w:val="24"/>
        </w:rPr>
        <w:object>
          <v:shape id="_x0000_i1026" o:spt="75" type="#_x0000_t75" style="height:72.75pt;width:144.75pt;" o:ole="t" filled="f" o:preferrelative="t" stroked="f" coordsize="21600,21600">
            <v:path/>
            <v:fill on="f" focussize="0,0"/>
            <v:stroke on="f" joinstyle="miter"/>
            <v:imagedata r:id="rId40" o:title=""/>
            <o:lock v:ext="edit" aspectratio="t"/>
            <w10:wrap type="none"/>
            <w10:anchorlock/>
          </v:shape>
          <o:OLEObject Type="Embed" ProgID="Equation.2" ShapeID="_x0000_i1026" DrawAspect="Content" ObjectID="_1468075725" r:id="rId39">
            <o:LockedField>false</o:LockedField>
          </o:OLEObject>
        </w:object>
      </w:r>
      <w:r>
        <w:rPr>
          <w:rFonts w:ascii="Times New Roman" w:hAnsi="Times New Roman"/>
        </w:rPr>
        <w:t xml:space="preserve"> ………………………………（</w:t>
      </w:r>
      <w:r>
        <w:rPr>
          <w:rFonts w:ascii="Times New Roman" w:hAnsi="Times New Roman"/>
          <w:lang w:eastAsia="zh"/>
        </w:rPr>
        <w:t>B</w:t>
      </w:r>
      <w:r>
        <w:rPr>
          <w:rFonts w:ascii="Times New Roman" w:hAnsi="Times New Roman"/>
        </w:rPr>
        <w:t>.1）</w:t>
      </w:r>
    </w:p>
    <w:p>
      <w:pPr>
        <w:widowControl/>
        <w:adjustRightInd/>
        <w:spacing w:line="360" w:lineRule="auto"/>
        <w:ind w:left="420"/>
        <w:jc w:val="center"/>
        <w:rPr>
          <w:rFonts w:ascii="Times New Roman" w:hAnsi="Times New Roman"/>
        </w:rPr>
      </w:pPr>
      <w:r>
        <w:rPr>
          <w:rFonts w:hint="eastAsia" w:ascii="Times New Roman" w:hAnsi="Times New Roman"/>
          <w:sz w:val="24"/>
          <w:szCs w:val="24"/>
        </w:rPr>
        <w:t xml:space="preserve">                     </w:t>
      </w:r>
      <w:r>
        <w:rPr>
          <w:rFonts w:ascii="Times New Roman" w:hAnsi="Times New Roman"/>
          <w:position w:val="-68"/>
          <w:sz w:val="24"/>
          <w:szCs w:val="24"/>
        </w:rPr>
        <w:object>
          <v:shape id="_x0000_i1027" o:spt="75" type="#_x0000_t75" style="height:74.25pt;width:173.25pt;" o:ole="t" filled="f" o:preferrelative="t" stroked="f" coordsize="21600,21600">
            <v:path/>
            <v:fill on="f" focussize="0,0"/>
            <v:stroke on="f" joinstyle="miter"/>
            <v:imagedata r:id="rId42" o:title=""/>
            <o:lock v:ext="edit" aspectratio="t"/>
            <w10:wrap type="none"/>
            <w10:anchorlock/>
          </v:shape>
          <o:OLEObject Type="Embed" ProgID="Equation.3" ShapeID="_x0000_i1027" DrawAspect="Content" ObjectID="_1468075726" r:id="rId41">
            <o:LockedField>false</o:LockedField>
          </o:OLEObject>
        </w:object>
      </w:r>
      <w:r>
        <w:rPr>
          <w:rFonts w:ascii="Times New Roman" w:hAnsi="Times New Roman"/>
        </w:rPr>
        <w:t>…………………………（</w:t>
      </w:r>
      <w:r>
        <w:rPr>
          <w:rFonts w:ascii="Times New Roman" w:hAnsi="Times New Roman"/>
          <w:lang w:eastAsia="zh"/>
        </w:rPr>
        <w:t>B</w:t>
      </w:r>
      <w:r>
        <w:rPr>
          <w:rFonts w:ascii="Times New Roman" w:hAnsi="Times New Roman"/>
        </w:rPr>
        <w:t>.2）</w:t>
      </w:r>
    </w:p>
    <w:p>
      <w:pPr>
        <w:adjustRightInd/>
        <w:spacing w:line="240" w:lineRule="auto"/>
        <w:ind w:firstLine="420" w:firstLineChars="200"/>
        <w:jc w:val="left"/>
        <w:rPr>
          <w:rFonts w:ascii="Times New Roman" w:hAnsi="Times New Roman"/>
        </w:rPr>
      </w:pPr>
      <w:r>
        <w:rPr>
          <w:rFonts w:ascii="Times New Roman" w:hAnsi="Times New Roman"/>
          <w:lang w:bidi="ar"/>
        </w:rPr>
        <w:t>式中：</w:t>
      </w:r>
    </w:p>
    <w:p>
      <w:pPr>
        <w:adjustRightInd/>
        <w:spacing w:line="240" w:lineRule="auto"/>
        <w:ind w:firstLine="420" w:firstLineChars="200"/>
        <w:jc w:val="left"/>
        <w:rPr>
          <w:rFonts w:ascii="Times New Roman" w:hAnsi="Times New Roman"/>
        </w:rPr>
      </w:pPr>
      <w:r>
        <w:rPr>
          <w:rFonts w:ascii="Times New Roman" w:hAnsi="Times New Roman"/>
          <w:lang w:bidi="ar"/>
        </w:rPr>
        <w:t>X</w:t>
      </w:r>
      <w:r>
        <w:rPr>
          <w:rFonts w:ascii="Times New Roman" w:hAnsi="Times New Roman"/>
          <w:vertAlign w:val="subscript"/>
          <w:lang w:bidi="ar"/>
        </w:rPr>
        <w:t>i</w:t>
      </w:r>
      <w:r>
        <w:rPr>
          <w:rFonts w:ascii="Times New Roman" w:hAnsi="Times New Roman"/>
          <w:lang w:bidi="ar"/>
        </w:rPr>
        <w:t>——数值型向量，包括成分、性能；</w:t>
      </w:r>
    </w:p>
    <w:p>
      <w:pPr>
        <w:adjustRightInd/>
        <w:spacing w:line="240" w:lineRule="auto"/>
        <w:ind w:firstLine="420" w:firstLineChars="200"/>
        <w:jc w:val="left"/>
        <w:rPr>
          <w:rFonts w:ascii="Times New Roman" w:hAnsi="Times New Roman"/>
        </w:rPr>
      </w:pPr>
      <w:r>
        <w:rPr>
          <w:rFonts w:ascii="Times New Roman" w:hAnsi="Times New Roman"/>
          <w:lang w:bidi="ar"/>
        </w:rPr>
        <w:t>N——成分数（或性能指标数）；</w:t>
      </w:r>
    </w:p>
    <w:p>
      <w:pPr>
        <w:adjustRightInd/>
        <w:spacing w:line="240" w:lineRule="auto"/>
        <w:ind w:firstLine="420" w:firstLineChars="200"/>
        <w:jc w:val="left"/>
        <w:rPr>
          <w:rFonts w:ascii="Times New Roman" w:hAnsi="Times New Roman"/>
        </w:rPr>
      </w:pPr>
      <w:r>
        <w:rPr>
          <w:rFonts w:ascii="Times New Roman" w:hAnsi="Times New Roman"/>
          <w:lang w:bidi="ar"/>
        </w:rPr>
        <w:t>x</w:t>
      </w:r>
      <w:r>
        <w:rPr>
          <w:rFonts w:ascii="Times New Roman" w:hAnsi="Times New Roman"/>
          <w:vertAlign w:val="subscript"/>
          <w:lang w:bidi="ar"/>
        </w:rPr>
        <w:t>ij</w:t>
      </w:r>
      <w:r>
        <w:rPr>
          <w:rFonts w:ascii="Times New Roman" w:hAnsi="Times New Roman"/>
          <w:lang w:bidi="ar"/>
        </w:rPr>
        <w:t>——材料i中成分（或性能）j的值（如果给出的是范围，则由后面介绍的专家规则给出约定值）；</w:t>
      </w:r>
    </w:p>
    <w:p>
      <w:pPr>
        <w:adjustRightInd/>
        <w:spacing w:line="240" w:lineRule="auto"/>
        <w:ind w:firstLine="420" w:firstLineChars="200"/>
        <w:jc w:val="left"/>
        <w:rPr>
          <w:rFonts w:ascii="Times New Roman" w:hAnsi="Times New Roman"/>
        </w:rPr>
      </w:pPr>
      <w:r>
        <w:rPr>
          <w:rFonts w:ascii="Times New Roman" w:hAnsi="Times New Roman"/>
          <w:lang w:bidi="ar"/>
        </w:rPr>
        <w:t>K</w:t>
      </w:r>
      <w:r>
        <w:rPr>
          <w:rFonts w:ascii="Times New Roman" w:hAnsi="Times New Roman"/>
          <w:vertAlign w:val="subscript"/>
          <w:lang w:bidi="ar"/>
        </w:rPr>
        <w:t>i</w:t>
      </w:r>
      <w:r>
        <w:rPr>
          <w:rFonts w:ascii="Times New Roman" w:hAnsi="Times New Roman"/>
          <w:lang w:bidi="ar"/>
        </w:rPr>
        <w:t>——关键字型向量，包括工艺、结构、形状；</w:t>
      </w:r>
    </w:p>
    <w:p>
      <w:pPr>
        <w:adjustRightInd/>
        <w:spacing w:line="240" w:lineRule="auto"/>
        <w:ind w:firstLine="420" w:firstLineChars="200"/>
        <w:jc w:val="left"/>
        <w:rPr>
          <w:rFonts w:ascii="Times New Roman" w:hAnsi="Times New Roman"/>
        </w:rPr>
      </w:pPr>
      <w:r>
        <w:rPr>
          <w:rFonts w:ascii="Times New Roman" w:hAnsi="Times New Roman"/>
          <w:lang w:bidi="ar"/>
        </w:rPr>
        <w:t>n——关键字总数。</w:t>
      </w:r>
    </w:p>
    <w:p>
      <w:pPr>
        <w:pStyle w:val="79"/>
        <w:spacing w:before="156" w:after="156"/>
      </w:pPr>
      <w:bookmarkStart w:id="283" w:name="_Toc12341"/>
      <w:bookmarkEnd w:id="283"/>
      <w:bookmarkStart w:id="284" w:name="_Toc6094"/>
      <w:bookmarkEnd w:id="284"/>
      <w:bookmarkStart w:id="285" w:name="_Toc7046"/>
      <w:bookmarkEnd w:id="285"/>
      <w:bookmarkStart w:id="286" w:name="_Toc30653"/>
      <w:bookmarkEnd w:id="286"/>
      <w:bookmarkStart w:id="287" w:name="_Toc24731"/>
      <w:bookmarkEnd w:id="287"/>
      <w:bookmarkStart w:id="288" w:name="_Toc4614"/>
      <w:bookmarkEnd w:id="288"/>
      <w:bookmarkStart w:id="289" w:name="_Toc204675247"/>
      <w:bookmarkStart w:id="290" w:name="_Toc205366810"/>
      <w:bookmarkStart w:id="291" w:name="_Toc22524"/>
      <w:bookmarkStart w:id="292" w:name="_Toc205542855"/>
      <w:bookmarkStart w:id="293" w:name="_Toc205214689"/>
      <w:bookmarkStart w:id="294" w:name="_Toc204675336"/>
      <w:bookmarkStart w:id="295" w:name="_Toc205367229"/>
      <w:r>
        <w:t>材料数据关联度计算</w:t>
      </w:r>
      <w:bookmarkEnd w:id="289"/>
      <w:bookmarkEnd w:id="290"/>
      <w:bookmarkEnd w:id="291"/>
      <w:bookmarkEnd w:id="292"/>
      <w:bookmarkEnd w:id="293"/>
      <w:bookmarkEnd w:id="294"/>
      <w:bookmarkEnd w:id="295"/>
    </w:p>
    <w:p>
      <w:pPr>
        <w:adjustRightInd/>
        <w:spacing w:line="240" w:lineRule="auto"/>
        <w:ind w:firstLine="420" w:firstLineChars="200"/>
        <w:rPr>
          <w:rFonts w:ascii="Times New Roman" w:hAnsi="Times New Roman"/>
          <w:lang w:bidi="ar"/>
        </w:rPr>
      </w:pPr>
      <w:r>
        <w:rPr>
          <w:rFonts w:ascii="Times New Roman" w:hAnsi="Times New Roman"/>
          <w:lang w:bidi="ar"/>
        </w:rPr>
        <w:t>首先按照公式（B.3）进行数据标准化。</w:t>
      </w:r>
    </w:p>
    <w:p>
      <w:pPr>
        <w:widowControl/>
        <w:adjustRightInd/>
        <w:spacing w:line="360" w:lineRule="auto"/>
        <w:ind w:left="420"/>
        <w:jc w:val="center"/>
        <w:rPr>
          <w:rFonts w:ascii="Times New Roman" w:hAnsi="Times New Roman"/>
        </w:rPr>
      </w:pPr>
      <w:r>
        <w:rPr>
          <w:rFonts w:hint="eastAsia" w:ascii="Times New Roman" w:hAnsi="Times New Roman"/>
          <w:sz w:val="24"/>
          <w:szCs w:val="24"/>
        </w:rPr>
        <w:t xml:space="preserve">                    </w:t>
      </w:r>
      <w:r>
        <w:rPr>
          <w:rFonts w:ascii="Times New Roman" w:hAnsi="Times New Roman"/>
          <w:position w:val="-32"/>
          <w:sz w:val="24"/>
          <w:szCs w:val="24"/>
        </w:rPr>
        <w:object>
          <v:shape id="_x0000_i1028" o:spt="75" type="#_x0000_t75" style="height:38.25pt;width:87pt;" o:ole="t" filled="f" o:preferrelative="t" stroked="f" coordsize="21600,21600">
            <v:path/>
            <v:fill on="f" focussize="0,0"/>
            <v:stroke on="f" joinstyle="miter"/>
            <v:imagedata r:id="rId44" o:title=""/>
            <o:lock v:ext="edit" aspectratio="t"/>
            <w10:wrap type="none"/>
            <w10:anchorlock/>
          </v:shape>
          <o:OLEObject Type="Embed" ProgID="Equation.3" ShapeID="_x0000_i1028" DrawAspect="Content" ObjectID="_1468075727" r:id="rId43">
            <o:LockedField>false</o:LockedField>
          </o:OLEObject>
        </w:object>
      </w:r>
      <w:r>
        <w:rPr>
          <w:rFonts w:ascii="Times New Roman" w:hAnsi="Times New Roman"/>
          <w:sz w:val="24"/>
          <w:szCs w:val="24"/>
        </w:rPr>
        <w:t xml:space="preserve">   0≤</w:t>
      </w:r>
      <w:r>
        <w:rPr>
          <w:rFonts w:ascii="Times New Roman" w:hAnsi="Times New Roman"/>
          <w:i/>
          <w:sz w:val="24"/>
          <w:szCs w:val="24"/>
        </w:rPr>
        <w:t>Y</w:t>
      </w:r>
      <w:r>
        <w:rPr>
          <w:rFonts w:ascii="Times New Roman" w:hAnsi="Times New Roman"/>
          <w:i/>
          <w:sz w:val="24"/>
          <w:szCs w:val="24"/>
          <w:vertAlign w:val="subscript"/>
        </w:rPr>
        <w:t xml:space="preserve">ij </w:t>
      </w:r>
      <w:r>
        <w:rPr>
          <w:rFonts w:ascii="Times New Roman" w:hAnsi="Times New Roman"/>
          <w:sz w:val="24"/>
          <w:szCs w:val="24"/>
        </w:rPr>
        <w:t>≤1</w:t>
      </w:r>
      <w:r>
        <w:rPr>
          <w:rFonts w:ascii="Times New Roman" w:hAnsi="Times New Roman"/>
          <w:sz w:val="24"/>
          <w:szCs w:val="24"/>
        </w:rPr>
        <w:tab/>
      </w:r>
      <w:r>
        <w:rPr>
          <w:rFonts w:ascii="Times New Roman" w:hAnsi="Times New Roman"/>
        </w:rPr>
        <w:t xml:space="preserve">  ………………</w:t>
      </w:r>
      <w:r>
        <w:rPr>
          <w:rFonts w:hint="eastAsia" w:ascii="Times New Roman" w:hAnsi="Times New Roman"/>
        </w:rPr>
        <w:t>...</w:t>
      </w:r>
      <w:r>
        <w:rPr>
          <w:rFonts w:ascii="Times New Roman" w:hAnsi="Times New Roman"/>
        </w:rPr>
        <w:t>……………（</w:t>
      </w:r>
      <w:r>
        <w:rPr>
          <w:rFonts w:ascii="Times New Roman" w:hAnsi="Times New Roman"/>
          <w:lang w:eastAsia="zh"/>
        </w:rPr>
        <w:t>B</w:t>
      </w:r>
      <w:r>
        <w:rPr>
          <w:rFonts w:ascii="Times New Roman" w:hAnsi="Times New Roman"/>
        </w:rPr>
        <w:t>.3）</w:t>
      </w:r>
    </w:p>
    <w:p>
      <w:pPr>
        <w:adjustRightInd/>
        <w:spacing w:line="240" w:lineRule="auto"/>
        <w:ind w:firstLine="420" w:firstLineChars="200"/>
        <w:rPr>
          <w:rFonts w:ascii="Times New Roman" w:hAnsi="Times New Roman"/>
        </w:rPr>
      </w:pPr>
      <w:r>
        <w:rPr>
          <w:rFonts w:ascii="Times New Roman" w:hAnsi="Times New Roman"/>
          <w:lang w:bidi="ar"/>
        </w:rPr>
        <w:t>式中：</w:t>
      </w:r>
    </w:p>
    <w:p>
      <w:pPr>
        <w:adjustRightInd/>
        <w:spacing w:line="240" w:lineRule="auto"/>
        <w:ind w:firstLine="420" w:firstLineChars="200"/>
        <w:rPr>
          <w:rFonts w:ascii="Times New Roman" w:hAnsi="Times New Roman"/>
        </w:rPr>
      </w:pPr>
      <w:r>
        <w:rPr>
          <w:rFonts w:ascii="Times New Roman" w:hAnsi="Times New Roman"/>
          <w:lang w:bidi="ar"/>
        </w:rPr>
        <w:t>Y</w:t>
      </w:r>
      <w:r>
        <w:rPr>
          <w:rFonts w:ascii="Times New Roman" w:hAnsi="Times New Roman"/>
          <w:vertAlign w:val="subscript"/>
          <w:lang w:bidi="ar"/>
        </w:rPr>
        <w:t>ij</w:t>
      </w:r>
      <w:r>
        <w:rPr>
          <w:rFonts w:ascii="Times New Roman" w:hAnsi="Times New Roman"/>
          <w:lang w:bidi="ar"/>
        </w:rPr>
        <w:t>——材料i的第j个成分（或性能）数据标准化后的值；</w:t>
      </w:r>
    </w:p>
    <w:p>
      <w:pPr>
        <w:adjustRightInd/>
        <w:spacing w:line="240" w:lineRule="auto"/>
        <w:ind w:firstLine="420" w:firstLineChars="200"/>
        <w:rPr>
          <w:rFonts w:ascii="Times New Roman" w:hAnsi="Times New Roman"/>
        </w:rPr>
      </w:pPr>
      <w:r>
        <w:rPr>
          <w:rFonts w:ascii="Times New Roman" w:hAnsi="Times New Roman"/>
          <w:lang w:bidi="ar"/>
        </w:rPr>
        <w:t>X</w:t>
      </w:r>
      <w:r>
        <w:rPr>
          <w:rFonts w:ascii="Times New Roman" w:hAnsi="Times New Roman"/>
          <w:vertAlign w:val="subscript"/>
          <w:lang w:bidi="ar"/>
        </w:rPr>
        <w:t>ij</w:t>
      </w:r>
      <w:r>
        <w:rPr>
          <w:rFonts w:ascii="Times New Roman" w:hAnsi="Times New Roman"/>
          <w:lang w:bidi="ar"/>
        </w:rPr>
        <w:t>——材料i的第j个成分（或性能）数据；</w:t>
      </w:r>
    </w:p>
    <w:p>
      <w:pPr>
        <w:adjustRightInd/>
        <w:spacing w:line="240" w:lineRule="auto"/>
        <w:ind w:firstLine="480" w:firstLineChars="200"/>
        <w:rPr>
          <w:rFonts w:ascii="Times New Roman" w:hAnsi="Times New Roman"/>
        </w:rPr>
      </w:pPr>
      <w:r>
        <w:rPr>
          <w:rFonts w:ascii="Times New Roman" w:hAnsi="Times New Roman"/>
          <w:position w:val="-14"/>
          <w:sz w:val="24"/>
          <w:szCs w:val="24"/>
        </w:rPr>
        <w:object>
          <v:shape id="_x0000_i1029" o:spt="75" type="#_x0000_t75" style="height:20.25pt;width:27pt;" o:ole="t" filled="f" o:preferrelative="t" stroked="f" coordsize="21600,21600">
            <v:path/>
            <v:fill on="f" focussize="0,0"/>
            <v:stroke on="f" joinstyle="miter"/>
            <v:imagedata r:id="rId46" o:title=""/>
            <o:lock v:ext="edit" aspectratio="t"/>
            <w10:wrap type="none"/>
            <w10:anchorlock/>
          </v:shape>
          <o:OLEObject Type="Embed" ProgID="Equation.3" ShapeID="_x0000_i1029" DrawAspect="Content" ObjectID="_1468075728" r:id="rId45">
            <o:LockedField>false</o:LockedField>
          </o:OLEObject>
        </w:object>
      </w:r>
      <w:r>
        <w:rPr>
          <w:rFonts w:ascii="Times New Roman" w:hAnsi="Times New Roman"/>
          <w:lang w:bidi="ar"/>
        </w:rPr>
        <w:t>——数据集</w:t>
      </w:r>
      <w:r>
        <w:rPr>
          <w:rFonts w:hint="eastAsia" w:ascii="Times New Roman" w:hAnsi="Times New Roman"/>
          <w:lang w:bidi="ar"/>
        </w:rPr>
        <w:t>中</w:t>
      </w:r>
      <w:r>
        <w:rPr>
          <w:rFonts w:ascii="Times New Roman" w:hAnsi="Times New Roman"/>
          <w:lang w:bidi="ar"/>
        </w:rPr>
        <w:t>成分（或性能）j的最大值；</w:t>
      </w:r>
    </w:p>
    <w:p>
      <w:pPr>
        <w:adjustRightInd/>
        <w:spacing w:line="240" w:lineRule="auto"/>
        <w:ind w:firstLine="480" w:firstLineChars="200"/>
        <w:rPr>
          <w:rFonts w:ascii="Times New Roman" w:hAnsi="Times New Roman"/>
        </w:rPr>
      </w:pPr>
      <w:r>
        <w:rPr>
          <w:rFonts w:ascii="Times New Roman" w:hAnsi="Times New Roman"/>
          <w:position w:val="-14"/>
          <w:sz w:val="24"/>
          <w:szCs w:val="24"/>
        </w:rPr>
        <w:object>
          <v:shape id="_x0000_i1030" o:spt="75" type="#_x0000_t75" style="height:20.25pt;width:26.25pt;" o:ole="t" filled="f" o:preferrelative="t" stroked="f" coordsize="21600,21600">
            <v:path/>
            <v:fill on="f" focussize="0,0"/>
            <v:stroke on="f" joinstyle="miter"/>
            <v:imagedata r:id="rId48" o:title=""/>
            <o:lock v:ext="edit" aspectratio="t"/>
            <w10:wrap type="none"/>
            <w10:anchorlock/>
          </v:shape>
          <o:OLEObject Type="Embed" ProgID="Equation.3" ShapeID="_x0000_i1030" DrawAspect="Content" ObjectID="_1468075729" r:id="rId47">
            <o:LockedField>false</o:LockedField>
          </o:OLEObject>
        </w:object>
      </w:r>
      <w:r>
        <w:rPr>
          <w:rFonts w:ascii="Times New Roman" w:hAnsi="Times New Roman"/>
          <w:lang w:bidi="ar"/>
        </w:rPr>
        <w:t>——数据集</w:t>
      </w:r>
      <w:r>
        <w:rPr>
          <w:rFonts w:hint="eastAsia" w:ascii="Times New Roman" w:hAnsi="Times New Roman"/>
          <w:lang w:bidi="ar"/>
        </w:rPr>
        <w:t>中</w:t>
      </w:r>
      <w:r>
        <w:rPr>
          <w:rFonts w:ascii="Times New Roman" w:hAnsi="Times New Roman"/>
          <w:lang w:bidi="ar"/>
        </w:rPr>
        <w:t>成分（或性能）j的最小值。</w:t>
      </w:r>
    </w:p>
    <w:p>
      <w:pPr>
        <w:widowControl/>
        <w:adjustRightInd/>
        <w:spacing w:line="240" w:lineRule="auto"/>
        <w:ind w:left="420"/>
        <w:rPr>
          <w:rFonts w:ascii="Times New Roman" w:hAnsi="Times New Roman"/>
        </w:rPr>
      </w:pPr>
      <w:r>
        <w:rPr>
          <w:rFonts w:ascii="Times New Roman" w:hAnsi="Times New Roman"/>
        </w:rPr>
        <w:t>对不同数据节点的两组材料数据A、B，推荐采用距离函数方法按照公式（B.4）计算成分关联度。</w:t>
      </w:r>
    </w:p>
    <w:p>
      <w:pPr>
        <w:widowControl/>
        <w:adjustRightInd/>
        <w:spacing w:line="360" w:lineRule="auto"/>
        <w:ind w:left="420"/>
        <w:jc w:val="center"/>
        <w:rPr>
          <w:rFonts w:ascii="Times New Roman" w:hAnsi="Times New Roman"/>
        </w:rPr>
      </w:pPr>
      <w:r>
        <w:rPr>
          <w:rFonts w:hint="eastAsia" w:ascii="Times New Roman" w:hAnsi="Times New Roman"/>
          <w:sz w:val="24"/>
          <w:szCs w:val="24"/>
        </w:rPr>
        <w:t xml:space="preserve">                  </w:t>
      </w:r>
      <w:r>
        <w:rPr>
          <w:rFonts w:ascii="Times New Roman" w:hAnsi="Times New Roman"/>
          <w:position w:val="-26"/>
          <w:sz w:val="24"/>
          <w:szCs w:val="24"/>
        </w:rPr>
        <w:object>
          <v:shape id="_x0000_i1031" o:spt="75" type="#_x0000_t75" style="height:53.25pt;width:145.5pt;" o:ole="t" filled="f" o:preferrelative="t" stroked="f" coordsize="21600,21600">
            <v:path/>
            <v:fill on="f" focussize="0,0"/>
            <v:stroke on="f" joinstyle="miter"/>
            <v:imagedata r:id="rId50" o:title=""/>
            <o:lock v:ext="edit" aspectratio="t"/>
            <w10:wrap type="none"/>
            <w10:anchorlock/>
          </v:shape>
          <o:OLEObject Type="Embed" ProgID="Equation.3" ShapeID="_x0000_i1031" DrawAspect="Content" ObjectID="_1468075730" r:id="rId49">
            <o:LockedField>false</o:LockedField>
          </o:OLEObject>
        </w:object>
      </w:r>
      <w:r>
        <w:rPr>
          <w:rFonts w:ascii="Times New Roman" w:hAnsi="Times New Roman"/>
        </w:rPr>
        <w:t xml:space="preserve"> ……………………………………（</w:t>
      </w:r>
      <w:r>
        <w:rPr>
          <w:rFonts w:ascii="Times New Roman" w:hAnsi="Times New Roman"/>
          <w:lang w:eastAsia="zh"/>
        </w:rPr>
        <w:t>B</w:t>
      </w:r>
      <w:r>
        <w:rPr>
          <w:rFonts w:ascii="Times New Roman" w:hAnsi="Times New Roman"/>
        </w:rPr>
        <w:t>.4）</w:t>
      </w:r>
    </w:p>
    <w:p>
      <w:pPr>
        <w:widowControl/>
        <w:adjustRightInd/>
        <w:spacing w:line="240" w:lineRule="auto"/>
        <w:ind w:left="420"/>
        <w:rPr>
          <w:rFonts w:ascii="Times New Roman" w:hAnsi="Times New Roman"/>
        </w:rPr>
      </w:pPr>
      <w:r>
        <w:rPr>
          <w:rFonts w:ascii="Times New Roman" w:hAnsi="Times New Roman"/>
        </w:rPr>
        <w:t>式中：</w:t>
      </w:r>
    </w:p>
    <w:p>
      <w:pPr>
        <w:adjustRightInd/>
        <w:spacing w:line="240" w:lineRule="auto"/>
        <w:ind w:firstLine="420"/>
        <w:rPr>
          <w:rFonts w:ascii="Times New Roman" w:hAnsi="Times New Roman"/>
        </w:rPr>
      </w:pPr>
      <w:r>
        <w:rPr>
          <w:rFonts w:ascii="Times New Roman" w:hAnsi="Times New Roman"/>
          <w:lang w:bidi="ar"/>
        </w:rPr>
        <w:t>DSC</w:t>
      </w:r>
      <w:r>
        <w:rPr>
          <w:rFonts w:ascii="Times New Roman" w:hAnsi="Times New Roman"/>
          <w:vertAlign w:val="subscript"/>
          <w:lang w:bidi="ar"/>
        </w:rPr>
        <w:t>AB</w:t>
      </w:r>
      <w:r>
        <w:rPr>
          <w:rFonts w:ascii="Times New Roman" w:hAnsi="Times New Roman"/>
          <w:lang w:bidi="ar"/>
        </w:rPr>
        <w:t>——A、B材料的成分关联度；</w:t>
      </w:r>
    </w:p>
    <w:p>
      <w:pPr>
        <w:adjustRightInd/>
        <w:spacing w:line="240" w:lineRule="auto"/>
        <w:ind w:firstLine="420"/>
        <w:rPr>
          <w:rFonts w:ascii="Times New Roman" w:hAnsi="Times New Roman"/>
        </w:rPr>
      </w:pPr>
      <w:r>
        <w:rPr>
          <w:rFonts w:ascii="Times New Roman" w:hAnsi="Times New Roman"/>
          <w:lang w:bidi="ar"/>
        </w:rPr>
        <w:t>Y</w:t>
      </w:r>
      <w:r>
        <w:rPr>
          <w:rFonts w:ascii="Times New Roman" w:hAnsi="Times New Roman"/>
          <w:vertAlign w:val="subscript"/>
          <w:lang w:bidi="ar"/>
        </w:rPr>
        <w:t>j</w:t>
      </w:r>
      <w:r>
        <w:rPr>
          <w:rFonts w:ascii="Times New Roman" w:hAnsi="Times New Roman"/>
          <w:lang w:bidi="ar"/>
        </w:rPr>
        <w:t>——第j个成分标准化后的数据；</w:t>
      </w:r>
    </w:p>
    <w:p>
      <w:pPr>
        <w:adjustRightInd/>
        <w:spacing w:line="240" w:lineRule="auto"/>
        <w:ind w:firstLine="420"/>
        <w:rPr>
          <w:rFonts w:ascii="Times New Roman" w:hAnsi="Times New Roman"/>
          <w:lang w:bidi="ar"/>
        </w:rPr>
      </w:pPr>
      <w:r>
        <w:rPr>
          <w:rFonts w:ascii="Times New Roman" w:hAnsi="Times New Roman"/>
          <w:lang w:bidi="ar"/>
        </w:rPr>
        <w:t>N——成分总数。</w:t>
      </w:r>
    </w:p>
    <w:p>
      <w:pPr>
        <w:adjustRightInd/>
        <w:spacing w:line="240" w:lineRule="auto"/>
        <w:ind w:firstLine="420"/>
        <w:rPr>
          <w:rFonts w:ascii="Times New Roman" w:hAnsi="Times New Roman"/>
        </w:rPr>
      </w:pPr>
    </w:p>
    <w:p>
      <w:pPr>
        <w:widowControl/>
        <w:adjustRightInd/>
        <w:spacing w:line="240" w:lineRule="auto"/>
        <w:ind w:left="420"/>
        <w:rPr>
          <w:rFonts w:ascii="Times New Roman" w:hAnsi="Times New Roman"/>
        </w:rPr>
      </w:pPr>
      <w:r>
        <w:rPr>
          <w:rFonts w:ascii="Times New Roman" w:hAnsi="Times New Roman"/>
        </w:rPr>
        <w:t>力学性能关联度DSP的计算与成分关联度DSC的计算方法相同。</w:t>
      </w:r>
    </w:p>
    <w:p>
      <w:pPr>
        <w:widowControl/>
        <w:adjustRightInd/>
        <w:spacing w:line="240" w:lineRule="auto"/>
        <w:ind w:left="420"/>
        <w:rPr>
          <w:rFonts w:ascii="Times New Roman" w:hAnsi="Times New Roman"/>
        </w:rPr>
      </w:pPr>
      <w:r>
        <w:rPr>
          <w:rFonts w:ascii="Times New Roman" w:hAnsi="Times New Roman"/>
        </w:rPr>
        <w:t>关键词关联度DSK按照公式（B.5）计算。</w:t>
      </w:r>
    </w:p>
    <w:p>
      <w:pPr>
        <w:widowControl/>
        <w:adjustRightInd/>
        <w:spacing w:line="360" w:lineRule="auto"/>
        <w:ind w:left="420"/>
        <w:jc w:val="center"/>
        <w:rPr>
          <w:rFonts w:ascii="Times New Roman" w:hAnsi="Times New Roman"/>
        </w:rPr>
      </w:pPr>
      <w:r>
        <w:rPr>
          <w:rFonts w:hint="eastAsia" w:ascii="Times New Roman" w:hAnsi="Times New Roman"/>
          <w:sz w:val="24"/>
          <w:szCs w:val="24"/>
        </w:rPr>
        <w:t xml:space="preserve">                        </w:t>
      </w:r>
      <w:r>
        <w:rPr>
          <w:rFonts w:ascii="Times New Roman" w:hAnsi="Times New Roman"/>
          <w:position w:val="-30"/>
          <w:sz w:val="24"/>
          <w:szCs w:val="24"/>
        </w:rPr>
        <w:object>
          <v:shape id="_x0000_i1032" o:spt="75" type="#_x0000_t75" style="height:34.5pt;width:87pt;" o:ole="t" filled="f" o:preferrelative="t" stroked="f" coordsize="21600,21600">
            <v:path/>
            <v:fill on="f" focussize="0,0"/>
            <v:stroke on="f" joinstyle="miter"/>
            <v:imagedata r:id="rId52" o:title=""/>
            <o:lock v:ext="edit" aspectratio="t"/>
            <w10:wrap type="none"/>
            <w10:anchorlock/>
          </v:shape>
          <o:OLEObject Type="Embed" ProgID="Equation.3" ShapeID="_x0000_i1032" DrawAspect="Content" ObjectID="_1468075731" r:id="rId51">
            <o:LockedField>false</o:LockedField>
          </o:OLEObject>
        </w:object>
      </w:r>
      <w:r>
        <w:rPr>
          <w:rFonts w:ascii="Times New Roman" w:hAnsi="Times New Roman"/>
        </w:rPr>
        <w:t xml:space="preserve"> …</w:t>
      </w:r>
      <w:r>
        <w:rPr>
          <w:rFonts w:hint="eastAsia" w:ascii="Times New Roman" w:hAnsi="Times New Roman"/>
        </w:rPr>
        <w:t>..</w:t>
      </w:r>
      <w:r>
        <w:rPr>
          <w:rFonts w:ascii="Times New Roman" w:hAnsi="Times New Roman"/>
        </w:rPr>
        <w:t>………………………………………（</w:t>
      </w:r>
      <w:r>
        <w:rPr>
          <w:rFonts w:ascii="Times New Roman" w:hAnsi="Times New Roman"/>
          <w:lang w:eastAsia="zh"/>
        </w:rPr>
        <w:t>B</w:t>
      </w:r>
      <w:r>
        <w:rPr>
          <w:rFonts w:ascii="Times New Roman" w:hAnsi="Times New Roman"/>
        </w:rPr>
        <w:t>.5）</w:t>
      </w:r>
    </w:p>
    <w:p>
      <w:pPr>
        <w:adjustRightInd/>
        <w:spacing w:line="240" w:lineRule="auto"/>
        <w:ind w:firstLine="420" w:firstLineChars="200"/>
        <w:rPr>
          <w:rFonts w:ascii="Times New Roman" w:hAnsi="Times New Roman"/>
        </w:rPr>
      </w:pPr>
      <w:r>
        <w:rPr>
          <w:rFonts w:ascii="Times New Roman" w:hAnsi="Times New Roman"/>
          <w:lang w:bidi="ar"/>
        </w:rPr>
        <w:t>式中：</w:t>
      </w:r>
    </w:p>
    <w:p>
      <w:pPr>
        <w:adjustRightInd/>
        <w:spacing w:line="240" w:lineRule="auto"/>
        <w:ind w:firstLine="420" w:firstLineChars="200"/>
        <w:rPr>
          <w:rFonts w:ascii="Times New Roman" w:hAnsi="Times New Roman"/>
        </w:rPr>
      </w:pPr>
      <w:r>
        <w:rPr>
          <w:rFonts w:ascii="Times New Roman" w:hAnsi="Times New Roman"/>
          <w:lang w:bidi="ar"/>
        </w:rPr>
        <w:t>DSK</w:t>
      </w:r>
      <w:r>
        <w:rPr>
          <w:rFonts w:ascii="Times New Roman" w:hAnsi="Times New Roman"/>
          <w:vertAlign w:val="subscript"/>
          <w:lang w:bidi="ar"/>
        </w:rPr>
        <w:t>AB</w:t>
      </w:r>
      <w:r>
        <w:rPr>
          <w:rFonts w:ascii="Times New Roman" w:hAnsi="Times New Roman"/>
          <w:lang w:bidi="ar"/>
        </w:rPr>
        <w:t>——A、B材料的关键字关联度；</w:t>
      </w:r>
    </w:p>
    <w:p>
      <w:pPr>
        <w:adjustRightInd/>
        <w:spacing w:line="240" w:lineRule="auto"/>
        <w:ind w:firstLine="420" w:firstLineChars="200"/>
        <w:rPr>
          <w:rFonts w:ascii="Times New Roman" w:hAnsi="Times New Roman"/>
        </w:rPr>
      </w:pPr>
      <w:r>
        <w:rPr>
          <w:rFonts w:ascii="Times New Roman" w:hAnsi="Times New Roman"/>
          <w:lang w:bidi="ar"/>
        </w:rPr>
        <w:t>N</w:t>
      </w:r>
      <w:r>
        <w:rPr>
          <w:rFonts w:ascii="Times New Roman" w:hAnsi="Times New Roman"/>
          <w:vertAlign w:val="subscript"/>
          <w:lang w:bidi="ar"/>
        </w:rPr>
        <w:t>matched</w:t>
      </w:r>
      <w:r>
        <w:rPr>
          <w:rFonts w:ascii="Times New Roman" w:hAnsi="Times New Roman"/>
          <w:lang w:bidi="ar"/>
        </w:rPr>
        <w:t>——材料A、B中相匹配的关键词数量；</w:t>
      </w:r>
    </w:p>
    <w:p>
      <w:pPr>
        <w:adjustRightInd/>
        <w:spacing w:line="240" w:lineRule="auto"/>
        <w:ind w:firstLine="420" w:firstLineChars="200"/>
        <w:rPr>
          <w:rFonts w:ascii="Times New Roman" w:hAnsi="Times New Roman"/>
          <w:lang w:bidi="ar"/>
        </w:rPr>
      </w:pPr>
      <w:r>
        <w:rPr>
          <w:rFonts w:ascii="Times New Roman" w:hAnsi="Times New Roman"/>
          <w:lang w:bidi="ar"/>
        </w:rPr>
        <w:t>N</w:t>
      </w:r>
      <w:r>
        <w:rPr>
          <w:rFonts w:ascii="Times New Roman" w:hAnsi="Times New Roman"/>
          <w:vertAlign w:val="subscript"/>
          <w:lang w:bidi="ar"/>
        </w:rPr>
        <w:t>total</w:t>
      </w:r>
      <w:r>
        <w:rPr>
          <w:rFonts w:ascii="Times New Roman" w:hAnsi="Times New Roman"/>
          <w:lang w:bidi="ar"/>
        </w:rPr>
        <w:t>——参加匹配的关键词总数。</w:t>
      </w:r>
    </w:p>
    <w:p>
      <w:pPr>
        <w:adjustRightInd/>
        <w:spacing w:line="240" w:lineRule="auto"/>
        <w:ind w:firstLine="420" w:firstLineChars="200"/>
        <w:rPr>
          <w:rFonts w:ascii="Times New Roman" w:hAnsi="Times New Roman"/>
        </w:rPr>
      </w:pPr>
    </w:p>
    <w:p>
      <w:pPr>
        <w:adjustRightInd/>
        <w:spacing w:line="240" w:lineRule="auto"/>
        <w:ind w:firstLine="420"/>
        <w:rPr>
          <w:rFonts w:ascii="Times New Roman" w:hAnsi="Times New Roman"/>
        </w:rPr>
      </w:pPr>
      <w:r>
        <w:rPr>
          <w:rFonts w:ascii="Times New Roman" w:hAnsi="Times New Roman"/>
        </w:rPr>
        <w:t>总关联度按照公式（B.6）计算。</w:t>
      </w:r>
    </w:p>
    <w:p>
      <w:pPr>
        <w:widowControl/>
        <w:adjustRightInd/>
        <w:spacing w:line="360" w:lineRule="auto"/>
        <w:ind w:left="420"/>
        <w:jc w:val="center"/>
        <w:rPr>
          <w:rFonts w:ascii="Times New Roman" w:hAnsi="Times New Roman"/>
        </w:rPr>
      </w:pPr>
      <w:r>
        <w:rPr>
          <w:rFonts w:hint="eastAsia" w:ascii="Times New Roman" w:hAnsi="Times New Roman"/>
          <w:sz w:val="24"/>
          <w:szCs w:val="24"/>
        </w:rPr>
        <w:t xml:space="preserve">                 </w:t>
      </w:r>
      <w:r>
        <w:rPr>
          <w:rFonts w:ascii="Times New Roman" w:hAnsi="Times New Roman"/>
          <w:position w:val="-10"/>
          <w:sz w:val="24"/>
          <w:szCs w:val="24"/>
        </w:rPr>
        <w:object>
          <v:shape id="_x0000_i1033" o:spt="75" type="#_x0000_t75" style="height:17.25pt;width:159pt;" o:ole="t" filled="f" o:preferrelative="t" stroked="f" coordsize="21600,21600">
            <v:path/>
            <v:fill on="f" focussize="0,0"/>
            <v:stroke on="f" joinstyle="miter"/>
            <v:imagedata r:id="rId54" o:title=""/>
            <o:lock v:ext="edit" aspectratio="t"/>
            <w10:wrap type="none"/>
            <w10:anchorlock/>
          </v:shape>
          <o:OLEObject Type="Embed" ProgID="Equation.3" ShapeID="_x0000_i1033" DrawAspect="Content" ObjectID="_1468075732" r:id="rId53">
            <o:LockedField>false</o:LockedField>
          </o:OLEObject>
        </w:object>
      </w:r>
      <w:r>
        <w:rPr>
          <w:rFonts w:ascii="Times New Roman" w:hAnsi="Times New Roman"/>
        </w:rPr>
        <w:t>……………………</w:t>
      </w:r>
      <w:r>
        <w:rPr>
          <w:rFonts w:hint="eastAsia" w:ascii="Times New Roman" w:hAnsi="Times New Roman"/>
        </w:rPr>
        <w:t>.</w:t>
      </w:r>
      <w:r>
        <w:rPr>
          <w:rFonts w:ascii="Times New Roman" w:hAnsi="Times New Roman"/>
        </w:rPr>
        <w:t>………………（</w:t>
      </w:r>
      <w:r>
        <w:rPr>
          <w:rFonts w:ascii="Times New Roman" w:hAnsi="Times New Roman"/>
          <w:lang w:eastAsia="zh"/>
        </w:rPr>
        <w:t>B</w:t>
      </w:r>
      <w:r>
        <w:rPr>
          <w:rFonts w:ascii="Times New Roman" w:hAnsi="Times New Roman"/>
        </w:rPr>
        <w:t>.6）</w:t>
      </w:r>
    </w:p>
    <w:p>
      <w:pPr>
        <w:pStyle w:val="79"/>
        <w:spacing w:before="156" w:after="156"/>
      </w:pPr>
      <w:bookmarkStart w:id="296" w:name="_Toc28645"/>
      <w:bookmarkEnd w:id="296"/>
      <w:bookmarkStart w:id="297" w:name="_Toc6919"/>
      <w:bookmarkEnd w:id="297"/>
      <w:bookmarkStart w:id="298" w:name="_Toc23351"/>
      <w:bookmarkEnd w:id="298"/>
      <w:bookmarkStart w:id="299" w:name="_Toc4481"/>
      <w:bookmarkEnd w:id="299"/>
      <w:bookmarkStart w:id="300" w:name="_Toc25952"/>
      <w:bookmarkEnd w:id="300"/>
      <w:bookmarkStart w:id="301" w:name="_Toc28734"/>
      <w:bookmarkEnd w:id="301"/>
      <w:bookmarkStart w:id="302" w:name="_Toc205367230"/>
      <w:bookmarkStart w:id="303" w:name="_Toc29009"/>
      <w:bookmarkStart w:id="304" w:name="_Toc204675248"/>
      <w:bookmarkStart w:id="305" w:name="_Toc205214690"/>
      <w:bookmarkStart w:id="306" w:name="_Toc205366811"/>
      <w:bookmarkStart w:id="307" w:name="_Toc204675337"/>
      <w:bookmarkStart w:id="308" w:name="_Toc205542856"/>
      <w:bookmarkStart w:id="309" w:name="_Toc9363"/>
      <w:r>
        <w:t>专家规则</w:t>
      </w:r>
      <w:bookmarkEnd w:id="302"/>
      <w:bookmarkEnd w:id="303"/>
      <w:bookmarkEnd w:id="304"/>
      <w:bookmarkEnd w:id="305"/>
      <w:bookmarkEnd w:id="306"/>
      <w:bookmarkEnd w:id="307"/>
      <w:bookmarkEnd w:id="308"/>
      <w:bookmarkEnd w:id="309"/>
    </w:p>
    <w:p>
      <w:pPr>
        <w:adjustRightInd/>
        <w:spacing w:line="240" w:lineRule="auto"/>
        <w:ind w:firstLine="420" w:firstLineChars="200"/>
        <w:rPr>
          <w:rFonts w:ascii="Times New Roman" w:hAnsi="Times New Roman"/>
        </w:rPr>
      </w:pPr>
      <w:r>
        <w:rPr>
          <w:rFonts w:ascii="Times New Roman" w:hAnsi="Times New Roman"/>
          <w:lang w:bidi="ar"/>
        </w:rPr>
        <w:t>专家规则如下：</w:t>
      </w:r>
    </w:p>
    <w:p>
      <w:pPr>
        <w:numPr>
          <w:ilvl w:val="0"/>
          <w:numId w:val="57"/>
        </w:numPr>
        <w:adjustRightInd/>
        <w:spacing w:line="240" w:lineRule="auto"/>
        <w:ind w:firstLine="420" w:firstLineChars="200"/>
        <w:rPr>
          <w:rFonts w:ascii="Times New Roman" w:hAnsi="Times New Roman"/>
        </w:rPr>
      </w:pPr>
      <w:r>
        <w:rPr>
          <w:rFonts w:ascii="Times New Roman" w:hAnsi="Times New Roman"/>
          <w:lang w:bidi="ar"/>
        </w:rPr>
        <w:t>当某成分或性能的数值以X=a~b的形式限定时，则</w:t>
      </w:r>
      <w:bookmarkStart w:id="310" w:name="bkReivew1141426"/>
      <w:bookmarkEnd w:id="310"/>
      <w:r>
        <w:rPr>
          <w:rFonts w:ascii="Times New Roman" w:hAnsi="Times New Roman"/>
          <w:lang w:bidi="ar"/>
        </w:rPr>
        <w:t>其约定值为 X=(a+b)/2；</w:t>
      </w:r>
    </w:p>
    <w:p>
      <w:pPr>
        <w:numPr>
          <w:ilvl w:val="0"/>
          <w:numId w:val="57"/>
        </w:numPr>
        <w:adjustRightInd/>
        <w:spacing w:line="240" w:lineRule="auto"/>
        <w:ind w:firstLine="420" w:firstLineChars="200"/>
        <w:rPr>
          <w:rFonts w:ascii="Times New Roman" w:hAnsi="Times New Roman"/>
        </w:rPr>
      </w:pPr>
      <w:r>
        <w:rPr>
          <w:rFonts w:ascii="Times New Roman" w:hAnsi="Times New Roman"/>
          <w:lang w:bidi="ar"/>
        </w:rPr>
        <w:t>当某成分的数值以X≤ a的形式限定时，则其约定值为X=0.8a；</w:t>
      </w:r>
    </w:p>
    <w:p>
      <w:pPr>
        <w:numPr>
          <w:ilvl w:val="0"/>
          <w:numId w:val="57"/>
        </w:numPr>
        <w:adjustRightInd/>
        <w:spacing w:line="240" w:lineRule="auto"/>
        <w:ind w:firstLine="420" w:firstLineChars="200"/>
        <w:rPr>
          <w:rFonts w:ascii="Times New Roman" w:hAnsi="Times New Roman"/>
        </w:rPr>
      </w:pPr>
      <w:r>
        <w:rPr>
          <w:rFonts w:ascii="Times New Roman" w:hAnsi="Times New Roman"/>
          <w:lang w:bidi="ar"/>
        </w:rPr>
        <w:t>当某性能的数值以X≥ a的形式限定时，则其约定值为X=a；</w:t>
      </w:r>
    </w:p>
    <w:p>
      <w:pPr>
        <w:numPr>
          <w:ilvl w:val="0"/>
          <w:numId w:val="57"/>
        </w:numPr>
        <w:adjustRightInd/>
        <w:spacing w:line="240" w:lineRule="auto"/>
        <w:ind w:firstLine="420" w:firstLineChars="200"/>
        <w:rPr>
          <w:rFonts w:ascii="Times New Roman" w:hAnsi="Times New Roman"/>
        </w:rPr>
      </w:pPr>
      <w:r>
        <w:rPr>
          <w:rFonts w:ascii="Times New Roman" w:hAnsi="Times New Roman"/>
          <w:lang w:bidi="ar"/>
        </w:rPr>
        <w:t>如果材料A、B中某个关键词为空，则该关键词可以与任何关键词匹配。</w:t>
      </w:r>
    </w:p>
    <w:p>
      <w:pPr>
        <w:pStyle w:val="56"/>
        <w:ind w:firstLine="420"/>
        <w:sectPr>
          <w:headerReference r:id="rId23" w:type="default"/>
          <w:footerReference r:id="rId25" w:type="default"/>
          <w:headerReference r:id="rId24" w:type="even"/>
          <w:footerReference r:id="rId26" w:type="even"/>
          <w:pgSz w:w="11906" w:h="16838"/>
          <w:pgMar w:top="1928" w:right="1134" w:bottom="1134" w:left="1134" w:header="1418" w:footer="1134" w:gutter="284"/>
          <w:cols w:space="425" w:num="1"/>
          <w:formProt w:val="0"/>
          <w:docGrid w:type="lines" w:linePitch="312" w:charSpace="0"/>
        </w:sectPr>
      </w:pPr>
    </w:p>
    <w:p>
      <w:pPr>
        <w:pStyle w:val="63"/>
        <w:spacing w:after="156"/>
      </w:pPr>
      <w:bookmarkStart w:id="311" w:name="_Toc206152461"/>
      <w:bookmarkStart w:id="312" w:name="_Toc149836414"/>
      <w:bookmarkStart w:id="313" w:name="_Toc149581300"/>
      <w:bookmarkStart w:id="314" w:name="_Toc150015799"/>
      <w:bookmarkStart w:id="315" w:name="_Toc206152333"/>
      <w:bookmarkStart w:id="316" w:name="_Toc149582242"/>
      <w:r>
        <w:rPr>
          <w:rFonts w:hint="eastAsia"/>
          <w:spacing w:val="105"/>
        </w:rPr>
        <w:t>参考文</w:t>
      </w:r>
      <w:r>
        <w:rPr>
          <w:rFonts w:hint="eastAsia"/>
        </w:rPr>
        <w:t>献</w:t>
      </w:r>
      <w:bookmarkEnd w:id="311"/>
      <w:bookmarkEnd w:id="312"/>
      <w:bookmarkEnd w:id="313"/>
      <w:bookmarkEnd w:id="314"/>
      <w:bookmarkEnd w:id="315"/>
      <w:bookmarkEnd w:id="316"/>
    </w:p>
    <w:p>
      <w:pPr>
        <w:pStyle w:val="56"/>
        <w:numPr>
          <w:ilvl w:val="0"/>
          <w:numId w:val="58"/>
        </w:numPr>
        <w:ind w:firstLineChars="0"/>
      </w:pPr>
      <w:r>
        <w:rPr>
          <w:rFonts w:hint="eastAsia"/>
        </w:rPr>
        <w:t>GB/T 4180 稀土钴永磁材料</w:t>
      </w:r>
    </w:p>
    <w:p>
      <w:pPr>
        <w:pStyle w:val="56"/>
        <w:numPr>
          <w:ilvl w:val="0"/>
          <w:numId w:val="58"/>
        </w:numPr>
        <w:ind w:firstLineChars="0"/>
      </w:pPr>
      <w:r>
        <w:rPr>
          <w:rFonts w:hint="eastAsia"/>
        </w:rPr>
        <w:t>GB/T 13560 烧结钕铁硼永磁材料</w:t>
      </w:r>
    </w:p>
    <w:p>
      <w:pPr>
        <w:pStyle w:val="56"/>
        <w:numPr>
          <w:ilvl w:val="0"/>
          <w:numId w:val="58"/>
        </w:numPr>
        <w:ind w:firstLineChars="0"/>
      </w:pPr>
      <w:r>
        <w:rPr>
          <w:rFonts w:hint="eastAsia"/>
        </w:rPr>
        <w:t>GB/T 18880 粘结钕铁硼永磁材料</w:t>
      </w:r>
    </w:p>
    <w:p>
      <w:pPr>
        <w:pStyle w:val="56"/>
        <w:numPr>
          <w:ilvl w:val="0"/>
          <w:numId w:val="58"/>
        </w:numPr>
        <w:ind w:firstLineChars="0"/>
      </w:pPr>
      <w:r>
        <w:rPr>
          <w:rFonts w:hint="eastAsia"/>
        </w:rPr>
        <w:t>GB/T 34495 热压钕铁硼永磁材料</w:t>
      </w:r>
    </w:p>
    <w:p>
      <w:pPr>
        <w:pStyle w:val="56"/>
        <w:numPr>
          <w:ilvl w:val="0"/>
          <w:numId w:val="58"/>
        </w:numPr>
        <w:ind w:firstLineChars="0"/>
      </w:pPr>
      <w:r>
        <w:rPr>
          <w:rFonts w:hint="eastAsia"/>
        </w:rPr>
        <w:t>GB/T 40790 烧结铈及富铈永磁材料</w:t>
      </w:r>
    </w:p>
    <w:p>
      <w:pPr>
        <w:pStyle w:val="56"/>
        <w:numPr>
          <w:ilvl w:val="0"/>
          <w:numId w:val="58"/>
        </w:numPr>
        <w:ind w:firstLineChars="0"/>
      </w:pPr>
      <w:r>
        <w:rPr>
          <w:rFonts w:hint="eastAsia"/>
        </w:rPr>
        <w:t>GB/T 42160 晶界扩散钕铁硼永磁材料</w:t>
      </w:r>
    </w:p>
    <w:p>
      <w:pPr>
        <w:pStyle w:val="56"/>
        <w:ind w:firstLine="420"/>
        <w:jc w:val="center"/>
      </w:pPr>
      <w:r>
        <w:drawing>
          <wp:inline distT="0" distB="0" distL="0" distR="0">
            <wp:extent cx="2247265" cy="475615"/>
            <wp:effectExtent l="0" t="0" r="635" b="635"/>
            <wp:docPr id="645898068" name="图片 1" descr="形状, 矩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98068" name="图片 1" descr="形状, 矩形&#10;&#10;AI 生成的内容可能不正确。"/>
                    <pic:cNvPicPr>
                      <a:picLocks noChangeAspect="1"/>
                    </pic:cNvPicPr>
                  </pic:nvPicPr>
                  <pic:blipFill>
                    <a:blip r:embed="rId55"/>
                    <a:stretch>
                      <a:fillRect/>
                    </a:stretch>
                  </pic:blipFill>
                  <pic:spPr>
                    <a:xfrm>
                      <a:off x="0" y="0"/>
                      <a:ext cx="2247619" cy="476190"/>
                    </a:xfrm>
                    <a:prstGeom prst="rect">
                      <a:avLst/>
                    </a:prstGeom>
                  </pic:spPr>
                </pic:pic>
              </a:graphicData>
            </a:graphic>
          </wp:inline>
        </w:drawing>
      </w:r>
    </w:p>
    <w:bookmarkEnd w:id="28"/>
    <w:bookmarkEnd w:id="248"/>
    <w:p>
      <w:pPr>
        <w:pStyle w:val="56"/>
        <w:ind w:firstLine="0" w:firstLineChars="0"/>
      </w:pPr>
    </w:p>
    <w:sectPr>
      <w:headerReference r:id="rId27" w:type="default"/>
      <w:footerReference r:id="rId29" w:type="default"/>
      <w:headerReference r:id="rId28" w:type="even"/>
      <w:footerReference r:id="rId30" w:type="even"/>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5</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7</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4C42D"/>
    <w:multiLevelType w:val="multilevel"/>
    <w:tmpl w:val="8964C42D"/>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1">
    <w:nsid w:val="D9FCF137"/>
    <w:multiLevelType w:val="multilevel"/>
    <w:tmpl w:val="D9FCF137"/>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2">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4A37FD3"/>
    <w:multiLevelType w:val="multilevel"/>
    <w:tmpl w:val="04A37FD3"/>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5">
    <w:nsid w:val="060A5821"/>
    <w:multiLevelType w:val="multilevel"/>
    <w:tmpl w:val="060A5821"/>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6">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7902606"/>
    <w:multiLevelType w:val="multilevel"/>
    <w:tmpl w:val="17902606"/>
    <w:lvl w:ilvl="0" w:tentative="0">
      <w:start w:val="1"/>
      <w:numFmt w:val="lowerLetter"/>
      <w:lvlText w:val="%1)"/>
      <w:lvlJc w:val="left"/>
      <w:pPr>
        <w:ind w:left="860" w:hanging="440"/>
      </w:pPr>
      <w:rPr>
        <w:rFonts w:ascii="宋体" w:hAnsi="宋体" w:eastAsia="宋体"/>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5">
    <w:nsid w:val="218B0768"/>
    <w:multiLevelType w:val="multilevel"/>
    <w:tmpl w:val="218B0768"/>
    <w:lvl w:ilvl="0" w:tentative="0">
      <w:start w:val="1"/>
      <w:numFmt w:val="decimal"/>
      <w:lvlText w:val="[%1]"/>
      <w:lvlJc w:val="left"/>
      <w:pPr>
        <w:ind w:left="846" w:hanging="420"/>
      </w:pPr>
      <w:rPr>
        <w:rFonts w:hint="eastAsia"/>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6">
    <w:nsid w:val="29333CFE"/>
    <w:multiLevelType w:val="multilevel"/>
    <w:tmpl w:val="29333CFE"/>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7">
    <w:nsid w:val="2A105CB0"/>
    <w:multiLevelType w:val="multilevel"/>
    <w:tmpl w:val="2A105CB0"/>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18">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9">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0">
    <w:nsid w:val="341D6F50"/>
    <w:multiLevelType w:val="multilevel"/>
    <w:tmpl w:val="341D6F50"/>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1">
    <w:nsid w:val="3C1B0F5E"/>
    <w:multiLevelType w:val="multilevel"/>
    <w:tmpl w:val="3C1B0F5E"/>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2">
    <w:nsid w:val="3C91572F"/>
    <w:multiLevelType w:val="multilevel"/>
    <w:tmpl w:val="3C91572F"/>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3">
    <w:nsid w:val="43D629E2"/>
    <w:multiLevelType w:val="multilevel"/>
    <w:tmpl w:val="43D629E2"/>
    <w:lvl w:ilvl="0" w:tentative="0">
      <w:start w:val="1"/>
      <w:numFmt w:val="lowerLetter"/>
      <w:lvlText w:val="%1)"/>
      <w:lvlJc w:val="left"/>
      <w:pPr>
        <w:ind w:left="860" w:hanging="440"/>
      </w:pPr>
    </w:lvl>
    <w:lvl w:ilvl="1" w:tentative="0">
      <w:start w:val="1"/>
      <w:numFmt w:val="lowerLetter"/>
      <w:lvlText w:val="%2)"/>
      <w:lvlJc w:val="left"/>
      <w:pPr>
        <w:ind w:left="865"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4">
    <w:nsid w:val="44B51332"/>
    <w:multiLevelType w:val="multilevel"/>
    <w:tmpl w:val="44B51332"/>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25">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49EA628B"/>
    <w:multiLevelType w:val="multilevel"/>
    <w:tmpl w:val="49EA628B"/>
    <w:lvl w:ilvl="0" w:tentative="0">
      <w:start w:val="1"/>
      <w:numFmt w:val="lowerLetter"/>
      <w:lvlText w:val="%1)"/>
      <w:lvlJc w:val="left"/>
      <w:pPr>
        <w:ind w:left="866" w:hanging="440"/>
      </w:pPr>
    </w:lvl>
    <w:lvl w:ilvl="1" w:tentative="0">
      <w:start w:val="1"/>
      <w:numFmt w:val="lowerLetter"/>
      <w:lvlText w:val="%2)"/>
      <w:lvlJc w:val="left"/>
      <w:pPr>
        <w:ind w:left="1745" w:hanging="440"/>
      </w:pPr>
    </w:lvl>
    <w:lvl w:ilvl="2" w:tentative="0">
      <w:start w:val="1"/>
      <w:numFmt w:val="lowerRoman"/>
      <w:lvlText w:val="%3."/>
      <w:lvlJc w:val="right"/>
      <w:pPr>
        <w:ind w:left="2185" w:hanging="440"/>
      </w:pPr>
    </w:lvl>
    <w:lvl w:ilvl="3" w:tentative="0">
      <w:start w:val="1"/>
      <w:numFmt w:val="decimal"/>
      <w:lvlText w:val="%4."/>
      <w:lvlJc w:val="left"/>
      <w:pPr>
        <w:ind w:left="2625" w:hanging="440"/>
      </w:pPr>
    </w:lvl>
    <w:lvl w:ilvl="4" w:tentative="0">
      <w:start w:val="1"/>
      <w:numFmt w:val="lowerLetter"/>
      <w:lvlText w:val="%5)"/>
      <w:lvlJc w:val="left"/>
      <w:pPr>
        <w:ind w:left="3065" w:hanging="440"/>
      </w:pPr>
    </w:lvl>
    <w:lvl w:ilvl="5" w:tentative="0">
      <w:start w:val="1"/>
      <w:numFmt w:val="lowerRoman"/>
      <w:lvlText w:val="%6."/>
      <w:lvlJc w:val="right"/>
      <w:pPr>
        <w:ind w:left="3505" w:hanging="440"/>
      </w:pPr>
    </w:lvl>
    <w:lvl w:ilvl="6" w:tentative="0">
      <w:start w:val="1"/>
      <w:numFmt w:val="decimal"/>
      <w:lvlText w:val="%7."/>
      <w:lvlJc w:val="left"/>
      <w:pPr>
        <w:ind w:left="3945" w:hanging="440"/>
      </w:pPr>
    </w:lvl>
    <w:lvl w:ilvl="7" w:tentative="0">
      <w:start w:val="1"/>
      <w:numFmt w:val="lowerLetter"/>
      <w:lvlText w:val="%8)"/>
      <w:lvlJc w:val="left"/>
      <w:pPr>
        <w:ind w:left="4385" w:hanging="440"/>
      </w:pPr>
    </w:lvl>
    <w:lvl w:ilvl="8" w:tentative="0">
      <w:start w:val="1"/>
      <w:numFmt w:val="lowerRoman"/>
      <w:lvlText w:val="%9."/>
      <w:lvlJc w:val="right"/>
      <w:pPr>
        <w:ind w:left="4825" w:hanging="440"/>
      </w:pPr>
    </w:lvl>
  </w:abstractNum>
  <w:abstractNum w:abstractNumId="28">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9">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51C667C5"/>
    <w:multiLevelType w:val="multilevel"/>
    <w:tmpl w:val="51C667C5"/>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31">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32">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4">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5676340A"/>
    <w:multiLevelType w:val="multilevel"/>
    <w:tmpl w:val="5676340A"/>
    <w:lvl w:ilvl="0" w:tentative="0">
      <w:start w:val="1"/>
      <w:numFmt w:val="lowerLetter"/>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59D50909"/>
    <w:multiLevelType w:val="multilevel"/>
    <w:tmpl w:val="59D50909"/>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37">
    <w:nsid w:val="5A111908"/>
    <w:multiLevelType w:val="multilevel"/>
    <w:tmpl w:val="5A111908"/>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8">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9">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0">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1">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2">
    <w:nsid w:val="676F5EC8"/>
    <w:multiLevelType w:val="multilevel"/>
    <w:tmpl w:val="676F5EC8"/>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43">
    <w:nsid w:val="686B2E05"/>
    <w:multiLevelType w:val="multilevel"/>
    <w:tmpl w:val="686B2E05"/>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44">
    <w:nsid w:val="69275120"/>
    <w:multiLevelType w:val="multilevel"/>
    <w:tmpl w:val="69275120"/>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5">
    <w:nsid w:val="692E6791"/>
    <w:multiLevelType w:val="multilevel"/>
    <w:tmpl w:val="692E6791"/>
    <w:lvl w:ilvl="0" w:tentative="0">
      <w:start w:val="1"/>
      <w:numFmt w:val="lowerLetter"/>
      <w:lvlText w:val="%1)"/>
      <w:lvlJc w:val="left"/>
      <w:pPr>
        <w:ind w:left="865" w:hanging="440"/>
      </w:p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46">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47">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0">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1">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52">
    <w:nsid w:val="714B267A"/>
    <w:multiLevelType w:val="multilevel"/>
    <w:tmpl w:val="714B267A"/>
    <w:lvl w:ilvl="0" w:tentative="0">
      <w:start w:val="1"/>
      <w:numFmt w:val="lowerLetter"/>
      <w:lvlText w:val="%1）"/>
      <w:lvlJc w:val="left"/>
      <w:pPr>
        <w:ind w:left="860" w:hanging="440"/>
      </w:pPr>
      <w:rPr>
        <w:rFonts w:hint="default" w:ascii="宋体" w:hAnsi="宋体" w:eastAsia="宋体" w:cs="Times New Roman"/>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53">
    <w:nsid w:val="74F64867"/>
    <w:multiLevelType w:val="multilevel"/>
    <w:tmpl w:val="74F64867"/>
    <w:lvl w:ilvl="0" w:tentative="0">
      <w:start w:val="1"/>
      <w:numFmt w:val="lowerLetter"/>
      <w:suff w:val="space"/>
      <w:lvlText w:val="%1)"/>
      <w:lvlJc w:val="left"/>
      <w:pPr>
        <w:ind w:left="0" w:firstLine="0"/>
      </w:pPr>
      <w:rPr>
        <w:rFonts w:hint="default" w:ascii="宋体" w:hAnsi="宋体" w:eastAsia="宋体"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4">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771708B7"/>
    <w:multiLevelType w:val="multilevel"/>
    <w:tmpl w:val="771708B7"/>
    <w:lvl w:ilvl="0" w:tentative="0">
      <w:start w:val="1"/>
      <w:numFmt w:val="lowerLetter"/>
      <w:lvlText w:val="%1)"/>
      <w:lvlJc w:val="left"/>
      <w:pPr>
        <w:ind w:left="865" w:hanging="440"/>
      </w:p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56">
    <w:nsid w:val="78790C81"/>
    <w:multiLevelType w:val="multilevel"/>
    <w:tmpl w:val="78790C81"/>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7">
    <w:nsid w:val="7E31790E"/>
    <w:multiLevelType w:val="multilevel"/>
    <w:tmpl w:val="7E31790E"/>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2"/>
  </w:num>
  <w:num w:numId="2">
    <w:abstractNumId w:val="49"/>
  </w:num>
  <w:num w:numId="3">
    <w:abstractNumId w:val="9"/>
  </w:num>
  <w:num w:numId="4">
    <w:abstractNumId w:val="41"/>
  </w:num>
  <w:num w:numId="5">
    <w:abstractNumId w:val="33"/>
  </w:num>
  <w:num w:numId="6">
    <w:abstractNumId w:val="26"/>
  </w:num>
  <w:num w:numId="7">
    <w:abstractNumId w:val="13"/>
  </w:num>
  <w:num w:numId="8">
    <w:abstractNumId w:val="7"/>
  </w:num>
  <w:num w:numId="9">
    <w:abstractNumId w:val="14"/>
  </w:num>
  <w:num w:numId="10">
    <w:abstractNumId w:val="31"/>
  </w:num>
  <w:num w:numId="11">
    <w:abstractNumId w:val="47"/>
  </w:num>
  <w:num w:numId="12">
    <w:abstractNumId w:val="19"/>
  </w:num>
  <w:num w:numId="13">
    <w:abstractNumId w:val="25"/>
  </w:num>
  <w:num w:numId="14">
    <w:abstractNumId w:val="12"/>
  </w:num>
  <w:num w:numId="15">
    <w:abstractNumId w:val="34"/>
  </w:num>
  <w:num w:numId="16">
    <w:abstractNumId w:val="39"/>
  </w:num>
  <w:num w:numId="17">
    <w:abstractNumId w:val="32"/>
  </w:num>
  <w:num w:numId="18">
    <w:abstractNumId w:val="51"/>
  </w:num>
  <w:num w:numId="19">
    <w:abstractNumId w:val="29"/>
  </w:num>
  <w:num w:numId="20">
    <w:abstractNumId w:val="3"/>
  </w:num>
  <w:num w:numId="21">
    <w:abstractNumId w:val="18"/>
  </w:num>
  <w:num w:numId="22">
    <w:abstractNumId w:val="54"/>
  </w:num>
  <w:num w:numId="23">
    <w:abstractNumId w:val="38"/>
  </w:num>
  <w:num w:numId="24">
    <w:abstractNumId w:val="10"/>
  </w:num>
  <w:num w:numId="25">
    <w:abstractNumId w:val="48"/>
  </w:num>
  <w:num w:numId="26">
    <w:abstractNumId w:val="50"/>
  </w:num>
  <w:num w:numId="27">
    <w:abstractNumId w:val="6"/>
  </w:num>
  <w:num w:numId="28">
    <w:abstractNumId w:val="8"/>
  </w:num>
  <w:num w:numId="29">
    <w:abstractNumId w:val="28"/>
  </w:num>
  <w:num w:numId="30">
    <w:abstractNumId w:val="46"/>
  </w:num>
  <w:num w:numId="31">
    <w:abstractNumId w:val="4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3"/>
  </w:num>
  <w:num w:numId="35">
    <w:abstractNumId w:val="45"/>
  </w:num>
  <w:num w:numId="36">
    <w:abstractNumId w:val="27"/>
  </w:num>
  <w:num w:numId="37">
    <w:abstractNumId w:val="16"/>
  </w:num>
  <w:num w:numId="38">
    <w:abstractNumId w:val="21"/>
  </w:num>
  <w:num w:numId="39">
    <w:abstractNumId w:val="44"/>
  </w:num>
  <w:num w:numId="40">
    <w:abstractNumId w:val="55"/>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
  </w:num>
  <w:num w:numId="52">
    <w:abstractNumId w:val="0"/>
  </w:num>
  <w:num w:numId="53">
    <w:abstractNumId w:val="57"/>
  </w:num>
  <w:num w:numId="54">
    <w:abstractNumId w:val="22"/>
  </w:num>
  <w:num w:numId="55">
    <w:abstractNumId w:val="56"/>
  </w:num>
  <w:num w:numId="56">
    <w:abstractNumId w:val="20"/>
  </w:num>
  <w:num w:numId="57">
    <w:abstractNumId w:val="35"/>
  </w:num>
  <w:num w:numId="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trackRevisions w:val="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iMDI5MjgzMzQ5NjFkZTUzZjk5NTE4Y2YzNmMxY2UifQ=="/>
  </w:docVars>
  <w:rsids>
    <w:rsidRoot w:val="00E43E85"/>
    <w:rsid w:val="0000040A"/>
    <w:rsid w:val="00000A94"/>
    <w:rsid w:val="00001550"/>
    <w:rsid w:val="00001972"/>
    <w:rsid w:val="00001D9A"/>
    <w:rsid w:val="00007B3A"/>
    <w:rsid w:val="000107E0"/>
    <w:rsid w:val="00011FDE"/>
    <w:rsid w:val="00012FFD"/>
    <w:rsid w:val="00014162"/>
    <w:rsid w:val="00014340"/>
    <w:rsid w:val="00014B64"/>
    <w:rsid w:val="00016A9C"/>
    <w:rsid w:val="00022184"/>
    <w:rsid w:val="00022762"/>
    <w:rsid w:val="000238E0"/>
    <w:rsid w:val="000249DB"/>
    <w:rsid w:val="00025419"/>
    <w:rsid w:val="0002595E"/>
    <w:rsid w:val="00026539"/>
    <w:rsid w:val="000303C3"/>
    <w:rsid w:val="000331D3"/>
    <w:rsid w:val="000346A5"/>
    <w:rsid w:val="000359C3"/>
    <w:rsid w:val="00035A7D"/>
    <w:rsid w:val="00035F98"/>
    <w:rsid w:val="0004249A"/>
    <w:rsid w:val="00043282"/>
    <w:rsid w:val="00044286"/>
    <w:rsid w:val="00047F28"/>
    <w:rsid w:val="000503AA"/>
    <w:rsid w:val="000506A1"/>
    <w:rsid w:val="000515DD"/>
    <w:rsid w:val="0005265A"/>
    <w:rsid w:val="000539DD"/>
    <w:rsid w:val="00053BD3"/>
    <w:rsid w:val="000556ED"/>
    <w:rsid w:val="00055FE2"/>
    <w:rsid w:val="0005616F"/>
    <w:rsid w:val="00057398"/>
    <w:rsid w:val="00060C2E"/>
    <w:rsid w:val="00061033"/>
    <w:rsid w:val="000619E9"/>
    <w:rsid w:val="000622D4"/>
    <w:rsid w:val="000631F9"/>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1A41"/>
    <w:rsid w:val="000A296B"/>
    <w:rsid w:val="000A7311"/>
    <w:rsid w:val="000B060F"/>
    <w:rsid w:val="000B1592"/>
    <w:rsid w:val="000B1FF2"/>
    <w:rsid w:val="000B3CDA"/>
    <w:rsid w:val="000B4562"/>
    <w:rsid w:val="000B6A0B"/>
    <w:rsid w:val="000C0EA2"/>
    <w:rsid w:val="000C0F6C"/>
    <w:rsid w:val="000C11DB"/>
    <w:rsid w:val="000C2FBD"/>
    <w:rsid w:val="000C3E10"/>
    <w:rsid w:val="000C4B41"/>
    <w:rsid w:val="000C57D6"/>
    <w:rsid w:val="000C6539"/>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5203"/>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2826"/>
    <w:rsid w:val="002247CE"/>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0632"/>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713"/>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E54B7"/>
    <w:rsid w:val="003F0841"/>
    <w:rsid w:val="003F23D3"/>
    <w:rsid w:val="003F3F08"/>
    <w:rsid w:val="003F49F1"/>
    <w:rsid w:val="003F6272"/>
    <w:rsid w:val="003F726A"/>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D6B"/>
    <w:rsid w:val="00454484"/>
    <w:rsid w:val="0045517B"/>
    <w:rsid w:val="004626B9"/>
    <w:rsid w:val="00463B77"/>
    <w:rsid w:val="00463C7B"/>
    <w:rsid w:val="004644A6"/>
    <w:rsid w:val="004659BD"/>
    <w:rsid w:val="00467329"/>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A8"/>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4B4E"/>
    <w:rsid w:val="005B51CE"/>
    <w:rsid w:val="005B5885"/>
    <w:rsid w:val="005B5CD7"/>
    <w:rsid w:val="005B6CF6"/>
    <w:rsid w:val="005B7422"/>
    <w:rsid w:val="005C29B8"/>
    <w:rsid w:val="005C5F21"/>
    <w:rsid w:val="005C7156"/>
    <w:rsid w:val="005D0C75"/>
    <w:rsid w:val="005D2BB4"/>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3A84"/>
    <w:rsid w:val="006770F4"/>
    <w:rsid w:val="00677A84"/>
    <w:rsid w:val="0068026D"/>
    <w:rsid w:val="00680A27"/>
    <w:rsid w:val="006816A4"/>
    <w:rsid w:val="006819B8"/>
    <w:rsid w:val="006840A6"/>
    <w:rsid w:val="006850CD"/>
    <w:rsid w:val="00685AAB"/>
    <w:rsid w:val="006960AA"/>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09E"/>
    <w:rsid w:val="00704387"/>
    <w:rsid w:val="00707669"/>
    <w:rsid w:val="00711CBA"/>
    <w:rsid w:val="00711FB5"/>
    <w:rsid w:val="00712A01"/>
    <w:rsid w:val="00714F58"/>
    <w:rsid w:val="00722FBF"/>
    <w:rsid w:val="00722FC2"/>
    <w:rsid w:val="00725949"/>
    <w:rsid w:val="007272D5"/>
    <w:rsid w:val="00727FA2"/>
    <w:rsid w:val="007322D9"/>
    <w:rsid w:val="00732A9F"/>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184B"/>
    <w:rsid w:val="007959E8"/>
    <w:rsid w:val="00795E9C"/>
    <w:rsid w:val="0079735D"/>
    <w:rsid w:val="007A0521"/>
    <w:rsid w:val="007A061E"/>
    <w:rsid w:val="007A2E12"/>
    <w:rsid w:val="007A3475"/>
    <w:rsid w:val="007A41C8"/>
    <w:rsid w:val="007A54CE"/>
    <w:rsid w:val="007A6118"/>
    <w:rsid w:val="007A7FFA"/>
    <w:rsid w:val="007B013C"/>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5BCD"/>
    <w:rsid w:val="00810257"/>
    <w:rsid w:val="008104F5"/>
    <w:rsid w:val="00811072"/>
    <w:rsid w:val="00811369"/>
    <w:rsid w:val="00814E50"/>
    <w:rsid w:val="00815419"/>
    <w:rsid w:val="008163C8"/>
    <w:rsid w:val="00817325"/>
    <w:rsid w:val="008209E6"/>
    <w:rsid w:val="00823303"/>
    <w:rsid w:val="008233B2"/>
    <w:rsid w:val="00823A9F"/>
    <w:rsid w:val="00823B18"/>
    <w:rsid w:val="00823C85"/>
    <w:rsid w:val="00825138"/>
    <w:rsid w:val="008269DD"/>
    <w:rsid w:val="00830621"/>
    <w:rsid w:val="0083348C"/>
    <w:rsid w:val="008373D3"/>
    <w:rsid w:val="00840617"/>
    <w:rsid w:val="00842A47"/>
    <w:rsid w:val="00843C13"/>
    <w:rsid w:val="008454F8"/>
    <w:rsid w:val="00846735"/>
    <w:rsid w:val="00851342"/>
    <w:rsid w:val="0085173A"/>
    <w:rsid w:val="008603CE"/>
    <w:rsid w:val="008620FC"/>
    <w:rsid w:val="0086278B"/>
    <w:rsid w:val="008627A5"/>
    <w:rsid w:val="00863E05"/>
    <w:rsid w:val="00865ACA"/>
    <w:rsid w:val="00865D28"/>
    <w:rsid w:val="00865F85"/>
    <w:rsid w:val="00867C10"/>
    <w:rsid w:val="00870439"/>
    <w:rsid w:val="00870DA1"/>
    <w:rsid w:val="00883F93"/>
    <w:rsid w:val="00884DB3"/>
    <w:rsid w:val="00885A9D"/>
    <w:rsid w:val="008864F6"/>
    <w:rsid w:val="0089049D"/>
    <w:rsid w:val="00892460"/>
    <w:rsid w:val="008928C9"/>
    <w:rsid w:val="008938DC"/>
    <w:rsid w:val="00893FD1"/>
    <w:rsid w:val="00894836"/>
    <w:rsid w:val="00895172"/>
    <w:rsid w:val="00895680"/>
    <w:rsid w:val="00896DFF"/>
    <w:rsid w:val="0089762C"/>
    <w:rsid w:val="008A1893"/>
    <w:rsid w:val="008A1D42"/>
    <w:rsid w:val="008A769A"/>
    <w:rsid w:val="008B0C9C"/>
    <w:rsid w:val="008B166D"/>
    <w:rsid w:val="008B17F4"/>
    <w:rsid w:val="008B3615"/>
    <w:rsid w:val="008B4AC4"/>
    <w:rsid w:val="008B50C8"/>
    <w:rsid w:val="008B5281"/>
    <w:rsid w:val="008B669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2C71"/>
    <w:rsid w:val="008E4BB6"/>
    <w:rsid w:val="008E5518"/>
    <w:rsid w:val="008E6A84"/>
    <w:rsid w:val="008F0CDC"/>
    <w:rsid w:val="008F17A3"/>
    <w:rsid w:val="008F1ED3"/>
    <w:rsid w:val="008F4C29"/>
    <w:rsid w:val="008F70BD"/>
    <w:rsid w:val="008F788F"/>
    <w:rsid w:val="008F7EA2"/>
    <w:rsid w:val="009014D6"/>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14F4"/>
    <w:rsid w:val="00934C1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5ECB"/>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3FEB"/>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881"/>
    <w:rsid w:val="00AA2A24"/>
    <w:rsid w:val="00AA4286"/>
    <w:rsid w:val="00AA456B"/>
    <w:rsid w:val="00AA57F5"/>
    <w:rsid w:val="00AA672E"/>
    <w:rsid w:val="00AA6EC9"/>
    <w:rsid w:val="00AB0058"/>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1577"/>
    <w:rsid w:val="00AF2AA5"/>
    <w:rsid w:val="00AF47C5"/>
    <w:rsid w:val="00AF5398"/>
    <w:rsid w:val="00B049AF"/>
    <w:rsid w:val="00B07242"/>
    <w:rsid w:val="00B10534"/>
    <w:rsid w:val="00B113DB"/>
    <w:rsid w:val="00B11D8A"/>
    <w:rsid w:val="00B12981"/>
    <w:rsid w:val="00B147DD"/>
    <w:rsid w:val="00B156FD"/>
    <w:rsid w:val="00B2036B"/>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7668D"/>
    <w:rsid w:val="00B76A72"/>
    <w:rsid w:val="00B827A6"/>
    <w:rsid w:val="00B831CE"/>
    <w:rsid w:val="00B86677"/>
    <w:rsid w:val="00B87131"/>
    <w:rsid w:val="00B9127B"/>
    <w:rsid w:val="00B91566"/>
    <w:rsid w:val="00B9320C"/>
    <w:rsid w:val="00B939B1"/>
    <w:rsid w:val="00B96D40"/>
    <w:rsid w:val="00B97386"/>
    <w:rsid w:val="00B97C33"/>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223A"/>
    <w:rsid w:val="00C04904"/>
    <w:rsid w:val="00C056B3"/>
    <w:rsid w:val="00C103E5"/>
    <w:rsid w:val="00C13319"/>
    <w:rsid w:val="00C13EE9"/>
    <w:rsid w:val="00C14D87"/>
    <w:rsid w:val="00C21540"/>
    <w:rsid w:val="00C21906"/>
    <w:rsid w:val="00C21BFA"/>
    <w:rsid w:val="00C2388C"/>
    <w:rsid w:val="00C24C8D"/>
    <w:rsid w:val="00C25FE2"/>
    <w:rsid w:val="00C26B53"/>
    <w:rsid w:val="00C279B2"/>
    <w:rsid w:val="00C33E50"/>
    <w:rsid w:val="00C34C20"/>
    <w:rsid w:val="00C35A3E"/>
    <w:rsid w:val="00C42130"/>
    <w:rsid w:val="00C423A4"/>
    <w:rsid w:val="00C440F5"/>
    <w:rsid w:val="00C44BF5"/>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48C"/>
    <w:rsid w:val="00C84E33"/>
    <w:rsid w:val="00C86D6F"/>
    <w:rsid w:val="00C87C47"/>
    <w:rsid w:val="00C905FC"/>
    <w:rsid w:val="00C92D03"/>
    <w:rsid w:val="00C9319C"/>
    <w:rsid w:val="00C9435D"/>
    <w:rsid w:val="00C9517F"/>
    <w:rsid w:val="00C96741"/>
    <w:rsid w:val="00CA0D16"/>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A7"/>
    <w:rsid w:val="00CE0C4F"/>
    <w:rsid w:val="00CE30EA"/>
    <w:rsid w:val="00CF048A"/>
    <w:rsid w:val="00CF155A"/>
    <w:rsid w:val="00CF2947"/>
    <w:rsid w:val="00CF44B1"/>
    <w:rsid w:val="00CF686F"/>
    <w:rsid w:val="00CF6E60"/>
    <w:rsid w:val="00CF7BCA"/>
    <w:rsid w:val="00D008FD"/>
    <w:rsid w:val="00D0321C"/>
    <w:rsid w:val="00D035EC"/>
    <w:rsid w:val="00D03FAA"/>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3E4C"/>
    <w:rsid w:val="00D352A2"/>
    <w:rsid w:val="00D40A83"/>
    <w:rsid w:val="00D4162B"/>
    <w:rsid w:val="00D41F15"/>
    <w:rsid w:val="00D4514F"/>
    <w:rsid w:val="00D451E2"/>
    <w:rsid w:val="00D4545E"/>
    <w:rsid w:val="00D45E89"/>
    <w:rsid w:val="00D45E8D"/>
    <w:rsid w:val="00D466AE"/>
    <w:rsid w:val="00D4734F"/>
    <w:rsid w:val="00D51BF3"/>
    <w:rsid w:val="00D61DBB"/>
    <w:rsid w:val="00D63276"/>
    <w:rsid w:val="00D6422B"/>
    <w:rsid w:val="00D64790"/>
    <w:rsid w:val="00D66846"/>
    <w:rsid w:val="00D675FB"/>
    <w:rsid w:val="00D71F25"/>
    <w:rsid w:val="00D77031"/>
    <w:rsid w:val="00D84941"/>
    <w:rsid w:val="00D84FA1"/>
    <w:rsid w:val="00D851F0"/>
    <w:rsid w:val="00D86DB7"/>
    <w:rsid w:val="00D926D0"/>
    <w:rsid w:val="00D93030"/>
    <w:rsid w:val="00D950E1"/>
    <w:rsid w:val="00D952A6"/>
    <w:rsid w:val="00D95A75"/>
    <w:rsid w:val="00D97F99"/>
    <w:rsid w:val="00DA19E7"/>
    <w:rsid w:val="00DA1E08"/>
    <w:rsid w:val="00DA24F8"/>
    <w:rsid w:val="00DA28E8"/>
    <w:rsid w:val="00DA38D3"/>
    <w:rsid w:val="00DA3932"/>
    <w:rsid w:val="00DA4CE5"/>
    <w:rsid w:val="00DA64F8"/>
    <w:rsid w:val="00DA6C15"/>
    <w:rsid w:val="00DA7370"/>
    <w:rsid w:val="00DB38EE"/>
    <w:rsid w:val="00DB498B"/>
    <w:rsid w:val="00DB66CA"/>
    <w:rsid w:val="00DB6BCA"/>
    <w:rsid w:val="00DC0321"/>
    <w:rsid w:val="00DC0823"/>
    <w:rsid w:val="00DC28EF"/>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379B"/>
    <w:rsid w:val="00DE51F0"/>
    <w:rsid w:val="00DE6E81"/>
    <w:rsid w:val="00DE703F"/>
    <w:rsid w:val="00DE7595"/>
    <w:rsid w:val="00DF0A62"/>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3C00"/>
    <w:rsid w:val="00E43E85"/>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6F3F"/>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3F7A"/>
    <w:rsid w:val="00EF7E72"/>
    <w:rsid w:val="00F0033A"/>
    <w:rsid w:val="00F02A09"/>
    <w:rsid w:val="00F04430"/>
    <w:rsid w:val="00F06D37"/>
    <w:rsid w:val="00F07B9D"/>
    <w:rsid w:val="00F11586"/>
    <w:rsid w:val="00F1183B"/>
    <w:rsid w:val="00F11C9F"/>
    <w:rsid w:val="00F12263"/>
    <w:rsid w:val="00F1409D"/>
    <w:rsid w:val="00F14214"/>
    <w:rsid w:val="00F146BD"/>
    <w:rsid w:val="00F157A9"/>
    <w:rsid w:val="00F21056"/>
    <w:rsid w:val="00F25BB6"/>
    <w:rsid w:val="00F26B7E"/>
    <w:rsid w:val="00F27A3B"/>
    <w:rsid w:val="00F33817"/>
    <w:rsid w:val="00F37A2F"/>
    <w:rsid w:val="00F420D5"/>
    <w:rsid w:val="00F451EA"/>
    <w:rsid w:val="00F45447"/>
    <w:rsid w:val="00F456C6"/>
    <w:rsid w:val="00F4577B"/>
    <w:rsid w:val="00F46496"/>
    <w:rsid w:val="00F474D0"/>
    <w:rsid w:val="00F50179"/>
    <w:rsid w:val="00F56511"/>
    <w:rsid w:val="00F56DAD"/>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573A"/>
    <w:rsid w:val="00F963ED"/>
    <w:rsid w:val="00F966CF"/>
    <w:rsid w:val="00F96CAE"/>
    <w:rsid w:val="00F97C99"/>
    <w:rsid w:val="00FA0887"/>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0812"/>
    <w:rsid w:val="00FE1FBE"/>
    <w:rsid w:val="00FE3901"/>
    <w:rsid w:val="00FE4BCE"/>
    <w:rsid w:val="00FE54AE"/>
    <w:rsid w:val="00FE576A"/>
    <w:rsid w:val="00FE61CF"/>
    <w:rsid w:val="00FE7E79"/>
    <w:rsid w:val="00FF3E7D"/>
    <w:rsid w:val="00FF5B99"/>
    <w:rsid w:val="00FF730C"/>
    <w:rsid w:val="00FF73F4"/>
    <w:rsid w:val="00FF7CE4"/>
    <w:rsid w:val="00FF7E39"/>
    <w:rsid w:val="77303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qFormat="1"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uiPriority w:val="39"/>
    <w:pPr>
      <w:tabs>
        <w:tab w:val="right" w:leader="dot" w:pos="9344"/>
      </w:tabs>
    </w:pPr>
    <w:rPr>
      <w:rFonts w:ascii="宋体"/>
    </w:rPr>
  </w:style>
  <w:style w:type="paragraph" w:styleId="20">
    <w:name w:val="toc 4"/>
    <w:basedOn w:val="1"/>
    <w:next w:val="1"/>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qFormat/>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ind w:left="0" w:firstLine="200"/>
    </w:pPr>
  </w:style>
  <w:style w:type="paragraph" w:customStyle="1" w:styleId="94">
    <w:name w:val="标准文件_三级条标题"/>
    <w:basedOn w:val="65"/>
    <w:next w:val="56"/>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uiPriority w:val="0"/>
    <w:rPr>
      <w:rFonts w:ascii="宋体" w:hAnsi="Times New Roman" w:eastAsia="宋体" w:cs="Times New Roman"/>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50" w:beforeLines="50" w:after="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uiPriority w:val="0"/>
    <w:pPr>
      <w:ind w:left="1470"/>
    </w:pPr>
  </w:style>
  <w:style w:type="paragraph" w:customStyle="1" w:styleId="149">
    <w:name w:val="目录 91"/>
    <w:basedOn w:val="148"/>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pPr>
      <w:numPr>
        <w:ilvl w:val="0"/>
        <w:numId w:val="0"/>
      </w:numPr>
    </w:pPr>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9">
    <w:name w:val="TOC Heading"/>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30">
    <w:name w:val="Revision"/>
    <w:hidden/>
    <w:semiHidden/>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0" Type="http://schemas.openxmlformats.org/officeDocument/2006/relationships/glossaryDocument" Target="glossary/document.xml"/><Relationship Id="rId6" Type="http://schemas.openxmlformats.org/officeDocument/2006/relationships/header" Target="header2.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5.png"/><Relationship Id="rId54" Type="http://schemas.openxmlformats.org/officeDocument/2006/relationships/image" Target="media/image14.wmf"/><Relationship Id="rId53" Type="http://schemas.openxmlformats.org/officeDocument/2006/relationships/oleObject" Target="embeddings/oleObject8.bin"/><Relationship Id="rId52" Type="http://schemas.openxmlformats.org/officeDocument/2006/relationships/image" Target="media/image13.wmf"/><Relationship Id="rId51" Type="http://schemas.openxmlformats.org/officeDocument/2006/relationships/oleObject" Target="embeddings/oleObject7.bin"/><Relationship Id="rId50" Type="http://schemas.openxmlformats.org/officeDocument/2006/relationships/image" Target="media/image12.wmf"/><Relationship Id="rId5" Type="http://schemas.openxmlformats.org/officeDocument/2006/relationships/header" Target="header1.xml"/><Relationship Id="rId49" Type="http://schemas.openxmlformats.org/officeDocument/2006/relationships/oleObject" Target="embeddings/oleObject6.bin"/><Relationship Id="rId48" Type="http://schemas.openxmlformats.org/officeDocument/2006/relationships/image" Target="media/image11.wmf"/><Relationship Id="rId47" Type="http://schemas.openxmlformats.org/officeDocument/2006/relationships/oleObject" Target="embeddings/oleObject5.bin"/><Relationship Id="rId46" Type="http://schemas.openxmlformats.org/officeDocument/2006/relationships/image" Target="media/image10.wmf"/><Relationship Id="rId45" Type="http://schemas.openxmlformats.org/officeDocument/2006/relationships/oleObject" Target="embeddings/oleObject4.bin"/><Relationship Id="rId44" Type="http://schemas.openxmlformats.org/officeDocument/2006/relationships/image" Target="media/image9.wmf"/><Relationship Id="rId43" Type="http://schemas.openxmlformats.org/officeDocument/2006/relationships/oleObject" Target="embeddings/oleObject3.bin"/><Relationship Id="rId42" Type="http://schemas.openxmlformats.org/officeDocument/2006/relationships/image" Target="media/image8.wmf"/><Relationship Id="rId41" Type="http://schemas.openxmlformats.org/officeDocument/2006/relationships/oleObject" Target="embeddings/oleObject2.bin"/><Relationship Id="rId40" Type="http://schemas.openxmlformats.org/officeDocument/2006/relationships/image" Target="media/image7.wmf"/><Relationship Id="rId4" Type="http://schemas.openxmlformats.org/officeDocument/2006/relationships/endnotes" Target="endnotes.xml"/><Relationship Id="rId39" Type="http://schemas.openxmlformats.org/officeDocument/2006/relationships/oleObject" Target="embeddings/oleObject1.bin"/><Relationship Id="rId38" Type="http://schemas.openxmlformats.org/officeDocument/2006/relationships/image" Target="../../../../../../../../../../../../../../Wechat/xwechat_files/wxid_glk324ar31rf21_22d4/msg/DANA%2520WANG/Documents/WeChat%2520Files/wcc0116/FileStorage/File/AppData/Local/Temp/ksohtml43104/wps2.jpg" TargetMode="External"/><Relationship Id="rId37" Type="http://schemas.openxmlformats.org/officeDocument/2006/relationships/image" Target="media/image6.jpeg"/><Relationship Id="rId36" Type="http://schemas.openxmlformats.org/officeDocument/2006/relationships/image" Target="media/image5.pn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tiff"/><Relationship Id="rId32" Type="http://schemas.openxmlformats.org/officeDocument/2006/relationships/image" Target="media/image1.png"/><Relationship Id="rId31" Type="http://schemas.openxmlformats.org/officeDocument/2006/relationships/theme" Target="theme/theme1.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footer" Target="footer12.xml"/><Relationship Id="rId28" Type="http://schemas.openxmlformats.org/officeDocument/2006/relationships/header" Target="header13.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footer" Target="footer10.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F115908D9A045C7A09EFD82840776C7"/>
        <w:style w:val=""/>
        <w:category>
          <w:name w:val="常规"/>
          <w:gallery w:val="placeholder"/>
        </w:category>
        <w:types>
          <w:type w:val="bbPlcHdr"/>
        </w:types>
        <w:behaviors>
          <w:behavior w:val="content"/>
        </w:behaviors>
        <w:description w:val=""/>
        <w:guid w:val="{156D371B-6A4D-41F9-99AC-64A737D32E6A}"/>
      </w:docPartPr>
      <w:docPartBody>
        <w:p>
          <w:pPr>
            <w:pStyle w:val="5"/>
            <w:rPr>
              <w:rFonts w:hint="eastAsia"/>
            </w:rPr>
          </w:pPr>
          <w:r>
            <w:rPr>
              <w:rStyle w:val="4"/>
              <w:rFonts w:hint="eastAsia"/>
            </w:rPr>
            <w:t>单击或点击此处输入文字。</w:t>
          </w:r>
        </w:p>
      </w:docPartBody>
    </w:docPart>
    <w:docPart>
      <w:docPartPr>
        <w:name w:val="F09011D90DF04728BE06B32835C091BC"/>
        <w:style w:val=""/>
        <w:category>
          <w:name w:val="常规"/>
          <w:gallery w:val="placeholder"/>
        </w:category>
        <w:types>
          <w:type w:val="bbPlcHdr"/>
        </w:types>
        <w:behaviors>
          <w:behavior w:val="content"/>
        </w:behaviors>
        <w:description w:val=""/>
        <w:guid w:val="{4D13BDFF-9B9C-40E6-ACFD-5B3596C8541D}"/>
      </w:docPartPr>
      <w:docPartBody>
        <w:p>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20"/>
    <w:rsid w:val="00025419"/>
    <w:rsid w:val="00045FCE"/>
    <w:rsid w:val="00075292"/>
    <w:rsid w:val="001F1A27"/>
    <w:rsid w:val="00314713"/>
    <w:rsid w:val="00370B31"/>
    <w:rsid w:val="003B17BF"/>
    <w:rsid w:val="003E54B7"/>
    <w:rsid w:val="0045179E"/>
    <w:rsid w:val="004626B9"/>
    <w:rsid w:val="00474411"/>
    <w:rsid w:val="004A5453"/>
    <w:rsid w:val="005A0720"/>
    <w:rsid w:val="00673A84"/>
    <w:rsid w:val="006D2401"/>
    <w:rsid w:val="00753BD7"/>
    <w:rsid w:val="0079184B"/>
    <w:rsid w:val="008077C2"/>
    <w:rsid w:val="008A5904"/>
    <w:rsid w:val="008C1D73"/>
    <w:rsid w:val="00D03FAA"/>
    <w:rsid w:val="00D64790"/>
    <w:rsid w:val="00E13788"/>
    <w:rsid w:val="00E24DAF"/>
    <w:rsid w:val="00F21056"/>
    <w:rsid w:val="00F22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5F115908D9A045C7A09EFD82840776C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09011D90DF04728BE06B32835C091B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1ADBE-31E0-4788-AA7B-E4CCBBF69280}">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23</Pages>
  <Words>2908</Words>
  <Characters>16579</Characters>
  <Lines>138</Lines>
  <Paragraphs>38</Paragraphs>
  <TotalTime>1</TotalTime>
  <ScaleCrop>false</ScaleCrop>
  <LinksUpToDate>false</LinksUpToDate>
  <CharactersWithSpaces>19449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2025-08-18T01:59:00Z</dcterms:created>
  <dc:creator>起草人</dc:creator>
  <dc:description>&lt;config cover="true" show_menu="true" version="1.0.0" doctype="SDKXY"&gt;_x000d_
&lt;/config&gt;</dc:description>
  <cp:lastModifiedBy>武岑阳</cp:lastModifiedBy>
  <cp:lastPrinted>2025-08-18T01:59:00Z</cp:lastPrinted>
  <dcterms:modified xsi:type="dcterms:W3CDTF">2025-08-18T02:04:25Z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2052-12.1.0.15374</vt:lpwstr>
  </property>
  <property fmtid="{D5CDD505-2E9C-101B-9397-08002B2CF9AE}" pid="16" name="ICV">
    <vt:lpwstr>92ADF9EBF4AA4E2FBDBDD15042DADCA9_12</vt:lpwstr>
  </property>
</Properties>
</file>