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2A80F">
      <w:pPr>
        <w:pStyle w:val="126"/>
        <w:framePr w:wrap="around" w:vAnchor="page" w:y="511"/>
        <w:spacing w:line="360" w:lineRule="auto"/>
        <w:rPr>
          <w:rFonts w:hint="eastAsia" w:hAnsi="黑体"/>
        </w:rPr>
      </w:pPr>
      <w:r>
        <w:rPr>
          <w:rFonts w:hAnsi="黑体"/>
        </w:rPr>
        <w:t>ICS</w:t>
      </w:r>
      <w:r>
        <w:rPr>
          <w:rFonts w:hint="eastAsia" w:hAnsi="黑体"/>
        </w:rPr>
        <w:t xml:space="preserve"> </w:t>
      </w:r>
      <w:r>
        <w:rPr>
          <w:rFonts w:hAnsi="黑体" w:cs="Cambria Math"/>
        </w:rPr>
        <w:t>77.120.99</w:t>
      </w:r>
    </w:p>
    <w:p w14:paraId="0D460211">
      <w:pPr>
        <w:pStyle w:val="126"/>
        <w:framePr w:wrap="around" w:vAnchor="page" w:y="511"/>
        <w:spacing w:line="360" w:lineRule="auto"/>
        <w:rPr>
          <w:rFonts w:hint="eastAsia" w:hAnsi="黑体"/>
        </w:rPr>
      </w:pPr>
      <w:r>
        <w:rPr>
          <w:rFonts w:hint="eastAsia"/>
        </w:rPr>
        <w:t xml:space="preserve">CCS H </w:t>
      </w:r>
      <w:r>
        <w:rPr>
          <w:rFonts w:hAnsi="黑体"/>
        </w:rPr>
        <w:t>14</w:t>
      </w:r>
    </w:p>
    <w:p w14:paraId="43C160E7">
      <w:pPr>
        <w:pStyle w:val="69"/>
        <w:framePr w:wrap="around" w:vAnchor="page" w:hAnchor="page" w:x="7830" w:y="976"/>
        <w:spacing w:line="360" w:lineRule="auto"/>
      </w:pPr>
      <w:r>
        <w:drawing>
          <wp:inline distT="0" distB="0" distL="114300" distR="114300">
            <wp:extent cx="1449070" cy="716280"/>
            <wp:effectExtent l="0" t="0" r="17780" b="7620"/>
            <wp:docPr id="9"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GB"/>
                    <pic:cNvPicPr>
                      <a:picLocks noChangeAspect="1"/>
                    </pic:cNvPicPr>
                  </pic:nvPicPr>
                  <pic:blipFill>
                    <a:blip r:embed="rId6"/>
                    <a:stretch>
                      <a:fillRect/>
                    </a:stretch>
                  </pic:blipFill>
                  <pic:spPr>
                    <a:xfrm>
                      <a:off x="0" y="0"/>
                      <a:ext cx="1449070" cy="716280"/>
                    </a:xfrm>
                    <a:prstGeom prst="rect">
                      <a:avLst/>
                    </a:prstGeom>
                    <a:noFill/>
                    <a:ln>
                      <a:noFill/>
                    </a:ln>
                  </pic:spPr>
                </pic:pic>
              </a:graphicData>
            </a:graphic>
          </wp:inline>
        </w:drawing>
      </w:r>
    </w:p>
    <w:p w14:paraId="0E3193DA">
      <w:pPr>
        <w:pStyle w:val="70"/>
        <w:framePr w:wrap="around"/>
        <w:spacing w:line="360" w:lineRule="auto"/>
      </w:pPr>
      <w:r>
        <w:rPr>
          <w:rFonts w:hint="eastAsia"/>
        </w:rPr>
        <w:t>中华人民共和国国家标准</w:t>
      </w:r>
    </w:p>
    <w:p w14:paraId="7AD87947">
      <w:pPr>
        <w:pStyle w:val="50"/>
        <w:framePr w:wrap="around" w:x="1667" w:y="3016"/>
        <w:spacing w:before="0" w:line="360" w:lineRule="auto"/>
        <w:rPr>
          <w:rFonts w:hint="eastAsia" w:hAnsi="黑体"/>
        </w:rPr>
      </w:pPr>
      <w:r>
        <w:rPr>
          <w:rFonts w:hAnsi="黑体"/>
        </w:rPr>
        <w:t>GB/T</w:t>
      </w:r>
      <w:r>
        <w:rPr>
          <w:rFonts w:hint="eastAsia" w:hAnsi="黑体"/>
        </w:rPr>
        <w:t xml:space="preserve"> </w:t>
      </w:r>
      <w:r>
        <w:rPr>
          <w:rFonts w:hAnsi="黑体"/>
        </w:rPr>
        <w:t>XXXXX—</w:t>
      </w:r>
      <w:r>
        <w:rPr>
          <w:rFonts w:hint="eastAsia" w:hAnsi="黑体"/>
        </w:rPr>
        <w:t>XXXX</w:t>
      </w:r>
    </w:p>
    <w:tbl>
      <w:tblPr>
        <w:tblStyle w:val="36"/>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970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77492FEA">
            <w:pPr>
              <w:pStyle w:val="79"/>
              <w:framePr w:wrap="around" w:x="1667" w:y="3016"/>
              <w:spacing w:before="0" w:line="360" w:lineRule="auto"/>
              <w:ind w:right="420"/>
              <w:jc w:val="both"/>
            </w:pPr>
          </w:p>
        </w:tc>
      </w:tr>
    </w:tbl>
    <w:p w14:paraId="3B3A51E6">
      <w:pPr>
        <w:pStyle w:val="50"/>
        <w:framePr w:wrap="around" w:x="1667" w:y="3016"/>
        <w:spacing w:before="0" w:line="360" w:lineRule="auto"/>
      </w:pPr>
    </w:p>
    <w:p w14:paraId="26B42DE3">
      <w:pPr>
        <w:pStyle w:val="50"/>
        <w:framePr w:wrap="around" w:x="1667" w:y="3016"/>
        <w:spacing w:before="0" w:line="360" w:lineRule="auto"/>
      </w:pPr>
    </w:p>
    <w:p w14:paraId="4EDB318A">
      <w:pPr>
        <w:pStyle w:val="81"/>
        <w:framePr w:h="5866" w:hRule="exact" w:wrap="around" w:x="1456" w:y="6466"/>
        <w:spacing w:line="360" w:lineRule="auto"/>
        <w:rPr>
          <w:sz w:val="48"/>
          <w:szCs w:val="48"/>
        </w:rPr>
      </w:pPr>
      <w:r>
        <w:rPr>
          <w:rFonts w:hint="eastAsia" w:hAnsi="黑体"/>
          <w:color w:val="auto"/>
          <w:kern w:val="2"/>
          <w:sz w:val="48"/>
          <w:szCs w:val="48"/>
        </w:rPr>
        <w:t>烧结</w:t>
      </w:r>
      <w:r>
        <w:rPr>
          <w:rFonts w:hint="eastAsia" w:hAnsi="黑体"/>
          <w:kern w:val="2"/>
          <w:sz w:val="48"/>
          <w:szCs w:val="48"/>
        </w:rPr>
        <w:t>稀土铁硼永磁体</w:t>
      </w:r>
      <w:r>
        <w:rPr>
          <w:rFonts w:hint="eastAsia"/>
          <w:sz w:val="48"/>
          <w:szCs w:val="48"/>
        </w:rPr>
        <w:t>晶界扩散效果评价方法</w:t>
      </w:r>
    </w:p>
    <w:p w14:paraId="12875C94">
      <w:pPr>
        <w:pStyle w:val="81"/>
        <w:framePr w:h="5866" w:hRule="exact" w:wrap="around" w:x="1456" w:y="6466"/>
        <w:spacing w:line="360" w:lineRule="auto"/>
        <w:rPr>
          <w:sz w:val="44"/>
          <w:szCs w:val="44"/>
        </w:rPr>
      </w:pPr>
      <w:r>
        <w:rPr>
          <w:sz w:val="28"/>
          <w:szCs w:val="28"/>
        </w:rPr>
        <w:t>Evaluation</w:t>
      </w:r>
      <w:r>
        <w:rPr>
          <w:rFonts w:hint="eastAsia"/>
          <w:sz w:val="28"/>
          <w:szCs w:val="28"/>
        </w:rPr>
        <w:t xml:space="preserve"> method</w:t>
      </w:r>
      <w:r>
        <w:rPr>
          <w:sz w:val="28"/>
          <w:szCs w:val="28"/>
        </w:rPr>
        <w:t xml:space="preserve"> for grain boundary diffusion result of sintered </w:t>
      </w:r>
      <w:r>
        <w:rPr>
          <w:rFonts w:hint="eastAsia"/>
          <w:sz w:val="28"/>
          <w:szCs w:val="28"/>
        </w:rPr>
        <w:t>rare earth</w:t>
      </w:r>
      <w:r>
        <w:rPr>
          <w:sz w:val="28"/>
          <w:szCs w:val="28"/>
        </w:rPr>
        <w:t xml:space="preserve"> iron boron permanent magnets</w:t>
      </w:r>
    </w:p>
    <w:p w14:paraId="30FFCFF4">
      <w:pPr>
        <w:pStyle w:val="83"/>
        <w:framePr w:h="5866" w:hRule="exact" w:wrap="around" w:x="1456" w:y="6466"/>
        <w:spacing w:before="0" w:line="360" w:lineRule="auto"/>
        <w:rPr>
          <w:rFonts w:hint="eastAsia" w:ascii="黑体" w:hAnsi="黑体" w:eastAsia="黑体"/>
        </w:rPr>
      </w:pPr>
      <w:r>
        <w:rPr>
          <w:rFonts w:hint="eastAsia" w:ascii="黑体" w:hAnsi="黑体" w:eastAsia="黑体"/>
        </w:rPr>
        <w:t>（审</w:t>
      </w:r>
      <w:r>
        <w:rPr>
          <w:rFonts w:hint="eastAsia" w:ascii="黑体" w:hAnsi="黑体" w:eastAsia="黑体"/>
          <w:lang w:eastAsia="zh-CN"/>
        </w:rPr>
        <w:t>定</w:t>
      </w:r>
      <w:r>
        <w:rPr>
          <w:rFonts w:hint="eastAsia" w:ascii="黑体" w:hAnsi="黑体" w:eastAsia="黑体"/>
        </w:rPr>
        <w:t>稿）</w:t>
      </w:r>
    </w:p>
    <w:tbl>
      <w:tblPr>
        <w:tblStyle w:val="36"/>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3426F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trPr>
        <w:tc>
          <w:tcPr>
            <w:tcW w:w="9855" w:type="dxa"/>
            <w:tcBorders>
              <w:top w:val="nil"/>
              <w:left w:val="nil"/>
              <w:bottom w:val="nil"/>
              <w:right w:val="nil"/>
            </w:tcBorders>
            <w:shd w:val="clear" w:color="auto" w:fill="auto"/>
          </w:tcPr>
          <w:p w14:paraId="7232CEE2">
            <w:pPr>
              <w:pStyle w:val="84"/>
              <w:framePr w:h="5866" w:hRule="exact" w:wrap="around" w:x="1456" w:y="6466"/>
              <w:spacing w:before="0" w:line="360" w:lineRule="auto"/>
            </w:pPr>
            <w:r>
              <mc:AlternateContent>
                <mc:Choice Requires="wps">
                  <w:drawing>
                    <wp:anchor distT="0" distB="0" distL="114300" distR="114300" simplePos="0" relativeHeight="251662336" behindDoc="1" locked="1" layoutInCell="1" allowOverlap="1">
                      <wp:simplePos x="0" y="0"/>
                      <wp:positionH relativeFrom="column">
                        <wp:posOffset>2200910</wp:posOffset>
                      </wp:positionH>
                      <wp:positionV relativeFrom="paragraph">
                        <wp:posOffset>573405</wp:posOffset>
                      </wp:positionV>
                      <wp:extent cx="1905000" cy="254000"/>
                      <wp:effectExtent l="0" t="0" r="0" b="0"/>
                      <wp:wrapNone/>
                      <wp:docPr id="1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a:effectLst/>
                            </wps:spPr>
                            <wps:txbx>
                              <w:txbxContent>
                                <w:p w14:paraId="3E611C78"/>
                              </w:txbxContent>
                            </wps:txbx>
                            <wps:bodyPr upright="1"/>
                          </wps:wsp>
                        </a:graphicData>
                      </a:graphic>
                    </wp:anchor>
                  </w:drawing>
                </mc:Choice>
                <mc:Fallback>
                  <w:pict>
                    <v:rect id="RQ" o:spid="_x0000_s1026" o:spt="1" style="position:absolute;left:0pt;margin-left:173.3pt;margin-top:45.15pt;height:20pt;width:150pt;z-index:-251654144;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BYmuktUAAAAKAQAA&#10;DwAAAAAAAAABACAAAAAiAAAAZHJzL2Rvd25yZXYueG1sUEsBAhQAFAAAAAgAh07iQI67zn2qAQAA&#10;cwMAAA4AAAAAAAAAAQAgAAAAJAEAAGRycy9lMm9Eb2MueG1sUEsFBgAAAAAGAAYAWQEAAEAFAAAA&#10;AA==&#10;">
                      <v:fill on="t" focussize="0,0"/>
                      <v:stroke on="f"/>
                      <v:imagedata o:title=""/>
                      <o:lock v:ext="edit" aspectratio="f"/>
                      <v:textbox>
                        <w:txbxContent>
                          <w:p w14:paraId="3E611C78"/>
                        </w:txbxContent>
                      </v:textbox>
                      <w10:anchorlock/>
                    </v:rect>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2454910</wp:posOffset>
                      </wp:positionH>
                      <wp:positionV relativeFrom="paragraph">
                        <wp:posOffset>255905</wp:posOffset>
                      </wp:positionV>
                      <wp:extent cx="1270000" cy="304800"/>
                      <wp:effectExtent l="0" t="0" r="0" b="0"/>
                      <wp:wrapNone/>
                      <wp:docPr id="10"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a:effectLst/>
                            </wps:spPr>
                            <wps:txbx>
                              <w:txbxContent>
                                <w:p w14:paraId="69B53451"/>
                              </w:txbxContent>
                            </wps:txbx>
                            <wps:bodyPr upright="1"/>
                          </wps:wsp>
                        </a:graphicData>
                      </a:graphic>
                    </wp:anchor>
                  </w:drawing>
                </mc:Choice>
                <mc:Fallback>
                  <w:pict>
                    <v:rect id="LB" o:spid="_x0000_s1026" o:spt="1" style="position:absolute;left:0pt;margin-left:193.3pt;margin-top:20.15pt;height:24pt;width:100pt;z-index:-251655168;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GL5dYAAAAJAQAA&#10;DwAAAAAAAAABACAAAAAiAAAAZHJzL2Rvd25yZXYueG1sUEsBAhQAFAAAAAgAh07iQHlt8YqpAQAA&#10;cwMAAA4AAAAAAAAAAQAgAAAAJQEAAGRycy9lMm9Eb2MueG1sUEsFBgAAAAAGAAYAWQEAAEAFAAAA&#10;AA==&#10;">
                      <v:fill on="t" focussize="0,0"/>
                      <v:stroke on="f"/>
                      <v:imagedata o:title=""/>
                      <o:lock v:ext="edit" aspectratio="f"/>
                      <v:textbox>
                        <w:txbxContent>
                          <w:p w14:paraId="69B53451"/>
                        </w:txbxContent>
                      </v:textbox>
                    </v:rect>
                  </w:pict>
                </mc:Fallback>
              </mc:AlternateContent>
            </w:r>
          </w:p>
        </w:tc>
      </w:tr>
      <w:tr w14:paraId="1CEBC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707DDA9B">
            <w:pPr>
              <w:pStyle w:val="85"/>
              <w:framePr w:h="5866" w:hRule="exact" w:wrap="around" w:x="1456" w:y="6466"/>
              <w:spacing w:before="0" w:line="360" w:lineRule="auto"/>
            </w:pPr>
          </w:p>
        </w:tc>
      </w:tr>
    </w:tbl>
    <w:p w14:paraId="5FFC19F5">
      <w:pPr>
        <w:pStyle w:val="134"/>
        <w:framePr w:wrap="around" w:hAnchor="page" w:x="1289"/>
        <w:spacing w:line="360" w:lineRule="auto"/>
      </w:pPr>
      <w:bookmarkStart w:id="0" w:name="FY"/>
      <w:r>
        <w:rPr>
          <w:rFonts w:ascii="黑体"/>
        </w:rPr>
        <w:fldChar w:fldCharType="begin">
          <w:ffData>
            <w:name w:val="FY"/>
            <w:enabled/>
            <w:calcOnExit w:val="0"/>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0"/>
      <w:r>
        <w:rPr>
          <w:rFonts w:ascii="黑体"/>
        </w:rPr>
        <w:t>-</w:t>
      </w:r>
      <w:bookmarkStart w:id="1" w:name="FM"/>
      <w:r>
        <w:rPr>
          <w:rFonts w:ascii="黑体"/>
        </w:rPr>
        <w:fldChar w:fldCharType="begin">
          <w:ffData>
            <w:name w:val="F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
      <w:r>
        <w:rPr>
          <w:rFonts w:ascii="黑体"/>
        </w:rPr>
        <w:t>-</w:t>
      </w:r>
      <w:bookmarkStart w:id="2" w:name="FD"/>
      <w:r>
        <w:rPr>
          <w:rFonts w:ascii="黑体"/>
        </w:rPr>
        <w:fldChar w:fldCharType="begin">
          <w:ffData>
            <w:name w:val="F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2"/>
      <w:r>
        <w:rPr>
          <w:rFonts w:hint="eastAsia"/>
        </w:rPr>
        <w:t>发布</w:t>
      </w:r>
    </w:p>
    <w:p w14:paraId="74117769">
      <w:pPr>
        <w:pStyle w:val="135"/>
        <w:framePr w:wrap="around" w:hAnchor="page" w:x="6595" w:y="14060"/>
        <w:spacing w:line="360" w:lineRule="auto"/>
      </w:pPr>
      <w:bookmarkStart w:id="3" w:name="SY"/>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3"/>
      <w:r>
        <w:rPr>
          <w:rFonts w:ascii="黑体"/>
        </w:rPr>
        <w:t>-</w:t>
      </w:r>
      <w:bookmarkStart w:id="4"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4"/>
      <w:r>
        <w:rPr>
          <w:rFonts w:ascii="黑体"/>
        </w:rPr>
        <w:t>-</w:t>
      </w:r>
      <w:bookmarkStart w:id="5"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rPr>
          <w:rFonts w:hint="eastAsia"/>
        </w:rPr>
        <w:t>实施</w:t>
      </w:r>
    </w:p>
    <w:p w14:paraId="6EF269B7">
      <w:pPr>
        <w:pStyle w:val="77"/>
        <w:framePr w:w="10856" w:wrap="around" w:x="506" w:y="14656"/>
        <w:spacing w:line="0" w:lineRule="atLeast"/>
        <w:ind w:firstLine="3033" w:firstLineChars="700"/>
        <w:jc w:val="both"/>
        <w:rPr>
          <w:rStyle w:val="76"/>
          <w:b w:val="0"/>
          <w:spacing w:val="0"/>
        </w:rPr>
      </w:pPr>
      <w:r>
        <w:rPr>
          <w:rFonts w:hint="eastAsia"/>
          <w:spacing w:val="0"/>
          <w:sz w:val="32"/>
        </w:rPr>
        <w:t>国家市场监督管理总局</w:t>
      </w:r>
    </w:p>
    <w:p w14:paraId="77DD1EEA">
      <w:pPr>
        <w:framePr w:w="10856" w:h="1134" w:hRule="exact" w:hSpace="125" w:vSpace="181" w:wrap="around" w:vAnchor="page" w:hAnchor="page" w:x="506" w:y="14656" w:anchorLock="1"/>
        <w:spacing w:line="0" w:lineRule="atLeast"/>
        <w:ind w:firstLine="2946" w:firstLineChars="650"/>
      </w:pPr>
      <w:r>
        <w:rPr>
          <w:rFonts w:hint="eastAsia"/>
          <w:b/>
          <w:spacing w:val="10"/>
          <w:w w:val="135"/>
          <w:sz w:val="32"/>
        </w:rPr>
        <w:t xml:space="preserve">国家标准化管理委员会 </w:t>
      </w:r>
      <w:r>
        <w:rPr>
          <w:rStyle w:val="76"/>
          <w:rFonts w:hint="eastAsia"/>
          <w:position w:val="18"/>
          <w:sz w:val="32"/>
        </w:rPr>
        <w:t>发布</w:t>
      </w:r>
    </w:p>
    <w:p w14:paraId="3057E5BB">
      <w:pPr>
        <w:pStyle w:val="26"/>
        <w:spacing w:line="360" w:lineRule="auto"/>
        <w:sectPr>
          <w:pgSz w:w="11906" w:h="16838"/>
          <w:pgMar w:top="567" w:right="850" w:bottom="1134" w:left="1418" w:header="0" w:footer="0" w:gutter="0"/>
          <w:pgNumType w:start="1"/>
          <w:cols w:space="425" w:num="1"/>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-181610</wp:posOffset>
                </wp:positionH>
                <wp:positionV relativeFrom="paragraph">
                  <wp:posOffset>8945880</wp:posOffset>
                </wp:positionV>
                <wp:extent cx="6120130" cy="0"/>
                <wp:effectExtent l="0" t="0" r="0" b="0"/>
                <wp:wrapNone/>
                <wp:docPr id="8" name="直线 11"/>
                <wp:cNvGraphicFramePr/>
                <a:graphic xmlns:a="http://schemas.openxmlformats.org/drawingml/2006/main">
                  <a:graphicData uri="http://schemas.microsoft.com/office/word/2010/wordprocessingShape">
                    <wps:wsp>
                      <wps:cNvCnPr/>
                      <wps:spPr>
                        <a:xfrm>
                          <a:off x="0" y="0"/>
                          <a:ext cx="61201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直线 11" o:spid="_x0000_s1026" o:spt="20" style="position:absolute;left:0pt;margin-left:-14.3pt;margin-top:704.4pt;height:0pt;width:481.9pt;z-index:251660288;mso-width-relative:page;mso-height-relative:page;" filled="f" stroked="t" coordsize="21600,21600" o:gfxdata="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LY2jt1wAAAA0B&#10;AAAPAAAAAAAAAAEAIAAAACIAAABkcnMvZG93bnJldi54bWxQSwECFAAUAAAACACHTuJAgmovi+MB&#10;AADfAwAADgAAAAAAAAABACAAAAAmAQAAZHJzL2Uyb0RvYy54bWxQSwUGAAAAAAYABgBZAQAAewUA&#10;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2411730</wp:posOffset>
                </wp:positionV>
                <wp:extent cx="6120130" cy="0"/>
                <wp:effectExtent l="0" t="0" r="0" b="0"/>
                <wp:wrapNone/>
                <wp:docPr id="7" name="直线 11"/>
                <wp:cNvGraphicFramePr/>
                <a:graphic xmlns:a="http://schemas.openxmlformats.org/drawingml/2006/main">
                  <a:graphicData uri="http://schemas.microsoft.com/office/word/2010/wordprocessingShape">
                    <wps:wsp>
                      <wps:cNvCnPr/>
                      <wps:spPr>
                        <a:xfrm>
                          <a:off x="0" y="0"/>
                          <a:ext cx="61201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直线 11" o:spid="_x0000_s1026" o:spt="20" style="position:absolute;left:0pt;margin-left:-0.05pt;margin-top:189.9pt;height:0pt;width:481.9pt;z-index:251659264;mso-width-relative:page;mso-height-relative:page;" filled="f" stroked="t" coordsize="21600,21600" o:gfxdata="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Mo+mA1gAAAAkB&#10;AAAPAAAAAAAAAAEAIAAAACIAAABkcnMvZG93bnJldi54bWxQSwECFAAUAAAACACHTuJAt47ICuQB&#10;AADfAwAADgAAAAAAAAABACAAAAAlAQAAZHJzL2Uyb0RvYy54bWxQSwUGAAAAAAYABgBZAQAAewUA&#10;AAAA&#10;">
                <v:fill on="f" focussize="0,0"/>
                <v:stroke weight="1.5pt" color="#000000" joinstyle="round"/>
                <v:imagedata o:title=""/>
                <o:lock v:ext="edit" aspectratio="f"/>
              </v:line>
            </w:pict>
          </mc:Fallback>
        </mc:AlternateContent>
      </w:r>
    </w:p>
    <w:p w14:paraId="6C3DAC44">
      <w:pPr>
        <w:pStyle w:val="115"/>
        <w:spacing w:before="312" w:beforeLines="100" w:after="440" w:line="360" w:lineRule="auto"/>
        <w:rPr>
          <w:rFonts w:hint="eastAsia" w:hAnsi="黑体"/>
        </w:rPr>
      </w:pPr>
      <w:r>
        <w:rPr>
          <w:rFonts w:hint="eastAsia" w:hAnsi="黑体"/>
        </w:rPr>
        <w:t>前</w:t>
      </w:r>
      <w:bookmarkStart w:id="6" w:name="BKQY"/>
      <w:r>
        <w:rPr>
          <w:rFonts w:hint="eastAsia" w:hAnsi="黑体"/>
        </w:rPr>
        <w:t>言</w:t>
      </w:r>
      <w:bookmarkEnd w:id="6"/>
    </w:p>
    <w:p w14:paraId="637068B8">
      <w:pPr>
        <w:widowControl/>
        <w:tabs>
          <w:tab w:val="center" w:pos="4201"/>
          <w:tab w:val="right" w:leader="dot" w:pos="9298"/>
        </w:tabs>
        <w:autoSpaceDE w:val="0"/>
        <w:autoSpaceDN w:val="0"/>
        <w:adjustRightInd w:val="0"/>
        <w:ind w:left="141" w:leftChars="67" w:firstLine="424" w:firstLineChars="202"/>
        <w:rPr>
          <w:rFonts w:hint="eastAsia" w:ascii="宋体" w:hAnsi="宋体"/>
          <w:kern w:val="0"/>
          <w:szCs w:val="21"/>
        </w:rPr>
      </w:pPr>
      <w:r>
        <w:rPr>
          <w:rFonts w:ascii="宋体" w:hAnsi="宋体"/>
          <w:kern w:val="0"/>
          <w:szCs w:val="21"/>
        </w:rPr>
        <w:t>本</w:t>
      </w:r>
      <w:r>
        <w:rPr>
          <w:rFonts w:hint="eastAsia" w:ascii="宋体" w:hAnsi="宋体"/>
          <w:kern w:val="0"/>
          <w:szCs w:val="21"/>
        </w:rPr>
        <w:t>文件</w:t>
      </w:r>
      <w:r>
        <w:rPr>
          <w:rFonts w:ascii="宋体" w:hAnsi="宋体"/>
          <w:kern w:val="0"/>
          <w:szCs w:val="21"/>
        </w:rPr>
        <w:t>按照GB/T 1.1-20</w:t>
      </w:r>
      <w:r>
        <w:rPr>
          <w:rFonts w:hint="eastAsia" w:ascii="宋体" w:hAnsi="宋体"/>
          <w:kern w:val="0"/>
          <w:szCs w:val="21"/>
        </w:rPr>
        <w:t>20《标准化工作导则 第1部分：标准化文件的结构和起草规则》</w:t>
      </w:r>
      <w:r>
        <w:rPr>
          <w:rFonts w:ascii="宋体" w:hAnsi="宋体"/>
          <w:kern w:val="0"/>
          <w:szCs w:val="21"/>
        </w:rPr>
        <w:t>的规</w:t>
      </w:r>
      <w:r>
        <w:rPr>
          <w:rFonts w:hint="eastAsia" w:ascii="宋体" w:hAnsi="宋体"/>
          <w:kern w:val="0"/>
          <w:szCs w:val="21"/>
        </w:rPr>
        <w:t>定</w:t>
      </w:r>
      <w:r>
        <w:rPr>
          <w:rFonts w:ascii="宋体" w:hAnsi="宋体"/>
          <w:kern w:val="0"/>
          <w:szCs w:val="21"/>
        </w:rPr>
        <w:t>起草。</w:t>
      </w:r>
    </w:p>
    <w:p w14:paraId="19619640">
      <w:pPr>
        <w:adjustRightInd w:val="0"/>
        <w:ind w:left="566" w:leftChars="252" w:hanging="37" w:hangingChars="18"/>
        <w:rPr>
          <w:rFonts w:hint="eastAsia" w:ascii="宋体" w:hAnsi="宋体"/>
          <w:szCs w:val="21"/>
        </w:rPr>
      </w:pPr>
      <w:r>
        <w:rPr>
          <w:rFonts w:hint="eastAsia" w:ascii="宋体" w:hAnsi="宋体"/>
          <w:szCs w:val="21"/>
        </w:rPr>
        <w:t>本文件由全国稀土标准化技术委员会</w:t>
      </w:r>
      <w:r>
        <w:rPr>
          <w:rFonts w:ascii="宋体" w:hAnsi="宋体"/>
          <w:szCs w:val="21"/>
        </w:rPr>
        <w:t>（SAC/TC 229）</w:t>
      </w:r>
      <w:r>
        <w:rPr>
          <w:rFonts w:hint="eastAsia" w:ascii="宋体" w:hAnsi="宋体"/>
          <w:szCs w:val="21"/>
        </w:rPr>
        <w:t>提出并归口。</w:t>
      </w:r>
    </w:p>
    <w:p w14:paraId="306BE699">
      <w:pPr>
        <w:adjustRightInd w:val="0"/>
        <w:ind w:firstLine="567" w:firstLineChars="270"/>
        <w:rPr>
          <w:rFonts w:hint="eastAsia" w:ascii="宋体" w:hAnsi="宋体" w:eastAsia="宋体"/>
          <w:szCs w:val="21"/>
          <w:lang w:eastAsia="zh-CN"/>
        </w:rPr>
      </w:pPr>
      <w:r>
        <w:rPr>
          <w:rFonts w:ascii="宋体" w:hAnsi="宋体"/>
          <w:szCs w:val="21"/>
        </w:rPr>
        <w:t>本</w:t>
      </w:r>
      <w:r>
        <w:rPr>
          <w:rFonts w:hint="eastAsia" w:ascii="宋体" w:hAnsi="宋体"/>
          <w:szCs w:val="21"/>
        </w:rPr>
        <w:t>文件起草单位：</w:t>
      </w:r>
      <w:r>
        <w:rPr>
          <w:rFonts w:hint="eastAsia" w:ascii="宋体" w:hAnsi="宋体" w:cs="宋体"/>
        </w:rPr>
        <w:t>宁波科宁达工业有限公司</w:t>
      </w:r>
      <w:r>
        <w:rPr>
          <w:rFonts w:hint="eastAsia" w:ascii="宋体" w:hAnsi="宋体" w:cs="宋体"/>
          <w:lang w:eastAsia="zh-CN"/>
        </w:rPr>
        <w:t>、</w:t>
      </w:r>
      <w:r>
        <w:rPr>
          <w:rFonts w:hint="eastAsia" w:ascii="宋体" w:hAnsi="宋体" w:cs="宋体"/>
        </w:rPr>
        <w:t>中国科学院力学研究所</w:t>
      </w:r>
      <w:r>
        <w:rPr>
          <w:rFonts w:hint="eastAsia" w:ascii="宋体" w:hAnsi="宋体"/>
          <w:szCs w:val="21"/>
          <w:lang w:eastAsia="zh-CN"/>
        </w:rPr>
        <w:t>、</w:t>
      </w:r>
      <w:r>
        <w:rPr>
          <w:rFonts w:hint="eastAsia" w:ascii="宋体" w:hAnsi="宋体" w:cs="宋体"/>
          <w:spacing w:val="-1"/>
        </w:rPr>
        <w:t>中科三环（赣州）新材料有限公司</w:t>
      </w:r>
      <w:r>
        <w:rPr>
          <w:rFonts w:hint="eastAsia" w:ascii="宋体" w:hAnsi="宋体" w:cs="宋体"/>
          <w:spacing w:val="-1"/>
          <w:lang w:eastAsia="zh-CN"/>
        </w:rPr>
        <w:t>、</w:t>
      </w:r>
      <w:r>
        <w:rPr>
          <w:rFonts w:hint="eastAsia"/>
          <w:szCs w:val="21"/>
        </w:rPr>
        <w:t>国标（北京）检验认证有限公司、包头稀土研究院、</w:t>
      </w:r>
      <w:r>
        <w:rPr>
          <w:rFonts w:hint="eastAsia" w:ascii="宋体" w:hAnsi="宋体" w:cs="宋体"/>
        </w:rPr>
        <w:t>北京安科慧生科技有限公司</w:t>
      </w:r>
      <w:r>
        <w:rPr>
          <w:rFonts w:hint="eastAsia" w:ascii="宋体" w:hAnsi="宋体" w:cs="宋体"/>
          <w:lang w:eastAsia="zh-CN"/>
        </w:rPr>
        <w:t>、</w:t>
      </w:r>
      <w:r>
        <w:rPr>
          <w:rFonts w:hint="eastAsia" w:ascii="宋体" w:hAnsi="宋体" w:cs="宋体"/>
        </w:rPr>
        <w:t>北京中科三环高技术股份有限公司</w:t>
      </w:r>
      <w:r>
        <w:rPr>
          <w:rFonts w:hint="eastAsia" w:ascii="宋体" w:hAnsi="宋体" w:cs="宋体"/>
          <w:lang w:eastAsia="zh-CN"/>
        </w:rPr>
        <w:t>、</w:t>
      </w:r>
      <w:r>
        <w:rPr>
          <w:rFonts w:hint="eastAsia" w:ascii="宋体" w:hAnsi="宋体" w:cs="宋体"/>
          <w:szCs w:val="21"/>
        </w:rPr>
        <w:t>杭州美磁科技有限公司、安徽大地熊新</w:t>
      </w:r>
      <w:r>
        <w:rPr>
          <w:rFonts w:hint="eastAsia" w:ascii="宋体" w:hAnsi="宋体" w:cs="宋体"/>
        </w:rPr>
        <w:t>材料股份有限公司、虔东稀土集团股份有限公司、安泰科技股份有限公司、包头天和磁材科技股份有限公司、包头市英思特稀磁新材料股份有限公司、</w:t>
      </w:r>
      <w:r>
        <w:rPr>
          <w:rFonts w:hint="eastAsia" w:ascii="宋体" w:hAnsi="宋体" w:cs="宋体"/>
          <w:spacing w:val="-1"/>
        </w:rPr>
        <w:t>天津三环乐喜新材料有限</w:t>
      </w:r>
      <w:r>
        <w:rPr>
          <w:rFonts w:hint="eastAsia" w:ascii="宋体" w:hAnsi="宋体" w:cs="宋体"/>
          <w:spacing w:val="-1"/>
          <w:szCs w:val="21"/>
        </w:rPr>
        <w:t>公司</w:t>
      </w:r>
      <w:r>
        <w:rPr>
          <w:rFonts w:hint="eastAsia" w:ascii="宋体" w:hAnsi="宋体" w:cs="宋体"/>
          <w:spacing w:val="-1"/>
          <w:szCs w:val="21"/>
          <w:lang w:eastAsia="zh-CN"/>
        </w:rPr>
        <w:t>、</w:t>
      </w:r>
      <w:r>
        <w:rPr>
          <w:rFonts w:hint="eastAsia" w:ascii="宋体" w:hAnsi="宋体" w:cs="宋体"/>
        </w:rPr>
        <w:t>福建省金龙稀土有限公司、赣州富尔特电子股份有限公司、宁波科田磁业股份有限公司、有研稀土（荣城）有限公司</w:t>
      </w:r>
      <w:r>
        <w:rPr>
          <w:rFonts w:hint="eastAsia" w:ascii="宋体" w:hAnsi="宋体" w:cs="宋体"/>
          <w:lang w:eastAsia="zh-CN"/>
        </w:rPr>
        <w:t>、</w:t>
      </w:r>
      <w:r>
        <w:rPr>
          <w:rFonts w:hint="eastAsia" w:ascii="宋体" w:hAnsi="宋体" w:cs="宋体"/>
        </w:rPr>
        <w:t>宁波韵升股份有限公司、包头金山磁材有限公司</w:t>
      </w:r>
      <w:r>
        <w:rPr>
          <w:rFonts w:ascii="宋体" w:hAnsi="宋体" w:cs="宋体"/>
        </w:rPr>
        <w:t>。</w:t>
      </w:r>
    </w:p>
    <w:p w14:paraId="33807E79">
      <w:pPr>
        <w:adjustRightInd w:val="0"/>
        <w:spacing w:line="240" w:lineRule="auto"/>
        <w:ind w:firstLine="567" w:firstLineChars="270"/>
        <w:rPr>
          <w:rFonts w:hint="eastAsia" w:eastAsia="宋体"/>
          <w:lang w:eastAsia="zh-CN"/>
        </w:rPr>
        <w:sectPr>
          <w:headerReference r:id="rId3" w:type="default"/>
          <w:footerReference r:id="rId4" w:type="default"/>
          <w:pgSz w:w="11906" w:h="16838"/>
          <w:pgMar w:top="567" w:right="1134" w:bottom="1134" w:left="1418" w:header="1418" w:footer="1134" w:gutter="0"/>
          <w:pgNumType w:fmt="upperRoman" w:start="1"/>
          <w:cols w:space="425" w:num="1"/>
          <w:formProt w:val="0"/>
          <w:docGrid w:type="lines" w:linePitch="312" w:charSpace="0"/>
        </w:sectPr>
      </w:pPr>
      <w:r>
        <w:rPr>
          <w:rFonts w:ascii="宋体" w:hAnsi="宋体"/>
          <w:szCs w:val="21"/>
        </w:rPr>
        <w:t>本</w:t>
      </w:r>
      <w:r>
        <w:rPr>
          <w:rFonts w:hint="eastAsia" w:ascii="宋体" w:hAnsi="宋体"/>
          <w:szCs w:val="21"/>
        </w:rPr>
        <w:t>文件</w:t>
      </w:r>
      <w:r>
        <w:rPr>
          <w:rFonts w:ascii="宋体" w:hAnsi="宋体"/>
          <w:szCs w:val="21"/>
        </w:rPr>
        <w:t>主要起草人：</w:t>
      </w:r>
      <w:r>
        <w:rPr>
          <w:rFonts w:hint="eastAsia" w:ascii="宋体" w:hAnsi="宋体"/>
          <w:szCs w:val="21"/>
        </w:rPr>
        <w:t xml:space="preserve"> </w:t>
      </w:r>
      <w:r>
        <w:rPr>
          <w:rFonts w:ascii="Arial" w:hAnsi="Arial" w:cs="Arial"/>
          <w:sz w:val="18"/>
          <w:szCs w:val="18"/>
        </w:rPr>
        <w:t>金国顺、曹朔豪</w:t>
      </w:r>
      <w:r>
        <w:rPr>
          <w:rFonts w:hint="eastAsia" w:ascii="Arial" w:hAnsi="Arial" w:cs="Arial"/>
          <w:sz w:val="18"/>
          <w:szCs w:val="18"/>
        </w:rPr>
        <w:t>、</w:t>
      </w:r>
      <w:r>
        <w:rPr>
          <w:rFonts w:hint="eastAsia" w:ascii="Arial" w:hAnsi="Arial" w:cs="Arial"/>
          <w:sz w:val="18"/>
          <w:szCs w:val="18"/>
          <w:lang w:eastAsia="zh-CN"/>
        </w:rPr>
        <w:t>徐延龙、</w:t>
      </w:r>
      <w:r>
        <w:rPr>
          <w:rFonts w:hint="eastAsia" w:ascii="Arial" w:hAnsi="Arial" w:cs="Arial"/>
          <w:sz w:val="18"/>
          <w:szCs w:val="18"/>
        </w:rPr>
        <w:t>沈炯</w:t>
      </w:r>
      <w:r>
        <w:rPr>
          <w:rFonts w:hint="eastAsia" w:ascii="Arial" w:hAnsi="Arial" w:cs="Arial"/>
          <w:sz w:val="18"/>
          <w:szCs w:val="18"/>
          <w:lang w:eastAsia="zh-CN"/>
        </w:rPr>
        <w:t>、</w:t>
      </w:r>
      <w:r>
        <w:rPr>
          <w:rFonts w:hint="eastAsia" w:ascii="Arial" w:hAnsi="Arial" w:cs="Arial"/>
          <w:sz w:val="18"/>
          <w:szCs w:val="18"/>
        </w:rPr>
        <w:t>夏原、于磊、崔红兵、田红丽</w:t>
      </w:r>
      <w:r>
        <w:rPr>
          <w:rFonts w:hint="eastAsia" w:ascii="Arial" w:hAnsi="Arial" w:cs="Arial"/>
          <w:sz w:val="18"/>
          <w:szCs w:val="18"/>
          <w:lang w:eastAsia="zh-CN"/>
        </w:rPr>
        <w:t>、</w:t>
      </w:r>
      <w:r>
        <w:rPr>
          <w:rFonts w:hint="eastAsia" w:ascii="Arial" w:hAnsi="Arial" w:cs="Arial"/>
          <w:sz w:val="18"/>
          <w:szCs w:val="18"/>
        </w:rPr>
        <w:t>辜程宏、薛慧力、</w:t>
      </w:r>
      <w:r>
        <w:rPr>
          <w:rFonts w:hint="eastAsia" w:ascii="Arial" w:hAnsi="Arial" w:cs="Arial"/>
          <w:sz w:val="18"/>
          <w:szCs w:val="18"/>
          <w:lang w:eastAsia="zh-CN"/>
        </w:rPr>
        <w:t>陈治安、</w:t>
      </w:r>
      <w:r>
        <w:rPr>
          <w:rFonts w:hint="eastAsia" w:ascii="Arial" w:hAnsi="Arial" w:cs="Arial"/>
          <w:sz w:val="18"/>
          <w:szCs w:val="18"/>
        </w:rPr>
        <w:t>贾生礼、周志国、姚南红、周磊、郁龙</w:t>
      </w:r>
      <w:r>
        <w:rPr>
          <w:rFonts w:hint="eastAsia" w:ascii="Arial" w:hAnsi="Arial" w:cs="Arial"/>
          <w:sz w:val="18"/>
          <w:szCs w:val="18"/>
          <w:lang w:eastAsia="zh-CN"/>
        </w:rPr>
        <w:t>、</w:t>
      </w:r>
      <w:r>
        <w:rPr>
          <w:rFonts w:hint="eastAsia" w:ascii="Arial" w:hAnsi="Arial" w:cs="Arial"/>
          <w:sz w:val="18"/>
          <w:szCs w:val="18"/>
        </w:rPr>
        <w:t>董改华</w:t>
      </w:r>
      <w:r>
        <w:rPr>
          <w:rFonts w:hint="eastAsia" w:ascii="Arial" w:hAnsi="Arial" w:cs="Arial"/>
          <w:sz w:val="18"/>
          <w:szCs w:val="18"/>
          <w:lang w:eastAsia="zh-CN"/>
        </w:rPr>
        <w:t>、占礼春、</w:t>
      </w:r>
      <w:r>
        <w:rPr>
          <w:rFonts w:hint="eastAsia" w:ascii="Arial" w:hAnsi="Arial" w:cs="Arial"/>
          <w:sz w:val="18"/>
          <w:szCs w:val="18"/>
        </w:rPr>
        <w:t>刘伍利、张久磊、</w:t>
      </w:r>
      <w:r>
        <w:rPr>
          <w:rFonts w:hint="eastAsia" w:ascii="Arial" w:hAnsi="Arial" w:cs="Arial"/>
          <w:sz w:val="18"/>
          <w:szCs w:val="18"/>
          <w:lang w:eastAsia="zh-CN"/>
        </w:rPr>
        <w:t>田广科、</w:t>
      </w:r>
      <w:r>
        <w:rPr>
          <w:rFonts w:hint="eastAsia" w:ascii="Arial" w:hAnsi="Arial" w:cs="Arial"/>
          <w:sz w:val="18"/>
          <w:szCs w:val="18"/>
        </w:rPr>
        <w:t>戚植奇、严长江、林笑</w:t>
      </w:r>
      <w:r>
        <w:rPr>
          <w:rFonts w:hint="eastAsia" w:ascii="Arial" w:hAnsi="Arial" w:cs="Arial"/>
          <w:sz w:val="18"/>
          <w:szCs w:val="18"/>
          <w:lang w:eastAsia="zh-CN"/>
        </w:rPr>
        <w:t>、</w:t>
      </w:r>
      <w:r>
        <w:rPr>
          <w:rFonts w:hint="eastAsia" w:ascii="Arial" w:hAnsi="Arial" w:cs="Arial"/>
          <w:sz w:val="18"/>
          <w:szCs w:val="18"/>
        </w:rPr>
        <w:t>刘少伟、王瑜</w:t>
      </w:r>
      <w:r>
        <w:rPr>
          <w:rFonts w:hint="eastAsia" w:ascii="Arial" w:hAnsi="Arial" w:cs="Arial"/>
          <w:sz w:val="18"/>
          <w:szCs w:val="18"/>
          <w:lang w:eastAsia="zh-CN"/>
        </w:rPr>
        <w:t>、姚丽红、田广和</w:t>
      </w:r>
      <w:r>
        <w:rPr>
          <w:rFonts w:hint="eastAsia"/>
          <w:lang w:eastAsia="zh-CN"/>
        </w:rPr>
        <w:t>。</w:t>
      </w:r>
    </w:p>
    <w:p w14:paraId="495D3ED7">
      <w:pPr>
        <w:pStyle w:val="53"/>
        <w:snapToGrid w:val="0"/>
        <w:spacing w:line="360" w:lineRule="auto"/>
        <w:rPr>
          <w:szCs w:val="32"/>
        </w:rPr>
      </w:pPr>
      <w:bookmarkStart w:id="7" w:name="StandardName"/>
      <w:r>
        <w:rPr>
          <w:rFonts w:hint="eastAsia"/>
          <w:color w:val="auto"/>
          <w:szCs w:val="52"/>
        </w:rPr>
        <w:t>烧结稀</w:t>
      </w:r>
      <w:r>
        <w:rPr>
          <w:rFonts w:hint="eastAsia"/>
          <w:szCs w:val="52"/>
        </w:rPr>
        <w:t>土铁硼永磁体</w:t>
      </w:r>
      <w:r>
        <w:rPr>
          <w:rFonts w:hint="eastAsia"/>
        </w:rPr>
        <w:t>晶界扩散效果评价方法</w:t>
      </w:r>
    </w:p>
    <w:bookmarkEnd w:id="7"/>
    <w:p w14:paraId="6B876A07">
      <w:pPr>
        <w:pStyle w:val="48"/>
        <w:spacing w:before="312" w:after="312"/>
      </w:pPr>
      <w:r>
        <w:t>范围</w:t>
      </w:r>
    </w:p>
    <w:p w14:paraId="62A590A1">
      <w:pPr>
        <w:pStyle w:val="144"/>
        <w:adjustRightInd/>
        <w:spacing w:line="240" w:lineRule="auto"/>
        <w:ind w:firstLine="420" w:firstLineChars="200"/>
        <w:jc w:val="both"/>
      </w:pPr>
      <w:r>
        <w:rPr>
          <w:rFonts w:hint="eastAsia"/>
        </w:rPr>
        <w:t>本文件描述了烧结稀土铁硼</w:t>
      </w:r>
      <w:r>
        <w:rPr>
          <w:rFonts w:hint="eastAsia"/>
          <w:szCs w:val="52"/>
        </w:rPr>
        <w:t>永磁体晶界扩散效果的评价方法，包括磁性能评价法和扩散元素含量评价法</w:t>
      </w:r>
      <w:r>
        <w:rPr>
          <w:rFonts w:hint="eastAsia" w:ascii="宋体" w:hAnsi="宋体"/>
          <w:szCs w:val="21"/>
        </w:rPr>
        <w:t>。</w:t>
      </w:r>
    </w:p>
    <w:p w14:paraId="217372F3">
      <w:pPr>
        <w:pStyle w:val="33"/>
        <w:widowControl w:val="0"/>
        <w:spacing w:before="0" w:beforeAutospacing="0" w:after="0" w:afterAutospacing="0"/>
        <w:ind w:firstLine="420" w:firstLineChars="200"/>
        <w:jc w:val="both"/>
        <w:rPr>
          <w:rFonts w:hint="eastAsia" w:asciiTheme="minorEastAsia" w:hAnsiTheme="minorEastAsia" w:eastAsiaTheme="minorEastAsia" w:cstheme="minorEastAsia"/>
          <w:strike/>
          <w:kern w:val="2"/>
          <w:sz w:val="21"/>
          <w:szCs w:val="21"/>
          <w:lang w:bidi="ar"/>
        </w:rPr>
      </w:pPr>
      <w:r>
        <w:rPr>
          <w:rFonts w:hint="eastAsia" w:ascii="Times New Roman" w:hAnsi="Times New Roman" w:cs="Times New Roman"/>
          <w:kern w:val="2"/>
          <w:sz w:val="21"/>
          <w:lang w:bidi="ar"/>
        </w:rPr>
        <w:t>本文件适用于烧结稀土铁硼永磁体</w:t>
      </w:r>
      <w:r>
        <w:rPr>
          <w:rFonts w:hint="eastAsia" w:ascii="Times New Roman" w:hAnsi="Times New Roman" w:cs="Times New Roman"/>
          <w:kern w:val="2"/>
          <w:sz w:val="21"/>
          <w:lang w:eastAsia="zh-CN" w:bidi="ar"/>
        </w:rPr>
        <w:t>典型</w:t>
      </w:r>
      <w:r>
        <w:rPr>
          <w:rFonts w:hint="eastAsia" w:ascii="Times New Roman" w:hAnsi="Times New Roman" w:cs="Times New Roman"/>
          <w:kern w:val="2"/>
          <w:sz w:val="21"/>
          <w:lang w:bidi="ar"/>
        </w:rPr>
        <w:t>晶界扩散效果</w:t>
      </w:r>
      <w:r>
        <w:rPr>
          <w:rFonts w:hint="eastAsia" w:ascii="Times New Roman" w:hAnsi="Times New Roman" w:cs="Times New Roman"/>
          <w:kern w:val="2"/>
          <w:sz w:val="21"/>
          <w:lang w:eastAsia="zh-CN" w:bidi="ar"/>
        </w:rPr>
        <w:t>的</w:t>
      </w:r>
      <w:r>
        <w:rPr>
          <w:rFonts w:hint="eastAsia" w:ascii="Times New Roman" w:hAnsi="Times New Roman" w:cs="Times New Roman"/>
          <w:kern w:val="2"/>
          <w:sz w:val="21"/>
          <w:lang w:bidi="ar"/>
        </w:rPr>
        <w:t>评价</w:t>
      </w:r>
      <w:r>
        <w:rPr>
          <w:rFonts w:hint="eastAsia" w:ascii="宋体" w:hAnsi="宋体"/>
          <w:szCs w:val="21"/>
        </w:rPr>
        <w:t>。</w:t>
      </w:r>
    </w:p>
    <w:p w14:paraId="49CAA8D4">
      <w:pPr>
        <w:pStyle w:val="33"/>
        <w:widowControl w:val="0"/>
        <w:spacing w:before="0" w:beforeAutospacing="0" w:after="0" w:afterAutospacing="0"/>
        <w:ind w:firstLine="360" w:firstLineChars="200"/>
        <w:jc w:val="both"/>
        <w:rPr>
          <w:rFonts w:hint="eastAsia" w:eastAsiaTheme="minorEastAsia"/>
        </w:rPr>
      </w:pPr>
      <w:r>
        <w:rPr>
          <w:rFonts w:hint="eastAsia" w:ascii="黑体" w:eastAsia="黑体" w:cs="Times New Roman"/>
          <w:kern w:val="2"/>
          <w:sz w:val="18"/>
          <w:szCs w:val="18"/>
          <w:lang w:bidi="ar"/>
        </w:rPr>
        <w:t>注：</w:t>
      </w:r>
      <w:r>
        <w:rPr>
          <w:rFonts w:hint="eastAsia" w:asciiTheme="minorEastAsia" w:hAnsiTheme="minorEastAsia" w:eastAsiaTheme="minorEastAsia" w:cstheme="minorEastAsia"/>
          <w:kern w:val="2"/>
          <w:sz w:val="18"/>
          <w:szCs w:val="18"/>
          <w:lang w:eastAsia="zh-CN" w:bidi="ar"/>
        </w:rPr>
        <w:t>非典型晶界扩散或非典型样品的扩散效果评价，可参考</w:t>
      </w:r>
      <w:r>
        <w:rPr>
          <w:rFonts w:hint="eastAsia" w:asciiTheme="minorEastAsia" w:hAnsiTheme="minorEastAsia" w:eastAsiaTheme="minorEastAsia" w:cstheme="minorEastAsia"/>
          <w:kern w:val="2"/>
          <w:sz w:val="18"/>
          <w:szCs w:val="18"/>
          <w:lang w:bidi="ar"/>
        </w:rPr>
        <w:t>附录A。</w:t>
      </w:r>
    </w:p>
    <w:p w14:paraId="4E432D43">
      <w:pPr>
        <w:pStyle w:val="48"/>
        <w:spacing w:before="312" w:after="312"/>
      </w:pPr>
      <w:bookmarkStart w:id="8" w:name="_Hlk49348013"/>
      <w:r>
        <w:t>规范性引用文件</w:t>
      </w:r>
    </w:p>
    <w:bookmarkEnd w:id="8"/>
    <w:p w14:paraId="4A857DD3">
      <w:pPr>
        <w:pStyle w:val="17"/>
        <w:spacing w:line="240" w:lineRule="auto"/>
        <w:rPr>
          <w:szCs w:val="21"/>
        </w:rPr>
      </w:pPr>
      <w:r>
        <w:t>下列文件</w:t>
      </w:r>
      <w:r>
        <w:rPr>
          <w:rFonts w:hint="eastAsia"/>
        </w:rPr>
        <w:t>中的内容通过文中的规范性引用而构成</w:t>
      </w:r>
      <w:r>
        <w:t>本文件</w:t>
      </w:r>
      <w:r>
        <w:rPr>
          <w:rFonts w:hint="eastAsia"/>
        </w:rPr>
        <w:t>必不可少的条款。其中，</w:t>
      </w:r>
      <w:r>
        <w:t>注日期的引用文件，仅</w:t>
      </w:r>
      <w:r>
        <w:rPr>
          <w:rFonts w:hint="eastAsia"/>
        </w:rPr>
        <w:t>该</w:t>
      </w:r>
      <w:r>
        <w:t>日期</w:t>
      </w:r>
      <w:r>
        <w:rPr>
          <w:rFonts w:hint="eastAsia"/>
        </w:rPr>
        <w:t>对应的</w:t>
      </w:r>
      <w:r>
        <w:t>版本适用于本文件</w:t>
      </w:r>
      <w:r>
        <w:rPr>
          <w:rFonts w:hint="eastAsia"/>
        </w:rPr>
        <w:t>；</w:t>
      </w:r>
      <w:r>
        <w:t>不</w:t>
      </w:r>
      <w:r>
        <w:rPr>
          <w:szCs w:val="21"/>
        </w:rPr>
        <w:t>注日期的引用文件，其最新版本（包括所有的修改单）适用于本文件。</w:t>
      </w:r>
    </w:p>
    <w:p w14:paraId="2B0678B1">
      <w:pPr>
        <w:widowControl/>
        <w:tabs>
          <w:tab w:val="center" w:pos="4201"/>
          <w:tab w:val="right" w:leader="dot" w:pos="9298"/>
        </w:tabs>
        <w:autoSpaceDE w:val="0"/>
        <w:autoSpaceDN w:val="0"/>
        <w:ind w:firstLine="420" w:firstLineChars="200"/>
        <w:rPr>
          <w:rFonts w:hint="default" w:ascii="Times New Roman" w:hAnsi="Times New Roman" w:cs="Times New Roman" w:eastAsiaTheme="minorEastAsia"/>
          <w:kern w:val="0"/>
          <w:szCs w:val="20"/>
        </w:rPr>
      </w:pPr>
      <w:r>
        <w:rPr>
          <w:rFonts w:hint="default" w:ascii="Times New Roman" w:hAnsi="Times New Roman" w:cs="Times New Roman" w:eastAsiaTheme="minorEastAsia"/>
          <w:kern w:val="0"/>
          <w:szCs w:val="20"/>
        </w:rPr>
        <w:t>GB/T 3217  永磁（硬磁）材料磁性试验方法</w:t>
      </w:r>
    </w:p>
    <w:p w14:paraId="29AEF9C0">
      <w:pPr>
        <w:widowControl/>
        <w:tabs>
          <w:tab w:val="center" w:pos="4201"/>
          <w:tab w:val="right" w:leader="dot" w:pos="9298"/>
        </w:tabs>
        <w:autoSpaceDE w:val="0"/>
        <w:autoSpaceDN w:val="0"/>
        <w:ind w:firstLine="420" w:firstLineChars="200"/>
        <w:rPr>
          <w:rFonts w:hint="default" w:ascii="Times New Roman" w:hAnsi="Times New Roman" w:cs="Times New Roman" w:eastAsiaTheme="minorEastAsia"/>
          <w:kern w:val="0"/>
          <w:szCs w:val="20"/>
        </w:rPr>
      </w:pPr>
      <w:r>
        <w:rPr>
          <w:rFonts w:hint="default" w:ascii="Times New Roman" w:hAnsi="Times New Roman" w:cs="Times New Roman" w:eastAsiaTheme="minorEastAsia"/>
          <w:kern w:val="0"/>
          <w:szCs w:val="20"/>
        </w:rPr>
        <w:t>GB/T 8170  数值修约规则与极限数值的表示和判定</w:t>
      </w:r>
    </w:p>
    <w:p w14:paraId="364FF707">
      <w:pPr>
        <w:widowControl/>
        <w:tabs>
          <w:tab w:val="center" w:pos="4201"/>
          <w:tab w:val="right" w:leader="dot" w:pos="9298"/>
        </w:tabs>
        <w:autoSpaceDE w:val="0"/>
        <w:autoSpaceDN w:val="0"/>
        <w:ind w:firstLine="420" w:firstLineChars="200"/>
        <w:rPr>
          <w:rFonts w:hint="default" w:ascii="Times New Roman" w:hAnsi="Times New Roman" w:cs="Times New Roman" w:eastAsiaTheme="minorEastAsia"/>
          <w:kern w:val="0"/>
          <w:szCs w:val="20"/>
        </w:rPr>
      </w:pPr>
      <w:r>
        <w:rPr>
          <w:rFonts w:hint="default" w:ascii="Times New Roman" w:hAnsi="Times New Roman" w:cs="Times New Roman" w:eastAsiaTheme="minorEastAsia"/>
          <w:kern w:val="0"/>
          <w:szCs w:val="20"/>
        </w:rPr>
        <w:t>GB/T 29628  永磁（硬磁）脉冲测量方法指南</w:t>
      </w:r>
    </w:p>
    <w:p w14:paraId="5A9F8D9E">
      <w:pPr>
        <w:widowControl/>
        <w:tabs>
          <w:tab w:val="center" w:pos="4201"/>
          <w:tab w:val="right" w:leader="dot" w:pos="9298"/>
        </w:tabs>
        <w:autoSpaceDE w:val="0"/>
        <w:autoSpaceDN w:val="0"/>
        <w:ind w:firstLine="420" w:firstLineChars="200"/>
        <w:rPr>
          <w:rFonts w:hint="default" w:ascii="Times New Roman" w:hAnsi="Times New Roman" w:cs="Times New Roman" w:eastAsiaTheme="minorEastAsia"/>
          <w:color w:val="000000" w:themeColor="text1"/>
          <w:kern w:val="0"/>
          <w:szCs w:val="20"/>
          <w:lang w:val="en-US"/>
          <w14:textFill>
            <w14:solidFill>
              <w14:schemeClr w14:val="tx1"/>
            </w14:solidFill>
          </w14:textFill>
        </w:rPr>
      </w:pPr>
      <w:r>
        <w:rPr>
          <w:rFonts w:hint="default" w:ascii="Times New Roman" w:hAnsi="Times New Roman" w:cs="Times New Roman" w:eastAsiaTheme="minorEastAsia"/>
          <w:color w:val="000000" w:themeColor="text1"/>
          <w:lang w:val="en-US" w:eastAsia="zh-CN"/>
          <w14:textFill>
            <w14:solidFill>
              <w14:schemeClr w14:val="tx1"/>
            </w14:solidFill>
          </w14:textFill>
        </w:rPr>
        <w:t>GB/T 24270  永磁材料磁性能温度系数测量方法</w:t>
      </w:r>
    </w:p>
    <w:p w14:paraId="2785C8B7">
      <w:pPr>
        <w:widowControl/>
        <w:tabs>
          <w:tab w:val="center" w:pos="4201"/>
          <w:tab w:val="right" w:leader="dot" w:pos="9298"/>
        </w:tabs>
        <w:autoSpaceDE w:val="0"/>
        <w:autoSpaceDN w:val="0"/>
        <w:ind w:firstLine="420" w:firstLineChars="200"/>
        <w:rPr>
          <w:rFonts w:hint="eastAsia" w:asciiTheme="minorEastAsia" w:hAnsiTheme="minorEastAsia" w:eastAsiaTheme="minorEastAsia" w:cstheme="minorEastAsia"/>
          <w:kern w:val="0"/>
          <w:szCs w:val="20"/>
        </w:rPr>
      </w:pPr>
      <w:r>
        <w:rPr>
          <w:rFonts w:hint="default" w:ascii="Times New Roman" w:hAnsi="Times New Roman" w:cs="Times New Roman" w:eastAsiaTheme="minorEastAsia"/>
          <w:kern w:val="0"/>
          <w:szCs w:val="20"/>
        </w:rPr>
        <w:t>GB/T 42160  晶界扩散钕铁硼永</w:t>
      </w:r>
      <w:r>
        <w:rPr>
          <w:rFonts w:hint="eastAsia" w:asciiTheme="minorEastAsia" w:hAnsiTheme="minorEastAsia" w:eastAsiaTheme="minorEastAsia" w:cstheme="minorEastAsia"/>
          <w:kern w:val="0"/>
          <w:szCs w:val="20"/>
        </w:rPr>
        <w:t>磁材料</w:t>
      </w:r>
    </w:p>
    <w:p w14:paraId="37C9E1EF">
      <w:pPr>
        <w:pStyle w:val="48"/>
        <w:spacing w:before="312" w:after="312"/>
      </w:pPr>
      <w:bookmarkStart w:id="9" w:name="_Hlk49348038"/>
      <w:r>
        <w:t>术语和定义</w:t>
      </w:r>
    </w:p>
    <w:bookmarkEnd w:id="9"/>
    <w:p w14:paraId="308593CE">
      <w:pPr>
        <w:pStyle w:val="17"/>
        <w:spacing w:line="240" w:lineRule="auto"/>
        <w:rPr>
          <w:rFonts w:hint="eastAsia"/>
        </w:rPr>
      </w:pPr>
      <w:r>
        <w:rPr>
          <w:rFonts w:hint="eastAsia"/>
        </w:rPr>
        <w:t>下列术语和定义适用于本文件。</w:t>
      </w:r>
    </w:p>
    <w:p w14:paraId="4FBD43FE">
      <w:pPr>
        <w:pStyle w:val="44"/>
        <w:spacing w:before="156" w:after="156"/>
        <w:ind w:left="0"/>
        <w:rPr>
          <w:rFonts w:hint="eastAsia"/>
        </w:rPr>
      </w:pPr>
    </w:p>
    <w:p w14:paraId="073E4BA6">
      <w:pPr>
        <w:pStyle w:val="26"/>
        <w:autoSpaceDE/>
        <w:autoSpaceDN/>
        <w:spacing w:before="157" w:beforeLines="50" w:after="157" w:afterLines="50"/>
        <w:rPr>
          <w:rFonts w:hint="eastAsia" w:ascii="黑体" w:hAnsi="黑体" w:eastAsia="黑体"/>
        </w:rPr>
      </w:pPr>
      <w:r>
        <w:rPr>
          <w:rFonts w:hint="eastAsia" w:ascii="黑体" w:hAnsi="黑体" w:eastAsia="黑体"/>
          <w:lang w:eastAsia="zh-CN"/>
        </w:rPr>
        <w:t>典型</w:t>
      </w:r>
      <w:r>
        <w:rPr>
          <w:rFonts w:hint="eastAsia" w:ascii="黑体" w:hAnsi="黑体" w:eastAsia="黑体"/>
        </w:rPr>
        <w:t xml:space="preserve">晶界扩散 </w:t>
      </w:r>
      <w:r>
        <w:rPr>
          <w:rFonts w:hint="eastAsia" w:ascii="黑体" w:hAnsi="黑体" w:eastAsia="黑体"/>
          <w:lang w:val="en-US" w:eastAsia="zh-CN"/>
        </w:rPr>
        <w:t xml:space="preserve"> typical </w:t>
      </w:r>
      <w:r>
        <w:rPr>
          <w:rFonts w:hint="eastAsia" w:ascii="黑体" w:hAnsi="黑体" w:eastAsia="黑体" w:cs="黑体"/>
        </w:rPr>
        <w:t>grain boundary diffusion</w:t>
      </w:r>
    </w:p>
    <w:p w14:paraId="11BBF327">
      <w:pPr>
        <w:pStyle w:val="26"/>
        <w:autoSpaceDE/>
        <w:autoSpaceDN/>
        <w:rPr>
          <w:rFonts w:hint="eastAsia" w:hAnsi="宋体"/>
        </w:rPr>
      </w:pPr>
      <w:r>
        <w:rPr>
          <w:rFonts w:hint="eastAsia"/>
          <w:szCs w:val="21"/>
        </w:rPr>
        <w:t>通过涂覆、物理气相沉积</w:t>
      </w:r>
      <w:r>
        <w:rPr>
          <w:rFonts w:hint="eastAsia" w:hAnsi="宋体"/>
          <w:szCs w:val="21"/>
        </w:rPr>
        <w:t>等</w:t>
      </w:r>
      <w:r>
        <w:rPr>
          <w:rFonts w:hAnsi="宋体"/>
          <w:szCs w:val="21"/>
        </w:rPr>
        <w:t>方法</w:t>
      </w:r>
      <w:r>
        <w:rPr>
          <w:rFonts w:hint="eastAsia" w:hAnsi="宋体"/>
          <w:szCs w:val="21"/>
        </w:rPr>
        <w:t>，在磁体表面覆盖含有</w:t>
      </w:r>
      <w:r>
        <w:rPr>
          <w:rFonts w:hint="eastAsia" w:hAnsi="宋体"/>
          <w:szCs w:val="21"/>
          <w:lang w:eastAsia="zh-CN"/>
        </w:rPr>
        <w:t>重稀土</w:t>
      </w:r>
      <w:r>
        <w:rPr>
          <w:rFonts w:hint="eastAsia" w:hAnsi="宋体"/>
          <w:szCs w:val="21"/>
        </w:rPr>
        <w:t>扩散元素（</w:t>
      </w:r>
      <w:r>
        <w:rPr>
          <w:rFonts w:ascii="Times New Roman"/>
          <w:szCs w:val="21"/>
        </w:rPr>
        <w:t>如Dy或Tb</w:t>
      </w:r>
      <w:r>
        <w:rPr>
          <w:rFonts w:hint="eastAsia" w:hAnsi="宋体"/>
          <w:szCs w:val="21"/>
        </w:rPr>
        <w:t>）的金属、合金或化合物等，再通过热处理过程，促</w:t>
      </w:r>
      <w:r>
        <w:rPr>
          <w:rFonts w:hAnsi="宋体"/>
          <w:szCs w:val="21"/>
        </w:rPr>
        <w:t>使</w:t>
      </w:r>
      <w:r>
        <w:rPr>
          <w:rFonts w:hint="eastAsia" w:hAnsi="宋体"/>
          <w:szCs w:val="21"/>
        </w:rPr>
        <w:t>扩散元素沿着晶界从磁体表面向</w:t>
      </w:r>
      <w:r>
        <w:rPr>
          <w:rFonts w:hAnsi="宋体"/>
          <w:szCs w:val="21"/>
        </w:rPr>
        <w:t>内部</w:t>
      </w:r>
      <w:r>
        <w:rPr>
          <w:rFonts w:hint="eastAsia" w:hAnsi="宋体"/>
          <w:szCs w:val="21"/>
        </w:rPr>
        <w:t>扩散，使得磁体</w:t>
      </w:r>
      <w:r>
        <w:rPr>
          <w:rFonts w:hint="eastAsia" w:hAnsi="宋体"/>
          <w:szCs w:val="21"/>
          <w:lang w:eastAsia="zh-CN"/>
        </w:rPr>
        <w:t>矫顽力</w:t>
      </w:r>
      <w:r>
        <w:rPr>
          <w:rFonts w:hint="eastAsia" w:hAnsi="宋体"/>
          <w:szCs w:val="21"/>
        </w:rPr>
        <w:t>提升的工艺过程</w:t>
      </w:r>
      <w:r>
        <w:rPr>
          <w:rFonts w:hint="eastAsia" w:hAnsi="宋体"/>
        </w:rPr>
        <w:t>。</w:t>
      </w:r>
    </w:p>
    <w:p w14:paraId="3A30D3EF">
      <w:pPr>
        <w:pStyle w:val="44"/>
        <w:spacing w:before="156" w:after="156"/>
        <w:ind w:left="0"/>
        <w:rPr>
          <w:rFonts w:hAnsi="Times New Roman"/>
        </w:rPr>
      </w:pPr>
    </w:p>
    <w:p w14:paraId="5ECBD6F8">
      <w:pPr>
        <w:pStyle w:val="26"/>
        <w:rPr>
          <w:rFonts w:hint="eastAsia" w:ascii="黑体" w:hAnsi="黑体" w:eastAsia="黑体"/>
        </w:rPr>
      </w:pPr>
      <w:r>
        <w:rPr>
          <w:rFonts w:hint="eastAsia" w:ascii="黑体" w:hAnsi="黑体" w:eastAsia="黑体" w:cs="黑体"/>
        </w:rPr>
        <w:t>膝点矫顽力</w:t>
      </w:r>
      <w:r>
        <w:rPr>
          <w:rFonts w:hint="eastAsia" w:ascii="黑体" w:hAnsi="黑体" w:eastAsia="黑体"/>
        </w:rPr>
        <w:t xml:space="preserve">  knee coercivity</w:t>
      </w:r>
    </w:p>
    <w:p w14:paraId="0CFD917D">
      <w:pPr>
        <w:pStyle w:val="17"/>
        <w:spacing w:line="240" w:lineRule="auto"/>
        <w:rPr>
          <w:rFonts w:hint="eastAsia" w:ascii="黑体" w:hAnsi="黑体" w:eastAsia="黑体"/>
          <w:vertAlign w:val="subscript"/>
        </w:rPr>
      </w:pPr>
      <w:r>
        <w:rPr>
          <w:rFonts w:ascii="黑体" w:hAnsi="黑体" w:eastAsia="黑体"/>
          <w:i/>
          <w:iCs/>
        </w:rPr>
        <w:t>H</w:t>
      </w:r>
      <w:r>
        <w:rPr>
          <w:rFonts w:ascii="黑体" w:hAnsi="黑体" w:eastAsia="黑体"/>
          <w:vertAlign w:val="subscript"/>
        </w:rPr>
        <w:t>k</w:t>
      </w:r>
    </w:p>
    <w:p w14:paraId="06D0816F">
      <w:pPr>
        <w:pStyle w:val="17"/>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在永磁材料</w:t>
      </w:r>
      <w:r>
        <w:rPr>
          <w:rFonts w:hint="default" w:ascii="Times New Roman" w:hAnsi="Times New Roman" w:cs="Times New Roman" w:eastAsiaTheme="minorEastAsia"/>
        </w:rPr>
        <w:t>的4πM-H退磁曲线上，当磁极化强度4πM下降到剩磁B</w:t>
      </w:r>
      <w:r>
        <w:rPr>
          <w:rFonts w:hint="default" w:ascii="Times New Roman" w:hAnsi="Times New Roman" w:cs="Times New Roman" w:eastAsiaTheme="minorEastAsia"/>
          <w:vertAlign w:val="subscript"/>
        </w:rPr>
        <w:t>r</w:t>
      </w:r>
      <w:r>
        <w:rPr>
          <w:rFonts w:hint="default" w:ascii="Times New Roman" w:hAnsi="Times New Roman" w:cs="Times New Roman" w:eastAsiaTheme="minorEastAsia"/>
        </w:rPr>
        <w:t>的90%时对应的磁场强度。</w:t>
      </w:r>
    </w:p>
    <w:p w14:paraId="7ADE9676">
      <w:pPr>
        <w:pStyle w:val="48"/>
        <w:tabs>
          <w:tab w:val="left" w:pos="5670"/>
        </w:tabs>
        <w:spacing w:before="312" w:after="312"/>
      </w:pPr>
      <w:r>
        <w:rPr>
          <w:rFonts w:hint="eastAsia"/>
        </w:rPr>
        <w:t>磁性能评价法</w:t>
      </w:r>
    </w:p>
    <w:p w14:paraId="0FD79E64">
      <w:pPr>
        <w:pStyle w:val="44"/>
        <w:spacing w:before="156" w:after="156"/>
        <w:ind w:left="0"/>
        <w:rPr>
          <w:rFonts w:hint="default"/>
          <w:strike w:val="0"/>
        </w:rPr>
      </w:pPr>
      <w:r>
        <w:rPr>
          <w:rFonts w:hint="eastAsia"/>
          <w:strike w:val="0"/>
        </w:rPr>
        <w:t>原理</w:t>
      </w:r>
    </w:p>
    <w:p w14:paraId="5DF40C01">
      <w:pPr>
        <w:pStyle w:val="44"/>
        <w:numPr>
          <w:ilvl w:val="1"/>
          <w:numId w:val="0"/>
        </w:numPr>
        <w:spacing w:before="156" w:after="156"/>
        <w:ind w:firstLine="420" w:firstLineChars="200"/>
        <w:rPr>
          <w:rFonts w:ascii="Times New Roman" w:hAnsi="Times New Roman" w:eastAsiaTheme="minorEastAsia"/>
          <w:snapToGrid w:val="0"/>
        </w:rPr>
      </w:pPr>
      <w:r>
        <w:rPr>
          <w:rFonts w:ascii="Times New Roman" w:hAnsi="Times New Roman" w:eastAsiaTheme="minorEastAsia"/>
        </w:rPr>
        <w:t>测量晶界扩散工艺制备磁体的磁性能和晶界扩散工艺处理前的磁体经时效热处理后的磁性能，</w:t>
      </w:r>
      <w:r>
        <w:rPr>
          <w:rFonts w:hint="eastAsia" w:asciiTheme="minorEastAsia" w:hAnsiTheme="minorEastAsia" w:eastAsiaTheme="minorEastAsia" w:cstheme="minorEastAsia"/>
          <w:highlight w:val="none"/>
        </w:rPr>
        <w:t>并</w:t>
      </w:r>
      <w:r>
        <w:rPr>
          <w:rFonts w:hint="eastAsia" w:asciiTheme="minorEastAsia" w:hAnsiTheme="minorEastAsia" w:eastAsiaTheme="minorEastAsia" w:cstheme="minorEastAsia"/>
          <w:highlight w:val="none"/>
          <w:lang w:eastAsia="zh-CN"/>
        </w:rPr>
        <w:t>依据测量值计算</w:t>
      </w:r>
      <w:r>
        <w:rPr>
          <w:rFonts w:ascii="Times New Roman" w:hAnsi="Times New Roman" w:eastAsiaTheme="minorEastAsia"/>
        </w:rPr>
        <w:t>晶界扩散</w:t>
      </w:r>
      <w:r>
        <w:rPr>
          <w:rFonts w:hint="eastAsia" w:ascii="Times New Roman" w:hAnsi="Times New Roman" w:eastAsiaTheme="minorEastAsia"/>
          <w:lang w:val="en-US" w:eastAsia="zh-CN"/>
        </w:rPr>
        <w:t>后</w:t>
      </w:r>
      <w:r>
        <w:rPr>
          <w:rFonts w:ascii="Times New Roman" w:hAnsi="Times New Roman" w:eastAsiaTheme="minorEastAsia"/>
        </w:rPr>
        <w:t>磁体</w:t>
      </w:r>
      <w:r>
        <w:rPr>
          <w:rFonts w:hint="default" w:ascii="Times New Roman" w:hAnsi="Times New Roman" w:cs="Times New Roman" w:eastAsiaTheme="minorEastAsia"/>
          <w:snapToGrid w:val="0"/>
          <w:highlight w:val="none"/>
        </w:rPr>
        <w:t>内禀矫顽力H</w:t>
      </w:r>
      <w:r>
        <w:rPr>
          <w:rFonts w:hint="default" w:ascii="Times New Roman" w:hAnsi="Times New Roman" w:cs="Times New Roman" w:eastAsiaTheme="minorEastAsia"/>
          <w:snapToGrid w:val="0"/>
          <w:highlight w:val="none"/>
          <w:vertAlign w:val="subscript"/>
        </w:rPr>
        <w:t>cJ</w:t>
      </w:r>
      <w:r>
        <w:rPr>
          <w:rFonts w:hint="default" w:ascii="Times New Roman" w:hAnsi="Times New Roman" w:cs="Times New Roman" w:eastAsiaTheme="minorEastAsia"/>
          <w:snapToGrid w:val="0"/>
          <w:highlight w:val="none"/>
        </w:rPr>
        <w:t>提升幅度、磁体整体H</w:t>
      </w:r>
      <w:r>
        <w:rPr>
          <w:rFonts w:hint="default" w:ascii="Times New Roman" w:hAnsi="Times New Roman" w:cs="Times New Roman" w:eastAsiaTheme="minorEastAsia"/>
          <w:snapToGrid w:val="0"/>
          <w:highlight w:val="none"/>
          <w:vertAlign w:val="subscript"/>
        </w:rPr>
        <w:t>cJ</w:t>
      </w:r>
      <w:r>
        <w:rPr>
          <w:rFonts w:hint="default" w:ascii="Times New Roman" w:hAnsi="Times New Roman" w:cs="Times New Roman" w:eastAsiaTheme="minorEastAsia"/>
          <w:snapToGrid w:val="0"/>
          <w:highlight w:val="none"/>
        </w:rPr>
        <w:t>与内部H</w:t>
      </w:r>
      <w:r>
        <w:rPr>
          <w:rFonts w:hint="default" w:ascii="Times New Roman" w:hAnsi="Times New Roman" w:cs="Times New Roman" w:eastAsiaTheme="minorEastAsia"/>
          <w:snapToGrid w:val="0"/>
          <w:highlight w:val="none"/>
          <w:vertAlign w:val="subscript"/>
        </w:rPr>
        <w:t>cJ</w:t>
      </w:r>
      <w:r>
        <w:rPr>
          <w:rFonts w:hint="default" w:ascii="Times New Roman" w:hAnsi="Times New Roman" w:cs="Times New Roman" w:eastAsiaTheme="minorEastAsia"/>
          <w:snapToGrid w:val="0"/>
          <w:highlight w:val="none"/>
        </w:rPr>
        <w:t>的偏</w:t>
      </w:r>
      <w:r>
        <w:rPr>
          <w:rFonts w:hint="default" w:ascii="Times New Roman" w:hAnsi="Times New Roman" w:cs="Times New Roman" w:eastAsiaTheme="minorEastAsia"/>
          <w:snapToGrid w:val="0"/>
          <w:color w:val="auto"/>
          <w:highlight w:val="none"/>
        </w:rPr>
        <w:t>差</w:t>
      </w:r>
      <w:r>
        <w:rPr>
          <w:rFonts w:hint="default" w:ascii="Times New Roman" w:hAnsi="Times New Roman" w:cs="Times New Roman" w:eastAsiaTheme="minorEastAsia"/>
          <w:snapToGrid w:val="0"/>
          <w:color w:val="auto"/>
          <w:highlight w:val="none"/>
          <w:lang w:eastAsia="zh-CN"/>
        </w:rPr>
        <w:t>和</w:t>
      </w:r>
      <w:r>
        <w:rPr>
          <w:rFonts w:hint="default" w:ascii="Times New Roman" w:hAnsi="Times New Roman" w:cs="Times New Roman" w:eastAsiaTheme="minorEastAsia"/>
          <w:snapToGrid w:val="0"/>
          <w:color w:val="auto"/>
          <w:highlight w:val="none"/>
        </w:rPr>
        <w:t>磁体内部H</w:t>
      </w:r>
      <w:r>
        <w:rPr>
          <w:rFonts w:hint="default" w:ascii="Times New Roman" w:hAnsi="Times New Roman" w:cs="Times New Roman" w:eastAsiaTheme="minorEastAsia"/>
          <w:snapToGrid w:val="0"/>
          <w:color w:val="auto"/>
          <w:highlight w:val="none"/>
          <w:vertAlign w:val="subscript"/>
        </w:rPr>
        <w:t>k</w:t>
      </w:r>
      <w:r>
        <w:rPr>
          <w:rFonts w:hint="default" w:ascii="Times New Roman" w:hAnsi="Times New Roman" w:cs="Times New Roman" w:eastAsiaTheme="minorEastAsia"/>
          <w:snapToGrid w:val="0"/>
          <w:color w:val="auto"/>
          <w:highlight w:val="none"/>
        </w:rPr>
        <w:t>与整体H</w:t>
      </w:r>
      <w:r>
        <w:rPr>
          <w:rFonts w:hint="default" w:ascii="Times New Roman" w:hAnsi="Times New Roman" w:cs="Times New Roman" w:eastAsiaTheme="minorEastAsia"/>
          <w:snapToGrid w:val="0"/>
          <w:color w:val="auto"/>
          <w:highlight w:val="none"/>
          <w:vertAlign w:val="subscript"/>
        </w:rPr>
        <w:t>k</w:t>
      </w:r>
      <w:r>
        <w:rPr>
          <w:rFonts w:hint="default" w:ascii="Times New Roman" w:hAnsi="Times New Roman" w:cs="Times New Roman" w:eastAsiaTheme="minorEastAsia"/>
          <w:snapToGrid w:val="0"/>
          <w:color w:val="auto"/>
          <w:highlight w:val="none"/>
        </w:rPr>
        <w:t>的比值。</w:t>
      </w:r>
    </w:p>
    <w:p w14:paraId="3FF60EC6">
      <w:pPr>
        <w:pStyle w:val="44"/>
        <w:spacing w:before="156" w:after="156"/>
        <w:ind w:left="0"/>
        <w:rPr>
          <w:rFonts w:hint="eastAsia"/>
        </w:rPr>
      </w:pPr>
      <w:r>
        <w:t>测量晶界扩散前样品的磁性能</w:t>
      </w:r>
    </w:p>
    <w:p w14:paraId="1813D5B8">
      <w:pPr>
        <w:pStyle w:val="26"/>
        <w:ind w:firstLine="0" w:firstLineChars="0"/>
        <w:jc w:val="left"/>
        <w:rPr>
          <w:rFonts w:hint="eastAsia" w:hAnsi="宋体"/>
        </w:rPr>
      </w:pPr>
      <w:r>
        <w:rPr>
          <w:rFonts w:ascii="黑体" w:hAnsi="黑体" w:eastAsia="黑体" w:cs="黑体"/>
        </w:rPr>
        <w:t>4.2.1</w:t>
      </w:r>
      <w:r>
        <w:rPr>
          <w:rFonts w:hAnsi="宋体"/>
        </w:rPr>
        <w:t xml:space="preserve"> </w:t>
      </w:r>
      <w:r>
        <w:rPr>
          <w:rFonts w:hint="eastAsia" w:hAnsi="宋体" w:cs="宋体"/>
        </w:rPr>
        <w:t>晶界扩散处理前的磁体，经时效热处理后，加工成便于测量磁性能的样品。</w:t>
      </w:r>
      <w:r>
        <w:rPr>
          <w:rFonts w:hint="eastAsia"/>
          <w:szCs w:val="21"/>
        </w:rPr>
        <w:t>测试样品</w:t>
      </w:r>
      <w:r>
        <w:rPr>
          <w:rFonts w:hint="eastAsia"/>
          <w:color w:val="FF0000"/>
          <w:szCs w:val="21"/>
        </w:rPr>
        <w:t>尺寸</w:t>
      </w:r>
      <w:r>
        <w:rPr>
          <w:rFonts w:hint="eastAsia"/>
          <w:szCs w:val="21"/>
        </w:rPr>
        <w:t>宜选择</w:t>
      </w:r>
      <w:r>
        <w:rPr>
          <w:rFonts w:hint="eastAsia" w:ascii="Times New Roman"/>
        </w:rPr>
        <w:t>直径为</w:t>
      </w:r>
      <w:r>
        <w:rPr>
          <w:rFonts w:ascii="Times New Roman"/>
        </w:rPr>
        <w:t>9 mm</w:t>
      </w:r>
      <w:r>
        <w:rPr>
          <w:rFonts w:hint="eastAsia" w:ascii="Times New Roman"/>
        </w:rPr>
        <w:t>～</w:t>
      </w:r>
      <w:r>
        <w:rPr>
          <w:rFonts w:ascii="Times New Roman"/>
        </w:rPr>
        <w:t>10 mm</w:t>
      </w:r>
      <w:r>
        <w:rPr>
          <w:rFonts w:hint="eastAsia" w:ascii="Times New Roman"/>
        </w:rPr>
        <w:t>、厚度为</w:t>
      </w:r>
      <w:r>
        <w:rPr>
          <w:rFonts w:ascii="Times New Roman"/>
        </w:rPr>
        <w:t>2 mm</w:t>
      </w:r>
      <w:r>
        <w:rPr>
          <w:rFonts w:hint="eastAsia" w:ascii="Times New Roman"/>
        </w:rPr>
        <w:t>～</w:t>
      </w:r>
      <w:r>
        <w:rPr>
          <w:rFonts w:ascii="Times New Roman"/>
        </w:rPr>
        <w:t>10 mm</w:t>
      </w:r>
      <w:r>
        <w:rPr>
          <w:rFonts w:hint="eastAsia" w:ascii="Times New Roman"/>
        </w:rPr>
        <w:t>的</w:t>
      </w:r>
      <w:r>
        <w:rPr>
          <w:rFonts w:hint="default" w:ascii="Times New Roman" w:hAnsi="Times New Roman" w:cs="Times New Roman"/>
        </w:rPr>
        <w:t>圆形磁片，或</w:t>
      </w:r>
      <w:r>
        <w:rPr>
          <w:rFonts w:hint="eastAsia" w:ascii="Times New Roman"/>
        </w:rPr>
        <w:t>边长为</w:t>
      </w:r>
      <w:r>
        <w:rPr>
          <w:rFonts w:ascii="Times New Roman"/>
        </w:rPr>
        <w:t>7 mm</w:t>
      </w:r>
      <w:r>
        <w:rPr>
          <w:rFonts w:hint="eastAsia" w:ascii="Times New Roman"/>
        </w:rPr>
        <w:t>～</w:t>
      </w:r>
      <w:r>
        <w:rPr>
          <w:rFonts w:ascii="Times New Roman"/>
        </w:rPr>
        <w:t>10 mm</w:t>
      </w:r>
      <w:r>
        <w:rPr>
          <w:rFonts w:hint="eastAsia" w:ascii="Times New Roman"/>
        </w:rPr>
        <w:t>、厚度为</w:t>
      </w:r>
      <w:r>
        <w:rPr>
          <w:rFonts w:ascii="Times New Roman"/>
        </w:rPr>
        <w:t>2 mm</w:t>
      </w:r>
      <w:r>
        <w:rPr>
          <w:rFonts w:hint="eastAsia" w:ascii="Times New Roman"/>
        </w:rPr>
        <w:t>～</w:t>
      </w:r>
      <w:r>
        <w:rPr>
          <w:rFonts w:ascii="Times New Roman"/>
        </w:rPr>
        <w:t>10 mm</w:t>
      </w:r>
      <w:r>
        <w:rPr>
          <w:rFonts w:hint="eastAsia" w:ascii="Times New Roman"/>
        </w:rPr>
        <w:t>的方形磁片。</w:t>
      </w:r>
    </w:p>
    <w:p w14:paraId="2624890F">
      <w:pPr>
        <w:pStyle w:val="26"/>
        <w:autoSpaceDE/>
        <w:autoSpaceDN/>
        <w:ind w:firstLine="0" w:firstLineChars="0"/>
        <w:jc w:val="left"/>
        <w:rPr>
          <w:rFonts w:hint="eastAsia" w:hAnsi="宋体"/>
        </w:rPr>
      </w:pPr>
      <w:r>
        <w:rPr>
          <w:rFonts w:ascii="黑体" w:hAnsi="黑体" w:eastAsia="黑体" w:cs="黑体"/>
        </w:rPr>
        <w:t>4.2.2</w:t>
      </w:r>
      <w:r>
        <w:rPr>
          <w:rFonts w:hAnsi="宋体"/>
        </w:rPr>
        <w:t xml:space="preserve"> </w:t>
      </w:r>
      <w:r>
        <w:rPr>
          <w:rFonts w:hint="eastAsia" w:hAnsi="宋体"/>
        </w:rPr>
        <w:t xml:space="preserve"> </w:t>
      </w:r>
      <w:r>
        <w:rPr>
          <w:rFonts w:ascii="Times New Roman"/>
        </w:rPr>
        <w:t>按照</w:t>
      </w:r>
      <w:r>
        <w:rPr>
          <w:rFonts w:ascii="Times New Roman"/>
          <w:color w:val="000000" w:themeColor="text1"/>
          <w14:textFill>
            <w14:solidFill>
              <w14:schemeClr w14:val="tx1"/>
            </w14:solidFill>
          </w14:textFill>
        </w:rPr>
        <w:t>GB/T 3217或GB/T 29628规定</w:t>
      </w:r>
      <w:r>
        <w:rPr>
          <w:rFonts w:ascii="Times New Roman"/>
        </w:rPr>
        <w:t>的方法</w:t>
      </w:r>
      <w:r>
        <w:rPr>
          <w:rFonts w:hint="eastAsia" w:ascii="Times New Roman"/>
        </w:rPr>
        <w:t>测量样品室温磁性能参数</w:t>
      </w:r>
      <w:r>
        <w:rPr>
          <w:rFonts w:ascii="Times New Roman"/>
        </w:rPr>
        <w:t>H</w:t>
      </w:r>
      <w:r>
        <w:rPr>
          <w:rFonts w:ascii="Times New Roman"/>
          <w:vertAlign w:val="subscript"/>
        </w:rPr>
        <w:t>cJ</w:t>
      </w:r>
      <w:r>
        <w:rPr>
          <w:rFonts w:hint="eastAsia"/>
          <w:szCs w:val="21"/>
        </w:rPr>
        <w:t>和</w:t>
      </w:r>
      <w:r>
        <w:rPr>
          <w:rFonts w:ascii="Times New Roman"/>
          <w:szCs w:val="21"/>
        </w:rPr>
        <w:t>H</w:t>
      </w:r>
      <w:r>
        <w:rPr>
          <w:rFonts w:hint="eastAsia" w:ascii="Times New Roman"/>
          <w:vertAlign w:val="subscript"/>
        </w:rPr>
        <w:t>k</w:t>
      </w:r>
      <w:r>
        <w:rPr>
          <w:rFonts w:hint="eastAsia" w:ascii="Times New Roman"/>
        </w:rPr>
        <w:t>。</w:t>
      </w:r>
    </w:p>
    <w:p w14:paraId="1C70866E">
      <w:pPr>
        <w:pStyle w:val="44"/>
        <w:spacing w:before="156" w:after="156"/>
        <w:ind w:left="0"/>
        <w:rPr>
          <w:rFonts w:hAnsi="Times New Roman"/>
        </w:rPr>
      </w:pPr>
      <w:r>
        <w:rPr>
          <w:rFonts w:hAnsi="Times New Roman"/>
        </w:rPr>
        <w:t>测量晶界扩散后样品整体磁性能</w:t>
      </w:r>
    </w:p>
    <w:p w14:paraId="6F1B65CF">
      <w:pPr>
        <w:jc w:val="left"/>
        <w:textAlignment w:val="baseline"/>
        <w:rPr>
          <w:kern w:val="0"/>
          <w:szCs w:val="20"/>
        </w:rPr>
      </w:pPr>
      <w:r>
        <w:rPr>
          <w:rFonts w:ascii="黑体" w:hAnsi="黑体" w:eastAsia="黑体" w:cs="黑体"/>
        </w:rPr>
        <w:t>4.3.1</w:t>
      </w:r>
      <w:r>
        <w:rPr>
          <w:rFonts w:hint="eastAsia" w:ascii="宋体" w:hAnsi="宋体"/>
        </w:rPr>
        <w:t xml:space="preserve"> </w:t>
      </w:r>
      <w:r>
        <w:rPr>
          <w:rFonts w:hint="eastAsia"/>
        </w:rPr>
        <w:t>晶界</w:t>
      </w:r>
      <w:r>
        <w:rPr>
          <w:rFonts w:hint="eastAsia"/>
          <w:kern w:val="0"/>
          <w:szCs w:val="20"/>
        </w:rPr>
        <w:t>扩散后的磁体样品，用磨削加工的方式完全清除样品表面残余扩散源物质及氧化物。单面加工去皮厚度为</w:t>
      </w:r>
      <w:r>
        <w:rPr>
          <w:rFonts w:hint="eastAsia"/>
          <w:kern w:val="0"/>
          <w:szCs w:val="20"/>
          <w:lang w:val="en-US" w:eastAsia="zh-CN"/>
        </w:rPr>
        <w:t>5</w:t>
      </w:r>
      <w:r>
        <w:rPr>
          <w:kern w:val="0"/>
          <w:szCs w:val="20"/>
        </w:rPr>
        <w:t>0 μm</w:t>
      </w:r>
      <w:r>
        <w:rPr>
          <w:rFonts w:hint="eastAsia"/>
          <w:kern w:val="0"/>
          <w:szCs w:val="20"/>
        </w:rPr>
        <w:t>～</w:t>
      </w:r>
      <w:r>
        <w:rPr>
          <w:kern w:val="0"/>
          <w:szCs w:val="20"/>
        </w:rPr>
        <w:t>1</w:t>
      </w:r>
      <w:r>
        <w:rPr>
          <w:rFonts w:hint="eastAsia"/>
          <w:kern w:val="0"/>
          <w:szCs w:val="20"/>
          <w:lang w:val="en-US" w:eastAsia="zh-CN"/>
        </w:rPr>
        <w:t>0</w:t>
      </w:r>
      <w:r>
        <w:rPr>
          <w:kern w:val="0"/>
          <w:szCs w:val="20"/>
        </w:rPr>
        <w:t>0 μm</w:t>
      </w:r>
      <w:r>
        <w:rPr>
          <w:rFonts w:hint="eastAsia"/>
          <w:kern w:val="0"/>
          <w:szCs w:val="20"/>
        </w:rPr>
        <w:t>。</w:t>
      </w:r>
    </w:p>
    <w:p w14:paraId="510A555D">
      <w:pPr>
        <w:textAlignment w:val="baseline"/>
        <w:rPr>
          <w:szCs w:val="21"/>
        </w:rPr>
      </w:pPr>
      <w:r>
        <w:rPr>
          <w:rFonts w:ascii="黑体" w:hAnsi="黑体" w:eastAsia="黑体" w:cs="黑体"/>
        </w:rPr>
        <w:t>4.3.2</w:t>
      </w:r>
      <w:r>
        <w:rPr>
          <w:rFonts w:hAnsi="宋体"/>
        </w:rPr>
        <w:t xml:space="preserve"> </w:t>
      </w:r>
      <w:r>
        <w:rPr>
          <w:rFonts w:hint="eastAsia"/>
          <w:szCs w:val="21"/>
        </w:rPr>
        <w:t>按4.3.1条方式加工后，若样品尺寸较大不适合直接测试磁性能，可用不改变样品主扩散方向（通常为易磁化方向）尺寸的方式，将样品加工成便于进行磁性能测量的样品（尺寸参考4.2.</w:t>
      </w:r>
      <w:r>
        <w:rPr>
          <w:szCs w:val="21"/>
        </w:rPr>
        <w:t>1</w:t>
      </w:r>
      <w:r>
        <w:rPr>
          <w:rFonts w:hint="eastAsia"/>
          <w:szCs w:val="21"/>
        </w:rPr>
        <w:t>条）。</w:t>
      </w:r>
    </w:p>
    <w:p w14:paraId="125D477A">
      <w:pPr>
        <w:textAlignment w:val="baseline"/>
        <w:rPr>
          <w:szCs w:val="21"/>
        </w:rPr>
      </w:pPr>
      <w:r>
        <w:rPr>
          <w:rFonts w:ascii="黑体" w:hAnsi="黑体" w:eastAsia="黑体" w:cs="黑体"/>
        </w:rPr>
        <w:t>4.3.3</w:t>
      </w:r>
      <w:r>
        <w:rPr>
          <w:szCs w:val="21"/>
        </w:rPr>
        <w:t xml:space="preserve"> </w:t>
      </w:r>
      <w:r>
        <w:t>按照GB/T 32</w:t>
      </w:r>
      <w:r>
        <w:rPr>
          <w:color w:val="000000" w:themeColor="text1"/>
          <w14:textFill>
            <w14:solidFill>
              <w14:schemeClr w14:val="tx1"/>
            </w14:solidFill>
          </w14:textFill>
        </w:rPr>
        <w:t>17</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GB/T 24270</w:t>
      </w:r>
      <w:r>
        <w:rPr>
          <w:color w:val="000000" w:themeColor="text1"/>
          <w14:textFill>
            <w14:solidFill>
              <w14:schemeClr w14:val="tx1"/>
            </w14:solidFill>
          </w14:textFill>
        </w:rPr>
        <w:t>或GB/T 29</w:t>
      </w:r>
      <w:r>
        <w:t>628规定的方法</w:t>
      </w:r>
      <w:r>
        <w:rPr>
          <w:rFonts w:hint="eastAsia"/>
        </w:rPr>
        <w:t>测量样品</w:t>
      </w:r>
      <w:r>
        <w:rPr>
          <w:rFonts w:hint="eastAsia"/>
          <w:szCs w:val="21"/>
        </w:rPr>
        <w:t>室温和</w:t>
      </w:r>
      <w:r>
        <w:rPr>
          <w:szCs w:val="21"/>
        </w:rPr>
        <w:t>120 </w:t>
      </w:r>
      <w:r>
        <w:rPr>
          <w:rFonts w:hint="eastAsia"/>
          <w:szCs w:val="21"/>
        </w:rPr>
        <w:t>℃的磁性能</w:t>
      </w:r>
      <w:r>
        <w:rPr>
          <w:rFonts w:hint="eastAsia"/>
        </w:rPr>
        <w:t>参数H</w:t>
      </w:r>
      <w:r>
        <w:rPr>
          <w:rFonts w:hint="eastAsia"/>
          <w:vertAlign w:val="subscript"/>
        </w:rPr>
        <w:t>cJ</w:t>
      </w:r>
      <w:r>
        <w:rPr>
          <w:rFonts w:hint="eastAsia"/>
        </w:rPr>
        <w:t>和H</w:t>
      </w:r>
      <w:r>
        <w:rPr>
          <w:rFonts w:hint="eastAsia"/>
          <w:vertAlign w:val="subscript"/>
        </w:rPr>
        <w:t>k</w:t>
      </w:r>
      <w:r>
        <w:rPr>
          <w:rFonts w:hint="eastAsia"/>
          <w:szCs w:val="21"/>
        </w:rPr>
        <w:t>。</w:t>
      </w:r>
    </w:p>
    <w:p w14:paraId="71D904B0">
      <w:pPr>
        <w:pStyle w:val="44"/>
        <w:spacing w:before="156" w:after="156"/>
        <w:ind w:left="0"/>
        <w:rPr>
          <w:rFonts w:hint="eastAsia"/>
        </w:rPr>
      </w:pPr>
      <w:r>
        <w:t>测量晶界扩散后样品内部磁性能</w:t>
      </w:r>
    </w:p>
    <w:p w14:paraId="459DF95D">
      <w:pPr>
        <w:jc w:val="left"/>
        <w:textAlignment w:val="baseline"/>
        <w:rPr>
          <w:rFonts w:hint="eastAsia" w:hAnsi="宋体"/>
        </w:rPr>
      </w:pPr>
      <w:r>
        <w:rPr>
          <w:rFonts w:ascii="黑体" w:hAnsi="黑体" w:eastAsia="黑体" w:cs="黑体"/>
          <w:kern w:val="0"/>
          <w:szCs w:val="20"/>
        </w:rPr>
        <w:t>4.4.1</w:t>
      </w:r>
      <w:r>
        <w:rPr>
          <w:rFonts w:ascii="宋体" w:hAnsi="宋体"/>
          <w:kern w:val="0"/>
          <w:szCs w:val="20"/>
        </w:rPr>
        <w:t xml:space="preserve"> </w:t>
      </w:r>
      <w:r>
        <w:rPr>
          <w:rFonts w:hint="eastAsia"/>
          <w:kern w:val="0"/>
          <w:szCs w:val="20"/>
        </w:rPr>
        <w:t>按4.3条中规定加工样品后，再沿主扩散方向双面对称去皮至最终所需要的</w:t>
      </w:r>
      <w:r>
        <w:rPr>
          <w:rFonts w:hint="eastAsia"/>
          <w:kern w:val="0"/>
          <w:szCs w:val="20"/>
          <w:lang w:eastAsia="zh-CN"/>
        </w:rPr>
        <w:t>厚</w:t>
      </w:r>
      <w:r>
        <w:rPr>
          <w:rFonts w:hint="eastAsia"/>
          <w:kern w:val="0"/>
          <w:szCs w:val="20"/>
        </w:rPr>
        <w:t>度，其中两主扩散面去皮厚度之间的偏差</w:t>
      </w:r>
      <w:r>
        <w:rPr>
          <w:rFonts w:hint="eastAsia"/>
          <w:kern w:val="0"/>
          <w:szCs w:val="20"/>
          <w:highlight w:val="none"/>
        </w:rPr>
        <w:t>应小于</w:t>
      </w:r>
      <w:r>
        <w:rPr>
          <w:kern w:val="0"/>
          <w:szCs w:val="20"/>
          <w:highlight w:val="none"/>
        </w:rPr>
        <w:t>0.</w:t>
      </w:r>
      <w:r>
        <w:rPr>
          <w:kern w:val="0"/>
          <w:szCs w:val="20"/>
        </w:rPr>
        <w:t>1 mm</w:t>
      </w:r>
      <w:r>
        <w:rPr>
          <w:rFonts w:hint="eastAsia"/>
          <w:kern w:val="0"/>
          <w:szCs w:val="20"/>
        </w:rPr>
        <w:t>。</w:t>
      </w:r>
      <w:r>
        <w:rPr>
          <w:rFonts w:hint="eastAsia"/>
        </w:rPr>
        <w:t>晶界扩散磁体内部磁性能测量样品厚度</w:t>
      </w:r>
      <w:r>
        <w:rPr>
          <w:rFonts w:hint="eastAsia"/>
          <w:lang w:eastAsia="zh-CN"/>
        </w:rPr>
        <w:t>应在</w:t>
      </w:r>
      <w:r>
        <w:rPr>
          <w:highlight w:val="none"/>
        </w:rPr>
        <w:t>2.0 mm</w:t>
      </w:r>
      <w:r>
        <w:rPr>
          <w:rFonts w:hint="eastAsia"/>
          <w:highlight w:val="none"/>
          <w:lang w:eastAsia="zh-CN"/>
        </w:rPr>
        <w:t>～</w:t>
      </w:r>
      <w:r>
        <w:rPr>
          <w:rFonts w:hint="eastAsia"/>
          <w:highlight w:val="none"/>
          <w:lang w:val="en-US" w:eastAsia="zh-CN"/>
        </w:rPr>
        <w:t>3.0mm范围内</w:t>
      </w:r>
      <w:r>
        <w:rPr>
          <w:rFonts w:hint="eastAsia"/>
          <w:highlight w:val="none"/>
        </w:rPr>
        <w:t>。</w:t>
      </w:r>
    </w:p>
    <w:p w14:paraId="5D0FFE07">
      <w:pPr>
        <w:jc w:val="left"/>
        <w:textAlignment w:val="baseline"/>
        <w:rPr>
          <w:szCs w:val="21"/>
        </w:rPr>
      </w:pPr>
      <w:r>
        <w:rPr>
          <w:rFonts w:ascii="黑体" w:hAnsi="黑体" w:eastAsia="黑体" w:cs="黑体"/>
        </w:rPr>
        <w:t>4.4.2</w:t>
      </w:r>
      <w:r>
        <w:rPr>
          <w:rFonts w:hAnsi="宋体"/>
        </w:rPr>
        <w:t xml:space="preserve"> </w:t>
      </w:r>
      <w:r>
        <w:rPr>
          <w:rFonts w:hint="eastAsia" w:hAnsi="宋体" w:cs="宋体"/>
        </w:rPr>
        <w:t>按照</w:t>
      </w:r>
      <w:r>
        <w:rPr>
          <w:rFonts w:hAnsi="Times New Roman" w:cs="Times New Roman"/>
        </w:rPr>
        <w:t>GB/T 3217</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GB/T24270</w:t>
      </w:r>
      <w:r>
        <w:rPr>
          <w:rFonts w:hAnsi="Times New Roman" w:cs="Times New Roman"/>
          <w:color w:val="000000" w:themeColor="text1"/>
          <w14:textFill>
            <w14:solidFill>
              <w14:schemeClr w14:val="tx1"/>
            </w14:solidFill>
          </w14:textFill>
        </w:rPr>
        <w:t>或G</w:t>
      </w:r>
      <w:r>
        <w:rPr>
          <w:rFonts w:hAnsi="Times New Roman" w:cs="Times New Roman"/>
        </w:rPr>
        <w:t>B/T 29628规</w:t>
      </w:r>
      <w:r>
        <w:rPr>
          <w:rFonts w:hAnsi="宋体" w:cs="宋体"/>
        </w:rPr>
        <w:t>定的方法</w:t>
      </w:r>
      <w:r>
        <w:rPr>
          <w:rFonts w:hint="eastAsia"/>
        </w:rPr>
        <w:t>测量样品</w:t>
      </w:r>
      <w:r>
        <w:rPr>
          <w:rFonts w:hint="eastAsia"/>
          <w:szCs w:val="21"/>
        </w:rPr>
        <w:t>室</w:t>
      </w:r>
      <w:r>
        <w:rPr>
          <w:rFonts w:hint="eastAsia"/>
          <w:szCs w:val="21"/>
          <w:highlight w:val="none"/>
        </w:rPr>
        <w:t>温和</w:t>
      </w:r>
      <w:r>
        <w:rPr>
          <w:szCs w:val="21"/>
          <w:highlight w:val="none"/>
        </w:rPr>
        <w:t>120 </w:t>
      </w:r>
      <w:r>
        <w:rPr>
          <w:rFonts w:hint="eastAsia"/>
          <w:szCs w:val="21"/>
          <w:highlight w:val="none"/>
        </w:rPr>
        <w:t>℃的</w:t>
      </w:r>
      <w:r>
        <w:rPr>
          <w:rFonts w:hint="eastAsia"/>
          <w:szCs w:val="21"/>
        </w:rPr>
        <w:t>磁性能</w:t>
      </w:r>
      <w:r>
        <w:rPr>
          <w:rFonts w:hint="eastAsia"/>
        </w:rPr>
        <w:t>参数H</w:t>
      </w:r>
      <w:r>
        <w:rPr>
          <w:rFonts w:hint="eastAsia"/>
          <w:vertAlign w:val="subscript"/>
        </w:rPr>
        <w:t>cJ</w:t>
      </w:r>
      <w:r>
        <w:rPr>
          <w:rFonts w:hint="eastAsia"/>
        </w:rPr>
        <w:t>和H</w:t>
      </w:r>
      <w:r>
        <w:rPr>
          <w:rFonts w:hint="eastAsia"/>
          <w:vertAlign w:val="subscript"/>
        </w:rPr>
        <w:t>k</w:t>
      </w:r>
      <w:r>
        <w:rPr>
          <w:rFonts w:hint="eastAsia"/>
          <w:szCs w:val="21"/>
        </w:rPr>
        <w:t>。</w:t>
      </w:r>
    </w:p>
    <w:p w14:paraId="2B2283A7">
      <w:pPr>
        <w:pStyle w:val="44"/>
        <w:spacing w:before="156" w:after="156"/>
        <w:ind w:left="0"/>
        <w:rPr>
          <w:rFonts w:hint="eastAsia"/>
        </w:rPr>
      </w:pPr>
      <w:r>
        <w:t>试验数据处理</w:t>
      </w:r>
    </w:p>
    <w:p w14:paraId="0630CC9D">
      <w:pPr>
        <w:pStyle w:val="49"/>
        <w:spacing w:before="156" w:after="156"/>
        <w:rPr>
          <w:rFonts w:hint="eastAsia"/>
        </w:rPr>
      </w:pPr>
      <w:r>
        <w:rPr>
          <w:rFonts w:hint="eastAsia"/>
        </w:rPr>
        <w:t>温度修正</w:t>
      </w:r>
    </w:p>
    <w:p w14:paraId="4FE2377C">
      <w:pPr>
        <w:pStyle w:val="44"/>
        <w:numPr>
          <w:ilvl w:val="255"/>
          <w:numId w:val="0"/>
        </w:numPr>
        <w:spacing w:before="156" w:after="156"/>
        <w:ind w:firstLine="420" w:firstLineChars="200"/>
        <w:rPr>
          <w:rFonts w:hint="default" w:ascii="Times New Roman" w:hAnsi="Times New Roman"/>
          <w:color w:val="0000FF"/>
        </w:rPr>
      </w:pPr>
      <w:r>
        <w:rPr>
          <w:rFonts w:ascii="Times New Roman" w:hAnsi="Times New Roman" w:eastAsiaTheme="minorEastAsia"/>
          <w:szCs w:val="20"/>
        </w:rPr>
        <w:t>按4.2条、4.3条和4.4条测量</w:t>
      </w:r>
      <w:r>
        <w:rPr>
          <w:rFonts w:hint="eastAsia" w:ascii="Times New Roman" w:hAnsi="Times New Roman" w:eastAsiaTheme="minorEastAsia"/>
          <w:szCs w:val="20"/>
        </w:rPr>
        <w:t>时，</w:t>
      </w:r>
      <w:r>
        <w:rPr>
          <w:rFonts w:ascii="Times New Roman" w:hAnsi="Times New Roman" w:eastAsiaTheme="minorEastAsia"/>
          <w:szCs w:val="20"/>
        </w:rPr>
        <w:t>室温温度最大偏差宜控制在0.5 ℃以内。温差超范围时，可将测量结果按一定温度系数修正到其中某一次测</w:t>
      </w:r>
      <w:r>
        <w:rPr>
          <w:rFonts w:hint="eastAsia" w:ascii="Times New Roman" w:hAnsi="Times New Roman" w:eastAsiaTheme="minorEastAsia"/>
          <w:szCs w:val="20"/>
          <w:lang w:eastAsia="zh-CN"/>
        </w:rPr>
        <w:t>量</w:t>
      </w:r>
      <w:r>
        <w:rPr>
          <w:rFonts w:ascii="Times New Roman" w:hAnsi="Times New Roman" w:eastAsiaTheme="minorEastAsia"/>
          <w:szCs w:val="20"/>
        </w:rPr>
        <w:t>温度对应的测量值。</w:t>
      </w:r>
    </w:p>
    <w:p w14:paraId="0AACCFA2">
      <w:pPr>
        <w:pStyle w:val="49"/>
        <w:tabs>
          <w:tab w:val="left" w:pos="2100"/>
        </w:tabs>
        <w:adjustRightInd w:val="0"/>
        <w:snapToGrid w:val="0"/>
        <w:spacing w:before="156" w:after="156"/>
        <w:textAlignment w:val="baseline"/>
        <w:rPr>
          <w:rFonts w:hint="eastAsia"/>
        </w:rPr>
      </w:pPr>
      <w:r>
        <w:t xml:space="preserve">晶界扩散后磁体整体磁性能改善效果 </w:t>
      </w:r>
    </w:p>
    <w:p w14:paraId="562DAC05">
      <w:pPr>
        <w:adjustRightInd w:val="0"/>
        <w:snapToGrid w:val="0"/>
        <w:spacing w:before="156" w:beforeLines="50" w:after="156" w:afterLines="50"/>
        <w:ind w:firstLine="420" w:firstLineChars="200"/>
        <w:jc w:val="left"/>
        <w:textAlignment w:val="baseline"/>
        <w:rPr>
          <w:kern w:val="0"/>
          <w:szCs w:val="20"/>
        </w:rPr>
      </w:pPr>
      <w:r>
        <w:rPr>
          <w:kern w:val="0"/>
          <w:szCs w:val="20"/>
        </w:rPr>
        <w:t>晶界扩散后磁体整体磁性能改善效果，用</w:t>
      </w:r>
      <w:r>
        <w:rPr>
          <w:rFonts w:hint="eastAsia"/>
          <w:snapToGrid w:val="0"/>
          <w:szCs w:val="21"/>
        </w:rPr>
        <w:t>扩散后磁体室温内禀矫顽力H</w:t>
      </w:r>
      <w:r>
        <w:rPr>
          <w:rFonts w:hint="eastAsia"/>
          <w:snapToGrid w:val="0"/>
          <w:szCs w:val="21"/>
          <w:vertAlign w:val="subscript"/>
        </w:rPr>
        <w:t>cJ</w:t>
      </w:r>
      <w:r>
        <w:rPr>
          <w:rFonts w:hint="eastAsia"/>
          <w:snapToGrid w:val="0"/>
          <w:szCs w:val="21"/>
        </w:rPr>
        <w:t>提升幅度</w:t>
      </w:r>
      <w:r>
        <w:rPr>
          <w:kern w:val="0"/>
          <w:szCs w:val="20"/>
        </w:rPr>
        <w:t>δ</w:t>
      </w:r>
      <w:r>
        <w:rPr>
          <w:rFonts w:hint="eastAsia"/>
          <w:snapToGrid w:val="0"/>
          <w:szCs w:val="21"/>
        </w:rPr>
        <w:t>来表征。</w:t>
      </w:r>
      <w:r>
        <w:rPr>
          <w:kern w:val="0"/>
          <w:szCs w:val="20"/>
        </w:rPr>
        <w:t>参数δ可依据4.2条和4.3条中</w:t>
      </w:r>
      <w:r>
        <w:rPr>
          <w:rFonts w:hint="eastAsia"/>
          <w:kern w:val="0"/>
          <w:szCs w:val="20"/>
          <w:lang w:eastAsia="zh-CN"/>
        </w:rPr>
        <w:t>两</w:t>
      </w:r>
      <w:r>
        <w:rPr>
          <w:kern w:val="0"/>
          <w:szCs w:val="20"/>
        </w:rPr>
        <w:t>次室温测量的H</w:t>
      </w:r>
      <w:r>
        <w:rPr>
          <w:kern w:val="0"/>
          <w:szCs w:val="20"/>
          <w:vertAlign w:val="subscript"/>
        </w:rPr>
        <w:t>cJ</w:t>
      </w:r>
      <w:r>
        <w:rPr>
          <w:kern w:val="0"/>
          <w:szCs w:val="20"/>
        </w:rPr>
        <w:t>，按</w:t>
      </w:r>
      <w:r>
        <w:rPr>
          <w:rFonts w:hint="eastAsia"/>
          <w:kern w:val="0"/>
          <w:szCs w:val="20"/>
          <w:lang w:eastAsia="zh-CN"/>
        </w:rPr>
        <w:t>以</w:t>
      </w:r>
      <w:r>
        <w:rPr>
          <w:kern w:val="0"/>
          <w:szCs w:val="20"/>
        </w:rPr>
        <w:t>下公式（</w:t>
      </w:r>
      <w:r>
        <w:rPr>
          <w:rFonts w:hint="eastAsia"/>
          <w:kern w:val="0"/>
          <w:szCs w:val="20"/>
          <w:lang w:val="en-US" w:eastAsia="zh-CN"/>
        </w:rPr>
        <w:t>1</w:t>
      </w:r>
      <w:r>
        <w:rPr>
          <w:kern w:val="0"/>
          <w:szCs w:val="20"/>
        </w:rPr>
        <w:t>）计算。</w:t>
      </w:r>
    </w:p>
    <w:p w14:paraId="31E84042">
      <w:pPr>
        <w:pStyle w:val="157"/>
        <w:numPr>
          <w:ilvl w:val="-1"/>
          <w:numId w:val="0"/>
        </w:numPr>
        <w:spacing w:line="360" w:lineRule="auto"/>
        <w:ind w:left="377" w:firstLine="0" w:firstLineChars="0"/>
        <w:jc w:val="left"/>
        <w:rPr>
          <w:rFonts w:hint="eastAsia" w:ascii="Times New Roman"/>
          <w:bCs/>
          <w:szCs w:val="21"/>
          <w:highlight w:val="none"/>
          <w:vertAlign w:val="baseline"/>
          <w:lang w:val="en-US" w:eastAsia="zh-CN"/>
        </w:rPr>
      </w:pPr>
      <w:r>
        <w:rPr>
          <w:rFonts w:hint="default" w:ascii="Times New Roman" w:hAnsi="Times New Roman"/>
          <w:szCs w:val="21"/>
          <w:highlight w:val="none"/>
          <w:lang w:val="en-US" w:eastAsia="zh-CN"/>
        </w:rPr>
        <w:t xml:space="preserve">                     </w:t>
      </w:r>
      <w:r>
        <w:rPr>
          <w:rFonts w:ascii="Times New Roman"/>
          <w:snapToGrid w:val="0"/>
          <w:szCs w:val="21"/>
          <w:highlight w:val="none"/>
        </w:rPr>
        <w:t>δ</w:t>
      </w:r>
      <w:r>
        <w:rPr>
          <w:rFonts w:hint="eastAsia" w:ascii="Times New Roman"/>
          <w:snapToGrid w:val="0"/>
          <w:szCs w:val="21"/>
          <w:highlight w:val="none"/>
          <w:lang w:val="en-US" w:eastAsia="zh-CN"/>
        </w:rPr>
        <w:t xml:space="preserve"> </w:t>
      </w:r>
      <w:r>
        <w:rPr>
          <w:rFonts w:ascii="Times New Roman"/>
          <w:highlight w:val="none"/>
        </w:rPr>
        <w:t>=</w:t>
      </w:r>
      <w:r>
        <w:rPr>
          <w:rFonts w:ascii="Times New Roman"/>
          <w:bCs/>
          <w:szCs w:val="21"/>
          <w:highlight w:val="none"/>
        </w:rPr>
        <w:t>H</w:t>
      </w:r>
      <w:r>
        <w:rPr>
          <w:rFonts w:ascii="Times New Roman"/>
          <w:bCs/>
          <w:szCs w:val="21"/>
          <w:highlight w:val="none"/>
          <w:vertAlign w:val="subscript"/>
        </w:rPr>
        <w:t>cJ</w:t>
      </w:r>
      <w:r>
        <w:rPr>
          <w:rFonts w:ascii="Times New Roman"/>
          <w:bCs/>
          <w:szCs w:val="21"/>
          <w:highlight w:val="none"/>
        </w:rPr>
        <w:t xml:space="preserve"> -</w:t>
      </w:r>
      <w:r>
        <w:rPr>
          <w:rFonts w:hint="eastAsia" w:ascii="Times New Roman"/>
          <w:bCs/>
          <w:szCs w:val="21"/>
          <w:highlight w:val="none"/>
        </w:rPr>
        <w:t xml:space="preserve"> </w:t>
      </w:r>
      <w:r>
        <w:rPr>
          <w:rFonts w:ascii="Times New Roman"/>
          <w:bCs/>
          <w:szCs w:val="21"/>
          <w:highlight w:val="none"/>
        </w:rPr>
        <w:t>H</w:t>
      </w:r>
      <w:r>
        <w:rPr>
          <w:rFonts w:ascii="Times New Roman"/>
          <w:bCs/>
          <w:szCs w:val="21"/>
          <w:highlight w:val="none"/>
          <w:vertAlign w:val="subscript"/>
        </w:rPr>
        <w:t>cJ</w:t>
      </w:r>
      <w:r>
        <w:rPr>
          <w:rFonts w:hint="eastAsia" w:ascii="Times New Roman"/>
          <w:bCs/>
          <w:szCs w:val="21"/>
          <w:highlight w:val="none"/>
          <w:vertAlign w:val="superscript"/>
          <w:lang w:val="en-US" w:eastAsia="zh-CN"/>
        </w:rPr>
        <w:t xml:space="preserve">0 </w:t>
      </w:r>
      <w:r>
        <w:rPr>
          <w:rFonts w:hint="eastAsia" w:ascii="Times New Roman"/>
          <w:bCs/>
          <w:szCs w:val="21"/>
          <w:highlight w:val="none"/>
          <w:vertAlign w:val="baseline"/>
          <w:lang w:val="en-US" w:eastAsia="zh-CN"/>
        </w:rPr>
        <w:t>...........................................................</w:t>
      </w:r>
      <w:r>
        <w:rPr>
          <w:kern w:val="0"/>
          <w:szCs w:val="20"/>
        </w:rPr>
        <w:t>（</w:t>
      </w:r>
      <w:r>
        <w:rPr>
          <w:rFonts w:hint="eastAsia"/>
          <w:kern w:val="0"/>
          <w:szCs w:val="20"/>
          <w:lang w:val="en-US" w:eastAsia="zh-CN"/>
        </w:rPr>
        <w:t>1</w:t>
      </w:r>
      <w:r>
        <w:rPr>
          <w:kern w:val="0"/>
          <w:szCs w:val="20"/>
        </w:rPr>
        <w:t>）</w:t>
      </w:r>
    </w:p>
    <w:p w14:paraId="79287E3D">
      <w:pPr>
        <w:widowControl/>
        <w:tabs>
          <w:tab w:val="center" w:pos="4201"/>
          <w:tab w:val="right" w:leader="dot" w:pos="9298"/>
        </w:tabs>
        <w:autoSpaceDE w:val="0"/>
        <w:autoSpaceDN w:val="0"/>
        <w:adjustRightInd w:val="0"/>
        <w:snapToGrid w:val="0"/>
        <w:spacing w:before="157" w:beforeLines="50" w:after="157" w:afterLines="50" w:line="240" w:lineRule="auto"/>
        <w:ind w:firstLine="420" w:firstLineChars="200"/>
        <w:rPr>
          <w:rFonts w:ascii="宋体" w:hAnsi="宋体"/>
          <w:kern w:val="0"/>
          <w:szCs w:val="20"/>
          <w:highlight w:val="none"/>
        </w:rPr>
      </w:pPr>
      <w:r>
        <w:rPr>
          <w:rFonts w:ascii="宋体" w:hAnsi="宋体"/>
          <w:kern w:val="0"/>
          <w:szCs w:val="20"/>
          <w:highlight w:val="none"/>
        </w:rPr>
        <w:t>式中：</w:t>
      </w:r>
    </w:p>
    <w:p w14:paraId="25513336">
      <w:pPr>
        <w:adjustRightInd w:val="0"/>
        <w:snapToGrid w:val="0"/>
        <w:spacing w:before="157" w:beforeLines="50" w:after="157" w:afterLines="50" w:line="240" w:lineRule="auto"/>
        <w:ind w:firstLine="315" w:firstLineChars="150"/>
        <w:jc w:val="left"/>
        <w:textAlignment w:val="baseline"/>
        <w:rPr>
          <w:kern w:val="0"/>
          <w:szCs w:val="20"/>
          <w:highlight w:val="none"/>
        </w:rPr>
      </w:pPr>
      <w:r>
        <w:rPr>
          <w:rFonts w:hint="eastAsia" w:ascii="宋体" w:hAnsi="宋体"/>
          <w:kern w:val="0"/>
          <w:szCs w:val="20"/>
          <w:highlight w:val="none"/>
        </w:rPr>
        <w:t xml:space="preserve"> </w:t>
      </w:r>
      <w:r>
        <w:rPr>
          <w:rFonts w:hint="eastAsia"/>
          <w:kern w:val="0"/>
          <w:szCs w:val="20"/>
          <w:highlight w:val="none"/>
          <w:lang w:eastAsia="zh-CN"/>
        </w:rPr>
        <w:t>δ</w:t>
      </w:r>
      <w:r>
        <w:rPr>
          <w:szCs w:val="21"/>
          <w:highlight w:val="none"/>
        </w:rPr>
        <w:t>—</w:t>
      </w:r>
      <w:r>
        <w:rPr>
          <w:rFonts w:hint="eastAsia"/>
          <w:szCs w:val="21"/>
          <w:highlight w:val="none"/>
          <w:lang w:val="en-US" w:eastAsia="zh-CN"/>
        </w:rPr>
        <w:t xml:space="preserve"> </w:t>
      </w:r>
      <w:r>
        <w:rPr>
          <w:rFonts w:hint="eastAsia"/>
          <w:szCs w:val="21"/>
          <w:highlight w:val="none"/>
          <w:lang w:eastAsia="zh-CN"/>
        </w:rPr>
        <w:t>扩散后磁体</w:t>
      </w:r>
      <w:r>
        <w:rPr>
          <w:rFonts w:hint="eastAsia"/>
          <w:snapToGrid w:val="0"/>
          <w:szCs w:val="21"/>
          <w:highlight w:val="none"/>
        </w:rPr>
        <w:t>内禀矫顽力提升幅度</w:t>
      </w:r>
      <w:r>
        <w:rPr>
          <w:kern w:val="0"/>
          <w:szCs w:val="20"/>
          <w:highlight w:val="none"/>
        </w:rPr>
        <w:t xml:space="preserve"> ，单位为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44FF8596">
      <w:pPr>
        <w:adjustRightInd w:val="0"/>
        <w:snapToGrid w:val="0"/>
        <w:spacing w:before="157" w:beforeLines="50" w:after="157" w:afterLines="50" w:line="240" w:lineRule="auto"/>
        <w:ind w:firstLine="420" w:firstLineChars="200"/>
        <w:jc w:val="left"/>
        <w:textAlignment w:val="baseline"/>
        <w:rPr>
          <w:kern w:val="0"/>
          <w:szCs w:val="20"/>
          <w:highlight w:val="none"/>
        </w:rPr>
      </w:pPr>
      <w:r>
        <w:rPr>
          <w:kern w:val="0"/>
          <w:szCs w:val="20"/>
          <w:highlight w:val="none"/>
        </w:rPr>
        <w:t>H</w:t>
      </w:r>
      <w:r>
        <w:rPr>
          <w:rFonts w:hint="eastAsia"/>
          <w:kern w:val="0"/>
          <w:szCs w:val="20"/>
          <w:highlight w:val="none"/>
          <w:lang w:val="en-US" w:eastAsia="zh-CN"/>
        </w:rPr>
        <w:t>cJ</w:t>
      </w:r>
      <w:r>
        <w:rPr>
          <w:kern w:val="0"/>
          <w:szCs w:val="20"/>
          <w:highlight w:val="none"/>
        </w:rPr>
        <w:t xml:space="preserve"> </w:t>
      </w:r>
      <w:r>
        <w:rPr>
          <w:szCs w:val="21"/>
          <w:highlight w:val="none"/>
        </w:rPr>
        <w:t xml:space="preserve">— </w:t>
      </w:r>
      <w:r>
        <w:rPr>
          <w:rFonts w:ascii="Times New Roman"/>
          <w:bCs/>
          <w:szCs w:val="21"/>
          <w:highlight w:val="none"/>
        </w:rPr>
        <w:t>扩散后磁体室温</w:t>
      </w:r>
      <w:r>
        <w:rPr>
          <w:rFonts w:hint="eastAsia"/>
          <w:bCs/>
          <w:szCs w:val="21"/>
          <w:highlight w:val="none"/>
          <w:lang w:eastAsia="zh-CN"/>
        </w:rPr>
        <w:t>时</w:t>
      </w:r>
      <w:r>
        <w:rPr>
          <w:rFonts w:ascii="Times New Roman"/>
          <w:bCs/>
          <w:szCs w:val="21"/>
          <w:highlight w:val="none"/>
        </w:rPr>
        <w:t>的</w:t>
      </w:r>
      <w:r>
        <w:rPr>
          <w:rFonts w:hint="eastAsia"/>
          <w:snapToGrid w:val="0"/>
          <w:szCs w:val="21"/>
          <w:highlight w:val="none"/>
        </w:rPr>
        <w:t>内禀矫顽力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1F9CED3E">
      <w:pPr>
        <w:adjustRightInd w:val="0"/>
        <w:snapToGrid w:val="0"/>
        <w:spacing w:before="157" w:beforeLines="50" w:after="157" w:afterLines="50" w:line="240" w:lineRule="auto"/>
        <w:ind w:firstLine="420" w:firstLineChars="200"/>
        <w:jc w:val="left"/>
        <w:textAlignment w:val="baseline"/>
        <w:rPr>
          <w:kern w:val="0"/>
          <w:szCs w:val="20"/>
        </w:rPr>
      </w:pPr>
      <w:r>
        <w:rPr>
          <w:kern w:val="0"/>
          <w:szCs w:val="20"/>
          <w:highlight w:val="none"/>
        </w:rPr>
        <w:t xml:space="preserve">H </w:t>
      </w:r>
      <w:r>
        <w:rPr>
          <w:rFonts w:hint="eastAsia"/>
          <w:kern w:val="0"/>
          <w:szCs w:val="20"/>
          <w:highlight w:val="none"/>
          <w:lang w:val="en-US" w:eastAsia="zh-CN"/>
        </w:rPr>
        <w:t>cJ</w:t>
      </w:r>
      <w:r>
        <w:rPr>
          <w:rFonts w:hint="eastAsia"/>
          <w:kern w:val="0"/>
          <w:szCs w:val="20"/>
          <w:highlight w:val="none"/>
          <w:vertAlign w:val="superscript"/>
          <w:lang w:val="en-US" w:eastAsia="zh-CN"/>
        </w:rPr>
        <w:t>0</w:t>
      </w:r>
      <w:r>
        <w:rPr>
          <w:szCs w:val="21"/>
          <w:highlight w:val="none"/>
        </w:rPr>
        <w:t>—</w:t>
      </w:r>
      <w:r>
        <w:rPr>
          <w:kern w:val="0"/>
          <w:szCs w:val="20"/>
          <w:highlight w:val="none"/>
        </w:rPr>
        <w:t xml:space="preserve"> </w:t>
      </w:r>
      <w:r>
        <w:rPr>
          <w:rFonts w:ascii="Times New Roman"/>
          <w:bCs/>
          <w:szCs w:val="21"/>
          <w:highlight w:val="none"/>
        </w:rPr>
        <w:t>扩散</w:t>
      </w:r>
      <w:r>
        <w:rPr>
          <w:rFonts w:hint="eastAsia" w:ascii="Times New Roman"/>
          <w:bCs/>
          <w:szCs w:val="21"/>
          <w:highlight w:val="none"/>
        </w:rPr>
        <w:t>前</w:t>
      </w:r>
      <w:r>
        <w:rPr>
          <w:rFonts w:ascii="Times New Roman"/>
          <w:bCs/>
          <w:szCs w:val="21"/>
          <w:highlight w:val="none"/>
        </w:rPr>
        <w:t>磁体</w:t>
      </w:r>
      <w:r>
        <w:rPr>
          <w:rFonts w:hint="eastAsia" w:ascii="Times New Roman"/>
          <w:bCs/>
          <w:szCs w:val="21"/>
          <w:highlight w:val="none"/>
        </w:rPr>
        <w:t>经时效热处理后</w:t>
      </w:r>
      <w:r>
        <w:rPr>
          <w:rFonts w:ascii="Times New Roman"/>
          <w:bCs/>
          <w:szCs w:val="21"/>
          <w:highlight w:val="none"/>
        </w:rPr>
        <w:t>室温</w:t>
      </w:r>
      <w:r>
        <w:rPr>
          <w:rFonts w:hint="eastAsia"/>
          <w:bCs/>
          <w:szCs w:val="21"/>
          <w:highlight w:val="none"/>
          <w:lang w:eastAsia="zh-CN"/>
        </w:rPr>
        <w:t>时</w:t>
      </w:r>
      <w:r>
        <w:rPr>
          <w:rFonts w:ascii="Times New Roman"/>
          <w:bCs/>
          <w:szCs w:val="21"/>
          <w:highlight w:val="none"/>
        </w:rPr>
        <w:t>的</w:t>
      </w:r>
      <w:r>
        <w:rPr>
          <w:rFonts w:hint="eastAsia"/>
          <w:snapToGrid w:val="0"/>
          <w:szCs w:val="21"/>
          <w:highlight w:val="none"/>
        </w:rPr>
        <w:t>内禀矫顽力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00AE8BE8">
      <w:pPr>
        <w:pStyle w:val="26"/>
        <w:tabs>
          <w:tab w:val="center" w:pos="426"/>
          <w:tab w:val="clear" w:pos="4201"/>
        </w:tabs>
        <w:wordWrap w:val="0"/>
        <w:spacing w:before="156" w:beforeLines="50" w:after="156" w:afterLines="50"/>
        <w:ind w:right="420" w:firstLine="0" w:firstLineChars="0"/>
        <w:jc w:val="both"/>
        <w:rPr>
          <w:rFonts w:ascii="Times New Roman"/>
        </w:rPr>
      </w:pPr>
      <w:r>
        <w:rPr>
          <w:rFonts w:hint="eastAsia" w:ascii="Times New Roman"/>
          <w:snapToGrid w:val="0"/>
          <w:szCs w:val="21"/>
        </w:rPr>
        <w:t xml:space="preserve"> </w:t>
      </w:r>
    </w:p>
    <w:p w14:paraId="4CF18A10">
      <w:pPr>
        <w:pStyle w:val="49"/>
        <w:adjustRightInd w:val="0"/>
        <w:snapToGrid w:val="0"/>
        <w:spacing w:before="156" w:after="156"/>
        <w:textAlignment w:val="baseline"/>
        <w:rPr>
          <w:rFonts w:hint="eastAsia"/>
        </w:rPr>
      </w:pPr>
      <w:r>
        <w:t>晶界扩散后磁体</w:t>
      </w:r>
      <w:r>
        <w:rPr>
          <w:rFonts w:hint="eastAsia"/>
          <w:lang w:eastAsia="zh-CN"/>
        </w:rPr>
        <w:t>内部</w:t>
      </w:r>
      <w:r>
        <w:t>磁性能</w:t>
      </w:r>
      <w:r>
        <w:rPr>
          <w:rFonts w:hint="eastAsia"/>
          <w:lang w:eastAsia="zh-CN"/>
        </w:rPr>
        <w:t>与整体磁性能的偏差</w:t>
      </w:r>
    </w:p>
    <w:p w14:paraId="6B007B95">
      <w:pPr>
        <w:widowControl/>
        <w:tabs>
          <w:tab w:val="center" w:pos="4201"/>
          <w:tab w:val="right" w:leader="dot" w:pos="9298"/>
        </w:tabs>
        <w:autoSpaceDE w:val="0"/>
        <w:autoSpaceDN w:val="0"/>
        <w:adjustRightInd w:val="0"/>
        <w:snapToGrid w:val="0"/>
        <w:spacing w:before="156" w:beforeLines="50" w:after="156" w:afterLines="50"/>
        <w:ind w:firstLine="420" w:firstLineChars="200"/>
        <w:jc w:val="left"/>
        <w:rPr>
          <w:kern w:val="0"/>
          <w:szCs w:val="20"/>
        </w:rPr>
      </w:pPr>
      <w:r>
        <w:t>晶界扩散后磁体</w:t>
      </w:r>
      <w:r>
        <w:rPr>
          <w:rFonts w:hint="eastAsia"/>
          <w:lang w:eastAsia="zh-CN"/>
        </w:rPr>
        <w:t>内部</w:t>
      </w:r>
      <w:r>
        <w:t>磁性能</w:t>
      </w:r>
      <w:r>
        <w:rPr>
          <w:rFonts w:hint="eastAsia"/>
          <w:lang w:eastAsia="zh-CN"/>
        </w:rPr>
        <w:t>与整体磁性能</w:t>
      </w:r>
      <w:r>
        <w:t>的</w:t>
      </w:r>
      <w:r>
        <w:rPr>
          <w:rFonts w:hint="eastAsia"/>
          <w:lang w:eastAsia="zh-CN"/>
        </w:rPr>
        <w:t>偏差</w:t>
      </w:r>
      <w:r>
        <w:rPr>
          <w:kern w:val="0"/>
          <w:szCs w:val="20"/>
        </w:rPr>
        <w:t>，用相同温度下磁体内部与整体内禀矫顽力H</w:t>
      </w:r>
      <w:r>
        <w:rPr>
          <w:kern w:val="0"/>
          <w:szCs w:val="20"/>
          <w:vertAlign w:val="subscript"/>
        </w:rPr>
        <w:t>cJ</w:t>
      </w:r>
      <w:r>
        <w:rPr>
          <w:rFonts w:hint="eastAsia"/>
          <w:kern w:val="0"/>
          <w:szCs w:val="20"/>
          <w:lang w:eastAsia="zh-CN"/>
        </w:rPr>
        <w:t>的比值</w:t>
      </w:r>
      <w:r>
        <w:rPr>
          <w:kern w:val="0"/>
          <w:szCs w:val="20"/>
        </w:rPr>
        <w:t>σ</w:t>
      </w:r>
      <w:r>
        <w:rPr>
          <w:rFonts w:hint="eastAsia"/>
          <w:kern w:val="0"/>
          <w:szCs w:val="20"/>
        </w:rPr>
        <w:t xml:space="preserve"> </w:t>
      </w:r>
      <w:r>
        <w:rPr>
          <w:kern w:val="0"/>
          <w:szCs w:val="20"/>
        </w:rPr>
        <w:t>以及</w:t>
      </w:r>
      <w:r>
        <w:rPr>
          <w:snapToGrid w:val="0"/>
          <w:szCs w:val="21"/>
        </w:rPr>
        <w:t>磁体内部与整体</w:t>
      </w:r>
      <w:r>
        <w:rPr>
          <w:rFonts w:hint="eastAsia"/>
          <w:kern w:val="0"/>
          <w:szCs w:val="20"/>
        </w:rPr>
        <w:t>膝点</w:t>
      </w:r>
      <w:r>
        <w:rPr>
          <w:kern w:val="0"/>
          <w:szCs w:val="20"/>
        </w:rPr>
        <w:t>矫顽力</w:t>
      </w:r>
      <w:r>
        <w:rPr>
          <w:rFonts w:hint="eastAsia"/>
          <w:kern w:val="0"/>
          <w:szCs w:val="20"/>
        </w:rPr>
        <w:t>H</w:t>
      </w:r>
      <w:r>
        <w:rPr>
          <w:rFonts w:hint="eastAsia"/>
          <w:kern w:val="0"/>
          <w:szCs w:val="20"/>
          <w:vertAlign w:val="subscript"/>
        </w:rPr>
        <w:t>k</w:t>
      </w:r>
      <w:r>
        <w:rPr>
          <w:snapToGrid w:val="0"/>
          <w:szCs w:val="21"/>
        </w:rPr>
        <w:t>的比值λ</w:t>
      </w:r>
      <w:r>
        <w:rPr>
          <w:kern w:val="0"/>
          <w:szCs w:val="20"/>
        </w:rPr>
        <w:t>来表征</w:t>
      </w:r>
      <w:r>
        <w:rPr>
          <w:rFonts w:hint="eastAsia"/>
          <w:kern w:val="0"/>
          <w:szCs w:val="20"/>
          <w:lang w:eastAsia="zh-CN"/>
        </w:rPr>
        <w:t>。</w:t>
      </w:r>
    </w:p>
    <w:p w14:paraId="54495D2E">
      <w:pPr>
        <w:widowControl/>
        <w:tabs>
          <w:tab w:val="center" w:pos="4201"/>
          <w:tab w:val="right" w:leader="dot" w:pos="9298"/>
        </w:tabs>
        <w:autoSpaceDE w:val="0"/>
        <w:autoSpaceDN w:val="0"/>
        <w:adjustRightInd w:val="0"/>
        <w:snapToGrid w:val="0"/>
        <w:spacing w:before="157" w:beforeLines="50" w:after="157" w:afterLines="50"/>
        <w:ind w:firstLine="420" w:firstLineChars="200"/>
        <w:jc w:val="left"/>
        <w:rPr>
          <w:kern w:val="0"/>
          <w:szCs w:val="20"/>
        </w:rPr>
      </w:pPr>
      <w:r>
        <w:rPr>
          <w:kern w:val="0"/>
          <w:szCs w:val="20"/>
        </w:rPr>
        <w:t>参数σ和</w:t>
      </w:r>
      <w:r>
        <w:rPr>
          <w:snapToGrid w:val="0"/>
          <w:szCs w:val="21"/>
        </w:rPr>
        <w:t>λ</w:t>
      </w:r>
      <w:r>
        <w:rPr>
          <w:kern w:val="0"/>
          <w:szCs w:val="20"/>
        </w:rPr>
        <w:t>可依据4.3条和4.4条中两次相同温度下的磁性能测量值，按</w:t>
      </w:r>
      <w:r>
        <w:rPr>
          <w:rFonts w:hint="eastAsia"/>
          <w:kern w:val="0"/>
          <w:szCs w:val="20"/>
          <w:lang w:eastAsia="zh-CN"/>
        </w:rPr>
        <w:t>以</w:t>
      </w:r>
      <w:r>
        <w:rPr>
          <w:kern w:val="0"/>
          <w:szCs w:val="20"/>
        </w:rPr>
        <w:t>下公式（2）和公式（3）计算。</w:t>
      </w:r>
    </w:p>
    <w:p w14:paraId="06834828">
      <w:pPr>
        <w:pStyle w:val="157"/>
        <w:numPr>
          <w:ilvl w:val="-1"/>
          <w:numId w:val="0"/>
        </w:numPr>
        <w:spacing w:before="157" w:beforeLines="50" w:after="157" w:afterLines="50" w:line="240" w:lineRule="auto"/>
        <w:ind w:left="377" w:firstLine="1890" w:firstLineChars="900"/>
        <w:jc w:val="left"/>
        <w:rPr>
          <w:kern w:val="0"/>
          <w:szCs w:val="20"/>
        </w:rPr>
      </w:pPr>
      <w:r>
        <w:rPr>
          <w:rFonts w:hint="default" w:ascii="Times New Roman" w:hAnsi="Times New Roman"/>
          <w:szCs w:val="21"/>
          <w:highlight w:val="none"/>
          <w:lang w:val="en-US" w:eastAsia="zh-CN"/>
        </w:rPr>
        <w:t xml:space="preserve"> </w:t>
      </w:r>
      <w:r>
        <w:rPr>
          <w:rFonts w:hint="eastAsia"/>
          <w:snapToGrid w:val="0"/>
          <w:szCs w:val="21"/>
          <w:highlight w:val="none"/>
          <w:lang w:eastAsia="zh-CN"/>
        </w:rPr>
        <w:t>σ</w:t>
      </w:r>
      <w:r>
        <w:rPr>
          <w:rFonts w:hint="eastAsia" w:ascii="Times New Roman"/>
          <w:snapToGrid w:val="0"/>
          <w:szCs w:val="21"/>
          <w:highlight w:val="none"/>
          <w:lang w:val="en-US" w:eastAsia="zh-CN"/>
        </w:rPr>
        <w:t xml:space="preserve"> </w:t>
      </w:r>
      <w:r>
        <w:rPr>
          <w:rFonts w:ascii="Times New Roman"/>
          <w:highlight w:val="none"/>
        </w:rPr>
        <w:t>=</w:t>
      </w:r>
      <w:r>
        <w:rPr>
          <w:rFonts w:hint="eastAsia"/>
          <w:highlight w:val="none"/>
          <w:lang w:val="en-US" w:eastAsia="zh-CN"/>
        </w:rPr>
        <w:t>100%×</w:t>
      </w:r>
      <w:r>
        <w:rPr>
          <w:rFonts w:ascii="Times New Roman"/>
          <w:bCs/>
          <w:szCs w:val="21"/>
          <w:highlight w:val="none"/>
        </w:rPr>
        <w:t>H</w:t>
      </w:r>
      <w:r>
        <w:rPr>
          <w:rFonts w:ascii="Times New Roman"/>
          <w:bCs/>
          <w:szCs w:val="21"/>
          <w:highlight w:val="none"/>
          <w:vertAlign w:val="subscript"/>
        </w:rPr>
        <w:t>cJ</w:t>
      </w:r>
      <w:r>
        <w:rPr>
          <w:rFonts w:hint="eastAsia"/>
          <w:bCs/>
          <w:szCs w:val="21"/>
          <w:highlight w:val="none"/>
          <w:vertAlign w:val="subscript"/>
          <w:lang w:val="en-US" w:eastAsia="zh-CN"/>
        </w:rPr>
        <w:t xml:space="preserve">内 </w:t>
      </w:r>
      <w:r>
        <w:rPr>
          <w:rFonts w:hint="eastAsia"/>
          <w:bCs/>
          <w:szCs w:val="21"/>
          <w:highlight w:val="none"/>
          <w:vertAlign w:val="baseline"/>
          <w:lang w:val="en-US" w:eastAsia="zh-CN"/>
        </w:rPr>
        <w:t xml:space="preserve">/ </w:t>
      </w:r>
      <w:r>
        <w:rPr>
          <w:rFonts w:ascii="Times New Roman"/>
          <w:bCs/>
          <w:szCs w:val="21"/>
          <w:highlight w:val="none"/>
        </w:rPr>
        <w:t>H</w:t>
      </w:r>
      <w:r>
        <w:rPr>
          <w:rFonts w:ascii="Times New Roman"/>
          <w:bCs/>
          <w:szCs w:val="21"/>
          <w:highlight w:val="none"/>
          <w:vertAlign w:val="subscript"/>
        </w:rPr>
        <w:t>cJ</w:t>
      </w:r>
      <w:r>
        <w:rPr>
          <w:rFonts w:hint="eastAsia"/>
          <w:bCs/>
          <w:szCs w:val="21"/>
          <w:highlight w:val="none"/>
          <w:vertAlign w:val="subscript"/>
          <w:lang w:eastAsia="zh-CN"/>
        </w:rPr>
        <w:t>整</w:t>
      </w:r>
      <w:r>
        <w:rPr>
          <w:rFonts w:ascii="Times New Roman"/>
          <w:bCs/>
          <w:szCs w:val="21"/>
          <w:highlight w:val="none"/>
        </w:rPr>
        <w:t xml:space="preserve"> </w:t>
      </w:r>
      <w:r>
        <w:rPr>
          <w:rFonts w:hint="eastAsia" w:ascii="Times New Roman"/>
          <w:bCs/>
          <w:szCs w:val="21"/>
          <w:highlight w:val="none"/>
          <w:vertAlign w:val="superscript"/>
          <w:lang w:val="en-US" w:eastAsia="zh-CN"/>
        </w:rPr>
        <w:t xml:space="preserve"> </w:t>
      </w:r>
      <w:r>
        <w:rPr>
          <w:rFonts w:hint="eastAsia" w:ascii="Times New Roman"/>
          <w:bCs/>
          <w:szCs w:val="21"/>
          <w:highlight w:val="none"/>
          <w:vertAlign w:val="baseline"/>
          <w:lang w:val="en-US" w:eastAsia="zh-CN"/>
        </w:rPr>
        <w:t>..........................................</w:t>
      </w:r>
      <w:r>
        <w:rPr>
          <w:kern w:val="0"/>
          <w:szCs w:val="20"/>
        </w:rPr>
        <w:t>（2）</w:t>
      </w:r>
    </w:p>
    <w:p w14:paraId="1AF4CF88">
      <w:pPr>
        <w:pStyle w:val="157"/>
        <w:numPr>
          <w:ilvl w:val="-1"/>
          <w:numId w:val="0"/>
        </w:numPr>
        <w:spacing w:before="157" w:beforeLines="50" w:after="157" w:afterLines="50" w:line="240" w:lineRule="auto"/>
        <w:ind w:left="0" w:firstLine="2310" w:firstLineChars="1100"/>
        <w:jc w:val="left"/>
        <w:rPr>
          <w:kern w:val="0"/>
          <w:szCs w:val="20"/>
        </w:rPr>
      </w:pPr>
      <w:r>
        <w:rPr>
          <w:rFonts w:hint="eastAsia"/>
          <w:snapToGrid w:val="0"/>
          <w:szCs w:val="21"/>
          <w:highlight w:val="none"/>
          <w:lang w:eastAsia="zh-CN"/>
        </w:rPr>
        <w:t>λ</w:t>
      </w:r>
      <w:r>
        <w:rPr>
          <w:rFonts w:hint="eastAsia" w:ascii="Times New Roman"/>
          <w:snapToGrid w:val="0"/>
          <w:szCs w:val="21"/>
          <w:highlight w:val="none"/>
          <w:lang w:val="en-US" w:eastAsia="zh-CN"/>
        </w:rPr>
        <w:t xml:space="preserve"> </w:t>
      </w:r>
      <w:r>
        <w:rPr>
          <w:rFonts w:ascii="Times New Roman"/>
          <w:highlight w:val="none"/>
        </w:rPr>
        <w:t>=</w:t>
      </w:r>
      <w:r>
        <w:rPr>
          <w:rFonts w:hint="eastAsia"/>
          <w:highlight w:val="none"/>
          <w:lang w:val="en-US" w:eastAsia="zh-CN"/>
        </w:rPr>
        <w:t>100%×</w:t>
      </w:r>
      <w:r>
        <w:rPr>
          <w:rFonts w:ascii="Times New Roman"/>
          <w:bCs/>
          <w:szCs w:val="21"/>
          <w:highlight w:val="none"/>
        </w:rPr>
        <w:t>H</w:t>
      </w:r>
      <w:r>
        <w:rPr>
          <w:rFonts w:hint="eastAsia"/>
          <w:bCs/>
          <w:szCs w:val="21"/>
          <w:highlight w:val="none"/>
          <w:vertAlign w:val="subscript"/>
          <w:lang w:val="en-US" w:eastAsia="zh-CN"/>
        </w:rPr>
        <w:t>k内</w:t>
      </w:r>
      <w:r>
        <w:rPr>
          <w:rFonts w:ascii="Times New Roman"/>
          <w:bCs/>
          <w:szCs w:val="21"/>
          <w:highlight w:val="none"/>
        </w:rPr>
        <w:t xml:space="preserve"> </w:t>
      </w:r>
      <w:r>
        <w:rPr>
          <w:rFonts w:hint="eastAsia"/>
          <w:bCs/>
          <w:szCs w:val="21"/>
          <w:highlight w:val="none"/>
          <w:lang w:val="en-US" w:eastAsia="zh-CN"/>
        </w:rPr>
        <w:t>/</w:t>
      </w:r>
      <w:r>
        <w:rPr>
          <w:rFonts w:hint="eastAsia" w:ascii="Times New Roman"/>
          <w:bCs/>
          <w:szCs w:val="21"/>
          <w:highlight w:val="none"/>
        </w:rPr>
        <w:t xml:space="preserve"> </w:t>
      </w:r>
      <w:r>
        <w:rPr>
          <w:rFonts w:ascii="Times New Roman"/>
          <w:bCs/>
          <w:szCs w:val="21"/>
          <w:highlight w:val="none"/>
        </w:rPr>
        <w:t>H</w:t>
      </w:r>
      <w:r>
        <w:rPr>
          <w:rFonts w:ascii="Times New Roman"/>
          <w:bCs/>
          <w:szCs w:val="21"/>
          <w:highlight w:val="none"/>
          <w:vertAlign w:val="subscript"/>
        </w:rPr>
        <w:t>cJ</w:t>
      </w:r>
      <w:r>
        <w:rPr>
          <w:rFonts w:hint="eastAsia"/>
          <w:bCs/>
          <w:szCs w:val="21"/>
          <w:highlight w:val="none"/>
          <w:vertAlign w:val="subscript"/>
          <w:lang w:eastAsia="zh-CN"/>
        </w:rPr>
        <w:t>整</w:t>
      </w:r>
      <w:r>
        <w:rPr>
          <w:rFonts w:hint="eastAsia" w:ascii="Times New Roman"/>
          <w:bCs/>
          <w:szCs w:val="21"/>
          <w:highlight w:val="none"/>
          <w:vertAlign w:val="superscript"/>
          <w:lang w:val="en-US" w:eastAsia="zh-CN"/>
        </w:rPr>
        <w:t xml:space="preserve"> </w:t>
      </w:r>
      <w:r>
        <w:rPr>
          <w:rFonts w:hint="eastAsia" w:ascii="Times New Roman"/>
          <w:bCs/>
          <w:szCs w:val="21"/>
          <w:highlight w:val="none"/>
          <w:vertAlign w:val="baseline"/>
          <w:lang w:val="en-US" w:eastAsia="zh-CN"/>
        </w:rPr>
        <w:t>..............................................</w:t>
      </w:r>
      <w:r>
        <w:rPr>
          <w:kern w:val="0"/>
          <w:szCs w:val="20"/>
        </w:rPr>
        <w:t>（</w:t>
      </w:r>
      <w:r>
        <w:rPr>
          <w:rFonts w:hint="eastAsia"/>
          <w:kern w:val="0"/>
          <w:szCs w:val="20"/>
          <w:lang w:val="en-US" w:eastAsia="zh-CN"/>
        </w:rPr>
        <w:t>3</w:t>
      </w:r>
      <w:r>
        <w:rPr>
          <w:kern w:val="0"/>
          <w:szCs w:val="20"/>
        </w:rPr>
        <w:t>）</w:t>
      </w:r>
    </w:p>
    <w:p w14:paraId="1DAD8F96">
      <w:pPr>
        <w:widowControl/>
        <w:tabs>
          <w:tab w:val="center" w:pos="4201"/>
          <w:tab w:val="right" w:leader="dot" w:pos="9298"/>
        </w:tabs>
        <w:autoSpaceDE w:val="0"/>
        <w:autoSpaceDN w:val="0"/>
        <w:adjustRightInd w:val="0"/>
        <w:snapToGrid w:val="0"/>
        <w:spacing w:before="156" w:beforeLines="50" w:after="156" w:afterLines="50" w:line="240" w:lineRule="auto"/>
        <w:ind w:firstLine="420" w:firstLineChars="200"/>
        <w:rPr>
          <w:rFonts w:ascii="Times New Roman" w:hAnsi="Times New Roman"/>
          <w:kern w:val="0"/>
          <w:szCs w:val="20"/>
          <w:highlight w:val="none"/>
        </w:rPr>
      </w:pPr>
      <w:r>
        <w:rPr>
          <w:rFonts w:ascii="Times New Roman" w:hAnsi="Times New Roman"/>
          <w:kern w:val="0"/>
          <w:szCs w:val="20"/>
          <w:highlight w:val="none"/>
        </w:rPr>
        <w:t>式中：</w:t>
      </w:r>
    </w:p>
    <w:p w14:paraId="30856FBD">
      <w:pPr>
        <w:adjustRightInd w:val="0"/>
        <w:snapToGrid w:val="0"/>
        <w:spacing w:before="157" w:beforeLines="50" w:after="157" w:afterLines="50" w:line="240" w:lineRule="auto"/>
        <w:ind w:firstLine="315" w:firstLineChars="150"/>
        <w:jc w:val="left"/>
        <w:textAlignment w:val="baseline"/>
        <w:rPr>
          <w:kern w:val="0"/>
          <w:szCs w:val="20"/>
          <w:highlight w:val="none"/>
        </w:rPr>
      </w:pPr>
      <w:r>
        <w:rPr>
          <w:rFonts w:hint="default" w:ascii="Times New Roman" w:hAnsi="Times New Roman"/>
          <w:kern w:val="0"/>
          <w:szCs w:val="20"/>
          <w:highlight w:val="none"/>
        </w:rPr>
        <w:t xml:space="preserve"> </w:t>
      </w:r>
      <w:r>
        <w:rPr>
          <w:rFonts w:hint="eastAsia"/>
          <w:kern w:val="0"/>
          <w:szCs w:val="20"/>
          <w:highlight w:val="none"/>
          <w:lang w:eastAsia="zh-CN"/>
        </w:rPr>
        <w:t>σ</w:t>
      </w:r>
      <w:r>
        <w:rPr>
          <w:szCs w:val="21"/>
          <w:highlight w:val="none"/>
        </w:rPr>
        <w:t>—</w:t>
      </w:r>
      <w:r>
        <w:rPr>
          <w:rFonts w:hint="eastAsia"/>
          <w:szCs w:val="21"/>
          <w:highlight w:val="none"/>
          <w:lang w:val="en-US" w:eastAsia="zh-CN"/>
        </w:rPr>
        <w:t xml:space="preserve"> </w:t>
      </w:r>
      <w:r>
        <w:rPr>
          <w:rFonts w:ascii="Times New Roman"/>
          <w:bCs/>
          <w:szCs w:val="21"/>
          <w:highlight w:val="none"/>
        </w:rPr>
        <w:t>扩散后</w:t>
      </w:r>
      <w:r>
        <w:rPr>
          <w:snapToGrid w:val="0"/>
          <w:szCs w:val="21"/>
        </w:rPr>
        <w:t>磁体内部与整体</w:t>
      </w:r>
      <w:r>
        <w:rPr>
          <w:rFonts w:hint="eastAsia"/>
          <w:kern w:val="0"/>
          <w:szCs w:val="20"/>
          <w:lang w:eastAsia="zh-CN"/>
        </w:rPr>
        <w:t>内稟</w:t>
      </w:r>
      <w:r>
        <w:rPr>
          <w:kern w:val="0"/>
          <w:szCs w:val="20"/>
        </w:rPr>
        <w:t>矫顽力</w:t>
      </w:r>
      <w:r>
        <w:rPr>
          <w:rFonts w:hint="eastAsia"/>
          <w:kern w:val="0"/>
          <w:szCs w:val="20"/>
        </w:rPr>
        <w:t>H</w:t>
      </w:r>
      <w:r>
        <w:rPr>
          <w:rFonts w:hint="eastAsia"/>
          <w:kern w:val="0"/>
          <w:szCs w:val="20"/>
          <w:vertAlign w:val="subscript"/>
          <w:lang w:val="en-US" w:eastAsia="zh-CN"/>
        </w:rPr>
        <w:t>cJ</w:t>
      </w:r>
      <w:r>
        <w:rPr>
          <w:snapToGrid w:val="0"/>
          <w:szCs w:val="21"/>
        </w:rPr>
        <w:t>的比值</w:t>
      </w:r>
      <w:r>
        <w:rPr>
          <w:rFonts w:hint="eastAsia"/>
          <w:kern w:val="0"/>
          <w:szCs w:val="20"/>
          <w:highlight w:val="none"/>
          <w:lang w:eastAsia="zh-CN"/>
        </w:rPr>
        <w:t>；</w:t>
      </w:r>
    </w:p>
    <w:p w14:paraId="6625F63E">
      <w:pPr>
        <w:adjustRightInd w:val="0"/>
        <w:snapToGrid w:val="0"/>
        <w:spacing w:before="157" w:beforeLines="50" w:after="157" w:afterLines="50"/>
        <w:ind w:firstLine="420" w:firstLineChars="200"/>
        <w:jc w:val="left"/>
        <w:textAlignment w:val="baseline"/>
        <w:rPr>
          <w:kern w:val="0"/>
          <w:szCs w:val="20"/>
          <w:highlight w:val="none"/>
        </w:rPr>
      </w:pPr>
      <w:r>
        <w:rPr>
          <w:rFonts w:ascii="Times New Roman"/>
          <w:bCs/>
          <w:szCs w:val="21"/>
          <w:highlight w:val="none"/>
        </w:rPr>
        <w:t>H</w:t>
      </w:r>
      <w:r>
        <w:rPr>
          <w:rFonts w:ascii="Times New Roman"/>
          <w:bCs/>
          <w:szCs w:val="21"/>
          <w:highlight w:val="none"/>
          <w:vertAlign w:val="subscript"/>
        </w:rPr>
        <w:t>cJ</w:t>
      </w:r>
      <w:r>
        <w:rPr>
          <w:rFonts w:hint="eastAsia"/>
          <w:bCs/>
          <w:szCs w:val="21"/>
          <w:highlight w:val="none"/>
          <w:vertAlign w:val="subscript"/>
          <w:lang w:val="en-US" w:eastAsia="zh-CN"/>
        </w:rPr>
        <w:t>内</w:t>
      </w:r>
      <w:r>
        <w:rPr>
          <w:szCs w:val="21"/>
          <w:highlight w:val="none"/>
        </w:rPr>
        <w:t>—</w:t>
      </w:r>
      <w:r>
        <w:rPr>
          <w:kern w:val="0"/>
          <w:szCs w:val="20"/>
          <w:highlight w:val="none"/>
        </w:rPr>
        <w:t xml:space="preserve"> </w:t>
      </w:r>
      <w:r>
        <w:rPr>
          <w:rFonts w:ascii="Times New Roman"/>
          <w:bCs/>
          <w:szCs w:val="21"/>
          <w:highlight w:val="none"/>
        </w:rPr>
        <w:t>扩散后磁体</w:t>
      </w:r>
      <w:r>
        <w:rPr>
          <w:kern w:val="0"/>
          <w:szCs w:val="20"/>
        </w:rPr>
        <w:t>内部内禀矫顽力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5F90284B">
      <w:pPr>
        <w:adjustRightInd w:val="0"/>
        <w:snapToGrid w:val="0"/>
        <w:spacing w:before="157" w:beforeLines="50" w:after="157" w:afterLines="50" w:line="240" w:lineRule="auto"/>
        <w:ind w:firstLine="420" w:firstLineChars="200"/>
        <w:jc w:val="left"/>
        <w:textAlignment w:val="baseline"/>
        <w:rPr>
          <w:kern w:val="0"/>
          <w:szCs w:val="20"/>
          <w:highlight w:val="none"/>
        </w:rPr>
      </w:pPr>
      <w:r>
        <w:rPr>
          <w:rFonts w:ascii="Times New Roman"/>
          <w:bCs/>
          <w:szCs w:val="21"/>
          <w:highlight w:val="none"/>
        </w:rPr>
        <w:t>H</w:t>
      </w:r>
      <w:r>
        <w:rPr>
          <w:rFonts w:ascii="Times New Roman"/>
          <w:bCs/>
          <w:szCs w:val="21"/>
          <w:highlight w:val="none"/>
          <w:vertAlign w:val="subscript"/>
        </w:rPr>
        <w:t>cJ</w:t>
      </w:r>
      <w:r>
        <w:rPr>
          <w:rFonts w:hint="eastAsia"/>
          <w:bCs/>
          <w:szCs w:val="21"/>
          <w:highlight w:val="none"/>
          <w:vertAlign w:val="subscript"/>
          <w:lang w:eastAsia="zh-CN"/>
        </w:rPr>
        <w:t>整</w:t>
      </w:r>
      <w:r>
        <w:rPr>
          <w:kern w:val="0"/>
          <w:szCs w:val="20"/>
          <w:highlight w:val="none"/>
        </w:rPr>
        <w:t xml:space="preserve"> </w:t>
      </w:r>
      <w:r>
        <w:rPr>
          <w:szCs w:val="21"/>
          <w:highlight w:val="none"/>
        </w:rPr>
        <w:t xml:space="preserve">— </w:t>
      </w:r>
      <w:r>
        <w:rPr>
          <w:rFonts w:ascii="Times New Roman"/>
          <w:bCs/>
          <w:szCs w:val="21"/>
          <w:highlight w:val="none"/>
        </w:rPr>
        <w:t>扩散后</w:t>
      </w:r>
      <w:r>
        <w:rPr>
          <w:kern w:val="0"/>
          <w:szCs w:val="20"/>
        </w:rPr>
        <w:t>磁体整体内禀矫顽力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07423F88">
      <w:pPr>
        <w:widowControl/>
        <w:autoSpaceDE/>
        <w:autoSpaceDN/>
        <w:adjustRightInd w:val="0"/>
        <w:snapToGrid w:val="0"/>
        <w:spacing w:before="157" w:beforeLines="50" w:after="157" w:afterLines="50"/>
        <w:ind w:right="0" w:firstLine="420" w:firstLineChars="200"/>
        <w:jc w:val="left"/>
        <w:textAlignment w:val="baseline"/>
        <w:rPr>
          <w:rFonts w:hint="eastAsia"/>
          <w:kern w:val="0"/>
          <w:szCs w:val="20"/>
          <w:highlight w:val="none"/>
          <w:lang w:eastAsia="zh-CN"/>
        </w:rPr>
      </w:pPr>
      <w:r>
        <w:rPr>
          <w:rFonts w:hint="eastAsia"/>
          <w:kern w:val="0"/>
          <w:szCs w:val="20"/>
          <w:highlight w:val="none"/>
          <w:lang w:eastAsia="zh-CN"/>
        </w:rPr>
        <w:t>λ</w:t>
      </w:r>
      <w:r>
        <w:rPr>
          <w:szCs w:val="21"/>
          <w:highlight w:val="none"/>
        </w:rPr>
        <w:t>—</w:t>
      </w:r>
      <w:r>
        <w:rPr>
          <w:rFonts w:hint="eastAsia"/>
          <w:szCs w:val="21"/>
          <w:highlight w:val="none"/>
          <w:lang w:val="en-US" w:eastAsia="zh-CN"/>
        </w:rPr>
        <w:t xml:space="preserve"> </w:t>
      </w:r>
      <w:r>
        <w:rPr>
          <w:rFonts w:ascii="Times New Roman"/>
          <w:bCs/>
          <w:szCs w:val="21"/>
          <w:highlight w:val="none"/>
        </w:rPr>
        <w:t>扩散后</w:t>
      </w:r>
      <w:r>
        <w:rPr>
          <w:snapToGrid w:val="0"/>
          <w:szCs w:val="21"/>
        </w:rPr>
        <w:t>磁体内部与整体</w:t>
      </w:r>
      <w:r>
        <w:rPr>
          <w:rFonts w:hint="eastAsia"/>
          <w:kern w:val="0"/>
          <w:szCs w:val="20"/>
        </w:rPr>
        <w:t>膝点</w:t>
      </w:r>
      <w:r>
        <w:rPr>
          <w:kern w:val="0"/>
          <w:szCs w:val="20"/>
        </w:rPr>
        <w:t>矫顽力</w:t>
      </w:r>
      <w:r>
        <w:rPr>
          <w:rFonts w:hint="eastAsia"/>
          <w:kern w:val="0"/>
          <w:szCs w:val="20"/>
        </w:rPr>
        <w:t>H</w:t>
      </w:r>
      <w:r>
        <w:rPr>
          <w:rFonts w:hint="eastAsia"/>
          <w:kern w:val="0"/>
          <w:szCs w:val="20"/>
          <w:vertAlign w:val="subscript"/>
        </w:rPr>
        <w:t>k</w:t>
      </w:r>
      <w:r>
        <w:rPr>
          <w:snapToGrid w:val="0"/>
          <w:szCs w:val="21"/>
        </w:rPr>
        <w:t>的比值</w:t>
      </w:r>
      <w:r>
        <w:rPr>
          <w:rFonts w:hint="eastAsia"/>
          <w:kern w:val="0"/>
          <w:szCs w:val="20"/>
          <w:highlight w:val="none"/>
          <w:lang w:eastAsia="zh-CN"/>
        </w:rPr>
        <w:t>；</w:t>
      </w:r>
    </w:p>
    <w:p w14:paraId="4DE0C44B">
      <w:pPr>
        <w:widowControl/>
        <w:autoSpaceDE/>
        <w:autoSpaceDN/>
        <w:adjustRightInd w:val="0"/>
        <w:snapToGrid w:val="0"/>
        <w:spacing w:before="157" w:beforeLines="50" w:after="157" w:afterLines="50"/>
        <w:ind w:right="0" w:firstLine="420" w:firstLineChars="200"/>
        <w:jc w:val="left"/>
        <w:textAlignment w:val="baseline"/>
        <w:rPr>
          <w:rFonts w:hint="default" w:ascii="Times New Roman" w:hAnsi="Times New Roman"/>
          <w:kern w:val="0"/>
          <w:szCs w:val="20"/>
          <w:highlight w:val="yellow"/>
        </w:rPr>
      </w:pPr>
      <w:r>
        <w:rPr>
          <w:rFonts w:ascii="Times New Roman"/>
          <w:bCs/>
          <w:szCs w:val="21"/>
          <w:highlight w:val="none"/>
        </w:rPr>
        <w:t>H</w:t>
      </w:r>
      <w:r>
        <w:rPr>
          <w:rFonts w:hint="eastAsia"/>
          <w:bCs/>
          <w:szCs w:val="21"/>
          <w:highlight w:val="none"/>
          <w:vertAlign w:val="subscript"/>
          <w:lang w:val="en-US" w:eastAsia="zh-CN"/>
        </w:rPr>
        <w:t>k内</w:t>
      </w:r>
      <w:r>
        <w:rPr>
          <w:szCs w:val="21"/>
          <w:highlight w:val="none"/>
        </w:rPr>
        <w:t>—</w:t>
      </w:r>
      <w:r>
        <w:rPr>
          <w:kern w:val="0"/>
          <w:szCs w:val="20"/>
          <w:highlight w:val="none"/>
        </w:rPr>
        <w:t xml:space="preserve"> </w:t>
      </w:r>
      <w:r>
        <w:rPr>
          <w:rFonts w:ascii="Times New Roman"/>
          <w:bCs/>
          <w:szCs w:val="21"/>
          <w:highlight w:val="none"/>
        </w:rPr>
        <w:t>扩散后磁体</w:t>
      </w:r>
      <w:r>
        <w:rPr>
          <w:kern w:val="0"/>
          <w:szCs w:val="20"/>
        </w:rPr>
        <w:t>内部</w:t>
      </w:r>
      <w:r>
        <w:rPr>
          <w:rFonts w:hint="eastAsia"/>
          <w:kern w:val="0"/>
          <w:szCs w:val="20"/>
          <w:lang w:eastAsia="zh-CN"/>
        </w:rPr>
        <w:t>膝点</w:t>
      </w:r>
      <w:r>
        <w:rPr>
          <w:kern w:val="0"/>
          <w:szCs w:val="20"/>
        </w:rPr>
        <w:t>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p>
    <w:p w14:paraId="000AD300">
      <w:pPr>
        <w:widowControl/>
        <w:tabs>
          <w:tab w:val="left" w:pos="1890"/>
          <w:tab w:val="center" w:pos="4201"/>
          <w:tab w:val="right" w:leader="dot" w:pos="9298"/>
        </w:tabs>
        <w:autoSpaceDE w:val="0"/>
        <w:autoSpaceDN w:val="0"/>
        <w:adjustRightInd w:val="0"/>
        <w:snapToGrid w:val="0"/>
        <w:spacing w:before="157" w:beforeLines="50" w:after="157" w:afterLines="50"/>
        <w:ind w:right="420" w:firstLine="420" w:firstLineChars="200"/>
        <w:jc w:val="both"/>
        <w:rPr>
          <w:rFonts w:hint="default" w:ascii="Times New Roman" w:hAnsi="Times New Roman" w:eastAsia="宋体"/>
          <w:kern w:val="0"/>
          <w:szCs w:val="20"/>
          <w:highlight w:val="yellow"/>
          <w:lang w:eastAsia="zh-CN"/>
        </w:rPr>
      </w:pPr>
      <w:r>
        <w:rPr>
          <w:rFonts w:ascii="Times New Roman"/>
          <w:bCs/>
          <w:szCs w:val="21"/>
          <w:highlight w:val="none"/>
        </w:rPr>
        <w:t>H</w:t>
      </w:r>
      <w:r>
        <w:rPr>
          <w:rFonts w:hint="eastAsia"/>
          <w:bCs/>
          <w:szCs w:val="21"/>
          <w:highlight w:val="none"/>
          <w:vertAlign w:val="subscript"/>
          <w:lang w:val="en-US" w:eastAsia="zh-CN"/>
        </w:rPr>
        <w:t>k整</w:t>
      </w:r>
      <w:r>
        <w:rPr>
          <w:szCs w:val="21"/>
          <w:highlight w:val="none"/>
        </w:rPr>
        <w:t>—</w:t>
      </w:r>
      <w:r>
        <w:rPr>
          <w:kern w:val="0"/>
          <w:szCs w:val="20"/>
          <w:highlight w:val="none"/>
        </w:rPr>
        <w:t xml:space="preserve"> </w:t>
      </w:r>
      <w:r>
        <w:rPr>
          <w:rFonts w:ascii="Times New Roman"/>
          <w:bCs/>
          <w:szCs w:val="21"/>
          <w:highlight w:val="none"/>
        </w:rPr>
        <w:t>扩散后磁体</w:t>
      </w:r>
      <w:r>
        <w:rPr>
          <w:rFonts w:hint="eastAsia"/>
          <w:kern w:val="0"/>
          <w:szCs w:val="20"/>
          <w:lang w:eastAsia="zh-CN"/>
        </w:rPr>
        <w:t>整体膝点</w:t>
      </w:r>
      <w:r>
        <w:rPr>
          <w:kern w:val="0"/>
          <w:szCs w:val="20"/>
        </w:rPr>
        <w:t>矫顽力</w:t>
      </w:r>
      <w:r>
        <w:rPr>
          <w:kern w:val="0"/>
          <w:szCs w:val="20"/>
          <w:highlight w:val="none"/>
        </w:rPr>
        <w:t>，单位为</w:t>
      </w:r>
      <w:r>
        <w:rPr>
          <w:rFonts w:hint="eastAsia"/>
          <w:kern w:val="0"/>
          <w:szCs w:val="20"/>
          <w:highlight w:val="none"/>
          <w:lang w:eastAsia="zh-CN"/>
        </w:rPr>
        <w:t>千奥斯特</w:t>
      </w:r>
      <w:r>
        <w:rPr>
          <w:kern w:val="0"/>
          <w:szCs w:val="20"/>
          <w:highlight w:val="none"/>
        </w:rPr>
        <w:t>（</w:t>
      </w:r>
      <w:r>
        <w:rPr>
          <w:rFonts w:hint="eastAsia"/>
          <w:kern w:val="0"/>
          <w:szCs w:val="20"/>
          <w:highlight w:val="none"/>
          <w:lang w:val="en-US" w:eastAsia="zh-CN"/>
        </w:rPr>
        <w:t>kOe</w:t>
      </w:r>
      <w:r>
        <w:rPr>
          <w:kern w:val="0"/>
          <w:szCs w:val="20"/>
          <w:highlight w:val="none"/>
        </w:rPr>
        <w:t>）</w:t>
      </w:r>
      <w:r>
        <w:rPr>
          <w:rFonts w:hint="eastAsia"/>
          <w:kern w:val="0"/>
          <w:szCs w:val="20"/>
          <w:highlight w:val="none"/>
          <w:lang w:eastAsia="zh-CN"/>
        </w:rPr>
        <w:t>。</w:t>
      </w:r>
    </w:p>
    <w:p w14:paraId="2D177843">
      <w:pPr>
        <w:pStyle w:val="49"/>
        <w:tabs>
          <w:tab w:val="center" w:pos="4201"/>
          <w:tab w:val="right" w:leader="dot" w:pos="9298"/>
        </w:tabs>
        <w:autoSpaceDE w:val="0"/>
        <w:autoSpaceDN w:val="0"/>
        <w:adjustRightInd w:val="0"/>
        <w:snapToGrid w:val="0"/>
        <w:spacing w:before="156" w:after="156"/>
        <w:rPr>
          <w:rFonts w:hint="default" w:ascii="Times New Roman" w:hAnsi="Times New Roman" w:cs="Times New Roman" w:eastAsiaTheme="minorEastAsia"/>
        </w:rPr>
      </w:pPr>
      <w:r>
        <w:rPr>
          <w:rFonts w:hint="default" w:ascii="Times New Roman" w:hAnsi="Times New Roman" w:cs="Times New Roman" w:eastAsiaTheme="minorEastAsia"/>
        </w:rPr>
        <w:t>依公式(1)～(3)的计算结果应按GB/T 8170规定进行数值修约。参数δ保留至0.01 kOe，参数σ和λ保留至0.1</w:t>
      </w:r>
      <w:r>
        <w:rPr>
          <w:rFonts w:ascii="Times New Roman" w:hAnsi="Times New Roman" w:cs="Times New Roman" w:eastAsiaTheme="minorEastAsia"/>
        </w:rPr>
        <w:t> </w:t>
      </w:r>
      <w:r>
        <w:rPr>
          <w:rFonts w:hint="default" w:ascii="Times New Roman" w:hAnsi="Times New Roman" w:cs="Times New Roman" w:eastAsiaTheme="minorEastAsia"/>
        </w:rPr>
        <w:t>%。</w:t>
      </w:r>
    </w:p>
    <w:p w14:paraId="0702A1C5">
      <w:pPr>
        <w:pStyle w:val="48"/>
        <w:spacing w:before="312" w:after="312"/>
      </w:pPr>
      <w:r>
        <w:t>扩散元素含量评价法</w:t>
      </w:r>
    </w:p>
    <w:p w14:paraId="7CFCC659">
      <w:pPr>
        <w:pStyle w:val="44"/>
        <w:spacing w:before="156" w:after="156"/>
        <w:ind w:left="0"/>
        <w:rPr>
          <w:rFonts w:hint="eastAsia"/>
        </w:rPr>
      </w:pPr>
      <w:r>
        <w:t>方法概述</w:t>
      </w:r>
    </w:p>
    <w:p w14:paraId="63B3F9FE">
      <w:pPr>
        <w:ind w:firstLine="420" w:firstLineChars="200"/>
        <w:jc w:val="left"/>
        <w:textAlignment w:val="baseline"/>
        <w:rPr>
          <w:kern w:val="0"/>
          <w:szCs w:val="20"/>
        </w:rPr>
      </w:pPr>
      <w:r>
        <w:rPr>
          <w:kern w:val="0"/>
          <w:szCs w:val="20"/>
        </w:rPr>
        <w:t>扩散元素含量评价法是用X射线荧光光谱仪测量扩散元素在永磁体表面及内部一定深度范围内的含量及变化趋势来评价晶界扩散效果的方法</w:t>
      </w:r>
      <w:r>
        <w:rPr>
          <w:rFonts w:hint="eastAsia"/>
          <w:kern w:val="0"/>
          <w:szCs w:val="20"/>
        </w:rPr>
        <w:t>。</w:t>
      </w:r>
    </w:p>
    <w:p w14:paraId="2C130AA5">
      <w:pPr>
        <w:pStyle w:val="44"/>
        <w:spacing w:before="156" w:after="156"/>
        <w:ind w:left="0"/>
        <w:rPr>
          <w:rFonts w:hint="eastAsia"/>
        </w:rPr>
      </w:pPr>
      <w:r>
        <w:t>仪器设备</w:t>
      </w:r>
    </w:p>
    <w:p w14:paraId="7D785F7C">
      <w:pPr>
        <w:adjustRightInd w:val="0"/>
        <w:snapToGrid w:val="0"/>
        <w:spacing w:before="156" w:beforeLines="50" w:after="156" w:afterLines="50"/>
        <w:ind w:firstLine="420"/>
        <w:jc w:val="left"/>
        <w:textAlignment w:val="baseline"/>
        <w:rPr>
          <w:rFonts w:hint="default" w:ascii="Times New Roman" w:hAnsi="Times New Roman"/>
          <w:kern w:val="0"/>
          <w:szCs w:val="20"/>
        </w:rPr>
      </w:pPr>
      <w:r>
        <w:rPr>
          <w:kern w:val="0"/>
          <w:szCs w:val="20"/>
        </w:rPr>
        <w:t>X射线荧光光谱仪分为波长型和能量型两类，用于</w:t>
      </w:r>
      <w:r>
        <w:rPr>
          <w:rFonts w:hint="eastAsia"/>
          <w:kern w:val="0"/>
          <w:szCs w:val="20"/>
        </w:rPr>
        <w:t>测定</w:t>
      </w:r>
      <w:r>
        <w:rPr>
          <w:kern w:val="0"/>
          <w:szCs w:val="20"/>
        </w:rPr>
        <w:t>晶界扩散</w:t>
      </w:r>
      <w:r>
        <w:rPr>
          <w:rFonts w:hint="eastAsia"/>
          <w:kern w:val="0"/>
          <w:szCs w:val="20"/>
        </w:rPr>
        <w:t>稀土铁硼</w:t>
      </w:r>
      <w:r>
        <w:rPr>
          <w:kern w:val="0"/>
          <w:szCs w:val="20"/>
        </w:rPr>
        <w:t>烧结</w:t>
      </w:r>
      <w:r>
        <w:rPr>
          <w:rFonts w:hint="eastAsia"/>
          <w:kern w:val="0"/>
          <w:szCs w:val="20"/>
        </w:rPr>
        <w:t>永</w:t>
      </w:r>
      <w:r>
        <w:rPr>
          <w:kern w:val="0"/>
          <w:szCs w:val="20"/>
        </w:rPr>
        <w:t>磁体中扩散元素含量时，</w:t>
      </w:r>
      <w:r>
        <w:rPr>
          <w:rFonts w:hint="eastAsia"/>
          <w:kern w:val="0"/>
          <w:szCs w:val="20"/>
        </w:rPr>
        <w:t>参数应符合</w:t>
      </w:r>
      <w:r>
        <w:rPr>
          <w:kern w:val="0"/>
          <w:szCs w:val="20"/>
        </w:rPr>
        <w:t>表</w:t>
      </w:r>
      <w:r>
        <w:rPr>
          <w:rFonts w:hint="eastAsia"/>
          <w:kern w:val="0"/>
          <w:szCs w:val="20"/>
        </w:rPr>
        <w:t>1要求</w:t>
      </w:r>
      <w:r>
        <w:rPr>
          <w:kern w:val="0"/>
          <w:szCs w:val="20"/>
        </w:rPr>
        <w:t>。</w:t>
      </w:r>
    </w:p>
    <w:p w14:paraId="3636D03E">
      <w:pPr>
        <w:adjustRightInd w:val="0"/>
        <w:snapToGrid w:val="0"/>
        <w:spacing w:before="156" w:beforeLines="50" w:line="360" w:lineRule="auto"/>
        <w:ind w:firstLine="420"/>
        <w:jc w:val="center"/>
        <w:textAlignment w:val="baseline"/>
        <w:rPr>
          <w:rFonts w:hint="eastAsia" w:ascii="宋体" w:hAnsi="宋体" w:eastAsia="黑体"/>
          <w:kern w:val="0"/>
          <w:szCs w:val="20"/>
        </w:rPr>
      </w:pPr>
      <w:r>
        <w:rPr>
          <w:rFonts w:hint="eastAsia" w:ascii="黑体" w:hAnsi="黑体" w:eastAsia="黑体" w:cs="黑体"/>
          <w:kern w:val="0"/>
          <w:szCs w:val="20"/>
        </w:rPr>
        <w:t>表1 不同类型X射线荧光光谱仪测量参数要求</w:t>
      </w:r>
    </w:p>
    <w:tbl>
      <w:tblPr>
        <w:tblStyle w:val="37"/>
        <w:tblW w:w="5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795"/>
        <w:gridCol w:w="1644"/>
        <w:gridCol w:w="936"/>
        <w:gridCol w:w="1553"/>
      </w:tblGrid>
      <w:tr w14:paraId="02FC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75" w:type="dxa"/>
            <w:vAlign w:val="center"/>
          </w:tcPr>
          <w:p w14:paraId="729D7C77">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仪器类型</w:t>
            </w:r>
          </w:p>
        </w:tc>
        <w:tc>
          <w:tcPr>
            <w:tcW w:w="795" w:type="dxa"/>
            <w:vAlign w:val="center"/>
          </w:tcPr>
          <w:p w14:paraId="01530DD0">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管电压</w:t>
            </w:r>
          </w:p>
        </w:tc>
        <w:tc>
          <w:tcPr>
            <w:tcW w:w="1644" w:type="dxa"/>
            <w:vAlign w:val="center"/>
          </w:tcPr>
          <w:p w14:paraId="486D42F5">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管电流</w:t>
            </w:r>
          </w:p>
        </w:tc>
        <w:tc>
          <w:tcPr>
            <w:tcW w:w="936" w:type="dxa"/>
            <w:vAlign w:val="center"/>
          </w:tcPr>
          <w:p w14:paraId="7F0246E3">
            <w:pPr>
              <w:adjustRightInd w:val="0"/>
              <w:snapToGrid w:val="0"/>
              <w:spacing w:before="62" w:beforeLines="20" w:after="62" w:afterLines="20"/>
              <w:jc w:val="center"/>
              <w:textAlignment w:val="baseline"/>
              <w:rPr>
                <w:rFonts w:hint="default" w:ascii="Times New Roman" w:eastAsia="宋体"/>
                <w:kern w:val="0"/>
                <w:sz w:val="18"/>
                <w:szCs w:val="15"/>
                <w:lang w:eastAsia="zh-CN"/>
              </w:rPr>
            </w:pPr>
            <w:r>
              <w:rPr>
                <w:rFonts w:ascii="Times New Roman"/>
                <w:kern w:val="0"/>
                <w:sz w:val="18"/>
                <w:szCs w:val="15"/>
              </w:rPr>
              <w:t>测量</w:t>
            </w:r>
            <w:r>
              <w:rPr>
                <w:rFonts w:hint="default" w:ascii="Times New Roman"/>
                <w:kern w:val="0"/>
                <w:sz w:val="18"/>
                <w:szCs w:val="15"/>
                <w:lang w:eastAsia="zh-CN"/>
              </w:rPr>
              <w:t>时间</w:t>
            </w:r>
          </w:p>
        </w:tc>
        <w:tc>
          <w:tcPr>
            <w:tcW w:w="1553" w:type="dxa"/>
            <w:vAlign w:val="center"/>
          </w:tcPr>
          <w:p w14:paraId="35067136">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测量光斑</w:t>
            </w:r>
            <w:r>
              <w:rPr>
                <w:rFonts w:hint="default" w:ascii="Times New Roman"/>
                <w:kern w:val="0"/>
                <w:sz w:val="18"/>
                <w:szCs w:val="15"/>
              </w:rPr>
              <w:t>直径</w:t>
            </w:r>
          </w:p>
        </w:tc>
      </w:tr>
      <w:tr w14:paraId="5784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75" w:type="dxa"/>
            <w:vAlign w:val="center"/>
          </w:tcPr>
          <w:p w14:paraId="51DC680A">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波长型</w:t>
            </w:r>
          </w:p>
        </w:tc>
        <w:tc>
          <w:tcPr>
            <w:tcW w:w="795" w:type="dxa"/>
            <w:vAlign w:val="center"/>
          </w:tcPr>
          <w:p w14:paraId="05E0AF85">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30 kV</w:t>
            </w:r>
          </w:p>
        </w:tc>
        <w:tc>
          <w:tcPr>
            <w:tcW w:w="1644" w:type="dxa"/>
            <w:vAlign w:val="center"/>
          </w:tcPr>
          <w:p w14:paraId="21378C47">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70 mA～120 mA</w:t>
            </w:r>
          </w:p>
        </w:tc>
        <w:tc>
          <w:tcPr>
            <w:tcW w:w="936" w:type="dxa"/>
            <w:vAlign w:val="center"/>
          </w:tcPr>
          <w:p w14:paraId="19E1D070">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≥20</w:t>
            </w:r>
            <w:r>
              <w:rPr>
                <w:rFonts w:hint="default" w:ascii="Times New Roman"/>
                <w:kern w:val="0"/>
                <w:sz w:val="18"/>
                <w:szCs w:val="15"/>
              </w:rPr>
              <w:t>s</w:t>
            </w:r>
            <w:r>
              <w:rPr>
                <w:rFonts w:ascii="Times New Roman"/>
                <w:kern w:val="0"/>
                <w:sz w:val="18"/>
                <w:szCs w:val="15"/>
              </w:rPr>
              <w:t> </w:t>
            </w:r>
          </w:p>
        </w:tc>
        <w:tc>
          <w:tcPr>
            <w:tcW w:w="1553" w:type="dxa"/>
            <w:vAlign w:val="center"/>
          </w:tcPr>
          <w:p w14:paraId="248D3477">
            <w:pPr>
              <w:adjustRightInd w:val="0"/>
              <w:snapToGrid w:val="0"/>
              <w:spacing w:before="62" w:beforeLines="20" w:after="62" w:afterLines="20"/>
              <w:textAlignment w:val="baseline"/>
              <w:rPr>
                <w:rFonts w:ascii="Times New Roman"/>
                <w:kern w:val="0"/>
                <w:sz w:val="18"/>
                <w:szCs w:val="15"/>
              </w:rPr>
            </w:pPr>
            <w:r>
              <w:rPr>
                <w:rFonts w:ascii="Times New Roman"/>
                <w:kern w:val="0"/>
                <w:sz w:val="18"/>
                <w:szCs w:val="15"/>
              </w:rPr>
              <w:t>样品杯通光孔径为10 mm</w:t>
            </w:r>
          </w:p>
        </w:tc>
      </w:tr>
      <w:tr w14:paraId="50CE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5" w:type="dxa"/>
            <w:vAlign w:val="center"/>
          </w:tcPr>
          <w:p w14:paraId="7BBF94D8">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能量型</w:t>
            </w:r>
          </w:p>
        </w:tc>
        <w:tc>
          <w:tcPr>
            <w:tcW w:w="795" w:type="dxa"/>
            <w:shd w:val="clear" w:color="auto" w:fill="auto"/>
            <w:vAlign w:val="center"/>
          </w:tcPr>
          <w:p w14:paraId="555DDAB9">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30 kV</w:t>
            </w:r>
          </w:p>
        </w:tc>
        <w:tc>
          <w:tcPr>
            <w:tcW w:w="1644" w:type="dxa"/>
            <w:vAlign w:val="center"/>
          </w:tcPr>
          <w:p w14:paraId="474951E1">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300 μA～1000 μA</w:t>
            </w:r>
          </w:p>
        </w:tc>
        <w:tc>
          <w:tcPr>
            <w:tcW w:w="936" w:type="dxa"/>
            <w:vAlign w:val="center"/>
          </w:tcPr>
          <w:p w14:paraId="59DDADD5">
            <w:pPr>
              <w:adjustRightInd w:val="0"/>
              <w:snapToGrid w:val="0"/>
              <w:spacing w:before="62" w:beforeLines="20" w:after="62" w:afterLines="20"/>
              <w:jc w:val="center"/>
              <w:textAlignment w:val="baseline"/>
              <w:rPr>
                <w:rFonts w:ascii="Times New Roman"/>
                <w:kern w:val="0"/>
                <w:sz w:val="18"/>
                <w:szCs w:val="15"/>
              </w:rPr>
            </w:pPr>
            <w:r>
              <w:rPr>
                <w:rFonts w:ascii="Times New Roman"/>
                <w:kern w:val="0"/>
                <w:sz w:val="18"/>
                <w:szCs w:val="15"/>
              </w:rPr>
              <w:t>≥100</w:t>
            </w:r>
            <w:r>
              <w:rPr>
                <w:rFonts w:hint="default" w:ascii="Times New Roman"/>
                <w:kern w:val="0"/>
                <w:sz w:val="18"/>
                <w:szCs w:val="15"/>
              </w:rPr>
              <w:t>s</w:t>
            </w:r>
            <w:r>
              <w:rPr>
                <w:rFonts w:ascii="Times New Roman"/>
                <w:kern w:val="0"/>
                <w:sz w:val="18"/>
                <w:szCs w:val="15"/>
              </w:rPr>
              <w:t> </w:t>
            </w:r>
          </w:p>
        </w:tc>
        <w:tc>
          <w:tcPr>
            <w:tcW w:w="1553" w:type="dxa"/>
            <w:vAlign w:val="center"/>
          </w:tcPr>
          <w:p w14:paraId="0016CA03">
            <w:pPr>
              <w:adjustRightInd w:val="0"/>
              <w:snapToGrid w:val="0"/>
              <w:spacing w:before="62" w:beforeLines="20" w:after="62" w:afterLines="20"/>
              <w:textAlignment w:val="baseline"/>
              <w:rPr>
                <w:rFonts w:ascii="Times New Roman"/>
                <w:kern w:val="0"/>
                <w:sz w:val="18"/>
                <w:szCs w:val="15"/>
              </w:rPr>
            </w:pPr>
            <w:r>
              <w:rPr>
                <w:rFonts w:ascii="Times New Roman"/>
                <w:kern w:val="0"/>
                <w:sz w:val="18"/>
                <w:szCs w:val="15"/>
              </w:rPr>
              <w:t>100 μm～3 mm</w:t>
            </w:r>
          </w:p>
        </w:tc>
      </w:tr>
    </w:tbl>
    <w:p w14:paraId="193C22B6">
      <w:pPr>
        <w:pStyle w:val="44"/>
        <w:spacing w:before="156" w:after="156"/>
        <w:ind w:left="0"/>
        <w:rPr>
          <w:rFonts w:hint="eastAsia"/>
        </w:rPr>
      </w:pPr>
      <w:r>
        <w:t>参考样品</w:t>
      </w:r>
    </w:p>
    <w:p w14:paraId="1542E0B3">
      <w:pPr>
        <w:pStyle w:val="49"/>
        <w:spacing w:before="156" w:after="156"/>
        <w:rPr>
          <w:rFonts w:hint="eastAsia"/>
        </w:rPr>
      </w:pPr>
      <w:r>
        <w:t>成分均匀磁体的制备</w:t>
      </w:r>
    </w:p>
    <w:p w14:paraId="7E42AF59">
      <w:pPr>
        <w:pStyle w:val="54"/>
        <w:numPr>
          <w:ilvl w:val="3"/>
          <w:numId w:val="0"/>
        </w:numPr>
        <w:spacing w:before="156" w:after="156"/>
        <w:ind w:firstLine="420" w:firstLineChars="200"/>
        <w:rPr>
          <w:rFonts w:hint="default" w:ascii="Times New Roman" w:hAnsi="Times New Roman" w:eastAsiaTheme="minorEastAsia"/>
          <w:szCs w:val="20"/>
        </w:rPr>
      </w:pPr>
      <w:r>
        <w:rPr>
          <w:rFonts w:ascii="Times New Roman" w:hAnsi="Times New Roman" w:eastAsiaTheme="minorEastAsia"/>
          <w:szCs w:val="20"/>
        </w:rPr>
        <w:t>用非晶界扩散工艺制备一组含Dy</w:t>
      </w:r>
      <w:r>
        <w:rPr>
          <w:rFonts w:hint="eastAsia" w:ascii="Times New Roman" w:hAnsi="Times New Roman" w:eastAsiaTheme="minorEastAsia"/>
          <w:szCs w:val="20"/>
        </w:rPr>
        <w:t>及</w:t>
      </w:r>
      <w:r>
        <w:rPr>
          <w:rFonts w:ascii="Times New Roman" w:hAnsi="Times New Roman" w:eastAsiaTheme="minorEastAsia"/>
          <w:szCs w:val="20"/>
        </w:rPr>
        <w:t>Tb</w:t>
      </w:r>
      <w:r>
        <w:rPr>
          <w:rFonts w:hint="eastAsia" w:ascii="Times New Roman" w:hAnsi="Times New Roman" w:eastAsiaTheme="minorEastAsia"/>
          <w:szCs w:val="20"/>
        </w:rPr>
        <w:t>，</w:t>
      </w:r>
      <w:r>
        <w:rPr>
          <w:rFonts w:ascii="Times New Roman" w:hAnsi="Times New Roman" w:eastAsiaTheme="minorEastAsia"/>
          <w:szCs w:val="20"/>
        </w:rPr>
        <w:t>成</w:t>
      </w:r>
      <w:r>
        <w:rPr>
          <w:rFonts w:ascii="Times New Roman" w:hAnsi="Times New Roman" w:eastAsiaTheme="minorEastAsia"/>
          <w:szCs w:val="20"/>
          <w:highlight w:val="none"/>
        </w:rPr>
        <w:t>分均匀</w:t>
      </w:r>
      <w:r>
        <w:rPr>
          <w:rFonts w:hint="eastAsia" w:ascii="Times New Roman" w:hAnsi="Times New Roman" w:eastAsiaTheme="minorEastAsia"/>
          <w:szCs w:val="20"/>
          <w:highlight w:val="none"/>
        </w:rPr>
        <w:t>分布</w:t>
      </w:r>
      <w:r>
        <w:rPr>
          <w:rFonts w:ascii="Times New Roman" w:hAnsi="Times New Roman" w:eastAsiaTheme="minorEastAsia"/>
          <w:szCs w:val="20"/>
          <w:highlight w:val="none"/>
        </w:rPr>
        <w:t>的</w:t>
      </w:r>
      <w:r>
        <w:rPr>
          <w:rFonts w:ascii="Times New Roman" w:hAnsi="Times New Roman" w:eastAsiaTheme="minorEastAsia"/>
          <w:szCs w:val="20"/>
        </w:rPr>
        <w:t>烧结稀土铁硼永磁体。</w:t>
      </w:r>
      <w:r>
        <w:rPr>
          <w:rFonts w:hint="default" w:ascii="Times New Roman" w:hAnsi="Times New Roman" w:cs="Times New Roman" w:eastAsiaTheme="minorEastAsia"/>
          <w:kern w:val="0"/>
          <w:szCs w:val="20"/>
          <w:lang w:eastAsia="zh-CN"/>
        </w:rPr>
        <w:t>磁体中</w:t>
      </w:r>
      <w:r>
        <w:rPr>
          <w:rFonts w:hint="default" w:ascii="Times New Roman" w:hAnsi="Times New Roman" w:cs="Times New Roman" w:eastAsiaTheme="minorEastAsia"/>
          <w:kern w:val="0"/>
          <w:szCs w:val="20"/>
        </w:rPr>
        <w:t>元素种类可依据测量目标磁体成分的需要增减</w:t>
      </w:r>
      <w:r>
        <w:rPr>
          <w:rFonts w:hint="default" w:ascii="Times New Roman" w:hAnsi="Times New Roman" w:cs="Times New Roman" w:eastAsiaTheme="minorEastAsia"/>
          <w:kern w:val="0"/>
          <w:szCs w:val="20"/>
          <w:lang w:eastAsia="zh-CN"/>
        </w:rPr>
        <w:t>。</w:t>
      </w:r>
      <w:r>
        <w:rPr>
          <w:rFonts w:hint="default" w:ascii="Times New Roman" w:hAnsi="Times New Roman" w:cs="Times New Roman" w:eastAsiaTheme="minorEastAsia"/>
          <w:szCs w:val="20"/>
        </w:rPr>
        <w:t>磁体中Dy</w:t>
      </w:r>
      <w:r>
        <w:rPr>
          <w:rFonts w:hint="default" w:ascii="Times New Roman" w:hAnsi="Times New Roman" w:cs="Times New Roman" w:eastAsiaTheme="minorEastAsia"/>
          <w:szCs w:val="20"/>
          <w:lang w:eastAsia="zh-CN"/>
        </w:rPr>
        <w:t>或</w:t>
      </w:r>
      <w:r>
        <w:rPr>
          <w:rFonts w:hint="default" w:ascii="Times New Roman" w:hAnsi="Times New Roman" w:cs="Times New Roman" w:eastAsiaTheme="minorEastAsia"/>
          <w:szCs w:val="20"/>
        </w:rPr>
        <w:t>Tb元素的含</w:t>
      </w:r>
      <w:r>
        <w:rPr>
          <w:rFonts w:ascii="Times New Roman" w:hAnsi="Times New Roman" w:eastAsiaTheme="minorEastAsia"/>
          <w:szCs w:val="20"/>
        </w:rPr>
        <w:t>量分布在0</w:t>
      </w:r>
      <w:r>
        <w:rPr>
          <w:rFonts w:ascii="Times New Roman" w:hAnsi="Times New Roman" w:eastAsia="MS Mincho"/>
          <w:szCs w:val="20"/>
        </w:rPr>
        <w:t>  </w:t>
      </w:r>
      <w:r>
        <w:rPr>
          <w:rFonts w:ascii="Times New Roman" w:hAnsi="Times New Roman" w:eastAsiaTheme="minorEastAsia"/>
          <w:szCs w:val="20"/>
        </w:rPr>
        <w:t>wt%～10</w:t>
      </w:r>
      <w:r>
        <w:rPr>
          <w:rFonts w:ascii="Times New Roman" w:hAnsi="Times New Roman" w:eastAsia="MS Mincho"/>
          <w:szCs w:val="20"/>
        </w:rPr>
        <w:t>  </w:t>
      </w:r>
      <w:r>
        <w:rPr>
          <w:rFonts w:ascii="Times New Roman" w:hAnsi="Times New Roman" w:eastAsiaTheme="minorEastAsia"/>
          <w:szCs w:val="20"/>
        </w:rPr>
        <w:t>wt%区间。Dy</w:t>
      </w:r>
      <w:r>
        <w:rPr>
          <w:rFonts w:hint="eastAsia" w:ascii="Times New Roman" w:hAnsi="Times New Roman" w:eastAsiaTheme="minorEastAsia"/>
          <w:szCs w:val="20"/>
          <w:lang w:eastAsia="zh-CN"/>
        </w:rPr>
        <w:t>或</w:t>
      </w:r>
      <w:r>
        <w:rPr>
          <w:rFonts w:ascii="Times New Roman" w:hAnsi="Times New Roman" w:eastAsiaTheme="minorEastAsia"/>
          <w:szCs w:val="20"/>
        </w:rPr>
        <w:t>Tb元素的含量（质量分数）可</w:t>
      </w:r>
      <w:r>
        <w:rPr>
          <w:rFonts w:hint="eastAsia" w:ascii="Times New Roman" w:hAnsi="Times New Roman" w:eastAsiaTheme="minorEastAsia"/>
          <w:szCs w:val="20"/>
          <w:lang w:eastAsia="zh-CN"/>
        </w:rPr>
        <w:t>取</w:t>
      </w:r>
      <w:r>
        <w:rPr>
          <w:rFonts w:ascii="Times New Roman" w:hAnsi="Times New Roman" w:eastAsiaTheme="minorEastAsia"/>
          <w:szCs w:val="20"/>
        </w:rPr>
        <w:t>以下数值：0、0.5 %、1 %、2 %、3 %、5 %、7 %、10 %。</w:t>
      </w:r>
    </w:p>
    <w:p w14:paraId="372320E6">
      <w:pPr>
        <w:pStyle w:val="49"/>
        <w:spacing w:before="156" w:after="156"/>
        <w:rPr>
          <w:rFonts w:hint="eastAsia"/>
        </w:rPr>
      </w:pPr>
      <w:r>
        <w:t>成分均匀磁体的成分测量</w:t>
      </w:r>
    </w:p>
    <w:p w14:paraId="150D9A39">
      <w:pPr>
        <w:ind w:firstLine="420" w:firstLineChars="200"/>
        <w:jc w:val="left"/>
        <w:rPr>
          <w:rFonts w:hint="default" w:ascii="Times New Roman" w:hAnsi="Times New Roman"/>
          <w:kern w:val="0"/>
          <w:szCs w:val="20"/>
        </w:rPr>
      </w:pPr>
      <w:r>
        <w:rPr>
          <w:rFonts w:hint="eastAsia"/>
          <w:szCs w:val="20"/>
          <w:lang w:bidi="ar"/>
        </w:rPr>
        <w:t>上述磁体样品中各元素含量宜用</w:t>
      </w:r>
      <w:r>
        <w:rPr>
          <w:szCs w:val="20"/>
          <w:lang w:bidi="ar"/>
        </w:rPr>
        <w:t>ICP</w:t>
      </w:r>
      <w:r>
        <w:rPr>
          <w:rFonts w:hint="eastAsia"/>
          <w:szCs w:val="20"/>
          <w:lang w:bidi="ar"/>
        </w:rPr>
        <w:t>光谱仪或其它化学分析方法测量。</w:t>
      </w:r>
      <w:r>
        <w:rPr>
          <w:kern w:val="0"/>
          <w:szCs w:val="20"/>
        </w:rPr>
        <w:t>至少重复测量3次，精确至小数点后两位，取平均值作为磁体中各元素的标称值。测量元素种类一般包括：Dy、Tb、Pr、Nd、Ho、Gd、Ce、Fe、Co、Cu、Ga、Nb、Zr、Al、O、B等元素。</w:t>
      </w:r>
      <w:r>
        <w:rPr>
          <w:rFonts w:hint="eastAsia"/>
          <w:kern w:val="0"/>
          <w:szCs w:val="20"/>
        </w:rPr>
        <w:t>可通过多家单位对同一成分</w:t>
      </w:r>
      <w:r>
        <w:rPr>
          <w:rFonts w:hint="eastAsia"/>
          <w:kern w:val="0"/>
          <w:szCs w:val="20"/>
          <w:lang w:eastAsia="zh-CN"/>
        </w:rPr>
        <w:t>磁体</w:t>
      </w:r>
      <w:r>
        <w:rPr>
          <w:rFonts w:hint="eastAsia"/>
          <w:kern w:val="0"/>
          <w:szCs w:val="20"/>
        </w:rPr>
        <w:t>进行比对测量的方式进一步提高上述磁体</w:t>
      </w:r>
      <w:r>
        <w:rPr>
          <w:rFonts w:hint="eastAsia"/>
          <w:kern w:val="0"/>
          <w:szCs w:val="20"/>
          <w:lang w:eastAsia="zh-CN"/>
        </w:rPr>
        <w:t>中各元素</w:t>
      </w:r>
      <w:r>
        <w:rPr>
          <w:rFonts w:hint="eastAsia"/>
          <w:kern w:val="0"/>
          <w:szCs w:val="20"/>
        </w:rPr>
        <w:t>标称值的准确性，其中稀土元素Dy和Tb含量标称值允许偏差宜小于</w:t>
      </w:r>
      <w:r>
        <w:rPr>
          <w:kern w:val="0"/>
          <w:szCs w:val="20"/>
        </w:rPr>
        <w:t>0.05 </w:t>
      </w:r>
      <w:r>
        <w:rPr>
          <w:rFonts w:hint="eastAsia"/>
          <w:kern w:val="0"/>
          <w:szCs w:val="20"/>
        </w:rPr>
        <w:t>%</w:t>
      </w:r>
      <w:r>
        <w:rPr>
          <w:kern w:val="0"/>
          <w:szCs w:val="20"/>
        </w:rPr>
        <w:t>。</w:t>
      </w:r>
    </w:p>
    <w:p w14:paraId="6BA6A7E3">
      <w:pPr>
        <w:pStyle w:val="49"/>
        <w:rPr>
          <w:rFonts w:hint="default"/>
        </w:rPr>
      </w:pPr>
      <w:r>
        <w:t>用成分均匀磁体制备参考样品</w:t>
      </w:r>
    </w:p>
    <w:p w14:paraId="345C9844">
      <w:pPr>
        <w:ind w:firstLine="420" w:firstLineChars="200"/>
        <w:textAlignment w:val="baseline"/>
        <w:rPr>
          <w:kern w:val="0"/>
          <w:szCs w:val="20"/>
        </w:rPr>
      </w:pPr>
      <w:r>
        <w:rPr>
          <w:rFonts w:hint="eastAsia"/>
          <w:kern w:val="0"/>
          <w:szCs w:val="20"/>
        </w:rPr>
        <w:t>用已知成分的磁体加工参考样品。参考样品表面应颜色均匀、干净平整，无砂眼、裂纹和氧化物等肉眼可见缺陷，用</w:t>
      </w:r>
      <w:r>
        <w:rPr>
          <w:rFonts w:hint="eastAsia"/>
          <w:snapToGrid w:val="0"/>
          <w:szCs w:val="21"/>
        </w:rPr>
        <w:t>防锈纸包裹保存</w:t>
      </w:r>
      <w:r>
        <w:rPr>
          <w:rFonts w:hint="eastAsia"/>
          <w:kern w:val="0"/>
          <w:szCs w:val="20"/>
        </w:rPr>
        <w:t>。参考样品尺寸：直径或边长</w:t>
      </w:r>
      <w:r>
        <w:rPr>
          <w:kern w:val="0"/>
          <w:szCs w:val="20"/>
        </w:rPr>
        <w:t>12 mm</w:t>
      </w:r>
      <w:r>
        <w:rPr>
          <w:rFonts w:hint="eastAsia"/>
          <w:kern w:val="0"/>
          <w:szCs w:val="20"/>
        </w:rPr>
        <w:t>～</w:t>
      </w:r>
      <w:r>
        <w:rPr>
          <w:kern w:val="0"/>
          <w:szCs w:val="20"/>
        </w:rPr>
        <w:t>20 mm</w:t>
      </w:r>
      <w:r>
        <w:rPr>
          <w:rFonts w:hint="eastAsia"/>
          <w:kern w:val="0"/>
          <w:szCs w:val="20"/>
        </w:rPr>
        <w:t>之间的</w:t>
      </w:r>
      <w:r>
        <w:rPr>
          <w:rFonts w:hint="eastAsia"/>
          <w:kern w:val="0"/>
          <w:szCs w:val="20"/>
          <w:highlight w:val="none"/>
        </w:rPr>
        <w:t>圆片或方片，</w:t>
      </w:r>
      <w:r>
        <w:rPr>
          <w:rFonts w:hint="eastAsia"/>
          <w:kern w:val="0"/>
          <w:szCs w:val="20"/>
        </w:rPr>
        <w:t>厚度宜为</w:t>
      </w:r>
      <w:r>
        <w:rPr>
          <w:kern w:val="0"/>
          <w:szCs w:val="20"/>
        </w:rPr>
        <w:t>5 mm</w:t>
      </w:r>
      <w:r>
        <w:rPr>
          <w:rFonts w:hint="eastAsia"/>
          <w:kern w:val="0"/>
          <w:szCs w:val="20"/>
        </w:rPr>
        <w:t>～</w:t>
      </w:r>
      <w:r>
        <w:rPr>
          <w:kern w:val="0"/>
          <w:szCs w:val="20"/>
        </w:rPr>
        <w:t>10 mm</w:t>
      </w:r>
      <w:r>
        <w:rPr>
          <w:rFonts w:hint="eastAsia"/>
          <w:kern w:val="0"/>
          <w:szCs w:val="20"/>
        </w:rPr>
        <w:t>。</w:t>
      </w:r>
    </w:p>
    <w:p w14:paraId="37CBD3C8">
      <w:pPr>
        <w:pStyle w:val="44"/>
        <w:spacing w:before="156" w:after="156"/>
        <w:rPr>
          <w:rFonts w:hAnsi="黑体"/>
          <w:szCs w:val="21"/>
        </w:rPr>
      </w:pPr>
      <w:r>
        <w:rPr>
          <w:rFonts w:hint="default" w:hAnsi="黑体"/>
          <w:szCs w:val="21"/>
        </w:rPr>
        <w:t>在X射线荧光光谱仪上建立测量程序</w:t>
      </w:r>
    </w:p>
    <w:p w14:paraId="68B7A9CC">
      <w:pPr>
        <w:adjustRightInd w:val="0"/>
        <w:jc w:val="left"/>
        <w:textAlignment w:val="baseline"/>
        <w:rPr>
          <w:rFonts w:hint="eastAsia" w:ascii="宋体" w:hAnsi="宋体"/>
          <w:kern w:val="0"/>
          <w:szCs w:val="21"/>
        </w:rPr>
      </w:pPr>
      <w:r>
        <w:rPr>
          <w:rFonts w:ascii="黑体" w:hAnsi="黑体" w:eastAsia="黑体" w:cs="黑体"/>
          <w:kern w:val="0"/>
          <w:szCs w:val="20"/>
        </w:rPr>
        <w:t>5.4.1</w:t>
      </w:r>
      <w:r>
        <w:rPr>
          <w:rFonts w:ascii="宋体" w:hAnsi="宋体"/>
          <w:kern w:val="0"/>
          <w:szCs w:val="20"/>
        </w:rPr>
        <w:t xml:space="preserve"> </w:t>
      </w:r>
      <w:r>
        <w:rPr>
          <w:rFonts w:hint="eastAsia"/>
          <w:kern w:val="0"/>
          <w:szCs w:val="20"/>
        </w:rPr>
        <w:t>用</w:t>
      </w:r>
      <w:r>
        <w:rPr>
          <w:kern w:val="0"/>
          <w:szCs w:val="20"/>
        </w:rPr>
        <w:t>X</w:t>
      </w:r>
      <w:r>
        <w:rPr>
          <w:rFonts w:hint="eastAsia"/>
          <w:kern w:val="0"/>
          <w:szCs w:val="20"/>
        </w:rPr>
        <w:t>射线荧光光谱仪测量已知成分的参考样品</w:t>
      </w:r>
      <w:r>
        <w:rPr>
          <w:kern w:val="0"/>
          <w:szCs w:val="20"/>
        </w:rPr>
        <w:t>，将多个</w:t>
      </w:r>
      <w:r>
        <w:rPr>
          <w:rFonts w:hint="eastAsia"/>
          <w:kern w:val="0"/>
          <w:szCs w:val="20"/>
        </w:rPr>
        <w:t>参考样品</w:t>
      </w:r>
      <w:r>
        <w:rPr>
          <w:kern w:val="0"/>
          <w:szCs w:val="20"/>
        </w:rPr>
        <w:t>标称值与测量值比较，绘制各元素校正曲线，按校正系数对仪器测量值进行修正。通过这种方式在X射线荧光光谱仪上建立烧结稀土铁硼</w:t>
      </w:r>
      <w:r>
        <w:rPr>
          <w:rFonts w:hint="eastAsia"/>
          <w:kern w:val="0"/>
          <w:szCs w:val="20"/>
          <w:lang w:eastAsia="zh-CN"/>
        </w:rPr>
        <w:t>永</w:t>
      </w:r>
      <w:r>
        <w:rPr>
          <w:kern w:val="0"/>
          <w:szCs w:val="20"/>
        </w:rPr>
        <w:t>磁体中Dy和Tb元素含量</w:t>
      </w:r>
      <w:r>
        <w:rPr>
          <w:rFonts w:hint="eastAsia"/>
          <w:kern w:val="0"/>
          <w:szCs w:val="20"/>
        </w:rPr>
        <w:t>的测量程序</w:t>
      </w:r>
      <w:r>
        <w:rPr>
          <w:kern w:val="0"/>
          <w:szCs w:val="20"/>
        </w:rPr>
        <w:t>。可依据需要建立多个</w:t>
      </w:r>
      <w:r>
        <w:rPr>
          <w:rFonts w:hint="eastAsia"/>
          <w:kern w:val="0"/>
          <w:szCs w:val="20"/>
        </w:rPr>
        <w:t>测量程序</w:t>
      </w:r>
      <w:r>
        <w:rPr>
          <w:kern w:val="0"/>
          <w:szCs w:val="20"/>
        </w:rPr>
        <w:t>(如有Ce和无Ce的</w:t>
      </w:r>
      <w:r>
        <w:rPr>
          <w:rFonts w:hint="eastAsia"/>
          <w:kern w:val="0"/>
          <w:szCs w:val="20"/>
        </w:rPr>
        <w:t>测量程序</w:t>
      </w:r>
      <w:r>
        <w:rPr>
          <w:kern w:val="0"/>
          <w:szCs w:val="20"/>
        </w:rPr>
        <w:t>)。</w:t>
      </w:r>
    </w:p>
    <w:p w14:paraId="74354FAD">
      <w:pPr>
        <w:adjustRightInd w:val="0"/>
        <w:jc w:val="left"/>
        <w:textAlignment w:val="baseline"/>
        <w:rPr>
          <w:rFonts w:hint="eastAsia" w:asciiTheme="minorEastAsia" w:hAnsiTheme="minorEastAsia" w:eastAsiaTheme="minorEastAsia" w:cstheme="minorEastAsia"/>
          <w:kern w:val="0"/>
          <w:szCs w:val="21"/>
        </w:rPr>
      </w:pPr>
      <w:r>
        <w:rPr>
          <w:rFonts w:hint="eastAsia" w:ascii="黑体" w:hAnsi="黑体" w:eastAsia="黑体" w:cs="黑体"/>
          <w:kern w:val="0"/>
          <w:szCs w:val="21"/>
        </w:rPr>
        <w:t>5.4.2</w:t>
      </w:r>
      <w:r>
        <w:rPr>
          <w:rFonts w:hint="eastAsia" w:ascii="宋体" w:hAnsi="宋体"/>
          <w:kern w:val="0"/>
          <w:szCs w:val="21"/>
        </w:rPr>
        <w:t xml:space="preserve"> </w:t>
      </w:r>
      <w:r>
        <w:rPr>
          <w:rFonts w:eastAsiaTheme="minorEastAsia"/>
          <w:kern w:val="0"/>
          <w:szCs w:val="21"/>
        </w:rPr>
        <w:t>如仪器不能准确测定B元素和O元素含量，可按硼元素含量为0.95 wt%，氧元素含量为0.05 wt%，</w:t>
      </w:r>
      <w:r>
        <w:rPr>
          <w:rFonts w:eastAsiaTheme="minorEastAsia"/>
          <w:kern w:val="0"/>
          <w:szCs w:val="21"/>
          <w:lang w:bidi="ar"/>
        </w:rPr>
        <w:t>将除B、O以外的其他元素归一到99 wt%。</w:t>
      </w:r>
    </w:p>
    <w:p w14:paraId="4F296E51">
      <w:pPr>
        <w:adjustRightInd w:val="0"/>
        <w:jc w:val="left"/>
        <w:textAlignment w:val="baseline"/>
        <w:rPr>
          <w:rFonts w:hint="eastAsia" w:asciiTheme="minorEastAsia" w:hAnsiTheme="minorEastAsia" w:eastAsiaTheme="minorEastAsia" w:cstheme="minorEastAsia"/>
          <w:kern w:val="0"/>
          <w:szCs w:val="21"/>
        </w:rPr>
      </w:pPr>
      <w:r>
        <w:rPr>
          <w:rFonts w:hint="eastAsia" w:ascii="黑体" w:hAnsi="黑体" w:eastAsia="黑体" w:cstheme="minorEastAsia"/>
          <w:kern w:val="0"/>
          <w:szCs w:val="21"/>
        </w:rPr>
        <w:t>5.4.3</w:t>
      </w:r>
      <w:r>
        <w:rPr>
          <w:rFonts w:hint="eastAsia" w:asciiTheme="minorEastAsia" w:hAnsiTheme="minorEastAsia" w:eastAsiaTheme="minorEastAsia" w:cstheme="minorEastAsia"/>
          <w:kern w:val="0"/>
          <w:szCs w:val="21"/>
        </w:rPr>
        <w:t xml:space="preserve"> </w:t>
      </w:r>
      <w:r>
        <w:rPr>
          <w:rFonts w:eastAsiaTheme="minorEastAsia"/>
          <w:kern w:val="0"/>
          <w:szCs w:val="21"/>
        </w:rPr>
        <w:t>测量10个以上已定值的参考样品，所有参考样品的Dy或Tb元素含量测量值与标称值的偏差的算术平均值应小于0.05 wt%，才可确认用测量程</w:t>
      </w:r>
      <w:r>
        <w:rPr>
          <w:rFonts w:hint="eastAsia" w:eastAsiaTheme="minorEastAsia"/>
          <w:kern w:val="0"/>
          <w:szCs w:val="21"/>
        </w:rPr>
        <w:t>序</w:t>
      </w:r>
      <w:r>
        <w:rPr>
          <w:rFonts w:eastAsiaTheme="minorEastAsia"/>
          <w:kern w:val="0"/>
          <w:szCs w:val="21"/>
        </w:rPr>
        <w:t>测量稀土</w:t>
      </w:r>
      <w:r>
        <w:rPr>
          <w:rFonts w:hint="eastAsia" w:eastAsiaTheme="minorEastAsia"/>
          <w:kern w:val="0"/>
          <w:szCs w:val="21"/>
        </w:rPr>
        <w:t>永</w:t>
      </w:r>
      <w:r>
        <w:rPr>
          <w:rFonts w:eastAsiaTheme="minorEastAsia"/>
          <w:kern w:val="0"/>
          <w:szCs w:val="21"/>
        </w:rPr>
        <w:t>磁体中Dy和Tb元素含量的测量值与用ICP溯源的标称值之间无系统偏差。</w:t>
      </w:r>
    </w:p>
    <w:p w14:paraId="022C6A9F">
      <w:pPr>
        <w:pStyle w:val="44"/>
        <w:spacing w:before="156" w:after="156"/>
        <w:rPr>
          <w:rFonts w:hAnsi="黑体"/>
          <w:szCs w:val="21"/>
        </w:rPr>
      </w:pPr>
      <w:r>
        <w:rPr>
          <w:rFonts w:hAnsi="黑体"/>
          <w:szCs w:val="21"/>
        </w:rPr>
        <w:t>单一扩散深度样品的制备及要求(A类样品)</w:t>
      </w:r>
    </w:p>
    <w:p w14:paraId="2100A64A">
      <w:pPr>
        <w:pStyle w:val="49"/>
        <w:adjustRightInd w:val="0"/>
        <w:snapToGrid w:val="0"/>
        <w:spacing w:before="156" w:after="156"/>
        <w:textAlignment w:val="baseline"/>
        <w:rPr>
          <w:rFonts w:hint="eastAsia"/>
        </w:rPr>
      </w:pPr>
      <w:r>
        <w:t>样品水平方向尺寸</w:t>
      </w:r>
    </w:p>
    <w:p w14:paraId="64F22DDC">
      <w:pPr>
        <w:adjustRightInd w:val="0"/>
        <w:snapToGrid w:val="0"/>
        <w:spacing w:before="156" w:beforeLines="50" w:after="156" w:afterLines="50"/>
        <w:ind w:firstLine="420" w:firstLineChars="200"/>
        <w:jc w:val="left"/>
        <w:textAlignment w:val="baseline"/>
        <w:rPr>
          <w:rFonts w:hint="eastAsia" w:ascii="宋体" w:hAnsi="宋体"/>
          <w:kern w:val="0"/>
          <w:szCs w:val="20"/>
        </w:rPr>
      </w:pPr>
      <w:r>
        <w:rPr>
          <w:kern w:val="0"/>
          <w:szCs w:val="20"/>
        </w:rPr>
        <w:t>样品水平方向尺寸比波长型X射线</w:t>
      </w:r>
      <w:r>
        <w:rPr>
          <w:rFonts w:hint="eastAsia"/>
          <w:kern w:val="0"/>
          <w:szCs w:val="20"/>
        </w:rPr>
        <w:t>荧光光谱</w:t>
      </w:r>
      <w:r>
        <w:rPr>
          <w:kern w:val="0"/>
          <w:szCs w:val="20"/>
        </w:rPr>
        <w:t>仪样品杯内通光孔直径大2 mm为宜。当通光孔直径为φ10 mm时，可</w:t>
      </w:r>
      <w:r>
        <w:rPr>
          <w:rFonts w:hint="eastAsia"/>
          <w:kern w:val="0"/>
          <w:szCs w:val="20"/>
        </w:rPr>
        <w:t>用</w:t>
      </w:r>
      <w:r>
        <w:rPr>
          <w:kern w:val="0"/>
          <w:szCs w:val="20"/>
        </w:rPr>
        <w:t>晶界扩散后的磁体</w:t>
      </w:r>
      <w:r>
        <w:rPr>
          <w:rFonts w:hint="eastAsia"/>
          <w:kern w:val="0"/>
          <w:szCs w:val="20"/>
        </w:rPr>
        <w:t>机</w:t>
      </w:r>
      <w:r>
        <w:rPr>
          <w:kern w:val="0"/>
          <w:szCs w:val="20"/>
        </w:rPr>
        <w:t>加工</w:t>
      </w:r>
      <w:r>
        <w:rPr>
          <w:rFonts w:hint="eastAsia"/>
          <w:kern w:val="0"/>
          <w:szCs w:val="20"/>
        </w:rPr>
        <w:t>直径或边长</w:t>
      </w:r>
      <w:r>
        <w:rPr>
          <w:kern w:val="0"/>
          <w:szCs w:val="20"/>
        </w:rPr>
        <w:t>为12 mm左右的圆片或方片。</w:t>
      </w:r>
    </w:p>
    <w:p w14:paraId="1600A0C0">
      <w:pPr>
        <w:pStyle w:val="49"/>
        <w:adjustRightInd w:val="0"/>
        <w:snapToGrid w:val="0"/>
        <w:spacing w:before="156" w:after="156"/>
        <w:textAlignment w:val="baseline"/>
        <w:rPr>
          <w:rFonts w:hint="eastAsia"/>
        </w:rPr>
      </w:pPr>
      <w:r>
        <w:t>样品测量面的加工及要求</w:t>
      </w:r>
    </w:p>
    <w:p w14:paraId="42CE37B6">
      <w:pPr>
        <w:adjustRightInd w:val="0"/>
        <w:snapToGrid w:val="0"/>
        <w:spacing w:before="156" w:after="156"/>
        <w:ind w:firstLine="420" w:firstLineChars="200"/>
        <w:textAlignment w:val="baseline"/>
        <w:rPr>
          <w:rFonts w:hint="eastAsia" w:asciiTheme="minorEastAsia" w:hAnsiTheme="minorEastAsia" w:eastAsiaTheme="minorEastAsia" w:cstheme="minorEastAsia"/>
        </w:rPr>
      </w:pPr>
      <w:r>
        <w:rPr>
          <w:kern w:val="0"/>
          <w:szCs w:val="20"/>
        </w:rPr>
        <w:t>先用高精度单面磨床将与待测主扩散面对应的另一面磨平，磨削量应不少于100 μm，</w:t>
      </w:r>
      <w:r>
        <w:rPr>
          <w:szCs w:val="21"/>
        </w:rPr>
        <w:t>并在该面用机加工方式做一个标识。</w:t>
      </w:r>
      <w:r>
        <w:rPr>
          <w:kern w:val="0"/>
          <w:szCs w:val="20"/>
        </w:rPr>
        <w:t>以磨削过的样品表面作为厚度测量基准面，测量确定样品初始厚度H</w:t>
      </w:r>
      <w:r>
        <w:rPr>
          <w:kern w:val="0"/>
          <w:szCs w:val="20"/>
          <w:vertAlign w:val="subscript"/>
        </w:rPr>
        <w:t>0</w:t>
      </w:r>
      <w:r>
        <w:rPr>
          <w:kern w:val="0"/>
          <w:szCs w:val="20"/>
        </w:rPr>
        <w:t>。再用高精度单面磨床依据计划</w:t>
      </w:r>
      <w:r>
        <w:rPr>
          <w:rFonts w:hint="eastAsia"/>
          <w:kern w:val="0"/>
          <w:szCs w:val="20"/>
        </w:rPr>
        <w:t>测量</w:t>
      </w:r>
      <w:r>
        <w:rPr>
          <w:kern w:val="0"/>
          <w:szCs w:val="20"/>
        </w:rPr>
        <w:t>深度h对待测主扩散面进行加工，加工量相对计划</w:t>
      </w:r>
      <w:r>
        <w:rPr>
          <w:rFonts w:hint="eastAsia"/>
          <w:kern w:val="0"/>
          <w:szCs w:val="20"/>
        </w:rPr>
        <w:t>测量</w:t>
      </w:r>
      <w:r>
        <w:rPr>
          <w:kern w:val="0"/>
          <w:szCs w:val="20"/>
        </w:rPr>
        <w:t>深度h的偏差应不超过5μm。</w:t>
      </w:r>
      <w:r>
        <w:rPr>
          <w:rFonts w:hint="eastAsia" w:asciiTheme="minorEastAsia" w:hAnsiTheme="minorEastAsia" w:eastAsiaTheme="minorEastAsia" w:cstheme="minorEastAsia"/>
        </w:rPr>
        <w:t>样品测量面应光滑平整，无砂眼、裂纹等肉眼可见的缺陷。加工后的样品应用防锈纸包裹保存，以免生锈影响厚度测量精度。</w:t>
      </w:r>
    </w:p>
    <w:p w14:paraId="21C02FC5">
      <w:pPr>
        <w:pStyle w:val="49"/>
        <w:adjustRightInd w:val="0"/>
        <w:snapToGrid w:val="0"/>
        <w:spacing w:before="156" w:after="156"/>
        <w:textAlignment w:val="baseline"/>
        <w:rPr>
          <w:rFonts w:hint="eastAsia"/>
        </w:rPr>
      </w:pPr>
      <w:r>
        <w:t>样品</w:t>
      </w:r>
      <w:r>
        <w:rPr>
          <w:rFonts w:hint="eastAsia"/>
          <w:lang w:eastAsia="zh-CN"/>
        </w:rPr>
        <w:t>测量面加工</w:t>
      </w:r>
      <w:r>
        <w:t>深度</w:t>
      </w:r>
    </w:p>
    <w:p w14:paraId="758B3907">
      <w:pPr>
        <w:adjustRightInd w:val="0"/>
        <w:snapToGrid w:val="0"/>
        <w:spacing w:before="156" w:beforeLines="50" w:after="156" w:afterLines="50"/>
        <w:ind w:firstLine="420" w:firstLineChars="200"/>
        <w:jc w:val="left"/>
        <w:textAlignment w:val="baseline"/>
        <w:rPr>
          <w:rFonts w:hint="eastAsia" w:ascii="宋体" w:hAnsi="宋体"/>
          <w:kern w:val="0"/>
          <w:szCs w:val="20"/>
        </w:rPr>
      </w:pPr>
      <w:r>
        <w:rPr>
          <w:kern w:val="0"/>
          <w:szCs w:val="20"/>
        </w:rPr>
        <w:t>用</w:t>
      </w:r>
      <w:r>
        <w:rPr>
          <w:rFonts w:hint="eastAsia"/>
          <w:kern w:val="0"/>
          <w:szCs w:val="20"/>
        </w:rPr>
        <w:t>分度值</w:t>
      </w:r>
      <w:r>
        <w:rPr>
          <w:kern w:val="0"/>
          <w:szCs w:val="20"/>
        </w:rPr>
        <w:t>为0.0001 mm的数显千分尺测量样品厚度，重复测量应不少于3次，取平均值作为厚度测量值。厚度测量值应保留至0.001 mm。样品测量面对应</w:t>
      </w:r>
      <w:r>
        <w:rPr>
          <w:rFonts w:hint="eastAsia"/>
          <w:kern w:val="0"/>
          <w:szCs w:val="20"/>
          <w:lang w:eastAsia="zh-CN"/>
        </w:rPr>
        <w:t>加工</w:t>
      </w:r>
      <w:r>
        <w:rPr>
          <w:kern w:val="0"/>
          <w:szCs w:val="20"/>
        </w:rPr>
        <w:t>深度h按以下公式(4)计算。</w:t>
      </w:r>
    </w:p>
    <w:p w14:paraId="383C349B">
      <w:pPr>
        <w:pStyle w:val="157"/>
        <w:numPr>
          <w:ilvl w:val="-1"/>
          <w:numId w:val="0"/>
        </w:numPr>
        <w:spacing w:line="360" w:lineRule="auto"/>
        <w:ind w:left="0" w:firstLine="2310" w:firstLineChars="1100"/>
        <w:jc w:val="left"/>
        <w:rPr>
          <w:kern w:val="0"/>
          <w:szCs w:val="20"/>
        </w:rPr>
      </w:pPr>
      <w:r>
        <w:rPr>
          <w:kern w:val="0"/>
          <w:szCs w:val="20"/>
        </w:rPr>
        <w:t>h=（H</w:t>
      </w:r>
      <w:r>
        <w:rPr>
          <w:kern w:val="0"/>
          <w:szCs w:val="20"/>
          <w:vertAlign w:val="subscript"/>
        </w:rPr>
        <w:t>0</w:t>
      </w:r>
      <w:r>
        <w:rPr>
          <w:kern w:val="0"/>
          <w:szCs w:val="20"/>
        </w:rPr>
        <w:t>-H）×1000</w:t>
      </w:r>
      <w:r>
        <w:rPr>
          <w:rFonts w:hint="eastAsia" w:ascii="Times New Roman"/>
          <w:bCs/>
          <w:szCs w:val="21"/>
          <w:highlight w:val="none"/>
          <w:vertAlign w:val="baseline"/>
          <w:lang w:val="en-US" w:eastAsia="zh-CN"/>
        </w:rPr>
        <w:t>........................................</w:t>
      </w:r>
      <w:r>
        <w:rPr>
          <w:kern w:val="0"/>
          <w:szCs w:val="20"/>
        </w:rPr>
        <w:t>（</w:t>
      </w:r>
      <w:r>
        <w:rPr>
          <w:rFonts w:hint="eastAsia"/>
          <w:kern w:val="0"/>
          <w:szCs w:val="20"/>
          <w:lang w:val="en-US" w:eastAsia="zh-CN"/>
        </w:rPr>
        <w:t>4</w:t>
      </w:r>
      <w:r>
        <w:rPr>
          <w:kern w:val="0"/>
          <w:szCs w:val="20"/>
        </w:rPr>
        <w:t>）</w:t>
      </w:r>
    </w:p>
    <w:p w14:paraId="14D2D78C">
      <w:pPr>
        <w:widowControl/>
        <w:tabs>
          <w:tab w:val="center" w:pos="4201"/>
          <w:tab w:val="right" w:leader="dot" w:pos="9298"/>
        </w:tabs>
        <w:autoSpaceDE w:val="0"/>
        <w:autoSpaceDN w:val="0"/>
        <w:adjustRightInd w:val="0"/>
        <w:snapToGrid w:val="0"/>
        <w:spacing w:before="156" w:beforeLines="50" w:after="156" w:afterLines="50"/>
        <w:ind w:firstLine="420" w:firstLineChars="200"/>
        <w:rPr>
          <w:rFonts w:hint="eastAsia" w:ascii="宋体" w:hAnsi="宋体"/>
          <w:kern w:val="0"/>
          <w:szCs w:val="20"/>
        </w:rPr>
      </w:pPr>
      <w:r>
        <w:rPr>
          <w:rFonts w:ascii="宋体" w:hAnsi="宋体"/>
          <w:kern w:val="0"/>
          <w:szCs w:val="20"/>
        </w:rPr>
        <w:t>式中：</w:t>
      </w:r>
    </w:p>
    <w:p w14:paraId="3275E7F2">
      <w:pPr>
        <w:adjustRightInd w:val="0"/>
        <w:snapToGrid w:val="0"/>
        <w:ind w:firstLine="420" w:firstLineChars="200"/>
        <w:jc w:val="left"/>
        <w:textAlignment w:val="baseline"/>
        <w:rPr>
          <w:kern w:val="0"/>
          <w:szCs w:val="20"/>
        </w:rPr>
      </w:pPr>
      <w:r>
        <w:rPr>
          <w:kern w:val="0"/>
          <w:szCs w:val="20"/>
        </w:rPr>
        <w:t xml:space="preserve">h </w:t>
      </w:r>
      <w:r>
        <w:rPr>
          <w:szCs w:val="21"/>
        </w:rPr>
        <w:t>—— 样品</w:t>
      </w:r>
      <w:r>
        <w:rPr>
          <w:kern w:val="0"/>
          <w:szCs w:val="20"/>
        </w:rPr>
        <w:t>测量面对应</w:t>
      </w:r>
      <w:r>
        <w:rPr>
          <w:rFonts w:hint="eastAsia"/>
          <w:kern w:val="0"/>
          <w:szCs w:val="20"/>
          <w:lang w:eastAsia="zh-CN"/>
        </w:rPr>
        <w:t>加工</w:t>
      </w:r>
      <w:r>
        <w:rPr>
          <w:kern w:val="0"/>
          <w:szCs w:val="20"/>
        </w:rPr>
        <w:t>深度值 ，单位为微米（μm）；</w:t>
      </w:r>
    </w:p>
    <w:p w14:paraId="70F3451F">
      <w:pPr>
        <w:adjustRightInd w:val="0"/>
        <w:snapToGrid w:val="0"/>
        <w:ind w:firstLine="420" w:firstLineChars="200"/>
        <w:jc w:val="left"/>
        <w:textAlignment w:val="baseline"/>
        <w:rPr>
          <w:kern w:val="0"/>
          <w:szCs w:val="20"/>
        </w:rPr>
      </w:pPr>
      <w:r>
        <w:rPr>
          <w:kern w:val="0"/>
          <w:szCs w:val="20"/>
        </w:rPr>
        <w:t>H</w:t>
      </w:r>
      <w:r>
        <w:rPr>
          <w:kern w:val="0"/>
          <w:szCs w:val="20"/>
          <w:vertAlign w:val="subscript"/>
        </w:rPr>
        <w:t>0</w:t>
      </w:r>
      <w:r>
        <w:rPr>
          <w:kern w:val="0"/>
          <w:szCs w:val="20"/>
        </w:rPr>
        <w:t xml:space="preserve"> </w:t>
      </w:r>
      <w:r>
        <w:rPr>
          <w:szCs w:val="21"/>
        </w:rPr>
        <w:t>—— 样品</w:t>
      </w:r>
      <w:r>
        <w:rPr>
          <w:kern w:val="0"/>
          <w:szCs w:val="20"/>
        </w:rPr>
        <w:t>加工基准面后，测量得到的样品初始厚度，单位为毫米（mm)；</w:t>
      </w:r>
    </w:p>
    <w:p w14:paraId="1DEA4AF1">
      <w:pPr>
        <w:adjustRightInd w:val="0"/>
        <w:snapToGrid w:val="0"/>
        <w:ind w:firstLine="420" w:firstLineChars="200"/>
        <w:jc w:val="left"/>
        <w:textAlignment w:val="baseline"/>
        <w:rPr>
          <w:kern w:val="0"/>
          <w:szCs w:val="20"/>
        </w:rPr>
      </w:pPr>
      <w:r>
        <w:rPr>
          <w:kern w:val="0"/>
          <w:szCs w:val="20"/>
        </w:rPr>
        <w:t xml:space="preserve">H </w:t>
      </w:r>
      <w:r>
        <w:rPr>
          <w:szCs w:val="21"/>
        </w:rPr>
        <w:t>——</w:t>
      </w:r>
      <w:r>
        <w:rPr>
          <w:kern w:val="0"/>
          <w:szCs w:val="20"/>
        </w:rPr>
        <w:t xml:space="preserve"> 用X射线测量样品表面含量时的样品厚度，单位为毫米（mm）。</w:t>
      </w:r>
    </w:p>
    <w:p w14:paraId="07C3E1F7">
      <w:pPr>
        <w:pStyle w:val="44"/>
        <w:tabs>
          <w:tab w:val="center" w:pos="4201"/>
          <w:tab w:val="right" w:leader="dot" w:pos="9298"/>
        </w:tabs>
        <w:autoSpaceDE w:val="0"/>
        <w:autoSpaceDN w:val="0"/>
        <w:adjustRightInd/>
        <w:snapToGrid/>
        <w:spacing w:before="156" w:beforeLines="-2147483648" w:after="156"/>
        <w:ind w:left="0"/>
        <w:textAlignment w:val="auto"/>
        <w:rPr>
          <w:rFonts w:hAnsi="Times New Roman"/>
          <w:szCs w:val="20"/>
        </w:rPr>
      </w:pPr>
      <w:r>
        <w:rPr>
          <w:rFonts w:hAnsi="Times New Roman"/>
          <w:szCs w:val="20"/>
        </w:rPr>
        <w:t>非单一扩散深度样品(B类样品)</w:t>
      </w:r>
    </w:p>
    <w:p w14:paraId="16D09647">
      <w:pPr>
        <w:pStyle w:val="49"/>
        <w:adjustRightInd w:val="0"/>
        <w:snapToGrid w:val="0"/>
        <w:spacing w:before="156" w:after="156"/>
        <w:textAlignment w:val="baseline"/>
        <w:rPr>
          <w:rFonts w:hint="eastAsia"/>
        </w:rPr>
      </w:pPr>
      <w:r>
        <w:t>样品基准面加工</w:t>
      </w:r>
    </w:p>
    <w:p w14:paraId="74D4E54F">
      <w:pPr>
        <w:pStyle w:val="178"/>
        <w:ind w:firstLine="420"/>
        <w:rPr>
          <w:rFonts w:ascii="Arial" w:hAnsi="Arial" w:cs="Arial"/>
          <w:szCs w:val="21"/>
        </w:rPr>
      </w:pPr>
      <w:r>
        <w:rPr>
          <w:rFonts w:ascii="Times New Roman"/>
        </w:rPr>
        <w:t>先用高精度单面磨床将与待测主扩散面对应的另一面磨平，磨削量应不少于100 μm，</w:t>
      </w:r>
      <w:r>
        <w:rPr>
          <w:rFonts w:ascii="Times New Roman"/>
          <w:szCs w:val="21"/>
        </w:rPr>
        <w:t>并在该面用机加工方式做一个标识。加工面应光滑平整，并以此面作为后续加工及尺寸测量的基准面。</w:t>
      </w:r>
    </w:p>
    <w:p w14:paraId="1C180A78">
      <w:pPr>
        <w:pStyle w:val="49"/>
        <w:spacing w:before="156" w:after="156"/>
        <w:rPr>
          <w:rFonts w:hint="eastAsia"/>
        </w:rPr>
      </w:pPr>
      <w:r>
        <w:t>倾斜测量面加工及要求</w:t>
      </w:r>
    </w:p>
    <w:p w14:paraId="31737FCF">
      <w:pPr>
        <w:pStyle w:val="54"/>
        <w:numPr>
          <w:ilvl w:val="255"/>
          <w:numId w:val="0"/>
        </w:numPr>
        <w:spacing w:before="0" w:beforeLines="0" w:after="0" w:afterLines="0"/>
        <w:jc w:val="both"/>
        <w:outlineLvl w:val="2"/>
        <w:rPr>
          <w:rFonts w:hint="eastAsia" w:ascii="宋体" w:hAnsi="宋体" w:eastAsia="宋体" w:cs="宋体"/>
          <w:snapToGrid w:val="0"/>
        </w:rPr>
      </w:pPr>
      <w:r>
        <w:rPr>
          <w:rFonts w:hint="eastAsia" w:cs="宋体"/>
          <w:snapToGrid w:val="0"/>
        </w:rPr>
        <w:t xml:space="preserve">5.6.2.1 </w:t>
      </w:r>
      <w:r>
        <w:rPr>
          <w:rFonts w:ascii="Times New Roman" w:hAnsi="Times New Roman" w:eastAsia="宋体"/>
          <w:snapToGrid w:val="0"/>
        </w:rPr>
        <w:t>使用磨削加工方式将待测主扩散面沿长度方向加工成倾斜面，如图1所示。倾斜度a:b为1:100～1:200，倾斜面距样品长度方向一端保留5 mm左右不加工，平面与斜面交界处可作为含量测量参考起始点。</w:t>
      </w:r>
    </w:p>
    <w:p w14:paraId="2086C143">
      <w:pPr>
        <w:pStyle w:val="178"/>
        <w:ind w:firstLine="0" w:firstLineChars="0"/>
        <w:jc w:val="center"/>
        <w:rPr>
          <w:rFonts w:ascii="Arial" w:hAnsi="Arial" w:cs="Arial"/>
          <w:szCs w:val="21"/>
        </w:rPr>
      </w:pPr>
      <w:r>
        <w:rPr>
          <w:rFonts w:ascii="Arial" w:hAnsi="Arial" w:cs="Arial"/>
        </w:rPr>
        <w:drawing>
          <wp:inline distT="0" distB="0" distL="114300" distR="114300">
            <wp:extent cx="4439920" cy="1000125"/>
            <wp:effectExtent l="0" t="0" r="0" b="0"/>
            <wp:docPr id="1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2"/>
                    <pic:cNvPicPr>
                      <a:picLocks noChangeAspect="1"/>
                    </pic:cNvPicPr>
                  </pic:nvPicPr>
                  <pic:blipFill>
                    <a:blip r:embed="rId7"/>
                    <a:srcRect r="15708"/>
                    <a:stretch>
                      <a:fillRect/>
                    </a:stretch>
                  </pic:blipFill>
                  <pic:spPr>
                    <a:xfrm>
                      <a:off x="0" y="0"/>
                      <a:ext cx="4439920" cy="1000125"/>
                    </a:xfrm>
                    <a:prstGeom prst="rect">
                      <a:avLst/>
                    </a:prstGeom>
                    <a:noFill/>
                    <a:ln>
                      <a:noFill/>
                    </a:ln>
                  </pic:spPr>
                </pic:pic>
              </a:graphicData>
            </a:graphic>
          </wp:inline>
        </w:drawing>
      </w:r>
    </w:p>
    <w:p w14:paraId="6C212DB7">
      <w:pPr>
        <w:pStyle w:val="178"/>
        <w:ind w:firstLine="420" w:firstLineChars="0"/>
        <w:jc w:val="center"/>
        <w:rPr>
          <w:rFonts w:ascii="Arial" w:hAnsi="Arial" w:cs="Arial"/>
          <w:snapToGrid w:val="0"/>
          <w:szCs w:val="21"/>
        </w:rPr>
      </w:pPr>
      <w:r>
        <w:rPr>
          <w:rFonts w:ascii="Arial" w:hAnsi="Arial" w:cs="Arial"/>
          <w:snapToGrid w:val="0"/>
          <w:szCs w:val="21"/>
        </w:rPr>
        <w:t>图</w:t>
      </w:r>
      <w:r>
        <w:rPr>
          <w:rFonts w:hint="eastAsia" w:ascii="Arial" w:hAnsi="Arial" w:cs="Arial"/>
          <w:snapToGrid w:val="0"/>
          <w:szCs w:val="21"/>
        </w:rPr>
        <w:t>1  倾斜测量面样品</w:t>
      </w:r>
      <w:r>
        <w:rPr>
          <w:rFonts w:ascii="Arial" w:hAnsi="Arial" w:cs="Arial"/>
          <w:snapToGrid w:val="0"/>
          <w:szCs w:val="21"/>
        </w:rPr>
        <w:t>示意图</w:t>
      </w:r>
    </w:p>
    <w:p w14:paraId="13C2EAF9">
      <w:pPr>
        <w:pStyle w:val="54"/>
        <w:numPr>
          <w:ilvl w:val="255"/>
          <w:numId w:val="0"/>
        </w:numPr>
        <w:spacing w:before="0" w:beforeLines="0" w:after="0" w:afterLines="0"/>
        <w:outlineLvl w:val="2"/>
        <w:rPr>
          <w:rFonts w:hint="eastAsia" w:cs="宋体"/>
          <w:szCs w:val="20"/>
        </w:rPr>
      </w:pPr>
      <w:r>
        <w:rPr>
          <w:rFonts w:hint="eastAsia" w:cs="宋体"/>
          <w:snapToGrid w:val="0"/>
        </w:rPr>
        <w:t xml:space="preserve">5.6.2.2 </w:t>
      </w:r>
      <w:r>
        <w:rPr>
          <w:rFonts w:hint="eastAsia" w:ascii="宋体" w:hAnsi="宋体" w:eastAsia="宋体" w:cs="宋体"/>
          <w:snapToGrid w:val="0"/>
        </w:rPr>
        <w:t>样品倾斜</w:t>
      </w:r>
      <w:r>
        <w:rPr>
          <w:rFonts w:hint="eastAsia" w:ascii="宋体" w:hAnsi="宋体" w:eastAsia="宋体" w:cs="宋体"/>
          <w:szCs w:val="20"/>
        </w:rPr>
        <w:t>测量面应光滑平整</w:t>
      </w:r>
      <w:r>
        <w:rPr>
          <w:rFonts w:hint="eastAsia" w:ascii="宋体" w:hAnsi="宋体" w:eastAsia="宋体" w:cs="宋体"/>
          <w:szCs w:val="20"/>
          <w:lang w:eastAsia="zh-CN"/>
        </w:rPr>
        <w:t>，粗糙度应小于</w:t>
      </w:r>
      <w:r>
        <w:rPr>
          <w:rFonts w:hint="default" w:ascii="Times New Roman" w:hAnsi="Times New Roman" w:eastAsia="宋体" w:cs="Times New Roman"/>
          <w:szCs w:val="20"/>
          <w:lang w:val="en-US" w:eastAsia="zh-CN"/>
        </w:rPr>
        <w:t>3.2</w:t>
      </w:r>
      <w:r>
        <w:rPr>
          <w:rFonts w:ascii="Times New Roman" w:hAnsi="Times New Roman"/>
        </w:rPr>
        <w:t> </w:t>
      </w:r>
      <w:r>
        <w:rPr>
          <w:rFonts w:hint="default" w:ascii="Times New Roman" w:hAnsi="Times New Roman" w:eastAsia="宋体" w:cs="Times New Roman"/>
          <w:szCs w:val="20"/>
          <w:lang w:val="en-US" w:eastAsia="zh-CN"/>
        </w:rPr>
        <w:t>μm</w:t>
      </w:r>
      <w:r>
        <w:rPr>
          <w:rFonts w:hint="eastAsia" w:ascii="宋体" w:hAnsi="宋体" w:eastAsia="宋体" w:cs="宋体"/>
          <w:szCs w:val="20"/>
          <w:lang w:val="en-US" w:eastAsia="zh-CN"/>
        </w:rPr>
        <w:t>，</w:t>
      </w:r>
      <w:r>
        <w:rPr>
          <w:rFonts w:hint="eastAsia" w:ascii="宋体" w:hAnsi="宋体" w:eastAsia="宋体" w:cs="宋体"/>
          <w:szCs w:val="20"/>
        </w:rPr>
        <w:t>无砂眼、裂纹等肉眼可见的缺陷。加工后的</w:t>
      </w:r>
      <w:r>
        <w:rPr>
          <w:rFonts w:hint="eastAsia" w:ascii="宋体" w:hAnsi="宋体" w:eastAsia="宋体" w:cs="宋体"/>
          <w:snapToGrid w:val="0"/>
        </w:rPr>
        <w:t>样品应用防锈纸包裹保存，以免生锈影响厚度测量精度。</w:t>
      </w:r>
    </w:p>
    <w:p w14:paraId="68155610">
      <w:pPr>
        <w:pStyle w:val="49"/>
        <w:spacing w:before="156" w:after="156"/>
        <w:outlineLvl w:val="2"/>
        <w:rPr>
          <w:rFonts w:hint="eastAsia"/>
          <w:color w:val="000000"/>
          <w:lang w:bidi="ar"/>
        </w:rPr>
      </w:pPr>
      <w:r>
        <w:rPr>
          <w:color w:val="000000"/>
          <w:lang w:bidi="ar"/>
        </w:rPr>
        <w:t>倾斜度的测量</w:t>
      </w:r>
    </w:p>
    <w:p w14:paraId="651E049F">
      <w:pPr>
        <w:pStyle w:val="178"/>
        <w:ind w:firstLine="420"/>
        <w:rPr>
          <w:rFonts w:ascii="Arial" w:hAnsi="Arial" w:cs="Arial"/>
          <w:snapToGrid w:val="0"/>
          <w:szCs w:val="21"/>
        </w:rPr>
      </w:pPr>
      <w:r>
        <w:rPr>
          <w:rFonts w:ascii="Times New Roman"/>
          <w:color w:val="000000"/>
          <w:szCs w:val="21"/>
          <w:lang w:bidi="ar"/>
        </w:rPr>
        <w:t>用光学测量系统或合适的测量工具，测量样品加工后的实际倾斜度。a值精确到0.001 mm，b值精确到0.01 mm。然后依实测倾斜度值及斜面总长度，设计含量随深度变化曲线的测量点数(n)和相邻测量点样品移动的步长(s)。</w:t>
      </w:r>
      <w:r>
        <w:rPr>
          <w:rFonts w:ascii="Times New Roman"/>
          <w:snapToGrid w:val="0"/>
          <w:szCs w:val="21"/>
        </w:rPr>
        <w:t>每个含量测量点对应的</w:t>
      </w:r>
      <w:r>
        <w:rPr>
          <w:rFonts w:hint="eastAsia" w:ascii="Times New Roman"/>
          <w:snapToGrid w:val="0"/>
          <w:szCs w:val="21"/>
          <w:lang w:eastAsia="zh-CN"/>
        </w:rPr>
        <w:t>加工</w:t>
      </w:r>
      <w:r>
        <w:rPr>
          <w:rFonts w:ascii="Times New Roman"/>
          <w:snapToGrid w:val="0"/>
          <w:szCs w:val="21"/>
        </w:rPr>
        <w:t>深度值按公式（5）计算。</w:t>
      </w:r>
    </w:p>
    <w:p w14:paraId="48A50A0A">
      <w:pPr>
        <w:pStyle w:val="178"/>
        <w:ind w:right="420" w:firstLine="2520" w:firstLineChars="1200"/>
        <w:jc w:val="both"/>
        <w:rPr>
          <w:rFonts w:ascii="Times New Roman" w:hAnsi="Times New Roman" w:cs="Times New Roman"/>
          <w:snapToGrid w:val="0"/>
          <w:szCs w:val="21"/>
        </w:rPr>
      </w:pPr>
      <w:r>
        <w:rPr>
          <w:rFonts w:ascii="Times New Roman"/>
          <w:position w:val="-30"/>
        </w:rPr>
        <w:object>
          <v:shape id="_x0000_i1025" o:spt="75" type="#_x0000_t75" style="height:34pt;width:143.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rFonts w:hint="default" w:ascii="Times New Roman"/>
        </w:rPr>
        <w:t xml:space="preserve"> </w:t>
      </w:r>
      <w:r>
        <w:rPr>
          <w:rFonts w:ascii="Times New Roman"/>
        </w:rPr>
        <w:t>……………………</w:t>
      </w:r>
      <w:r>
        <w:rPr>
          <w:rFonts w:ascii="Times New Roman" w:hAnsi="Times New Roman" w:cs="Times New Roman"/>
          <w:snapToGrid w:val="0"/>
          <w:szCs w:val="21"/>
        </w:rPr>
        <w:t xml:space="preserve"> (</w:t>
      </w:r>
      <w:r>
        <w:rPr>
          <w:rFonts w:hint="default" w:ascii="Times New Roman" w:hAnsi="Times New Roman" w:cs="Times New Roman"/>
          <w:snapToGrid w:val="0"/>
          <w:szCs w:val="21"/>
        </w:rPr>
        <w:t>5</w:t>
      </w:r>
      <w:r>
        <w:rPr>
          <w:rFonts w:ascii="Times New Roman" w:hAnsi="Times New Roman" w:cs="Times New Roman"/>
          <w:snapToGrid w:val="0"/>
          <w:szCs w:val="21"/>
        </w:rPr>
        <w:t>)</w:t>
      </w:r>
    </w:p>
    <w:p w14:paraId="65A4AC5E">
      <w:pPr>
        <w:pStyle w:val="178"/>
        <w:ind w:firstLine="420"/>
        <w:rPr>
          <w:rFonts w:ascii="Times New Roman" w:hAnsi="Times New Roman" w:cs="Times New Roman"/>
          <w:snapToGrid w:val="0"/>
          <w:szCs w:val="21"/>
        </w:rPr>
      </w:pPr>
      <w:r>
        <w:rPr>
          <w:rFonts w:ascii="Times New Roman" w:hAnsi="Times New Roman" w:cs="Times New Roman"/>
          <w:snapToGrid w:val="0"/>
          <w:szCs w:val="21"/>
        </w:rPr>
        <w:t>其中：</w:t>
      </w:r>
    </w:p>
    <w:p w14:paraId="675186BF">
      <w:pPr>
        <w:pStyle w:val="178"/>
        <w:ind w:firstLine="420"/>
        <w:rPr>
          <w:rFonts w:ascii="Times New Roman" w:hAnsi="Times New Roman" w:cs="Times New Roman"/>
          <w:i/>
          <w:iCs/>
          <w:snapToGrid w:val="0"/>
          <w:szCs w:val="21"/>
        </w:rPr>
      </w:pPr>
      <w:r>
        <w:rPr>
          <w:rFonts w:ascii="Times New Roman" w:hAnsi="Times New Roman" w:cs="Times New Roman"/>
          <w:i/>
          <w:iCs/>
          <w:snapToGrid w:val="0"/>
          <w:szCs w:val="21"/>
        </w:rPr>
        <w:t>h</w:t>
      </w:r>
      <w:r>
        <w:rPr>
          <w:rFonts w:hint="default" w:ascii="Times New Roman" w:hAnsi="Times New Roman"/>
        </w:rPr>
        <w:t xml:space="preserve"> </w:t>
      </w:r>
      <w:r>
        <w:rPr>
          <w:rFonts w:ascii="Times New Roman" w:hAnsi="Times New Roman" w:cs="Times New Roman"/>
          <w:szCs w:val="21"/>
        </w:rPr>
        <w:t>——</w:t>
      </w:r>
      <w:r>
        <w:rPr>
          <w:rFonts w:hint="default" w:ascii="Times New Roman" w:hAnsi="Times New Roman" w:cs="Times New Roman"/>
          <w:szCs w:val="21"/>
        </w:rPr>
        <w:t xml:space="preserve"> </w:t>
      </w:r>
      <w:r>
        <w:rPr>
          <w:rFonts w:hint="eastAsia" w:ascii="Times New Roman" w:cs="Times New Roman"/>
          <w:snapToGrid w:val="0"/>
          <w:szCs w:val="21"/>
          <w:lang w:eastAsia="zh-CN"/>
        </w:rPr>
        <w:t>加工</w:t>
      </w:r>
      <w:r>
        <w:rPr>
          <w:rFonts w:ascii="Times New Roman" w:hAnsi="Times New Roman" w:cs="Times New Roman"/>
          <w:snapToGrid w:val="0"/>
          <w:szCs w:val="21"/>
        </w:rPr>
        <w:t>深度，单位为微米（μm）；</w:t>
      </w:r>
    </w:p>
    <w:p w14:paraId="689D2ED0">
      <w:pPr>
        <w:pStyle w:val="178"/>
        <w:ind w:firstLine="420"/>
        <w:rPr>
          <w:rFonts w:ascii="Times New Roman" w:hAnsi="Times New Roman" w:cs="Times New Roman"/>
          <w:snapToGrid w:val="0"/>
          <w:szCs w:val="21"/>
        </w:rPr>
      </w:pPr>
      <w:r>
        <w:rPr>
          <w:rFonts w:ascii="Times New Roman" w:hAnsi="Times New Roman" w:cs="Times New Roman"/>
          <w:i/>
          <w:iCs/>
          <w:snapToGrid w:val="0"/>
          <w:szCs w:val="21"/>
        </w:rPr>
        <w:t>s</w:t>
      </w:r>
      <w:r>
        <w:rPr>
          <w:rFonts w:hint="default" w:ascii="Times New Roman" w:hAnsi="Times New Roman" w:cs="Times New Roman"/>
          <w:i/>
          <w:iCs/>
          <w:snapToGrid w:val="0"/>
          <w:szCs w:val="21"/>
        </w:rPr>
        <w:t xml:space="preserve"> </w:t>
      </w:r>
      <w:r>
        <w:rPr>
          <w:rFonts w:ascii="Times New Roman" w:hAnsi="Times New Roman" w:cs="Times New Roman"/>
          <w:szCs w:val="21"/>
        </w:rPr>
        <w:t>——</w:t>
      </w:r>
      <w:r>
        <w:rPr>
          <w:rFonts w:hint="default" w:ascii="Times New Roman" w:hAnsi="Times New Roman" w:cs="Times New Roman"/>
          <w:szCs w:val="21"/>
        </w:rPr>
        <w:t xml:space="preserve"> </w:t>
      </w:r>
      <w:r>
        <w:rPr>
          <w:rFonts w:hint="default" w:ascii="Times New Roman" w:hAnsi="Times New Roman" w:cs="Times New Roman"/>
          <w:snapToGrid w:val="0"/>
          <w:szCs w:val="21"/>
        </w:rPr>
        <w:t>相邻测量点样品</w:t>
      </w:r>
      <w:r>
        <w:rPr>
          <w:rFonts w:ascii="Times New Roman" w:hAnsi="Times New Roman" w:cs="Times New Roman"/>
          <w:snapToGrid w:val="0"/>
          <w:szCs w:val="21"/>
        </w:rPr>
        <w:t>移动</w:t>
      </w:r>
      <w:r>
        <w:rPr>
          <w:rFonts w:hint="default" w:ascii="Times New Roman" w:hAnsi="Times New Roman" w:cs="Times New Roman"/>
          <w:snapToGrid w:val="0"/>
          <w:szCs w:val="21"/>
        </w:rPr>
        <w:t>的步长</w:t>
      </w:r>
      <w:r>
        <w:rPr>
          <w:rFonts w:ascii="Times New Roman" w:hAnsi="Times New Roman" w:cs="Times New Roman"/>
          <w:snapToGrid w:val="0"/>
          <w:szCs w:val="21"/>
        </w:rPr>
        <w:t>，单位为毫米（mm）；</w:t>
      </w:r>
    </w:p>
    <w:p w14:paraId="2EC5EA68">
      <w:pPr>
        <w:pStyle w:val="178"/>
        <w:ind w:firstLine="420"/>
        <w:rPr>
          <w:rFonts w:ascii="Times New Roman" w:hAnsi="Times New Roman" w:cs="Times New Roman"/>
          <w:snapToGrid w:val="0"/>
          <w:szCs w:val="21"/>
        </w:rPr>
      </w:pPr>
      <w:r>
        <w:rPr>
          <w:rFonts w:hint="default" w:ascii="Times New Roman" w:hAnsi="Times New Roman" w:cs="Times New Roman"/>
          <w:i/>
          <w:iCs/>
          <w:snapToGrid w:val="0"/>
          <w:szCs w:val="21"/>
        </w:rPr>
        <w:t xml:space="preserve">a (b) </w:t>
      </w:r>
      <w:r>
        <w:rPr>
          <w:rFonts w:ascii="Times New Roman" w:hAnsi="Times New Roman" w:cs="Times New Roman"/>
          <w:szCs w:val="21"/>
        </w:rPr>
        <w:t>——</w:t>
      </w:r>
      <w:r>
        <w:rPr>
          <w:rFonts w:hint="default" w:ascii="Times New Roman" w:hAnsi="Times New Roman" w:cs="Times New Roman"/>
          <w:szCs w:val="21"/>
        </w:rPr>
        <w:t xml:space="preserve"> </w:t>
      </w:r>
      <w:r>
        <w:rPr>
          <w:rFonts w:hint="default" w:ascii="Times New Roman" w:hAnsi="Times New Roman" w:cs="Times New Roman"/>
          <w:snapToGrid w:val="0"/>
          <w:szCs w:val="21"/>
        </w:rPr>
        <w:t>测量面倾斜度尺寸参数</w:t>
      </w:r>
      <w:r>
        <w:rPr>
          <w:rFonts w:ascii="Times New Roman" w:hAnsi="Times New Roman" w:cs="Times New Roman"/>
          <w:snapToGrid w:val="0"/>
          <w:szCs w:val="21"/>
        </w:rPr>
        <w:t>，单位为毫米（mm）；</w:t>
      </w:r>
    </w:p>
    <w:p w14:paraId="57B4A435">
      <w:pPr>
        <w:pStyle w:val="178"/>
        <w:ind w:firstLine="420"/>
        <w:rPr>
          <w:rFonts w:ascii="Times New Roman" w:hAnsi="Times New Roman" w:cs="Times New Roman"/>
          <w:snapToGrid w:val="0"/>
          <w:szCs w:val="21"/>
        </w:rPr>
      </w:pPr>
      <w:r>
        <w:rPr>
          <w:rFonts w:hint="default" w:ascii="Times New Roman" w:hAnsi="Times New Roman" w:cs="Times New Roman"/>
          <w:i/>
          <w:iCs/>
          <w:snapToGrid w:val="0"/>
          <w:szCs w:val="21"/>
        </w:rPr>
        <w:t xml:space="preserve">n </w:t>
      </w:r>
      <w:r>
        <w:rPr>
          <w:rFonts w:ascii="Times New Roman" w:hAnsi="Times New Roman" w:cs="Times New Roman"/>
          <w:szCs w:val="21"/>
        </w:rPr>
        <w:t>——</w:t>
      </w:r>
      <w:r>
        <w:rPr>
          <w:rFonts w:hint="default" w:ascii="Times New Roman" w:hAnsi="Times New Roman" w:cs="Times New Roman"/>
          <w:szCs w:val="21"/>
        </w:rPr>
        <w:t xml:space="preserve"> 计划</w:t>
      </w:r>
      <w:r>
        <w:rPr>
          <w:rFonts w:ascii="Times New Roman" w:hAnsi="Times New Roman" w:cs="Times New Roman"/>
          <w:snapToGrid w:val="0"/>
          <w:szCs w:val="21"/>
        </w:rPr>
        <w:t>测</w:t>
      </w:r>
      <w:r>
        <w:rPr>
          <w:rFonts w:hint="default" w:ascii="Times New Roman" w:hAnsi="Times New Roman" w:cs="Times New Roman"/>
          <w:snapToGrid w:val="0"/>
          <w:szCs w:val="21"/>
        </w:rPr>
        <w:t>量</w:t>
      </w:r>
      <w:r>
        <w:rPr>
          <w:rFonts w:ascii="Times New Roman" w:hAnsi="Times New Roman" w:cs="Times New Roman"/>
          <w:snapToGrid w:val="0"/>
          <w:szCs w:val="21"/>
        </w:rPr>
        <w:t>点数。</w:t>
      </w:r>
    </w:p>
    <w:p w14:paraId="4A942191">
      <w:pPr>
        <w:pStyle w:val="44"/>
        <w:tabs>
          <w:tab w:val="center" w:pos="4201"/>
          <w:tab w:val="right" w:leader="dot" w:pos="9298"/>
        </w:tabs>
        <w:autoSpaceDE w:val="0"/>
        <w:autoSpaceDN w:val="0"/>
        <w:spacing w:before="156" w:beforeLines="-2147483648" w:after="156"/>
        <w:ind w:left="0"/>
        <w:rPr>
          <w:rFonts w:hint="default" w:hAnsi="Times New Roman"/>
          <w:szCs w:val="20"/>
        </w:rPr>
      </w:pPr>
      <w:r>
        <w:rPr>
          <w:rFonts w:hAnsi="Times New Roman"/>
          <w:szCs w:val="20"/>
        </w:rPr>
        <w:t xml:space="preserve"> A类样品中Dy或Tb元素含量的测量</w:t>
      </w:r>
    </w:p>
    <w:p w14:paraId="3C53DDCF">
      <w:pPr>
        <w:adjustRightInd w:val="0"/>
        <w:snapToGrid w:val="0"/>
        <w:jc w:val="left"/>
        <w:textAlignment w:val="baseline"/>
        <w:rPr>
          <w:rFonts w:hint="eastAsia" w:hAnsi="宋体"/>
          <w:kern w:val="0"/>
          <w:szCs w:val="20"/>
        </w:rPr>
      </w:pPr>
      <w:r>
        <w:rPr>
          <w:rFonts w:hint="eastAsia" w:ascii="黑体" w:hAnsi="黑体" w:eastAsia="黑体" w:cs="黑体"/>
          <w:kern w:val="0"/>
          <w:szCs w:val="20"/>
        </w:rPr>
        <w:t>5.7.1</w:t>
      </w:r>
      <w:r>
        <w:rPr>
          <w:rFonts w:hint="eastAsia" w:hAnsi="宋体"/>
          <w:kern w:val="0"/>
          <w:szCs w:val="20"/>
        </w:rPr>
        <w:t xml:space="preserve"> </w:t>
      </w:r>
      <w:r>
        <w:rPr>
          <w:kern w:val="0"/>
          <w:szCs w:val="20"/>
        </w:rPr>
        <w:t>将A类样品待测面对准通光孔放入波长型X射线荧光光谱仪样品杯中，按仪器说明书要求完成工装。</w:t>
      </w:r>
    </w:p>
    <w:p w14:paraId="277E5971">
      <w:pPr>
        <w:adjustRightInd w:val="0"/>
        <w:snapToGrid w:val="0"/>
        <w:jc w:val="left"/>
        <w:textAlignment w:val="baseline"/>
        <w:rPr>
          <w:rFonts w:hint="eastAsia" w:hAnsi="宋体"/>
          <w:kern w:val="0"/>
          <w:szCs w:val="20"/>
        </w:rPr>
      </w:pPr>
      <w:r>
        <w:rPr>
          <w:rFonts w:hint="eastAsia" w:ascii="黑体" w:hAnsi="黑体" w:eastAsia="黑体" w:cs="黑体"/>
          <w:kern w:val="0"/>
          <w:szCs w:val="20"/>
        </w:rPr>
        <w:t>5.7.2</w:t>
      </w:r>
      <w:r>
        <w:rPr>
          <w:rFonts w:hint="eastAsia" w:hAnsi="宋体"/>
          <w:kern w:val="0"/>
          <w:szCs w:val="20"/>
        </w:rPr>
        <w:t xml:space="preserve"> </w:t>
      </w:r>
      <w:r>
        <w:rPr>
          <w:kern w:val="0"/>
          <w:szCs w:val="20"/>
        </w:rPr>
        <w:t>选择与样品成分类别相适应的专用</w:t>
      </w:r>
      <w:r>
        <w:rPr>
          <w:rFonts w:hint="eastAsia"/>
          <w:kern w:val="0"/>
          <w:szCs w:val="20"/>
        </w:rPr>
        <w:t>测量程序</w:t>
      </w:r>
      <w:r>
        <w:rPr>
          <w:kern w:val="0"/>
          <w:szCs w:val="20"/>
        </w:rPr>
        <w:t>进行测量，按5.2条设定测量参数，重复测量应不少于3次，取平均值作为相应</w:t>
      </w:r>
      <w:r>
        <w:rPr>
          <w:rFonts w:hint="eastAsia"/>
          <w:kern w:val="0"/>
          <w:szCs w:val="20"/>
          <w:lang w:eastAsia="zh-CN"/>
        </w:rPr>
        <w:t>加工</w:t>
      </w:r>
      <w:r>
        <w:rPr>
          <w:kern w:val="0"/>
          <w:szCs w:val="20"/>
        </w:rPr>
        <w:t>深度下扩散元素</w:t>
      </w:r>
      <w:r>
        <w:rPr>
          <w:rFonts w:hint="eastAsia"/>
          <w:kern w:val="0"/>
          <w:szCs w:val="20"/>
          <w:lang w:eastAsia="zh-CN"/>
        </w:rPr>
        <w:t>的</w:t>
      </w:r>
      <w:r>
        <w:rPr>
          <w:kern w:val="0"/>
          <w:szCs w:val="20"/>
        </w:rPr>
        <w:t>含量</w:t>
      </w:r>
      <w:r>
        <w:rPr>
          <w:rFonts w:hint="eastAsia"/>
          <w:kern w:val="0"/>
          <w:szCs w:val="20"/>
          <w:lang w:eastAsia="zh-CN"/>
        </w:rPr>
        <w:t>，</w:t>
      </w:r>
      <w:r>
        <w:rPr>
          <w:kern w:val="0"/>
          <w:szCs w:val="20"/>
        </w:rPr>
        <w:t>测量结果保留至0.01 </w:t>
      </w:r>
      <w:r>
        <w:rPr>
          <w:rFonts w:hint="eastAsia"/>
          <w:kern w:val="0"/>
          <w:szCs w:val="20"/>
        </w:rPr>
        <w:t>wt</w:t>
      </w:r>
      <w:r>
        <w:rPr>
          <w:kern w:val="0"/>
          <w:szCs w:val="20"/>
        </w:rPr>
        <w:t>%。</w:t>
      </w:r>
    </w:p>
    <w:p w14:paraId="15893FE6">
      <w:pPr>
        <w:adjustRightInd w:val="0"/>
        <w:snapToGrid w:val="0"/>
        <w:jc w:val="left"/>
        <w:textAlignment w:val="baseline"/>
        <w:rPr>
          <w:rFonts w:hint="eastAsia" w:hAnsi="宋体" w:eastAsia="宋体"/>
          <w:kern w:val="0"/>
          <w:szCs w:val="20"/>
          <w:lang w:eastAsia="zh-CN"/>
        </w:rPr>
      </w:pPr>
      <w:r>
        <w:rPr>
          <w:rFonts w:hint="eastAsia" w:ascii="黑体" w:hAnsi="黑体" w:eastAsia="黑体" w:cs="黑体"/>
          <w:kern w:val="0"/>
          <w:szCs w:val="20"/>
        </w:rPr>
        <w:t>5.7.3</w:t>
      </w:r>
      <w:r>
        <w:rPr>
          <w:rFonts w:hint="eastAsia" w:hAnsi="宋体"/>
          <w:kern w:val="0"/>
          <w:szCs w:val="20"/>
        </w:rPr>
        <w:t xml:space="preserve"> </w:t>
      </w:r>
      <w:r>
        <w:rPr>
          <w:kern w:val="0"/>
          <w:szCs w:val="20"/>
        </w:rPr>
        <w:t>按5.5条方式重复加工可得到任意扩散深度的测量面，然后依次测量含量，可得到</w:t>
      </w:r>
      <w:r>
        <w:rPr>
          <w:rFonts w:hint="eastAsia"/>
          <w:kern w:val="0"/>
          <w:szCs w:val="20"/>
          <w:lang w:eastAsia="zh-CN"/>
        </w:rPr>
        <w:t>不同</w:t>
      </w:r>
      <w:r>
        <w:rPr>
          <w:kern w:val="0"/>
          <w:szCs w:val="20"/>
        </w:rPr>
        <w:t>扩散深度对应的扩散元素含量值。</w:t>
      </w:r>
      <w:r>
        <w:rPr>
          <w:rFonts w:hint="eastAsia"/>
          <w:kern w:val="0"/>
          <w:szCs w:val="20"/>
          <w:lang w:eastAsia="zh-CN"/>
        </w:rPr>
        <w:t>最大扩散深度处扩散元素的含量值对扩散效果评价最有参考价值。</w:t>
      </w:r>
    </w:p>
    <w:p w14:paraId="6042CA29">
      <w:pPr>
        <w:pStyle w:val="44"/>
        <w:tabs>
          <w:tab w:val="center" w:pos="4201"/>
          <w:tab w:val="right" w:leader="dot" w:pos="9298"/>
        </w:tabs>
        <w:autoSpaceDE w:val="0"/>
        <w:autoSpaceDN w:val="0"/>
        <w:adjustRightInd/>
        <w:snapToGrid/>
        <w:spacing w:before="156" w:after="156"/>
        <w:ind w:left="0"/>
        <w:textAlignment w:val="auto"/>
        <w:rPr>
          <w:rFonts w:hAnsi="Times New Roman"/>
          <w:szCs w:val="20"/>
        </w:rPr>
      </w:pPr>
      <w:r>
        <w:rPr>
          <w:rFonts w:hAnsi="Times New Roman"/>
          <w:szCs w:val="20"/>
        </w:rPr>
        <w:t>B类晶界扩散样品中Dy或Tb元素含量的测量</w:t>
      </w:r>
    </w:p>
    <w:p w14:paraId="7308283D">
      <w:pPr>
        <w:adjustRightInd w:val="0"/>
        <w:snapToGrid w:val="0"/>
        <w:jc w:val="left"/>
        <w:textAlignment w:val="baseline"/>
        <w:rPr>
          <w:rFonts w:hint="eastAsia" w:hAnsi="宋体"/>
          <w:kern w:val="0"/>
          <w:szCs w:val="20"/>
        </w:rPr>
      </w:pPr>
      <w:r>
        <w:rPr>
          <w:rFonts w:hint="eastAsia" w:ascii="黑体" w:hAnsi="黑体" w:eastAsia="黑体" w:cs="黑体"/>
          <w:kern w:val="0"/>
          <w:szCs w:val="20"/>
        </w:rPr>
        <w:t>5.8.1</w:t>
      </w:r>
      <w:r>
        <w:rPr>
          <w:rFonts w:hint="eastAsia" w:hAnsi="宋体"/>
          <w:kern w:val="0"/>
          <w:szCs w:val="20"/>
        </w:rPr>
        <w:t xml:space="preserve"> </w:t>
      </w:r>
      <w:r>
        <w:rPr>
          <w:kern w:val="0"/>
          <w:szCs w:val="20"/>
        </w:rPr>
        <w:t>将B类样品放到能量型X射线荧光光谱仪的可移动样品台上，按仪器说明书要求完成工装。</w:t>
      </w:r>
    </w:p>
    <w:p w14:paraId="5059E1C3">
      <w:pPr>
        <w:adjustRightInd w:val="0"/>
        <w:snapToGrid w:val="0"/>
        <w:jc w:val="left"/>
        <w:textAlignment w:val="baseline"/>
        <w:rPr>
          <w:rFonts w:hint="eastAsia" w:hAnsi="宋体"/>
          <w:kern w:val="0"/>
          <w:szCs w:val="20"/>
        </w:rPr>
      </w:pPr>
      <w:r>
        <w:rPr>
          <w:rFonts w:hint="eastAsia" w:ascii="黑体" w:hAnsi="黑体" w:eastAsia="黑体" w:cs="黑体"/>
          <w:kern w:val="0"/>
          <w:szCs w:val="20"/>
        </w:rPr>
        <w:t>5.8.2</w:t>
      </w:r>
      <w:r>
        <w:rPr>
          <w:rFonts w:hint="eastAsia" w:hAnsi="宋体"/>
          <w:kern w:val="0"/>
          <w:szCs w:val="20"/>
        </w:rPr>
        <w:t xml:space="preserve"> </w:t>
      </w:r>
      <w:r>
        <w:rPr>
          <w:kern w:val="0"/>
          <w:szCs w:val="20"/>
        </w:rPr>
        <w:t>选择与样品成分类别相适应的专用测量程式，按5.2条和5.6.</w:t>
      </w:r>
      <w:r>
        <w:rPr>
          <w:rFonts w:hint="eastAsia"/>
          <w:kern w:val="0"/>
          <w:szCs w:val="20"/>
        </w:rPr>
        <w:t>3</w:t>
      </w:r>
      <w:r>
        <w:rPr>
          <w:kern w:val="0"/>
          <w:szCs w:val="20"/>
        </w:rPr>
        <w:t>条设定测量参数</w:t>
      </w:r>
      <w:r>
        <w:rPr>
          <w:rFonts w:hint="eastAsia"/>
          <w:kern w:val="0"/>
          <w:szCs w:val="20"/>
          <w:lang w:eastAsia="zh-CN"/>
        </w:rPr>
        <w:t>。同一测</w:t>
      </w:r>
      <w:r>
        <w:rPr>
          <w:kern w:val="0"/>
          <w:szCs w:val="20"/>
        </w:rPr>
        <w:t>量</w:t>
      </w:r>
      <w:r>
        <w:rPr>
          <w:rFonts w:hint="eastAsia"/>
          <w:kern w:val="0"/>
          <w:szCs w:val="20"/>
          <w:lang w:eastAsia="zh-CN"/>
        </w:rPr>
        <w:t>深度应</w:t>
      </w:r>
      <w:r>
        <w:rPr>
          <w:kern w:val="0"/>
          <w:szCs w:val="20"/>
        </w:rPr>
        <w:t>重复测量不少于3次，取平均值作为相应深度下扩散元素</w:t>
      </w:r>
      <w:r>
        <w:rPr>
          <w:rFonts w:hint="eastAsia"/>
          <w:kern w:val="0"/>
          <w:szCs w:val="20"/>
          <w:lang w:eastAsia="zh-CN"/>
        </w:rPr>
        <w:t>的</w:t>
      </w:r>
      <w:r>
        <w:rPr>
          <w:kern w:val="0"/>
          <w:szCs w:val="20"/>
        </w:rPr>
        <w:t>含量</w:t>
      </w:r>
      <w:r>
        <w:rPr>
          <w:rFonts w:hint="eastAsia"/>
          <w:kern w:val="0"/>
          <w:szCs w:val="20"/>
          <w:lang w:eastAsia="zh-CN"/>
        </w:rPr>
        <w:t>，</w:t>
      </w:r>
      <w:r>
        <w:rPr>
          <w:kern w:val="0"/>
          <w:szCs w:val="20"/>
        </w:rPr>
        <w:t>测量结果保留至0.01 </w:t>
      </w:r>
      <w:r>
        <w:rPr>
          <w:rFonts w:hint="eastAsia"/>
          <w:kern w:val="0"/>
          <w:szCs w:val="20"/>
        </w:rPr>
        <w:t>wt</w:t>
      </w:r>
      <w:r>
        <w:rPr>
          <w:kern w:val="0"/>
          <w:szCs w:val="20"/>
        </w:rPr>
        <w:t>%。</w:t>
      </w:r>
    </w:p>
    <w:p w14:paraId="6FAF372E">
      <w:pPr>
        <w:adjustRightInd w:val="0"/>
        <w:snapToGrid w:val="0"/>
        <w:jc w:val="left"/>
        <w:textAlignment w:val="baseline"/>
        <w:rPr>
          <w:rFonts w:hint="eastAsia" w:hAnsi="宋体" w:eastAsia="宋体"/>
          <w:kern w:val="0"/>
          <w:szCs w:val="20"/>
          <w:lang w:eastAsia="zh-CN"/>
        </w:rPr>
      </w:pPr>
      <w:r>
        <w:rPr>
          <w:rFonts w:ascii="黑体" w:hAnsi="黑体" w:eastAsia="黑体" w:cs="Arial"/>
          <w:kern w:val="0"/>
          <w:szCs w:val="20"/>
        </w:rPr>
        <w:t>5.8.3</w:t>
      </w:r>
      <w:r>
        <w:rPr>
          <w:rFonts w:hint="eastAsia" w:hAnsi="宋体"/>
          <w:kern w:val="0"/>
          <w:szCs w:val="20"/>
        </w:rPr>
        <w:t xml:space="preserve"> </w:t>
      </w:r>
      <w:r>
        <w:rPr>
          <w:kern w:val="0"/>
          <w:szCs w:val="20"/>
        </w:rPr>
        <w:t>启动测量软件，自动完成扩散元素含量随深度变化曲线的测量。</w:t>
      </w:r>
      <w:r>
        <w:rPr>
          <w:rFonts w:hint="eastAsia"/>
          <w:kern w:val="0"/>
          <w:szCs w:val="20"/>
          <w:lang w:eastAsia="zh-CN"/>
        </w:rPr>
        <w:t>如倾斜面末端含量是增加的，则应剔除含量增加的所有测量点。</w:t>
      </w:r>
    </w:p>
    <w:p w14:paraId="7D2F2972">
      <w:pPr>
        <w:pStyle w:val="48"/>
        <w:spacing w:before="312" w:after="312"/>
        <w:rPr>
          <w:rFonts w:hint="eastAsia" w:ascii="黑体" w:hAnsi="黑体" w:eastAsia="黑体" w:cs="黑体"/>
        </w:rPr>
      </w:pPr>
      <w:r>
        <w:rPr>
          <w:rFonts w:hint="eastAsia" w:ascii="黑体" w:hAnsi="黑体" w:eastAsia="黑体" w:cs="黑体"/>
        </w:rPr>
        <w:t>测量不确定度</w:t>
      </w:r>
    </w:p>
    <w:p w14:paraId="53BF1765">
      <w:pPr>
        <w:pStyle w:val="44"/>
        <w:tabs>
          <w:tab w:val="center" w:pos="4201"/>
          <w:tab w:val="right" w:leader="dot" w:pos="9298"/>
        </w:tabs>
        <w:autoSpaceDE w:val="0"/>
        <w:autoSpaceDN w:val="0"/>
        <w:spacing w:before="156" w:after="156"/>
        <w:ind w:left="0"/>
        <w:rPr>
          <w:rFonts w:hAnsi="Times New Roman"/>
          <w:szCs w:val="20"/>
        </w:rPr>
      </w:pPr>
      <w:r>
        <w:rPr>
          <w:rFonts w:hAnsi="Times New Roman"/>
          <w:szCs w:val="20"/>
        </w:rPr>
        <w:t xml:space="preserve"> 磁性能评价</w:t>
      </w:r>
      <w:r>
        <w:rPr>
          <w:rFonts w:hint="eastAsia" w:hAnsi="Times New Roman"/>
          <w:szCs w:val="20"/>
          <w:lang w:eastAsia="zh-CN"/>
        </w:rPr>
        <w:t>法</w:t>
      </w:r>
      <w:r>
        <w:rPr>
          <w:rFonts w:hAnsi="Times New Roman"/>
          <w:szCs w:val="20"/>
        </w:rPr>
        <w:t>参数</w:t>
      </w:r>
    </w:p>
    <w:p w14:paraId="67F308EC">
      <w:pPr>
        <w:widowControl/>
        <w:tabs>
          <w:tab w:val="center" w:pos="4201"/>
          <w:tab w:val="right" w:leader="dot" w:pos="9298"/>
        </w:tabs>
        <w:autoSpaceDE w:val="0"/>
        <w:autoSpaceDN w:val="0"/>
        <w:spacing w:before="156" w:beforeLines="50" w:after="156" w:afterLines="50"/>
        <w:ind w:firstLine="420"/>
        <w:rPr>
          <w:rFonts w:eastAsiaTheme="minorEastAsia"/>
          <w:kern w:val="0"/>
          <w:szCs w:val="21"/>
        </w:rPr>
      </w:pPr>
      <w:r>
        <w:rPr>
          <w:rFonts w:eastAsiaTheme="minorEastAsia"/>
          <w:kern w:val="0"/>
          <w:szCs w:val="21"/>
        </w:rPr>
        <w:t>磁性能评价测量参数的不确度，与制样、仪器类别、溯源和测量过程控制有关。在严格规范控制下，测量不确定度可达到表2中的水平。</w:t>
      </w:r>
    </w:p>
    <w:p w14:paraId="70ADD38B">
      <w:pPr>
        <w:widowControl/>
        <w:tabs>
          <w:tab w:val="center" w:pos="4201"/>
          <w:tab w:val="right" w:leader="dot" w:pos="9298"/>
        </w:tabs>
        <w:autoSpaceDE/>
        <w:autoSpaceDN/>
        <w:adjustRightInd w:val="0"/>
        <w:snapToGrid w:val="0"/>
        <w:spacing w:before="156" w:beforeLines="50" w:after="62" w:afterLines="20"/>
        <w:ind w:firstLine="0"/>
        <w:jc w:val="center"/>
        <w:rPr>
          <w:rFonts w:hint="eastAsia" w:eastAsiaTheme="minorEastAsia"/>
          <w:kern w:val="0"/>
          <w:szCs w:val="21"/>
        </w:rPr>
      </w:pPr>
      <w:r>
        <w:rPr>
          <w:rFonts w:hint="eastAsia" w:ascii="黑体" w:hAnsi="黑体" w:eastAsia="黑体" w:cs="黑体"/>
          <w:kern w:val="0"/>
          <w:szCs w:val="21"/>
        </w:rPr>
        <w:t>表2 磁性能评价测量参数及其</w:t>
      </w:r>
      <w:r>
        <w:rPr>
          <w:rFonts w:hint="eastAsia" w:ascii="黑体" w:hAnsi="黑体" w:eastAsia="黑体" w:cs="黑体"/>
          <w:kern w:val="0"/>
          <w:szCs w:val="21"/>
          <w:lang w:eastAsia="zh-CN"/>
        </w:rPr>
        <w:t>测量不确定度</w:t>
      </w:r>
    </w:p>
    <w:tbl>
      <w:tblPr>
        <w:tblStyle w:val="37"/>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2"/>
        <w:gridCol w:w="1764"/>
        <w:gridCol w:w="1812"/>
        <w:gridCol w:w="1847"/>
        <w:gridCol w:w="1294"/>
        <w:gridCol w:w="1297"/>
      </w:tblGrid>
      <w:tr w14:paraId="45BA7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1" w:type="pct"/>
            <w:vAlign w:val="center"/>
          </w:tcPr>
          <w:p w14:paraId="272D7F84">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评价指标类别</w:t>
            </w:r>
          </w:p>
        </w:tc>
        <w:tc>
          <w:tcPr>
            <w:tcW w:w="922" w:type="pct"/>
            <w:vAlign w:val="center"/>
          </w:tcPr>
          <w:p w14:paraId="2F75A9E9">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晶界</w:t>
            </w:r>
            <w:r>
              <w:rPr>
                <w:rFonts w:ascii="Times New Roman"/>
                <w:snapToGrid w:val="0"/>
                <w:sz w:val="18"/>
                <w:szCs w:val="18"/>
              </w:rPr>
              <w:t>扩散后磁体内禀矫顽力提升幅度δ</w:t>
            </w:r>
          </w:p>
        </w:tc>
        <w:tc>
          <w:tcPr>
            <w:tcW w:w="947" w:type="pct"/>
            <w:vAlign w:val="center"/>
          </w:tcPr>
          <w:p w14:paraId="48FAC736">
            <w:pPr>
              <w:widowControl/>
              <w:tabs>
                <w:tab w:val="center" w:pos="4201"/>
                <w:tab w:val="right" w:leader="dot" w:pos="9298"/>
              </w:tabs>
              <w:autoSpaceDE w:val="0"/>
              <w:autoSpaceDN w:val="0"/>
              <w:adjustRightInd w:val="0"/>
              <w:snapToGrid w:val="0"/>
              <w:jc w:val="center"/>
              <w:rPr>
                <w:rFonts w:ascii="Times New Roman"/>
                <w:sz w:val="18"/>
                <w:szCs w:val="18"/>
              </w:rPr>
            </w:pPr>
            <w:r>
              <w:rPr>
                <w:rFonts w:ascii="Times New Roman"/>
                <w:snapToGrid w:val="0"/>
                <w:sz w:val="18"/>
                <w:szCs w:val="18"/>
              </w:rPr>
              <w:t>磁体内部与整体</w:t>
            </w:r>
            <w:r>
              <w:rPr>
                <w:rFonts w:hint="default" w:ascii="Times New Roman"/>
                <w:snapToGrid w:val="0"/>
                <w:sz w:val="18"/>
                <w:szCs w:val="18"/>
                <w:lang w:eastAsia="zh-CN"/>
              </w:rPr>
              <w:t>内禀矫顽力</w:t>
            </w:r>
            <w:r>
              <w:rPr>
                <w:rFonts w:ascii="Times New Roman"/>
                <w:snapToGrid w:val="0"/>
                <w:sz w:val="18"/>
                <w:szCs w:val="18"/>
              </w:rPr>
              <w:t>的比值</w:t>
            </w:r>
            <w:r>
              <w:rPr>
                <w:rFonts w:hint="default" w:ascii="Times New Roman"/>
                <w:snapToGrid w:val="0"/>
                <w:sz w:val="18"/>
                <w:szCs w:val="18"/>
                <w:lang w:eastAsia="zh-CN"/>
              </w:rPr>
              <w:t>σ</w:t>
            </w:r>
          </w:p>
        </w:tc>
        <w:tc>
          <w:tcPr>
            <w:tcW w:w="965" w:type="pct"/>
            <w:vAlign w:val="center"/>
          </w:tcPr>
          <w:p w14:paraId="363CF933">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snapToGrid w:val="0"/>
                <w:sz w:val="18"/>
                <w:szCs w:val="18"/>
              </w:rPr>
              <w:t>磁体内部与整体</w:t>
            </w:r>
            <w:r>
              <w:rPr>
                <w:rFonts w:hint="default" w:ascii="Times New Roman"/>
                <w:snapToGrid w:val="0"/>
                <w:sz w:val="18"/>
                <w:szCs w:val="18"/>
                <w:lang w:eastAsia="zh-CN"/>
              </w:rPr>
              <w:t>膝点矫顽力</w:t>
            </w:r>
            <w:r>
              <w:rPr>
                <w:rFonts w:ascii="Times New Roman"/>
                <w:snapToGrid w:val="0"/>
                <w:sz w:val="18"/>
                <w:szCs w:val="18"/>
              </w:rPr>
              <w:t>的比值λ</w:t>
            </w:r>
          </w:p>
        </w:tc>
        <w:tc>
          <w:tcPr>
            <w:tcW w:w="676" w:type="pct"/>
            <w:vAlign w:val="center"/>
          </w:tcPr>
          <w:p w14:paraId="585364DE">
            <w:pPr>
              <w:widowControl/>
              <w:tabs>
                <w:tab w:val="center" w:pos="4201"/>
                <w:tab w:val="right" w:leader="dot" w:pos="9298"/>
              </w:tabs>
              <w:autoSpaceDE w:val="0"/>
              <w:autoSpaceDN w:val="0"/>
              <w:adjustRightInd w:val="0"/>
              <w:snapToGrid w:val="0"/>
              <w:jc w:val="center"/>
              <w:rPr>
                <w:rFonts w:hint="default" w:ascii="Times New Roman" w:eastAsia="宋体"/>
                <w:kern w:val="0"/>
                <w:sz w:val="18"/>
                <w:szCs w:val="18"/>
                <w:lang w:val="en-US" w:eastAsia="zh-CN"/>
              </w:rPr>
            </w:pPr>
            <w:r>
              <w:rPr>
                <w:rFonts w:ascii="Times New Roman"/>
                <w:kern w:val="0"/>
                <w:sz w:val="18"/>
                <w:szCs w:val="18"/>
              </w:rPr>
              <w:t>H</w:t>
            </w:r>
            <w:r>
              <w:rPr>
                <w:rFonts w:ascii="Times New Roman"/>
                <w:kern w:val="0"/>
                <w:sz w:val="18"/>
                <w:szCs w:val="18"/>
                <w:vertAlign w:val="subscript"/>
              </w:rPr>
              <w:t>cJ</w:t>
            </w:r>
          </w:p>
        </w:tc>
        <w:tc>
          <w:tcPr>
            <w:tcW w:w="676" w:type="pct"/>
            <w:vAlign w:val="center"/>
          </w:tcPr>
          <w:p w14:paraId="1633F4A4">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hint="default" w:ascii="Times New Roman"/>
                <w:kern w:val="0"/>
                <w:sz w:val="18"/>
                <w:szCs w:val="18"/>
                <w:vertAlign w:val="baseline"/>
                <w:lang w:val="en-US" w:eastAsia="zh-CN"/>
              </w:rPr>
              <w:t>H</w:t>
            </w:r>
            <w:r>
              <w:rPr>
                <w:rFonts w:hint="default" w:ascii="Times New Roman"/>
                <w:kern w:val="0"/>
                <w:sz w:val="18"/>
                <w:szCs w:val="18"/>
                <w:vertAlign w:val="subscript"/>
                <w:lang w:val="en-US" w:eastAsia="zh-CN"/>
              </w:rPr>
              <w:t>k</w:t>
            </w:r>
          </w:p>
        </w:tc>
      </w:tr>
      <w:tr w14:paraId="59CAA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1" w:type="pct"/>
            <w:vAlign w:val="center"/>
          </w:tcPr>
          <w:p w14:paraId="6DFAA5B1">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相对扩展测量不确定度( k=2)</w:t>
            </w:r>
          </w:p>
        </w:tc>
        <w:tc>
          <w:tcPr>
            <w:tcW w:w="922" w:type="pct"/>
            <w:vAlign w:val="center"/>
          </w:tcPr>
          <w:p w14:paraId="2058A013">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w:t>
            </w:r>
          </w:p>
        </w:tc>
        <w:tc>
          <w:tcPr>
            <w:tcW w:w="947" w:type="pct"/>
            <w:vAlign w:val="center"/>
          </w:tcPr>
          <w:p w14:paraId="7C662D80">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w:t>
            </w:r>
          </w:p>
        </w:tc>
        <w:tc>
          <w:tcPr>
            <w:tcW w:w="965" w:type="pct"/>
            <w:vAlign w:val="center"/>
          </w:tcPr>
          <w:p w14:paraId="77C47A5A">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w:t>
            </w:r>
          </w:p>
        </w:tc>
        <w:tc>
          <w:tcPr>
            <w:tcW w:w="676" w:type="pct"/>
            <w:shd w:val="clear" w:color="auto" w:fill="auto"/>
            <w:vAlign w:val="center"/>
          </w:tcPr>
          <w:p w14:paraId="515CED3E">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2.5%</w:t>
            </w:r>
          </w:p>
        </w:tc>
        <w:tc>
          <w:tcPr>
            <w:tcW w:w="676" w:type="pct"/>
            <w:shd w:val="clear" w:color="auto" w:fill="auto"/>
            <w:vAlign w:val="center"/>
          </w:tcPr>
          <w:p w14:paraId="59B21FBF">
            <w:pPr>
              <w:widowControl/>
              <w:tabs>
                <w:tab w:val="center" w:pos="4201"/>
                <w:tab w:val="right" w:leader="dot" w:pos="9298"/>
              </w:tabs>
              <w:autoSpaceDE w:val="0"/>
              <w:autoSpaceDN w:val="0"/>
              <w:adjustRightInd w:val="0"/>
              <w:snapToGrid w:val="0"/>
              <w:jc w:val="center"/>
              <w:rPr>
                <w:rFonts w:hint="default" w:ascii="Times New Roman" w:eastAsia="宋体"/>
                <w:kern w:val="0"/>
                <w:sz w:val="18"/>
                <w:szCs w:val="18"/>
                <w:lang w:val="en-US" w:eastAsia="zh-CN"/>
              </w:rPr>
            </w:pPr>
            <w:r>
              <w:rPr>
                <w:rFonts w:hint="default" w:ascii="Times New Roman"/>
                <w:kern w:val="0"/>
                <w:sz w:val="18"/>
                <w:szCs w:val="18"/>
                <w:lang w:val="en-US" w:eastAsia="zh-CN"/>
              </w:rPr>
              <w:t>3.0%</w:t>
            </w:r>
          </w:p>
        </w:tc>
      </w:tr>
      <w:tr w14:paraId="6BF4F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1" w:type="pct"/>
            <w:vAlign w:val="center"/>
          </w:tcPr>
          <w:p w14:paraId="07C88FFE">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扩展测量不确定度( k=2)</w:t>
            </w:r>
          </w:p>
        </w:tc>
        <w:tc>
          <w:tcPr>
            <w:tcW w:w="922" w:type="pct"/>
            <w:vAlign w:val="center"/>
          </w:tcPr>
          <w:p w14:paraId="03265B80">
            <w:pPr>
              <w:widowControl/>
              <w:tabs>
                <w:tab w:val="center" w:pos="4201"/>
                <w:tab w:val="right" w:leader="dot" w:pos="9298"/>
              </w:tabs>
              <w:autoSpaceDE w:val="0"/>
              <w:autoSpaceDN w:val="0"/>
              <w:adjustRightInd w:val="0"/>
              <w:snapToGrid w:val="0"/>
              <w:ind w:left="90" w:hanging="90" w:hangingChars="50"/>
              <w:jc w:val="center"/>
              <w:rPr>
                <w:rFonts w:ascii="Times New Roman"/>
                <w:kern w:val="0"/>
                <w:sz w:val="18"/>
                <w:szCs w:val="18"/>
              </w:rPr>
            </w:pPr>
            <w:r>
              <w:rPr>
                <w:rFonts w:ascii="Times New Roman"/>
                <w:kern w:val="0"/>
                <w:sz w:val="18"/>
                <w:szCs w:val="18"/>
              </w:rPr>
              <w:t>0.</w:t>
            </w:r>
            <w:r>
              <w:rPr>
                <w:rFonts w:hint="eastAsia"/>
                <w:kern w:val="0"/>
                <w:sz w:val="18"/>
                <w:szCs w:val="18"/>
                <w:lang w:val="en-US" w:eastAsia="zh-CN"/>
              </w:rPr>
              <w:t>5</w:t>
            </w:r>
            <w:r>
              <w:rPr>
                <w:rFonts w:ascii="Times New Roman"/>
                <w:kern w:val="0"/>
                <w:sz w:val="18"/>
                <w:szCs w:val="18"/>
              </w:rPr>
              <w:t xml:space="preserve"> kOe</w:t>
            </w:r>
          </w:p>
        </w:tc>
        <w:tc>
          <w:tcPr>
            <w:tcW w:w="947" w:type="pct"/>
            <w:vAlign w:val="center"/>
          </w:tcPr>
          <w:p w14:paraId="4066AF3C">
            <w:pPr>
              <w:widowControl/>
              <w:tabs>
                <w:tab w:val="center" w:pos="4201"/>
                <w:tab w:val="right" w:leader="dot" w:pos="9298"/>
              </w:tabs>
              <w:autoSpaceDE w:val="0"/>
              <w:autoSpaceDN w:val="0"/>
              <w:adjustRightInd w:val="0"/>
              <w:snapToGrid w:val="0"/>
              <w:ind w:left="90" w:hanging="90" w:hangingChars="50"/>
              <w:jc w:val="center"/>
              <w:rPr>
                <w:rFonts w:hint="default" w:ascii="Times New Roman"/>
                <w:kern w:val="0"/>
                <w:sz w:val="18"/>
                <w:szCs w:val="18"/>
                <w:lang w:val="en-US"/>
              </w:rPr>
            </w:pPr>
            <w:r>
              <w:rPr>
                <w:rFonts w:ascii="Times New Roman"/>
                <w:kern w:val="0"/>
                <w:sz w:val="18"/>
                <w:szCs w:val="18"/>
              </w:rPr>
              <w:t>0.</w:t>
            </w:r>
            <w:r>
              <w:rPr>
                <w:rFonts w:hint="default" w:ascii="Times New Roman"/>
                <w:kern w:val="0"/>
                <w:sz w:val="18"/>
                <w:szCs w:val="18"/>
                <w:lang w:val="en-US" w:eastAsia="zh-CN"/>
              </w:rPr>
              <w:t>5%</w:t>
            </w:r>
          </w:p>
        </w:tc>
        <w:tc>
          <w:tcPr>
            <w:tcW w:w="965" w:type="pct"/>
            <w:vAlign w:val="center"/>
          </w:tcPr>
          <w:p w14:paraId="4BB4B528">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hint="eastAsia"/>
                <w:kern w:val="0"/>
                <w:sz w:val="18"/>
                <w:szCs w:val="18"/>
                <w:lang w:val="en-US" w:eastAsia="zh-CN"/>
              </w:rPr>
              <w:t>1.0</w:t>
            </w:r>
            <w:r>
              <w:rPr>
                <w:rFonts w:ascii="Times New Roman"/>
                <w:kern w:val="0"/>
                <w:sz w:val="18"/>
                <w:szCs w:val="18"/>
              </w:rPr>
              <w:t xml:space="preserve"> %</w:t>
            </w:r>
          </w:p>
        </w:tc>
        <w:tc>
          <w:tcPr>
            <w:tcW w:w="676" w:type="pct"/>
            <w:vAlign w:val="center"/>
          </w:tcPr>
          <w:p w14:paraId="4278E2BA">
            <w:pPr>
              <w:widowControl/>
              <w:tabs>
                <w:tab w:val="center" w:pos="4201"/>
                <w:tab w:val="right" w:leader="dot" w:pos="9298"/>
              </w:tabs>
              <w:autoSpaceDE w:val="0"/>
              <w:autoSpaceDN w:val="0"/>
              <w:adjustRightInd w:val="0"/>
              <w:snapToGrid w:val="0"/>
              <w:jc w:val="center"/>
              <w:rPr>
                <w:rFonts w:ascii="Times New Roman"/>
                <w:kern w:val="0"/>
                <w:sz w:val="18"/>
                <w:szCs w:val="18"/>
              </w:rPr>
            </w:pPr>
            <w:r>
              <w:rPr>
                <w:rFonts w:ascii="Times New Roman"/>
                <w:kern w:val="0"/>
                <w:sz w:val="18"/>
                <w:szCs w:val="18"/>
              </w:rPr>
              <w:t>-</w:t>
            </w:r>
          </w:p>
        </w:tc>
        <w:tc>
          <w:tcPr>
            <w:tcW w:w="676" w:type="pct"/>
            <w:vAlign w:val="center"/>
          </w:tcPr>
          <w:p w14:paraId="07454706">
            <w:pPr>
              <w:widowControl/>
              <w:tabs>
                <w:tab w:val="center" w:pos="4201"/>
                <w:tab w:val="right" w:leader="dot" w:pos="9298"/>
              </w:tabs>
              <w:autoSpaceDE w:val="0"/>
              <w:autoSpaceDN w:val="0"/>
              <w:adjustRightInd w:val="0"/>
              <w:snapToGrid w:val="0"/>
              <w:jc w:val="center"/>
              <w:rPr>
                <w:rFonts w:hint="default" w:ascii="Times New Roman" w:eastAsia="宋体"/>
                <w:kern w:val="0"/>
                <w:sz w:val="18"/>
                <w:szCs w:val="18"/>
                <w:lang w:val="en-US" w:eastAsia="zh-CN"/>
              </w:rPr>
            </w:pPr>
            <w:r>
              <w:rPr>
                <w:rFonts w:hint="default" w:ascii="Times New Roman"/>
                <w:kern w:val="0"/>
                <w:sz w:val="18"/>
                <w:szCs w:val="18"/>
                <w:lang w:val="en-US" w:eastAsia="zh-CN"/>
              </w:rPr>
              <w:t>-</w:t>
            </w:r>
          </w:p>
        </w:tc>
      </w:tr>
      <w:tr w14:paraId="4648F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1" w:type="pct"/>
            <w:vAlign w:val="center"/>
          </w:tcPr>
          <w:p w14:paraId="4E9301A7">
            <w:pPr>
              <w:widowControl/>
              <w:tabs>
                <w:tab w:val="center" w:pos="4201"/>
                <w:tab w:val="right" w:leader="dot" w:pos="9298"/>
              </w:tabs>
              <w:autoSpaceDE w:val="0"/>
              <w:autoSpaceDN w:val="0"/>
              <w:adjustRightInd w:val="0"/>
              <w:snapToGrid w:val="0"/>
              <w:jc w:val="center"/>
              <w:rPr>
                <w:rFonts w:hint="default" w:ascii="Times New Roman" w:eastAsia="宋体"/>
                <w:kern w:val="0"/>
                <w:sz w:val="18"/>
                <w:szCs w:val="18"/>
                <w:lang w:eastAsia="zh-CN"/>
              </w:rPr>
            </w:pPr>
            <w:r>
              <w:rPr>
                <w:rFonts w:hint="default" w:ascii="Times New Roman"/>
                <w:kern w:val="0"/>
                <w:sz w:val="18"/>
                <w:szCs w:val="18"/>
                <w:lang w:eastAsia="zh-CN"/>
              </w:rPr>
              <w:t>备注</w:t>
            </w:r>
          </w:p>
        </w:tc>
        <w:tc>
          <w:tcPr>
            <w:tcW w:w="4188" w:type="pct"/>
            <w:gridSpan w:val="5"/>
            <w:vAlign w:val="center"/>
          </w:tcPr>
          <w:p w14:paraId="21A2A13C">
            <w:pPr>
              <w:widowControl/>
              <w:tabs>
                <w:tab w:val="center" w:pos="4201"/>
                <w:tab w:val="right" w:leader="dot" w:pos="9298"/>
              </w:tabs>
              <w:autoSpaceDE w:val="0"/>
              <w:autoSpaceDN w:val="0"/>
              <w:adjustRightInd w:val="0"/>
              <w:snapToGrid w:val="0"/>
              <w:jc w:val="left"/>
              <w:rPr>
                <w:rFonts w:hint="default" w:ascii="Times New Roman" w:eastAsia="宋体"/>
                <w:kern w:val="0"/>
                <w:sz w:val="18"/>
                <w:szCs w:val="18"/>
                <w:lang w:val="en-US" w:eastAsia="zh-CN"/>
              </w:rPr>
            </w:pPr>
            <w:r>
              <w:rPr>
                <w:rFonts w:hint="default" w:ascii="Times New Roman"/>
                <w:kern w:val="0"/>
                <w:sz w:val="18"/>
                <w:szCs w:val="18"/>
                <w:lang w:val="en-US" w:eastAsia="zh-CN"/>
              </w:rPr>
              <w:t>表中H</w:t>
            </w:r>
            <w:r>
              <w:rPr>
                <w:rFonts w:hint="default" w:ascii="Times New Roman"/>
                <w:kern w:val="0"/>
                <w:sz w:val="18"/>
                <w:szCs w:val="18"/>
                <w:vertAlign w:val="subscript"/>
                <w:lang w:val="en-US" w:eastAsia="zh-CN"/>
              </w:rPr>
              <w:t>k</w:t>
            </w:r>
            <w:r>
              <w:rPr>
                <w:rFonts w:hint="default" w:ascii="Times New Roman"/>
                <w:kern w:val="0"/>
                <w:sz w:val="18"/>
                <w:szCs w:val="18"/>
                <w:lang w:val="en-US" w:eastAsia="zh-CN"/>
              </w:rPr>
              <w:t>和</w:t>
            </w:r>
            <w:r>
              <w:rPr>
                <w:rFonts w:hint="eastAsia"/>
                <w:kern w:val="0"/>
                <w:sz w:val="18"/>
                <w:szCs w:val="18"/>
                <w:lang w:val="en-US" w:eastAsia="zh-CN"/>
              </w:rPr>
              <w:t>λ</w:t>
            </w:r>
            <w:r>
              <w:rPr>
                <w:rFonts w:hint="default" w:ascii="Times New Roman"/>
                <w:kern w:val="0"/>
                <w:sz w:val="18"/>
                <w:szCs w:val="18"/>
                <w:lang w:val="en-US" w:eastAsia="zh-CN"/>
              </w:rPr>
              <w:t>的测量不确定度对应闭路测量</w:t>
            </w:r>
            <w:r>
              <w:rPr>
                <w:rFonts w:hint="eastAsia"/>
                <w:color w:val="000000" w:themeColor="text1"/>
                <w:sz w:val="18"/>
                <w:szCs w:val="18"/>
                <w:lang w:eastAsia="zh-CN"/>
                <w14:textFill>
                  <w14:solidFill>
                    <w14:schemeClr w14:val="tx1"/>
                  </w14:solidFill>
                </w14:textFill>
              </w:rPr>
              <w:t>方法；如采用</w:t>
            </w:r>
            <w:r>
              <w:rPr>
                <w:rFonts w:hAnsi="Times New Roman" w:cs="Times New Roman"/>
                <w:color w:val="000000" w:themeColor="text1"/>
                <w:sz w:val="18"/>
                <w:szCs w:val="18"/>
                <w14:textFill>
                  <w14:solidFill>
                    <w14:schemeClr w14:val="tx1"/>
                  </w14:solidFill>
                </w14:textFill>
              </w:rPr>
              <w:t>G</w:t>
            </w:r>
            <w:r>
              <w:rPr>
                <w:rFonts w:hAnsi="Times New Roman" w:cs="Times New Roman"/>
                <w:sz w:val="18"/>
                <w:szCs w:val="18"/>
              </w:rPr>
              <w:t>B/T 29628</w:t>
            </w:r>
            <w:r>
              <w:rPr>
                <w:rFonts w:hint="default" w:hAnsi="Times New Roman" w:cs="Times New Roman"/>
                <w:sz w:val="18"/>
                <w:szCs w:val="18"/>
                <w:lang w:eastAsia="zh-CN"/>
              </w:rPr>
              <w:t>开路方法，不确定度比较大</w:t>
            </w:r>
            <w:r>
              <w:rPr>
                <w:rFonts w:hint="eastAsia"/>
                <w:color w:val="000000" w:themeColor="text1"/>
                <w:sz w:val="18"/>
                <w:szCs w:val="18"/>
                <w:lang w:eastAsia="zh-CN"/>
                <w14:textFill>
                  <w14:solidFill>
                    <w14:schemeClr w14:val="tx1"/>
                  </w14:solidFill>
                </w14:textFill>
              </w:rPr>
              <w:t>。</w:t>
            </w:r>
          </w:p>
        </w:tc>
      </w:tr>
    </w:tbl>
    <w:p w14:paraId="77A9223A">
      <w:pPr>
        <w:pStyle w:val="44"/>
        <w:tabs>
          <w:tab w:val="center" w:pos="4201"/>
          <w:tab w:val="right" w:leader="dot" w:pos="9298"/>
        </w:tabs>
        <w:autoSpaceDE w:val="0"/>
        <w:autoSpaceDN w:val="0"/>
        <w:spacing w:before="156" w:beforeLines="-2147483648" w:after="156"/>
        <w:ind w:left="0"/>
        <w:rPr>
          <w:rFonts w:hAnsi="Times New Roman"/>
          <w:szCs w:val="20"/>
        </w:rPr>
      </w:pPr>
      <w:r>
        <w:rPr>
          <w:rFonts w:hAnsi="Times New Roman"/>
          <w:szCs w:val="20"/>
        </w:rPr>
        <w:t>元素含量评价法参数</w:t>
      </w:r>
    </w:p>
    <w:p w14:paraId="0CA48C80">
      <w:pPr>
        <w:widowControl/>
        <w:tabs>
          <w:tab w:val="center" w:pos="4201"/>
          <w:tab w:val="right" w:leader="dot" w:pos="9298"/>
        </w:tabs>
        <w:autoSpaceDE w:val="0"/>
        <w:autoSpaceDN w:val="0"/>
        <w:spacing w:before="156" w:beforeLines="50" w:after="156" w:afterLines="50"/>
        <w:ind w:firstLine="420" w:firstLineChars="200"/>
        <w:rPr>
          <w:rFonts w:hint="default" w:ascii="Times New Roman" w:hAnsi="Times New Roman" w:cs="Times New Roman" w:eastAsiaTheme="minorEastAsia"/>
          <w:kern w:val="0"/>
          <w:szCs w:val="21"/>
        </w:rPr>
      </w:pPr>
      <w:r>
        <w:rPr>
          <w:rFonts w:eastAsiaTheme="minorEastAsia"/>
          <w:kern w:val="0"/>
          <w:szCs w:val="21"/>
        </w:rPr>
        <w:t>元素含量评价法中深度和扩散元素含量的测量不确定度，与样品加工、样品尺寸测量、X射线荧光光谱仪校正过程以及实际测量过程有关。在严格规范控制下，</w:t>
      </w:r>
      <w:r>
        <w:rPr>
          <w:rFonts w:hint="eastAsia" w:eastAsiaTheme="minorEastAsia"/>
          <w:kern w:val="0"/>
          <w:szCs w:val="21"/>
          <w:lang w:eastAsia="zh-CN"/>
        </w:rPr>
        <w:t>重复测</w:t>
      </w:r>
      <w:r>
        <w:rPr>
          <w:rFonts w:hint="eastAsia" w:eastAsiaTheme="minorEastAsia"/>
          <w:kern w:val="0"/>
          <w:szCs w:val="21"/>
          <w:lang w:val="en-US" w:eastAsia="zh-CN"/>
        </w:rPr>
        <w:t>3次取平均值的</w:t>
      </w:r>
      <w:r>
        <w:rPr>
          <w:rFonts w:eastAsiaTheme="minorEastAsia"/>
          <w:kern w:val="0"/>
          <w:szCs w:val="21"/>
        </w:rPr>
        <w:t>测量不确定度可达到表</w:t>
      </w:r>
      <w:r>
        <w:rPr>
          <w:rFonts w:hint="eastAsia" w:eastAsiaTheme="minorEastAsia"/>
          <w:kern w:val="0"/>
          <w:szCs w:val="21"/>
        </w:rPr>
        <w:t>3</w:t>
      </w:r>
      <w:r>
        <w:rPr>
          <w:rFonts w:eastAsiaTheme="minorEastAsia"/>
          <w:kern w:val="0"/>
          <w:szCs w:val="21"/>
        </w:rPr>
        <w:t>中的水平。</w:t>
      </w:r>
    </w:p>
    <w:p w14:paraId="7FBD78BF">
      <w:pPr>
        <w:widowControl/>
        <w:tabs>
          <w:tab w:val="center" w:pos="4201"/>
          <w:tab w:val="right" w:leader="dot" w:pos="9298"/>
        </w:tabs>
        <w:autoSpaceDE w:val="0"/>
        <w:autoSpaceDN w:val="0"/>
        <w:adjustRightInd w:val="0"/>
        <w:snapToGrid w:val="0"/>
        <w:spacing w:before="156" w:beforeLines="50" w:after="62" w:afterLines="20"/>
        <w:jc w:val="center"/>
        <w:rPr>
          <w:rFonts w:hint="eastAsia" w:ascii="黑体" w:hAnsi="黑体" w:eastAsia="黑体" w:cs="黑体"/>
          <w:kern w:val="0"/>
          <w:szCs w:val="21"/>
        </w:rPr>
      </w:pPr>
      <w:r>
        <w:rPr>
          <w:rFonts w:hint="eastAsia" w:ascii="黑体" w:hAnsi="黑体" w:eastAsia="黑体" w:cs="黑体"/>
          <w:kern w:val="0"/>
          <w:szCs w:val="21"/>
        </w:rPr>
        <w:t>表3 元素分析评价法主要参数及其</w:t>
      </w:r>
      <w:r>
        <w:rPr>
          <w:rFonts w:hint="eastAsia" w:ascii="黑体" w:hAnsi="黑体" w:eastAsia="黑体" w:cs="黑体"/>
          <w:kern w:val="0"/>
          <w:szCs w:val="21"/>
          <w:lang w:eastAsia="zh-CN"/>
        </w:rPr>
        <w:t>测量不确定度</w:t>
      </w:r>
    </w:p>
    <w:tbl>
      <w:tblPr>
        <w:tblStyle w:val="37"/>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8"/>
        <w:gridCol w:w="1406"/>
        <w:gridCol w:w="1438"/>
        <w:gridCol w:w="1331"/>
        <w:gridCol w:w="1402"/>
        <w:gridCol w:w="1456"/>
        <w:gridCol w:w="1351"/>
      </w:tblGrid>
      <w:tr w14:paraId="7507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6" w:type="pct"/>
            <w:vMerge w:val="restart"/>
            <w:vAlign w:val="center"/>
          </w:tcPr>
          <w:p w14:paraId="13E54AC9">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仪器及样品类别</w:t>
            </w:r>
          </w:p>
        </w:tc>
        <w:tc>
          <w:tcPr>
            <w:tcW w:w="735" w:type="pct"/>
            <w:vAlign w:val="center"/>
          </w:tcPr>
          <w:p w14:paraId="7E58452B">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测量参数</w:t>
            </w:r>
          </w:p>
        </w:tc>
        <w:tc>
          <w:tcPr>
            <w:tcW w:w="2181" w:type="pct"/>
            <w:gridSpan w:val="3"/>
            <w:vAlign w:val="center"/>
          </w:tcPr>
          <w:p w14:paraId="54E4E4B9">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Dy和Tb元素含量 γ(质量分数)</w:t>
            </w:r>
          </w:p>
          <w:p w14:paraId="563BE58D">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w:t>
            </w:r>
          </w:p>
        </w:tc>
        <w:tc>
          <w:tcPr>
            <w:tcW w:w="1467" w:type="pct"/>
            <w:gridSpan w:val="2"/>
            <w:vAlign w:val="center"/>
          </w:tcPr>
          <w:p w14:paraId="18926117">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深度h</w:t>
            </w:r>
          </w:p>
          <w:p w14:paraId="76F3AA16">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μm</w:t>
            </w:r>
          </w:p>
        </w:tc>
      </w:tr>
      <w:tr w14:paraId="5A50E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6" w:type="pct"/>
            <w:vMerge w:val="continue"/>
            <w:vAlign w:val="center"/>
          </w:tcPr>
          <w:p w14:paraId="6A88995E">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p>
        </w:tc>
        <w:tc>
          <w:tcPr>
            <w:tcW w:w="735" w:type="pct"/>
            <w:vAlign w:val="center"/>
          </w:tcPr>
          <w:p w14:paraId="6D704A8F">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测量值范围</w:t>
            </w:r>
          </w:p>
        </w:tc>
        <w:tc>
          <w:tcPr>
            <w:tcW w:w="752" w:type="pct"/>
            <w:vAlign w:val="center"/>
          </w:tcPr>
          <w:p w14:paraId="521FADA5">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0.10&lt;γ</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0.50</w:t>
            </w:r>
          </w:p>
        </w:tc>
        <w:tc>
          <w:tcPr>
            <w:tcW w:w="696" w:type="pct"/>
            <w:vAlign w:val="center"/>
          </w:tcPr>
          <w:p w14:paraId="2FA2B4F4">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0.50&lt;γ</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2.0</w:t>
            </w:r>
          </w:p>
        </w:tc>
        <w:tc>
          <w:tcPr>
            <w:tcW w:w="732" w:type="pct"/>
            <w:vAlign w:val="center"/>
          </w:tcPr>
          <w:p w14:paraId="7FD8A953">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2.0&lt;γ</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12</w:t>
            </w:r>
          </w:p>
        </w:tc>
        <w:tc>
          <w:tcPr>
            <w:tcW w:w="761" w:type="pct"/>
            <w:vAlign w:val="center"/>
          </w:tcPr>
          <w:p w14:paraId="150BB7A4">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0&lt;h</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w:t>
            </w:r>
            <w:r>
              <w:rPr>
                <w:rFonts w:hint="default" w:ascii="Times New Roman" w:eastAsiaTheme="minorEastAsia"/>
                <w:kern w:val="0"/>
                <w:sz w:val="18"/>
                <w:szCs w:val="18"/>
                <w:lang w:val="en-US" w:eastAsia="zh-CN"/>
              </w:rPr>
              <w:t xml:space="preserve"> 2</w:t>
            </w:r>
            <w:r>
              <w:rPr>
                <w:rFonts w:ascii="Times New Roman" w:eastAsiaTheme="minorEastAsia"/>
                <w:kern w:val="0"/>
                <w:sz w:val="18"/>
                <w:szCs w:val="18"/>
              </w:rPr>
              <w:t>00</w:t>
            </w:r>
          </w:p>
        </w:tc>
        <w:tc>
          <w:tcPr>
            <w:tcW w:w="706" w:type="pct"/>
            <w:vAlign w:val="center"/>
          </w:tcPr>
          <w:p w14:paraId="4886BE1C">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hint="default" w:ascii="Times New Roman" w:eastAsiaTheme="minorEastAsia"/>
                <w:kern w:val="0"/>
                <w:sz w:val="18"/>
                <w:szCs w:val="18"/>
                <w:lang w:val="en-US" w:eastAsia="zh-CN"/>
              </w:rPr>
              <w:t>2</w:t>
            </w:r>
            <w:r>
              <w:rPr>
                <w:rFonts w:ascii="Times New Roman" w:eastAsiaTheme="minorEastAsia"/>
                <w:kern w:val="0"/>
                <w:sz w:val="18"/>
                <w:szCs w:val="18"/>
              </w:rPr>
              <w:t>00&lt;h</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w:t>
            </w:r>
            <w:r>
              <w:rPr>
                <w:rFonts w:hint="default" w:ascii="Times New Roman" w:eastAsiaTheme="minorEastAsia"/>
                <w:kern w:val="0"/>
                <w:sz w:val="18"/>
                <w:szCs w:val="18"/>
                <w:lang w:val="en-US" w:eastAsia="zh-CN"/>
              </w:rPr>
              <w:t xml:space="preserve"> </w:t>
            </w:r>
            <w:r>
              <w:rPr>
                <w:rFonts w:ascii="Times New Roman" w:eastAsiaTheme="minorEastAsia"/>
                <w:kern w:val="0"/>
                <w:sz w:val="18"/>
                <w:szCs w:val="18"/>
              </w:rPr>
              <w:t>3000</w:t>
            </w:r>
          </w:p>
        </w:tc>
      </w:tr>
      <w:tr w14:paraId="1983C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6" w:type="pct"/>
            <w:vAlign w:val="center"/>
          </w:tcPr>
          <w:p w14:paraId="30ADD83D">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波长型</w:t>
            </w:r>
          </w:p>
          <w:p w14:paraId="21B5FD82">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A类样品</w:t>
            </w:r>
          </w:p>
        </w:tc>
        <w:tc>
          <w:tcPr>
            <w:tcW w:w="735" w:type="pct"/>
            <w:vAlign w:val="center"/>
          </w:tcPr>
          <w:p w14:paraId="26DFE1F1">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扩展测量不确定度 (k=2)</w:t>
            </w:r>
          </w:p>
        </w:tc>
        <w:tc>
          <w:tcPr>
            <w:tcW w:w="752" w:type="pct"/>
            <w:vAlign w:val="center"/>
          </w:tcPr>
          <w:p w14:paraId="4063D78B">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0.08</w:t>
            </w:r>
          </w:p>
        </w:tc>
        <w:tc>
          <w:tcPr>
            <w:tcW w:w="696" w:type="pct"/>
            <w:vAlign w:val="center"/>
          </w:tcPr>
          <w:p w14:paraId="6F84365D">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0.15</w:t>
            </w:r>
          </w:p>
        </w:tc>
        <w:tc>
          <w:tcPr>
            <w:tcW w:w="732" w:type="pct"/>
            <w:vAlign w:val="center"/>
          </w:tcPr>
          <w:p w14:paraId="2B1ED3F7">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0.30</w:t>
            </w:r>
          </w:p>
        </w:tc>
        <w:tc>
          <w:tcPr>
            <w:tcW w:w="761" w:type="pct"/>
            <w:vAlign w:val="center"/>
          </w:tcPr>
          <w:p w14:paraId="4C2DDC55">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5</w:t>
            </w:r>
          </w:p>
        </w:tc>
        <w:tc>
          <w:tcPr>
            <w:tcW w:w="706" w:type="pct"/>
            <w:vAlign w:val="center"/>
          </w:tcPr>
          <w:p w14:paraId="5E50AB3D">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5</w:t>
            </w:r>
          </w:p>
        </w:tc>
      </w:tr>
      <w:tr w14:paraId="7A0A1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6" w:type="pct"/>
            <w:vAlign w:val="center"/>
          </w:tcPr>
          <w:p w14:paraId="208EDEFF">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能量型</w:t>
            </w:r>
          </w:p>
          <w:p w14:paraId="6D25BF46">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B类样品</w:t>
            </w:r>
          </w:p>
        </w:tc>
        <w:tc>
          <w:tcPr>
            <w:tcW w:w="735" w:type="pct"/>
            <w:vAlign w:val="center"/>
          </w:tcPr>
          <w:p w14:paraId="315D438D">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扩展测量不确定度  (k=2)</w:t>
            </w:r>
          </w:p>
        </w:tc>
        <w:tc>
          <w:tcPr>
            <w:tcW w:w="752" w:type="pct"/>
            <w:vAlign w:val="center"/>
          </w:tcPr>
          <w:p w14:paraId="32408692">
            <w:pPr>
              <w:widowControl/>
              <w:tabs>
                <w:tab w:val="center" w:pos="4201"/>
                <w:tab w:val="right" w:leader="dot" w:pos="9298"/>
              </w:tabs>
              <w:autoSpaceDE w:val="0"/>
              <w:autoSpaceDN w:val="0"/>
              <w:adjustRightInd w:val="0"/>
              <w:snapToGrid w:val="0"/>
              <w:jc w:val="center"/>
              <w:rPr>
                <w:rFonts w:hint="default" w:ascii="Times New Roman" w:eastAsiaTheme="minorEastAsia"/>
                <w:kern w:val="0"/>
                <w:sz w:val="18"/>
                <w:szCs w:val="18"/>
                <w:lang w:val="en-US" w:eastAsia="zh-CN"/>
              </w:rPr>
            </w:pPr>
            <w:r>
              <w:rPr>
                <w:rFonts w:ascii="Times New Roman" w:eastAsiaTheme="minorEastAsia"/>
                <w:kern w:val="0"/>
                <w:sz w:val="18"/>
                <w:szCs w:val="18"/>
              </w:rPr>
              <w:t>0.</w:t>
            </w:r>
            <w:r>
              <w:rPr>
                <w:rFonts w:hint="default" w:ascii="Times New Roman" w:eastAsiaTheme="minorEastAsia"/>
                <w:kern w:val="0"/>
                <w:sz w:val="18"/>
                <w:szCs w:val="18"/>
                <w:lang w:val="en-US" w:eastAsia="zh-CN"/>
              </w:rPr>
              <w:t>15</w:t>
            </w:r>
          </w:p>
        </w:tc>
        <w:tc>
          <w:tcPr>
            <w:tcW w:w="696" w:type="pct"/>
            <w:vAlign w:val="center"/>
          </w:tcPr>
          <w:p w14:paraId="783330A7">
            <w:pPr>
              <w:widowControl/>
              <w:tabs>
                <w:tab w:val="center" w:pos="4201"/>
                <w:tab w:val="right" w:leader="dot" w:pos="9298"/>
              </w:tabs>
              <w:autoSpaceDE w:val="0"/>
              <w:autoSpaceDN w:val="0"/>
              <w:adjustRightInd w:val="0"/>
              <w:snapToGrid w:val="0"/>
              <w:jc w:val="center"/>
              <w:rPr>
                <w:rFonts w:hint="default" w:ascii="Times New Roman" w:eastAsiaTheme="minorEastAsia"/>
                <w:kern w:val="0"/>
                <w:sz w:val="18"/>
                <w:szCs w:val="18"/>
                <w:lang w:val="en-US" w:eastAsia="zh-CN"/>
              </w:rPr>
            </w:pPr>
            <w:r>
              <w:rPr>
                <w:rFonts w:hint="default" w:ascii="Times New Roman" w:eastAsiaTheme="minorEastAsia"/>
                <w:kern w:val="0"/>
                <w:sz w:val="18"/>
                <w:szCs w:val="18"/>
                <w:lang w:val="en-US" w:eastAsia="zh-CN"/>
              </w:rPr>
              <w:t>0.30</w:t>
            </w:r>
          </w:p>
        </w:tc>
        <w:tc>
          <w:tcPr>
            <w:tcW w:w="732" w:type="pct"/>
            <w:vAlign w:val="center"/>
          </w:tcPr>
          <w:p w14:paraId="339AD952">
            <w:pPr>
              <w:widowControl/>
              <w:tabs>
                <w:tab w:val="center" w:pos="4201"/>
                <w:tab w:val="right" w:leader="dot" w:pos="9298"/>
              </w:tabs>
              <w:autoSpaceDE w:val="0"/>
              <w:autoSpaceDN w:val="0"/>
              <w:adjustRightInd w:val="0"/>
              <w:snapToGrid w:val="0"/>
              <w:jc w:val="center"/>
              <w:rPr>
                <w:rFonts w:hint="default" w:ascii="Times New Roman" w:eastAsiaTheme="minorEastAsia"/>
                <w:kern w:val="0"/>
                <w:sz w:val="18"/>
                <w:szCs w:val="18"/>
                <w:lang w:val="en-US" w:eastAsia="zh-CN"/>
              </w:rPr>
            </w:pPr>
            <w:r>
              <w:rPr>
                <w:rFonts w:ascii="Times New Roman" w:eastAsiaTheme="minorEastAsia"/>
                <w:kern w:val="0"/>
                <w:sz w:val="18"/>
                <w:szCs w:val="18"/>
              </w:rPr>
              <w:t>0.</w:t>
            </w:r>
            <w:r>
              <w:rPr>
                <w:rFonts w:hint="default" w:ascii="Times New Roman" w:eastAsiaTheme="minorEastAsia"/>
                <w:kern w:val="0"/>
                <w:sz w:val="18"/>
                <w:szCs w:val="18"/>
                <w:lang w:val="en-US" w:eastAsia="zh-CN"/>
              </w:rPr>
              <w:t>50</w:t>
            </w:r>
          </w:p>
        </w:tc>
        <w:tc>
          <w:tcPr>
            <w:tcW w:w="761" w:type="pct"/>
            <w:vAlign w:val="center"/>
          </w:tcPr>
          <w:p w14:paraId="559B8A6E">
            <w:pPr>
              <w:widowControl/>
              <w:tabs>
                <w:tab w:val="center" w:pos="4201"/>
                <w:tab w:val="right" w:leader="dot" w:pos="9298"/>
              </w:tabs>
              <w:autoSpaceDE w:val="0"/>
              <w:autoSpaceDN w:val="0"/>
              <w:adjustRightInd w:val="0"/>
              <w:snapToGrid w:val="0"/>
              <w:jc w:val="center"/>
              <w:rPr>
                <w:rFonts w:ascii="Times New Roman" w:eastAsiaTheme="minorEastAsia"/>
                <w:kern w:val="0"/>
                <w:sz w:val="18"/>
                <w:szCs w:val="18"/>
              </w:rPr>
            </w:pPr>
            <w:r>
              <w:rPr>
                <w:rFonts w:ascii="Times New Roman" w:eastAsiaTheme="minorEastAsia"/>
                <w:kern w:val="0"/>
                <w:sz w:val="18"/>
                <w:szCs w:val="18"/>
              </w:rPr>
              <w:t>10</w:t>
            </w:r>
          </w:p>
        </w:tc>
        <w:tc>
          <w:tcPr>
            <w:tcW w:w="706" w:type="pct"/>
            <w:vAlign w:val="center"/>
          </w:tcPr>
          <w:p w14:paraId="37BE9763">
            <w:pPr>
              <w:widowControl/>
              <w:tabs>
                <w:tab w:val="center" w:pos="4201"/>
                <w:tab w:val="right" w:leader="dot" w:pos="9298"/>
              </w:tabs>
              <w:autoSpaceDE w:val="0"/>
              <w:autoSpaceDN w:val="0"/>
              <w:adjustRightInd w:val="0"/>
              <w:snapToGrid w:val="0"/>
              <w:jc w:val="center"/>
              <w:rPr>
                <w:rFonts w:hint="default" w:ascii="Times New Roman" w:eastAsiaTheme="minorEastAsia"/>
                <w:kern w:val="0"/>
                <w:sz w:val="18"/>
                <w:szCs w:val="18"/>
                <w:lang w:eastAsia="zh-CN"/>
              </w:rPr>
            </w:pPr>
            <w:r>
              <w:rPr>
                <w:rFonts w:hint="default" w:ascii="Times New Roman" w:eastAsiaTheme="minorEastAsia"/>
                <w:kern w:val="0"/>
                <w:sz w:val="18"/>
                <w:szCs w:val="18"/>
                <w:lang w:val="en-US" w:eastAsia="zh-CN"/>
              </w:rPr>
              <w:t>/</w:t>
            </w:r>
          </w:p>
        </w:tc>
      </w:tr>
    </w:tbl>
    <w:p w14:paraId="00375FD8">
      <w:pPr>
        <w:pStyle w:val="48"/>
        <w:numPr>
          <w:ilvl w:val="0"/>
          <w:numId w:val="0"/>
        </w:numPr>
        <w:spacing w:before="312" w:after="312"/>
        <w:rPr>
          <w:szCs w:val="21"/>
        </w:rPr>
      </w:pPr>
      <w:r>
        <w:rPr>
          <w:rFonts w:hint="eastAsia"/>
          <w:szCs w:val="21"/>
        </w:rPr>
        <w:t xml:space="preserve">7  </w:t>
      </w:r>
      <w:r>
        <w:rPr>
          <w:szCs w:val="21"/>
        </w:rPr>
        <w:t>试验报告</w:t>
      </w:r>
    </w:p>
    <w:p w14:paraId="358167AF">
      <w:pPr>
        <w:widowControl/>
        <w:ind w:firstLine="420" w:firstLineChars="200"/>
        <w:rPr>
          <w:rFonts w:hint="eastAsia" w:ascii="宋体" w:hAnsi="宋体" w:cs="宋体"/>
          <w:kern w:val="0"/>
          <w:szCs w:val="20"/>
        </w:rPr>
      </w:pPr>
      <w:r>
        <w:rPr>
          <w:rFonts w:hint="eastAsia" w:ascii="宋体" w:hAnsi="宋体" w:cs="宋体"/>
          <w:kern w:val="0"/>
          <w:szCs w:val="21"/>
        </w:rPr>
        <w:t>试验报告应包括下列内容：</w:t>
      </w:r>
    </w:p>
    <w:p w14:paraId="138B5DE1">
      <w:pPr>
        <w:ind w:firstLine="420" w:firstLineChars="200"/>
        <w:textAlignment w:val="baseline"/>
        <w:rPr>
          <w:szCs w:val="22"/>
        </w:rPr>
      </w:pPr>
      <w:r>
        <w:rPr>
          <w:kern w:val="0"/>
          <w:szCs w:val="21"/>
        </w:rPr>
        <w:t>a）样品</w:t>
      </w:r>
      <w:r>
        <w:rPr>
          <w:szCs w:val="22"/>
        </w:rPr>
        <w:t>来源、种类、标识；</w:t>
      </w:r>
    </w:p>
    <w:p w14:paraId="3955CD61">
      <w:pPr>
        <w:numPr>
          <w:ilvl w:val="1"/>
          <w:numId w:val="0"/>
        </w:numPr>
        <w:ind w:firstLine="420" w:firstLineChars="200"/>
        <w:textAlignment w:val="baseline"/>
        <w:rPr>
          <w:kern w:val="0"/>
          <w:szCs w:val="21"/>
        </w:rPr>
      </w:pPr>
      <w:r>
        <w:rPr>
          <w:kern w:val="0"/>
          <w:szCs w:val="21"/>
        </w:rPr>
        <w:t>b）试样尺寸及数量；</w:t>
      </w:r>
    </w:p>
    <w:p w14:paraId="32A471FB">
      <w:pPr>
        <w:numPr>
          <w:ilvl w:val="1"/>
          <w:numId w:val="0"/>
        </w:numPr>
        <w:ind w:firstLine="420" w:firstLineChars="200"/>
        <w:textAlignment w:val="baseline"/>
        <w:rPr>
          <w:kern w:val="0"/>
          <w:szCs w:val="21"/>
        </w:rPr>
      </w:pPr>
      <w:r>
        <w:rPr>
          <w:kern w:val="0"/>
          <w:szCs w:val="21"/>
        </w:rPr>
        <w:t>c）仪器型号及测量参数（管电压、管电流、测量光斑、测量时间等）；</w:t>
      </w:r>
    </w:p>
    <w:p w14:paraId="54A20952">
      <w:pPr>
        <w:numPr>
          <w:ilvl w:val="1"/>
          <w:numId w:val="0"/>
        </w:numPr>
        <w:ind w:firstLine="420" w:firstLineChars="200"/>
        <w:textAlignment w:val="baseline"/>
        <w:rPr>
          <w:kern w:val="0"/>
          <w:szCs w:val="21"/>
        </w:rPr>
      </w:pPr>
      <w:r>
        <w:rPr>
          <w:kern w:val="0"/>
          <w:szCs w:val="21"/>
        </w:rPr>
        <w:t>d）必要时对检测</w:t>
      </w:r>
      <w:r>
        <w:rPr>
          <w:szCs w:val="21"/>
        </w:rPr>
        <w:t>过程的说明(包括样品加工及表面处理方式，测量点及分布、</w:t>
      </w:r>
      <w:r>
        <w:rPr>
          <w:kern w:val="0"/>
          <w:szCs w:val="21"/>
        </w:rPr>
        <w:t>重复测量次数</w:t>
      </w:r>
      <w:r>
        <w:rPr>
          <w:szCs w:val="21"/>
        </w:rPr>
        <w:t>等)；</w:t>
      </w:r>
    </w:p>
    <w:p w14:paraId="79FF043A">
      <w:pPr>
        <w:numPr>
          <w:ilvl w:val="1"/>
          <w:numId w:val="0"/>
        </w:numPr>
        <w:ind w:firstLine="420" w:firstLineChars="200"/>
        <w:textAlignment w:val="baseline"/>
        <w:rPr>
          <w:szCs w:val="21"/>
        </w:rPr>
      </w:pPr>
      <w:r>
        <w:rPr>
          <w:kern w:val="0"/>
          <w:szCs w:val="21"/>
        </w:rPr>
        <w:t>e）本文件编号；</w:t>
      </w:r>
    </w:p>
    <w:p w14:paraId="03306BB4">
      <w:pPr>
        <w:numPr>
          <w:ilvl w:val="1"/>
          <w:numId w:val="0"/>
        </w:numPr>
        <w:ind w:firstLine="420" w:firstLineChars="200"/>
        <w:textAlignment w:val="baseline"/>
        <w:rPr>
          <w:szCs w:val="21"/>
        </w:rPr>
      </w:pPr>
      <w:r>
        <w:rPr>
          <w:szCs w:val="21"/>
        </w:rPr>
        <w:t>f</w:t>
      </w:r>
      <w:r>
        <w:rPr>
          <w:kern w:val="0"/>
          <w:szCs w:val="21"/>
        </w:rPr>
        <w:t>）</w:t>
      </w:r>
      <w:r>
        <w:rPr>
          <w:szCs w:val="21"/>
        </w:rPr>
        <w:t>测量结果</w:t>
      </w:r>
      <w:r>
        <w:rPr>
          <w:rFonts w:hint="eastAsia"/>
          <w:szCs w:val="21"/>
          <w:lang w:eastAsia="zh-CN"/>
        </w:rPr>
        <w:t>（包括磁性能、扩散元素含量及分布等）</w:t>
      </w:r>
      <w:r>
        <w:rPr>
          <w:szCs w:val="21"/>
        </w:rPr>
        <w:t>；</w:t>
      </w:r>
    </w:p>
    <w:p w14:paraId="56D4917D">
      <w:pPr>
        <w:pStyle w:val="26"/>
        <w:rPr>
          <w:rFonts w:ascii="Times New Roman"/>
        </w:rPr>
      </w:pPr>
      <w:r>
        <w:rPr>
          <w:rFonts w:ascii="Times New Roman"/>
          <w:szCs w:val="21"/>
        </w:rPr>
        <w:t>g）检测</w:t>
      </w:r>
      <w:r>
        <w:rPr>
          <w:rFonts w:ascii="Times New Roman"/>
        </w:rPr>
        <w:t>日期；</w:t>
      </w:r>
    </w:p>
    <w:p w14:paraId="620EF462">
      <w:pPr>
        <w:pStyle w:val="26"/>
        <w:adjustRightInd w:val="0"/>
        <w:snapToGrid w:val="0"/>
        <w:rPr>
          <w:rFonts w:ascii="Times New Roman"/>
        </w:rPr>
      </w:pPr>
      <w:r>
        <w:rPr>
          <w:rFonts w:ascii="Times New Roman"/>
        </w:rPr>
        <w:t>h</w:t>
      </w:r>
      <w:r>
        <w:rPr>
          <w:rFonts w:ascii="Times New Roman"/>
          <w:szCs w:val="21"/>
        </w:rPr>
        <w:t>）</w:t>
      </w:r>
      <w:r>
        <w:rPr>
          <w:rFonts w:ascii="Times New Roman"/>
        </w:rPr>
        <w:t>检测人及校核人；</w:t>
      </w:r>
    </w:p>
    <w:p w14:paraId="1E1F0DA4">
      <w:pPr>
        <w:pStyle w:val="26"/>
        <w:adjustRightInd w:val="0"/>
        <w:snapToGrid w:val="0"/>
        <w:rPr>
          <w:rFonts w:hint="eastAsia" w:hAnsi="宋体" w:cs="宋体"/>
        </w:rPr>
      </w:pPr>
      <w:r>
        <w:rPr>
          <w:rFonts w:ascii="Times New Roman"/>
        </w:rPr>
        <w:t>i</w:t>
      </w:r>
      <w:r>
        <w:rPr>
          <w:rFonts w:ascii="Times New Roman"/>
          <w:szCs w:val="21"/>
        </w:rPr>
        <w:t>）</w:t>
      </w:r>
      <w:r>
        <w:rPr>
          <w:rFonts w:ascii="Times New Roman"/>
        </w:rPr>
        <w:t>检测机构名称。</w:t>
      </w:r>
    </w:p>
    <w:p w14:paraId="4D4EACA3">
      <w:pPr>
        <w:jc w:val="left"/>
        <w:rPr>
          <w:rFonts w:hint="eastAsia" w:ascii="黑体" w:hAnsi="黑体" w:eastAsia="黑体"/>
          <w:szCs w:val="21"/>
        </w:rPr>
      </w:pPr>
      <w:r>
        <w:rPr>
          <w:rFonts w:ascii="黑体" w:hAnsi="黑体" w:eastAsia="黑体"/>
          <w:szCs w:val="21"/>
        </w:rPr>
        <w:br w:type="page"/>
      </w:r>
    </w:p>
    <w:p w14:paraId="49FEEFFB">
      <w:pPr>
        <w:spacing w:line="360" w:lineRule="auto"/>
        <w:jc w:val="center"/>
        <w:outlineLvl w:val="0"/>
        <w:rPr>
          <w:rFonts w:hint="eastAsia" w:ascii="黑体" w:hAnsi="宋体" w:eastAsia="黑体" w:cs="黑体"/>
          <w:szCs w:val="21"/>
        </w:rPr>
      </w:pPr>
      <w:r>
        <w:rPr>
          <w:rFonts w:hint="eastAsia" w:ascii="黑体" w:hAnsi="宋体" w:eastAsia="黑体" w:cs="黑体"/>
          <w:szCs w:val="21"/>
          <w:lang w:bidi="ar"/>
        </w:rPr>
        <w:t>附录A</w:t>
      </w:r>
    </w:p>
    <w:p w14:paraId="3DAF5C93">
      <w:pPr>
        <w:spacing w:line="360" w:lineRule="auto"/>
        <w:jc w:val="center"/>
        <w:outlineLvl w:val="0"/>
        <w:rPr>
          <w:rFonts w:hint="eastAsia" w:ascii="黑体" w:hAnsi="宋体" w:eastAsia="黑体" w:cs="黑体"/>
          <w:szCs w:val="21"/>
        </w:rPr>
      </w:pPr>
      <w:r>
        <w:rPr>
          <w:rFonts w:hint="eastAsia" w:ascii="黑体" w:hAnsi="宋体" w:eastAsia="黑体" w:cs="黑体"/>
          <w:szCs w:val="21"/>
          <w:lang w:bidi="ar"/>
        </w:rPr>
        <w:t>(资料性)</w:t>
      </w:r>
    </w:p>
    <w:p w14:paraId="4BF52FAA">
      <w:pPr>
        <w:spacing w:line="360" w:lineRule="auto"/>
        <w:jc w:val="center"/>
        <w:outlineLvl w:val="0"/>
        <w:rPr>
          <w:rFonts w:hint="eastAsia" w:ascii="黑体" w:hAnsi="宋体" w:eastAsia="黑体" w:cs="黑体"/>
          <w:szCs w:val="21"/>
        </w:rPr>
      </w:pPr>
      <w:r>
        <w:rPr>
          <w:rFonts w:hint="eastAsia" w:ascii="黑体" w:hAnsi="宋体" w:eastAsia="黑体" w:cs="黑体"/>
          <w:szCs w:val="21"/>
          <w:lang w:bidi="ar"/>
        </w:rPr>
        <w:t>晶界扩散效果评价</w:t>
      </w:r>
      <w:r>
        <w:rPr>
          <w:rFonts w:hint="eastAsia" w:ascii="黑体" w:hAnsi="宋体" w:eastAsia="黑体" w:cs="黑体"/>
          <w:szCs w:val="21"/>
          <w:lang w:eastAsia="zh-CN" w:bidi="ar"/>
        </w:rPr>
        <w:t>方法的应用</w:t>
      </w:r>
      <w:r>
        <w:rPr>
          <w:rFonts w:hint="eastAsia" w:ascii="黑体" w:hAnsi="宋体" w:eastAsia="黑体" w:cs="黑体"/>
          <w:szCs w:val="21"/>
          <w:lang w:bidi="ar"/>
        </w:rPr>
        <w:t>说明</w:t>
      </w:r>
    </w:p>
    <w:p w14:paraId="64B47C2E">
      <w:pPr>
        <w:pStyle w:val="33"/>
        <w:widowControl w:val="0"/>
        <w:spacing w:before="0" w:beforeAutospacing="0" w:after="0" w:afterAutospacing="0"/>
        <w:ind w:firstLine="420" w:firstLineChars="200"/>
        <w:jc w:val="both"/>
        <w:rPr>
          <w:rFonts w:hint="eastAsia" w:ascii="Times New Roman" w:hAnsi="Times New Roman" w:cs="Times New Roman"/>
          <w:kern w:val="2"/>
          <w:sz w:val="21"/>
          <w:lang w:bidi="ar"/>
        </w:rPr>
      </w:pPr>
    </w:p>
    <w:p w14:paraId="6D9A7909">
      <w:pPr>
        <w:pStyle w:val="33"/>
        <w:widowControl w:val="0"/>
        <w:spacing w:before="157" w:beforeLines="50" w:beforeAutospacing="0" w:after="157" w:afterLines="50" w:afterAutospacing="0"/>
        <w:ind w:firstLine="420" w:firstLineChars="200"/>
        <w:jc w:val="both"/>
        <w:rPr>
          <w:rFonts w:hint="eastAsia" w:asciiTheme="minorEastAsia" w:hAnsiTheme="minorEastAsia" w:eastAsiaTheme="minorEastAsia" w:cstheme="minorEastAsia"/>
          <w:kern w:val="2"/>
          <w:sz w:val="21"/>
          <w:szCs w:val="21"/>
          <w:lang w:eastAsia="zh-CN" w:bidi="ar"/>
        </w:rPr>
      </w:pPr>
      <w:r>
        <w:rPr>
          <w:rFonts w:hint="default" w:ascii="Times New Roman" w:hAnsi="Times New Roman" w:cs="Times New Roman" w:eastAsiaTheme="minorEastAsia"/>
          <w:kern w:val="2"/>
          <w:sz w:val="21"/>
          <w:szCs w:val="21"/>
          <w:lang w:bidi="ar"/>
        </w:rPr>
        <w:t>本文件</w:t>
      </w:r>
      <w:r>
        <w:rPr>
          <w:rFonts w:hint="default" w:ascii="Times New Roman" w:hAnsi="Times New Roman" w:cs="Times New Roman" w:eastAsiaTheme="minorEastAsia"/>
          <w:kern w:val="2"/>
          <w:sz w:val="21"/>
          <w:szCs w:val="21"/>
          <w:lang w:eastAsia="zh-CN" w:bidi="ar"/>
        </w:rPr>
        <w:t>描述了典型</w:t>
      </w:r>
      <w:r>
        <w:rPr>
          <w:rFonts w:hint="eastAsia" w:ascii="Times New Roman" w:hAnsi="Times New Roman" w:cs="Times New Roman" w:eastAsiaTheme="minorEastAsia"/>
          <w:kern w:val="2"/>
          <w:sz w:val="21"/>
          <w:szCs w:val="21"/>
          <w:lang w:eastAsia="zh-CN" w:bidi="ar"/>
        </w:rPr>
        <w:t>晶界扩散</w:t>
      </w:r>
      <w:r>
        <w:rPr>
          <w:rFonts w:hint="default" w:ascii="Times New Roman" w:hAnsi="Times New Roman" w:cs="Times New Roman" w:eastAsiaTheme="minorEastAsia"/>
          <w:kern w:val="2"/>
          <w:sz w:val="21"/>
          <w:szCs w:val="21"/>
          <w:lang w:eastAsia="zh-CN" w:bidi="ar"/>
        </w:rPr>
        <w:t>工艺情况下，</w:t>
      </w:r>
      <w:r>
        <w:rPr>
          <w:rFonts w:hint="eastAsia" w:ascii="Times New Roman" w:hAnsi="Times New Roman" w:cs="Times New Roman" w:eastAsiaTheme="minorEastAsia"/>
          <w:kern w:val="2"/>
          <w:sz w:val="21"/>
          <w:szCs w:val="21"/>
          <w:lang w:eastAsia="zh-CN" w:bidi="ar"/>
        </w:rPr>
        <w:t>对</w:t>
      </w:r>
      <w:r>
        <w:rPr>
          <w:rFonts w:hint="default" w:ascii="Times New Roman" w:hAnsi="Times New Roman" w:cs="Times New Roman" w:eastAsiaTheme="minorEastAsia"/>
          <w:kern w:val="2"/>
          <w:sz w:val="21"/>
          <w:szCs w:val="21"/>
          <w:lang w:val="en-US" w:eastAsia="zh-CN" w:bidi="ar"/>
        </w:rPr>
        <w:t>厚度大于2 mm和边长大于12 mm</w:t>
      </w:r>
      <w:r>
        <w:rPr>
          <w:rFonts w:hint="eastAsia" w:ascii="Times New Roman" w:hAnsi="Times New Roman" w:cs="Times New Roman" w:eastAsiaTheme="minorEastAsia"/>
          <w:kern w:val="2"/>
          <w:sz w:val="21"/>
          <w:szCs w:val="21"/>
          <w:lang w:val="en-US" w:eastAsia="zh-CN" w:bidi="ar"/>
        </w:rPr>
        <w:t>的</w:t>
      </w:r>
      <w:r>
        <w:rPr>
          <w:rFonts w:hint="default" w:ascii="Times New Roman" w:hAnsi="Times New Roman" w:cs="Times New Roman" w:eastAsiaTheme="minorEastAsia"/>
          <w:kern w:val="2"/>
          <w:sz w:val="21"/>
          <w:szCs w:val="21"/>
          <w:lang w:val="en-US" w:eastAsia="zh-CN" w:bidi="ar"/>
        </w:rPr>
        <w:t>样品</w:t>
      </w:r>
      <w:r>
        <w:rPr>
          <w:rFonts w:hint="eastAsia" w:ascii="Times New Roman" w:hAnsi="Times New Roman" w:cs="Times New Roman" w:eastAsiaTheme="minorEastAsia"/>
          <w:kern w:val="2"/>
          <w:sz w:val="21"/>
          <w:szCs w:val="21"/>
          <w:lang w:eastAsia="zh-CN" w:bidi="ar"/>
        </w:rPr>
        <w:t>采用双面对称</w:t>
      </w:r>
      <w:r>
        <w:rPr>
          <w:rFonts w:hint="default" w:ascii="Times New Roman" w:hAnsi="Times New Roman" w:cs="Times New Roman" w:eastAsiaTheme="minorEastAsia"/>
          <w:kern w:val="2"/>
          <w:sz w:val="21"/>
          <w:szCs w:val="21"/>
          <w:lang w:val="en-US" w:eastAsia="zh-CN" w:bidi="ar"/>
        </w:rPr>
        <w:t>扩散</w:t>
      </w:r>
      <w:r>
        <w:rPr>
          <w:rFonts w:hint="eastAsia" w:ascii="Times New Roman" w:hAnsi="Times New Roman" w:cs="Times New Roman" w:eastAsiaTheme="minorEastAsia"/>
          <w:kern w:val="2"/>
          <w:sz w:val="21"/>
          <w:szCs w:val="21"/>
          <w:lang w:val="en-US" w:eastAsia="zh-CN" w:bidi="ar"/>
        </w:rPr>
        <w:t>方式的晶界</w:t>
      </w:r>
      <w:r>
        <w:rPr>
          <w:rFonts w:hint="default" w:ascii="Times New Roman" w:hAnsi="Times New Roman" w:cs="Times New Roman" w:eastAsiaTheme="minorEastAsia"/>
          <w:kern w:val="2"/>
          <w:sz w:val="21"/>
          <w:szCs w:val="21"/>
          <w:lang w:val="en-US" w:eastAsia="zh-CN" w:bidi="ar"/>
        </w:rPr>
        <w:t>效果</w:t>
      </w:r>
      <w:r>
        <w:rPr>
          <w:rFonts w:hint="eastAsia" w:ascii="Times New Roman" w:hAnsi="Times New Roman" w:cs="Times New Roman" w:eastAsiaTheme="minorEastAsia"/>
          <w:kern w:val="2"/>
          <w:sz w:val="21"/>
          <w:szCs w:val="21"/>
          <w:lang w:val="en-US" w:eastAsia="zh-CN" w:bidi="ar"/>
        </w:rPr>
        <w:t>常规</w:t>
      </w:r>
      <w:r>
        <w:rPr>
          <w:rFonts w:hint="default" w:ascii="Times New Roman" w:hAnsi="Times New Roman" w:cs="Times New Roman" w:eastAsiaTheme="minorEastAsia"/>
          <w:kern w:val="2"/>
          <w:sz w:val="21"/>
          <w:szCs w:val="21"/>
          <w:lang w:val="en-US" w:eastAsia="zh-CN" w:bidi="ar"/>
        </w:rPr>
        <w:t>评价方法。</w:t>
      </w:r>
      <w:r>
        <w:rPr>
          <w:rFonts w:hint="eastAsia" w:ascii="Times New Roman" w:hAnsi="Times New Roman" w:cs="Times New Roman" w:eastAsiaTheme="minorEastAsia"/>
          <w:kern w:val="2"/>
          <w:sz w:val="21"/>
          <w:szCs w:val="21"/>
          <w:lang w:val="en-US" w:eastAsia="zh-CN" w:bidi="ar"/>
        </w:rPr>
        <w:t>晶界扩散工艺研究人员还可以采用电子显微镜等方法对晶界扩散磁体的显微结构进行定性或半定量分析。</w:t>
      </w:r>
      <w:r>
        <w:rPr>
          <w:rFonts w:hint="default" w:ascii="Times New Roman" w:hAnsi="Times New Roman" w:cs="Times New Roman" w:eastAsiaTheme="minorEastAsia"/>
          <w:kern w:val="2"/>
          <w:sz w:val="21"/>
          <w:szCs w:val="21"/>
          <w:lang w:val="en-US" w:eastAsia="zh-CN" w:bidi="ar"/>
        </w:rPr>
        <w:t>从磁材企业内部</w:t>
      </w:r>
      <w:r>
        <w:rPr>
          <w:rFonts w:hint="default" w:ascii="Times New Roman" w:hAnsi="Times New Roman" w:cs="Times New Roman" w:eastAsiaTheme="minorEastAsia"/>
          <w:kern w:val="2"/>
          <w:sz w:val="21"/>
          <w:szCs w:val="21"/>
          <w:lang w:bidi="ar"/>
        </w:rPr>
        <w:t>优化晶界扩散工艺</w:t>
      </w:r>
      <w:r>
        <w:rPr>
          <w:rFonts w:hint="default" w:ascii="Times New Roman" w:hAnsi="Times New Roman" w:cs="Times New Roman" w:eastAsiaTheme="minorEastAsia"/>
          <w:kern w:val="2"/>
          <w:sz w:val="21"/>
          <w:szCs w:val="21"/>
          <w:lang w:eastAsia="zh-CN" w:bidi="ar"/>
        </w:rPr>
        <w:t>的实际需要出发，对本方法的应用进行以下说明，仅供使用者参考。</w:t>
      </w:r>
    </w:p>
    <w:p w14:paraId="43728844">
      <w:pPr>
        <w:pStyle w:val="33"/>
        <w:widowControl w:val="0"/>
        <w:numPr>
          <w:ilvl w:val="-1"/>
          <w:numId w:val="0"/>
        </w:numPr>
        <w:spacing w:before="157" w:beforeLines="50" w:beforeAutospacing="0" w:after="157" w:afterLines="50" w:afterAutospacing="0"/>
        <w:ind w:firstLine="0" w:firstLineChars="0"/>
        <w:jc w:val="both"/>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A.1 评价不同晶界扩散厚度样品的建议</w:t>
      </w:r>
    </w:p>
    <w:p w14:paraId="588731C1">
      <w:pPr>
        <w:pStyle w:val="33"/>
        <w:widowControl w:val="0"/>
        <w:numPr>
          <w:ilvl w:val="-1"/>
          <w:numId w:val="0"/>
        </w:numPr>
        <w:spacing w:before="157" w:beforeLines="50" w:beforeAutospacing="0" w:after="157" w:afterLines="50" w:afterAutospacing="0"/>
        <w:ind w:firstLine="0" w:firstLineChars="0"/>
        <w:jc w:val="both"/>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A.1.1 晶界扩散厚度不超过4mm的样品</w:t>
      </w:r>
    </w:p>
    <w:p w14:paraId="6D81CEB2">
      <w:pPr>
        <w:pStyle w:val="33"/>
        <w:widowControl w:val="0"/>
        <w:numPr>
          <w:ilvl w:val="-1"/>
          <w:numId w:val="0"/>
        </w:numPr>
        <w:spacing w:before="0" w:beforeAutospacing="0" w:after="0" w:afterAutospacing="0"/>
        <w:ind w:firstLine="420" w:firstLineChars="200"/>
        <w:jc w:val="both"/>
        <w:rPr>
          <w:rFonts w:hint="default" w:ascii="Times New Roman" w:hAnsi="Times New Roman" w:cs="Times New Roman" w:eastAsiaTheme="minorEastAsia"/>
          <w:kern w:val="2"/>
          <w:sz w:val="21"/>
          <w:szCs w:val="21"/>
          <w:lang w:val="en-US" w:eastAsia="zh-CN" w:bidi="ar"/>
        </w:rPr>
      </w:pPr>
      <w:r>
        <w:rPr>
          <w:rFonts w:hint="default" w:ascii="Times New Roman" w:hAnsi="Times New Roman" w:cs="Times New Roman" w:eastAsiaTheme="minorEastAsia"/>
          <w:kern w:val="2"/>
          <w:sz w:val="21"/>
          <w:szCs w:val="21"/>
          <w:lang w:val="en-US" w:eastAsia="zh-CN" w:bidi="ar"/>
        </w:rPr>
        <w:t>晶界扩散厚度为4 mm及以下的产品，即使样品表面没达到扩散饱和，其中心处重稀土扩散量也较容易达到使HcJ接近饱和所需要的含量，磁体内部磁性能相当均匀。因此对此类产品可优先测量晶界扩散前后磁体内禀矫力HcJ和中心处扩散元素含量，对晶界扩散程度进行判定。</w:t>
      </w:r>
    </w:p>
    <w:p w14:paraId="052779CA">
      <w:pPr>
        <w:pStyle w:val="33"/>
        <w:widowControl w:val="0"/>
        <w:numPr>
          <w:ilvl w:val="-1"/>
          <w:numId w:val="0"/>
        </w:numPr>
        <w:spacing w:before="157" w:beforeLines="50" w:beforeAutospacing="0" w:after="157" w:afterLines="50" w:afterAutospacing="0"/>
        <w:ind w:firstLine="0" w:firstLineChars="0"/>
        <w:jc w:val="both"/>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A.1.2 晶界扩散厚度大于4mm的样品</w:t>
      </w:r>
    </w:p>
    <w:p w14:paraId="4F915B2B">
      <w:pPr>
        <w:pStyle w:val="33"/>
        <w:widowControl/>
        <w:numPr>
          <w:ilvl w:val="-1"/>
          <w:numId w:val="0"/>
        </w:numPr>
        <w:tabs>
          <w:tab w:val="center" w:pos="4201"/>
          <w:tab w:val="right" w:leader="dot" w:pos="9298"/>
        </w:tabs>
        <w:autoSpaceDE w:val="0"/>
        <w:autoSpaceDN w:val="0"/>
        <w:snapToGrid w:val="0"/>
        <w:spacing w:before="156" w:beforeLines="50" w:beforeAutospacing="0" w:after="156" w:afterLines="50" w:afterAutospacing="0"/>
        <w:ind w:firstLine="420" w:firstLineChars="200"/>
        <w:jc w:val="left"/>
        <w:rPr>
          <w:rFonts w:hint="default" w:ascii="Times New Roman" w:hAnsi="Times New Roman" w:cs="Times New Roman" w:eastAsiaTheme="minorEastAsia"/>
          <w:kern w:val="2"/>
          <w:sz w:val="21"/>
          <w:szCs w:val="21"/>
          <w:lang w:val="en-US" w:eastAsia="zh-CN" w:bidi="ar"/>
        </w:rPr>
      </w:pPr>
      <w:r>
        <w:rPr>
          <w:rFonts w:hint="default" w:ascii="Times New Roman" w:hAnsi="Times New Roman" w:cs="Times New Roman" w:eastAsiaTheme="minorEastAsia"/>
          <w:kern w:val="2"/>
          <w:sz w:val="21"/>
          <w:szCs w:val="21"/>
          <w:lang w:val="en-US" w:eastAsia="zh-CN" w:bidi="ar"/>
        </w:rPr>
        <w:t>晶界扩散厚度大于4 mm的产品，样品越厚，中心处重稀土扩散量要达到使HcJ接近饱和所需要的含量越难，通常需要使产品表面扩散元素含量达到或超过饱和扩散对应的含量。因此对此类产品可综合使用本文件所描述的方法对晶界扩散程度进行判定，包括测量磁体表层扩散元素含量随深度变化曲线，以及中心区与整体磁性能差异，应以是否满足客户对最终产品磁性能要求为中心进行调整。表A1为</w:t>
      </w:r>
      <w:r>
        <w:rPr>
          <w:rFonts w:hint="default" w:ascii="Times New Roman" w:hAnsi="Times New Roman" w:cs="Times New Roman" w:eastAsiaTheme="minorEastAsia"/>
          <w:sz w:val="21"/>
          <w:szCs w:val="21"/>
          <w:lang w:eastAsia="zh-CN" w:bidi="ar"/>
        </w:rPr>
        <w:t>典型扩散工艺中</w:t>
      </w:r>
      <w:r>
        <w:rPr>
          <w:rFonts w:hint="default" w:ascii="Times New Roman" w:hAnsi="Times New Roman" w:cs="Times New Roman" w:eastAsiaTheme="minorEastAsia"/>
          <w:kern w:val="2"/>
          <w:sz w:val="21"/>
          <w:szCs w:val="21"/>
          <w:lang w:val="en-US" w:eastAsia="zh-CN" w:bidi="ar"/>
        </w:rPr>
        <w:t>晶界扩散磁体表层</w:t>
      </w:r>
      <w:r>
        <w:rPr>
          <w:rFonts w:hint="eastAsia" w:ascii="Times New Roman" w:hAnsi="Times New Roman" w:cs="Times New Roman" w:eastAsiaTheme="minorEastAsia"/>
          <w:kern w:val="2"/>
          <w:sz w:val="21"/>
          <w:szCs w:val="21"/>
          <w:lang w:val="en-US" w:eastAsia="zh-CN" w:bidi="ar"/>
        </w:rPr>
        <w:t>重稀土</w:t>
      </w:r>
      <w:r>
        <w:rPr>
          <w:rFonts w:hint="default" w:ascii="Times New Roman" w:hAnsi="Times New Roman" w:cs="Times New Roman" w:eastAsiaTheme="minorEastAsia"/>
          <w:kern w:val="2"/>
          <w:sz w:val="21"/>
          <w:szCs w:val="21"/>
          <w:lang w:val="en-US" w:eastAsia="zh-CN" w:bidi="ar"/>
        </w:rPr>
        <w:t>扩散元素含量随深度变化曲线的三种形态。</w:t>
      </w:r>
    </w:p>
    <w:p w14:paraId="7302EC98">
      <w:pPr>
        <w:pStyle w:val="33"/>
        <w:tabs>
          <w:tab w:val="center" w:pos="4201"/>
          <w:tab w:val="right" w:leader="dot" w:pos="9298"/>
        </w:tabs>
        <w:autoSpaceDE w:val="0"/>
        <w:autoSpaceDN w:val="0"/>
        <w:snapToGrid w:val="0"/>
        <w:spacing w:before="156" w:beforeLines="50" w:beforeAutospacing="0" w:after="156" w:afterLines="50" w:afterAutospacing="0"/>
        <w:jc w:val="center"/>
        <w:rPr>
          <w:rFonts w:hint="eastAsia" w:asciiTheme="minorEastAsia" w:hAnsiTheme="minorEastAsia" w:eastAsiaTheme="minorEastAsia" w:cstheme="minorEastAsia"/>
          <w:sz w:val="21"/>
          <w:szCs w:val="21"/>
        </w:rPr>
      </w:pPr>
      <w:r>
        <w:rPr>
          <w:rFonts w:hint="eastAsia" w:ascii="黑体" w:hAnsi="黑体" w:eastAsia="黑体" w:cs="黑体"/>
          <w:sz w:val="21"/>
          <w:szCs w:val="21"/>
          <w:lang w:bidi="ar"/>
        </w:rPr>
        <w:t>表</w:t>
      </w:r>
      <w:r>
        <w:rPr>
          <w:rFonts w:hint="eastAsia" w:ascii="黑体" w:hAnsi="黑体" w:eastAsia="黑体" w:cs="黑体"/>
          <w:sz w:val="21"/>
          <w:szCs w:val="21"/>
          <w:lang w:val="en-US" w:eastAsia="zh-CN" w:bidi="ar"/>
        </w:rPr>
        <w:t>A</w:t>
      </w:r>
      <w:r>
        <w:rPr>
          <w:rFonts w:hint="eastAsia" w:ascii="黑体" w:hAnsi="黑体" w:eastAsia="黑体" w:cs="黑体"/>
          <w:sz w:val="21"/>
          <w:szCs w:val="21"/>
          <w:lang w:bidi="ar"/>
        </w:rPr>
        <w:t xml:space="preserve">1 </w:t>
      </w:r>
      <w:r>
        <w:rPr>
          <w:rFonts w:hint="eastAsia" w:ascii="黑体" w:hAnsi="黑体" w:eastAsia="黑体" w:cs="黑体"/>
          <w:sz w:val="21"/>
          <w:szCs w:val="21"/>
          <w:lang w:eastAsia="zh-CN" w:bidi="ar"/>
        </w:rPr>
        <w:t>典型扩散工艺中</w:t>
      </w:r>
      <w:r>
        <w:rPr>
          <w:rFonts w:hint="eastAsia" w:ascii="黑体" w:hAnsi="黑体" w:eastAsia="黑体" w:cs="黑体"/>
          <w:kern w:val="2"/>
          <w:sz w:val="21"/>
          <w:szCs w:val="21"/>
          <w:lang w:val="en-US" w:eastAsia="zh-CN" w:bidi="ar"/>
        </w:rPr>
        <w:t>晶界扩散磁体表层扩散元素含量随深度变化曲线的三种形态</w:t>
      </w:r>
    </w:p>
    <w:tbl>
      <w:tblPr>
        <w:tblStyle w:val="37"/>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2106"/>
        <w:gridCol w:w="2106"/>
        <w:gridCol w:w="2106"/>
      </w:tblGrid>
      <w:tr w14:paraId="6714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678" w:type="dxa"/>
            <w:tcBorders>
              <w:left w:val="single" w:color="auto" w:sz="4" w:space="0"/>
              <w:bottom w:val="single" w:color="auto" w:sz="4" w:space="0"/>
              <w:right w:val="single" w:color="auto" w:sz="4" w:space="0"/>
            </w:tcBorders>
            <w:shd w:val="clear" w:color="auto" w:fill="auto"/>
            <w:vAlign w:val="center"/>
          </w:tcPr>
          <w:p w14:paraId="21792099">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kern w:val="0"/>
                <w:sz w:val="18"/>
                <w:szCs w:val="18"/>
                <w:lang w:val="en-US" w:eastAsia="zh-CN" w:bidi="ar"/>
              </w:rPr>
            </w:pPr>
            <w:r>
              <w:rPr>
                <w:rFonts w:hint="eastAsia" w:asciiTheme="minorEastAsia" w:hAnsiTheme="minorEastAsia" w:eastAsiaTheme="minorEastAsia" w:cstheme="minorEastAsia"/>
                <w:sz w:val="18"/>
                <w:szCs w:val="18"/>
                <w:lang w:eastAsia="zh-CN" w:bidi="ar"/>
              </w:rPr>
              <w:t>磁体表层</w:t>
            </w:r>
            <w:r>
              <w:rPr>
                <w:rFonts w:hint="eastAsia" w:asciiTheme="minorEastAsia" w:hAnsiTheme="minorEastAsia" w:eastAsiaTheme="minorEastAsia" w:cstheme="minorEastAsia"/>
                <w:sz w:val="18"/>
                <w:szCs w:val="18"/>
                <w:lang w:bidi="ar"/>
              </w:rPr>
              <w:t>扩散程度</w:t>
            </w:r>
          </w:p>
        </w:tc>
        <w:tc>
          <w:tcPr>
            <w:tcW w:w="2106" w:type="dxa"/>
            <w:tcBorders>
              <w:top w:val="single" w:color="auto" w:sz="4" w:space="0"/>
              <w:left w:val="single" w:color="auto" w:sz="4" w:space="0"/>
              <w:bottom w:val="single" w:color="auto" w:sz="4" w:space="0"/>
              <w:right w:val="single" w:color="auto" w:sz="4" w:space="0"/>
            </w:tcBorders>
            <w:shd w:val="clear" w:color="auto" w:fill="auto"/>
            <w:vAlign w:val="center"/>
          </w:tcPr>
          <w:p w14:paraId="2AF97839">
            <w:pPr>
              <w:pStyle w:val="33"/>
              <w:tabs>
                <w:tab w:val="center" w:pos="4201"/>
                <w:tab w:val="right" w:leader="dot" w:pos="9298"/>
              </w:tabs>
              <w:autoSpaceDE w:val="0"/>
              <w:autoSpaceDN w:val="0"/>
              <w:spacing w:before="0" w:beforeAutospacing="0" w:after="0" w:afterAutospacing="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bidi="ar"/>
              </w:rPr>
              <w:t>未</w:t>
            </w:r>
            <w:r>
              <w:rPr>
                <w:rFonts w:hint="eastAsia" w:asciiTheme="minorEastAsia" w:hAnsiTheme="minorEastAsia" w:eastAsiaTheme="minorEastAsia" w:cstheme="minorEastAsia"/>
                <w:sz w:val="18"/>
                <w:szCs w:val="18"/>
                <w:lang w:eastAsia="zh-CN" w:bidi="ar"/>
              </w:rPr>
              <w:t>饱和</w:t>
            </w:r>
            <w:r>
              <w:rPr>
                <w:rFonts w:hint="eastAsia" w:asciiTheme="minorEastAsia" w:hAnsiTheme="minorEastAsia" w:eastAsiaTheme="minorEastAsia" w:cstheme="minorEastAsia"/>
                <w:sz w:val="18"/>
                <w:szCs w:val="18"/>
                <w:lang w:bidi="ar"/>
              </w:rPr>
              <w:t>扩散</w:t>
            </w:r>
          </w:p>
        </w:tc>
        <w:tc>
          <w:tcPr>
            <w:tcW w:w="2106" w:type="dxa"/>
            <w:tcBorders>
              <w:top w:val="single" w:color="auto" w:sz="4" w:space="0"/>
              <w:left w:val="single" w:color="auto" w:sz="4" w:space="0"/>
              <w:bottom w:val="single" w:color="auto" w:sz="4" w:space="0"/>
              <w:right w:val="single" w:color="auto" w:sz="4" w:space="0"/>
            </w:tcBorders>
            <w:shd w:val="clear" w:color="auto" w:fill="auto"/>
            <w:vAlign w:val="center"/>
          </w:tcPr>
          <w:p w14:paraId="082A7424">
            <w:pPr>
              <w:pStyle w:val="33"/>
              <w:tabs>
                <w:tab w:val="center" w:pos="4201"/>
                <w:tab w:val="right" w:leader="dot" w:pos="9298"/>
              </w:tabs>
              <w:autoSpaceDE w:val="0"/>
              <w:autoSpaceDN w:val="0"/>
              <w:spacing w:before="0" w:beforeAutospacing="0" w:after="0" w:afterAutospacing="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bidi="ar"/>
              </w:rPr>
              <w:t>趋近饱和</w:t>
            </w:r>
            <w:r>
              <w:rPr>
                <w:rFonts w:hint="eastAsia" w:asciiTheme="minorEastAsia" w:hAnsiTheme="minorEastAsia" w:eastAsiaTheme="minorEastAsia" w:cstheme="minorEastAsia"/>
                <w:sz w:val="18"/>
                <w:szCs w:val="18"/>
                <w:lang w:bidi="ar"/>
              </w:rPr>
              <w:t>扩散</w:t>
            </w:r>
          </w:p>
        </w:tc>
        <w:tc>
          <w:tcPr>
            <w:tcW w:w="2106" w:type="dxa"/>
            <w:tcBorders>
              <w:top w:val="single" w:color="auto" w:sz="4" w:space="0"/>
              <w:left w:val="single" w:color="auto" w:sz="4" w:space="0"/>
              <w:bottom w:val="single" w:color="auto" w:sz="4" w:space="0"/>
              <w:right w:val="single" w:color="auto" w:sz="4" w:space="0"/>
            </w:tcBorders>
            <w:shd w:val="clear" w:color="auto" w:fill="auto"/>
            <w:vAlign w:val="center"/>
          </w:tcPr>
          <w:p w14:paraId="4895AD54">
            <w:pPr>
              <w:pStyle w:val="33"/>
              <w:tabs>
                <w:tab w:val="center" w:pos="4201"/>
                <w:tab w:val="right" w:leader="dot" w:pos="9298"/>
              </w:tabs>
              <w:autoSpaceDE w:val="0"/>
              <w:autoSpaceDN w:val="0"/>
              <w:spacing w:before="0" w:beforeAutospacing="0" w:after="0" w:afterAutospacing="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bidi="ar"/>
              </w:rPr>
              <w:t>过</w:t>
            </w:r>
            <w:r>
              <w:rPr>
                <w:rFonts w:hint="eastAsia" w:asciiTheme="minorEastAsia" w:hAnsiTheme="minorEastAsia" w:eastAsiaTheme="minorEastAsia" w:cstheme="minorEastAsia"/>
                <w:sz w:val="18"/>
                <w:szCs w:val="18"/>
                <w:lang w:eastAsia="zh-CN" w:bidi="ar"/>
              </w:rPr>
              <w:t>饱和</w:t>
            </w:r>
            <w:r>
              <w:rPr>
                <w:rFonts w:hint="eastAsia" w:asciiTheme="minorEastAsia" w:hAnsiTheme="minorEastAsia" w:eastAsiaTheme="minorEastAsia" w:cstheme="minorEastAsia"/>
                <w:sz w:val="18"/>
                <w:szCs w:val="18"/>
                <w:lang w:bidi="ar"/>
              </w:rPr>
              <w:t>扩散</w:t>
            </w:r>
          </w:p>
        </w:tc>
      </w:tr>
      <w:tr w14:paraId="17B5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34F08C32">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bidi="ar"/>
              </w:rPr>
              <w:t>重稀士</w:t>
            </w:r>
            <w:r>
              <w:rPr>
                <w:rFonts w:hint="eastAsia" w:asciiTheme="minorEastAsia" w:hAnsiTheme="minorEastAsia" w:eastAsiaTheme="minorEastAsia" w:cstheme="minorEastAsia"/>
                <w:sz w:val="18"/>
                <w:szCs w:val="18"/>
                <w:lang w:bidi="ar"/>
              </w:rPr>
              <w:t>扩散元素含量为随深度变化曲线形态(0～200</w:t>
            </w:r>
            <w:r>
              <w:rPr>
                <w:rFonts w:hint="default" w:ascii="Times New Roman" w:hAnsi="Times New Roman" w:cs="Times New Roman" w:eastAsiaTheme="minorEastAsia"/>
                <w:kern w:val="2"/>
                <w:sz w:val="21"/>
                <w:szCs w:val="21"/>
                <w:lang w:val="en-US" w:eastAsia="zh-CN" w:bidi="ar"/>
              </w:rPr>
              <w:t> </w:t>
            </w:r>
            <w:r>
              <w:rPr>
                <w:rFonts w:hint="eastAsia" w:asciiTheme="minorEastAsia" w:hAnsiTheme="minorEastAsia" w:eastAsiaTheme="minorEastAsia" w:cstheme="minorEastAsia"/>
                <w:sz w:val="18"/>
                <w:szCs w:val="18"/>
                <w:lang w:bidi="ar"/>
              </w:rPr>
              <w:t>μm)</w:t>
            </w:r>
          </w:p>
        </w:tc>
        <w:tc>
          <w:tcPr>
            <w:tcW w:w="2106" w:type="dxa"/>
            <w:tcBorders>
              <w:top w:val="single" w:color="auto" w:sz="4" w:space="0"/>
              <w:left w:val="single" w:color="auto" w:sz="4" w:space="0"/>
              <w:bottom w:val="single" w:color="auto" w:sz="4" w:space="0"/>
              <w:right w:val="single" w:color="auto" w:sz="4" w:space="0"/>
            </w:tcBorders>
            <w:shd w:val="clear" w:color="auto" w:fill="auto"/>
          </w:tcPr>
          <w:p w14:paraId="0456B62A">
            <w:pPr>
              <w:pStyle w:val="33"/>
              <w:tabs>
                <w:tab w:val="center" w:pos="4201"/>
                <w:tab w:val="right" w:leader="dot" w:pos="9298"/>
              </w:tabs>
              <w:autoSpaceDE w:val="0"/>
              <w:autoSpaceDN w:val="0"/>
              <w:spacing w:before="0" w:beforeAutospacing="0" w:after="0" w:afterAutospacing="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drawing>
                <wp:inline distT="0" distB="0" distL="114300" distR="114300">
                  <wp:extent cx="1200150" cy="1076325"/>
                  <wp:effectExtent l="0" t="0" r="0" b="9525"/>
                  <wp:docPr id="11" name="图片 16" descr="cf2f8e4d8d52e92db8f09879ab5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cf2f8e4d8d52e92db8f09879ab53891"/>
                          <pic:cNvPicPr>
                            <a:picLocks noChangeAspect="1"/>
                          </pic:cNvPicPr>
                        </pic:nvPicPr>
                        <pic:blipFill>
                          <a:blip r:embed="rId10"/>
                          <a:stretch>
                            <a:fillRect/>
                          </a:stretch>
                        </pic:blipFill>
                        <pic:spPr>
                          <a:xfrm>
                            <a:off x="0" y="0"/>
                            <a:ext cx="1200150" cy="1076325"/>
                          </a:xfrm>
                          <a:prstGeom prst="rect">
                            <a:avLst/>
                          </a:prstGeom>
                          <a:noFill/>
                          <a:ln>
                            <a:noFill/>
                          </a:ln>
                        </pic:spPr>
                      </pic:pic>
                    </a:graphicData>
                  </a:graphic>
                </wp:inline>
              </w:drawing>
            </w:r>
          </w:p>
        </w:tc>
        <w:tc>
          <w:tcPr>
            <w:tcW w:w="2106" w:type="dxa"/>
            <w:tcBorders>
              <w:top w:val="single" w:color="auto" w:sz="4" w:space="0"/>
              <w:left w:val="single" w:color="auto" w:sz="4" w:space="0"/>
              <w:bottom w:val="single" w:color="auto" w:sz="4" w:space="0"/>
              <w:right w:val="single" w:color="auto" w:sz="4" w:space="0"/>
            </w:tcBorders>
            <w:shd w:val="clear" w:color="auto" w:fill="auto"/>
          </w:tcPr>
          <w:p w14:paraId="58F83DB3">
            <w:pPr>
              <w:pStyle w:val="33"/>
              <w:tabs>
                <w:tab w:val="center" w:pos="4201"/>
                <w:tab w:val="right" w:leader="dot" w:pos="9298"/>
              </w:tabs>
              <w:autoSpaceDE w:val="0"/>
              <w:autoSpaceDN w:val="0"/>
              <w:spacing w:before="0" w:beforeAutospacing="0" w:after="0" w:afterAutospacing="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drawing>
                <wp:inline distT="0" distB="0" distL="114300" distR="114300">
                  <wp:extent cx="1200150" cy="1076325"/>
                  <wp:effectExtent l="0" t="0" r="0" b="9525"/>
                  <wp:docPr id="12" name="图片 20" descr="180d1591b66bf4cfddc6d7a6cc44c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0" descr="180d1591b66bf4cfddc6d7a6cc44c66"/>
                          <pic:cNvPicPr>
                            <a:picLocks noChangeAspect="1"/>
                          </pic:cNvPicPr>
                        </pic:nvPicPr>
                        <pic:blipFill>
                          <a:blip r:embed="rId11"/>
                          <a:stretch>
                            <a:fillRect/>
                          </a:stretch>
                        </pic:blipFill>
                        <pic:spPr>
                          <a:xfrm>
                            <a:off x="0" y="0"/>
                            <a:ext cx="1200150" cy="1076325"/>
                          </a:xfrm>
                          <a:prstGeom prst="rect">
                            <a:avLst/>
                          </a:prstGeom>
                          <a:noFill/>
                          <a:ln>
                            <a:noFill/>
                          </a:ln>
                        </pic:spPr>
                      </pic:pic>
                    </a:graphicData>
                  </a:graphic>
                </wp:inline>
              </w:drawing>
            </w:r>
          </w:p>
        </w:tc>
        <w:tc>
          <w:tcPr>
            <w:tcW w:w="2106" w:type="dxa"/>
            <w:tcBorders>
              <w:top w:val="single" w:color="auto" w:sz="4" w:space="0"/>
              <w:left w:val="single" w:color="auto" w:sz="4" w:space="0"/>
              <w:bottom w:val="single" w:color="auto" w:sz="4" w:space="0"/>
              <w:right w:val="single" w:color="auto" w:sz="4" w:space="0"/>
            </w:tcBorders>
            <w:shd w:val="clear" w:color="auto" w:fill="auto"/>
          </w:tcPr>
          <w:p w14:paraId="5A5FF68C">
            <w:pPr>
              <w:pStyle w:val="33"/>
              <w:tabs>
                <w:tab w:val="center" w:pos="4201"/>
                <w:tab w:val="right" w:leader="dot" w:pos="9298"/>
              </w:tabs>
              <w:autoSpaceDE w:val="0"/>
              <w:autoSpaceDN w:val="0"/>
              <w:spacing w:before="0" w:beforeAutospacing="0" w:after="0" w:afterAutospacing="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drawing>
                <wp:inline distT="0" distB="0" distL="114300" distR="114300">
                  <wp:extent cx="1200150" cy="1076325"/>
                  <wp:effectExtent l="0" t="0" r="0" b="9525"/>
                  <wp:docPr id="14" name="图片 21" descr="d438c371a901706a576c554deb2d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d438c371a901706a576c554deb2d853"/>
                          <pic:cNvPicPr>
                            <a:picLocks noChangeAspect="1"/>
                          </pic:cNvPicPr>
                        </pic:nvPicPr>
                        <pic:blipFill>
                          <a:blip r:embed="rId12"/>
                          <a:stretch>
                            <a:fillRect/>
                          </a:stretch>
                        </pic:blipFill>
                        <pic:spPr>
                          <a:xfrm>
                            <a:off x="0" y="0"/>
                            <a:ext cx="1200150" cy="1076325"/>
                          </a:xfrm>
                          <a:prstGeom prst="rect">
                            <a:avLst/>
                          </a:prstGeom>
                          <a:noFill/>
                          <a:ln>
                            <a:noFill/>
                          </a:ln>
                        </pic:spPr>
                      </pic:pic>
                    </a:graphicData>
                  </a:graphic>
                </wp:inline>
              </w:drawing>
            </w:r>
          </w:p>
        </w:tc>
      </w:tr>
      <w:tr w14:paraId="76F8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678" w:type="dxa"/>
            <w:tcBorders>
              <w:top w:val="single" w:color="auto" w:sz="4" w:space="0"/>
              <w:left w:val="single" w:color="auto" w:sz="4" w:space="0"/>
              <w:right w:val="single" w:color="auto" w:sz="4" w:space="0"/>
            </w:tcBorders>
            <w:shd w:val="clear" w:color="auto" w:fill="auto"/>
            <w:vAlign w:val="center"/>
          </w:tcPr>
          <w:p w14:paraId="116F6D20">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lang w:bidi="ar"/>
              </w:rPr>
              <w:t>进一步增加扩散物覆盖层厚度或扩散物中重稀土浓度的效果</w:t>
            </w:r>
          </w:p>
        </w:tc>
        <w:tc>
          <w:tcPr>
            <w:tcW w:w="2106" w:type="dxa"/>
            <w:tcBorders>
              <w:top w:val="single" w:color="auto" w:sz="4" w:space="0"/>
              <w:left w:val="single" w:color="auto" w:sz="4" w:space="0"/>
              <w:right w:val="single" w:color="auto" w:sz="4" w:space="0"/>
            </w:tcBorders>
            <w:shd w:val="clear" w:color="auto" w:fill="auto"/>
            <w:vAlign w:val="center"/>
          </w:tcPr>
          <w:p w14:paraId="081B6B4A">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lang w:eastAsia="zh-CN" w:bidi="ar"/>
              </w:rPr>
              <w:t>对扩散方向较厚的产品，</w:t>
            </w:r>
            <w:r>
              <w:rPr>
                <w:rFonts w:hint="eastAsia" w:asciiTheme="minorEastAsia" w:hAnsiTheme="minorEastAsia" w:eastAsiaTheme="minorEastAsia" w:cstheme="minorEastAsia"/>
                <w:sz w:val="18"/>
                <w:szCs w:val="18"/>
                <w:lang w:bidi="ar"/>
              </w:rPr>
              <w:t>HcJ还会大幅增加，重稀土利用效率</w:t>
            </w:r>
            <w:r>
              <w:rPr>
                <w:rFonts w:hint="eastAsia" w:asciiTheme="minorEastAsia" w:hAnsiTheme="minorEastAsia" w:eastAsiaTheme="minorEastAsia" w:cstheme="minorEastAsia"/>
                <w:sz w:val="18"/>
                <w:szCs w:val="18"/>
                <w:lang w:eastAsia="zh-CN" w:bidi="ar"/>
              </w:rPr>
              <w:t>较高。</w:t>
            </w:r>
          </w:p>
        </w:tc>
        <w:tc>
          <w:tcPr>
            <w:tcW w:w="2106" w:type="dxa"/>
            <w:tcBorders>
              <w:top w:val="single" w:color="auto" w:sz="4" w:space="0"/>
              <w:left w:val="single" w:color="auto" w:sz="4" w:space="0"/>
              <w:right w:val="single" w:color="auto" w:sz="4" w:space="0"/>
            </w:tcBorders>
            <w:shd w:val="clear" w:color="auto" w:fill="auto"/>
            <w:vAlign w:val="center"/>
          </w:tcPr>
          <w:p w14:paraId="14AFF337">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lang w:bidi="ar"/>
              </w:rPr>
              <w:t>HcJ趋近饱和，重稀土利用效率开始下降。</w:t>
            </w:r>
          </w:p>
        </w:tc>
        <w:tc>
          <w:tcPr>
            <w:tcW w:w="2106" w:type="dxa"/>
            <w:tcBorders>
              <w:top w:val="single" w:color="auto" w:sz="4" w:space="0"/>
              <w:left w:val="single" w:color="auto" w:sz="4" w:space="0"/>
              <w:bottom w:val="single" w:color="auto" w:sz="4" w:space="0"/>
              <w:right w:val="single" w:color="auto" w:sz="4" w:space="0"/>
            </w:tcBorders>
            <w:shd w:val="clear" w:color="auto" w:fill="auto"/>
            <w:vAlign w:val="center"/>
          </w:tcPr>
          <w:p w14:paraId="6F4002E8">
            <w:pPr>
              <w:pStyle w:val="33"/>
              <w:tabs>
                <w:tab w:val="center" w:pos="4201"/>
                <w:tab w:val="right" w:leader="dot" w:pos="9298"/>
              </w:tabs>
              <w:autoSpaceDE w:val="0"/>
              <w:autoSpaceDN w:val="0"/>
              <w:spacing w:before="0" w:beforeAutospacing="0" w:after="0" w:afterAutospacing="0"/>
              <w:rPr>
                <w:rFonts w:hint="eastAsia"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lang w:eastAsia="zh-CN" w:bidi="ar"/>
              </w:rPr>
              <w:t>整体</w:t>
            </w:r>
            <w:r>
              <w:rPr>
                <w:rFonts w:hint="eastAsia" w:asciiTheme="minorEastAsia" w:hAnsiTheme="minorEastAsia" w:eastAsiaTheme="minorEastAsia" w:cstheme="minorEastAsia"/>
                <w:sz w:val="18"/>
                <w:szCs w:val="18"/>
                <w:lang w:bidi="ar"/>
              </w:rPr>
              <w:t>HcJ进一步提升幅度很小，重稀土利用效率进一步下降。</w:t>
            </w:r>
          </w:p>
        </w:tc>
      </w:tr>
    </w:tbl>
    <w:p w14:paraId="52E343EB">
      <w:pPr>
        <w:pStyle w:val="33"/>
        <w:widowControl w:val="0"/>
        <w:numPr>
          <w:ilvl w:val="-1"/>
          <w:numId w:val="0"/>
        </w:numPr>
        <w:spacing w:before="0" w:beforeAutospacing="0" w:after="0" w:afterAutospacing="0"/>
        <w:ind w:firstLine="0" w:firstLineChars="0"/>
        <w:jc w:val="both"/>
        <w:rPr>
          <w:rFonts w:hint="eastAsia" w:ascii="黑体" w:hAnsi="黑体" w:eastAsia="黑体" w:cs="黑体"/>
          <w:kern w:val="2"/>
          <w:sz w:val="21"/>
          <w:szCs w:val="21"/>
          <w:lang w:val="en-US" w:eastAsia="zh-CN" w:bidi="ar"/>
        </w:rPr>
      </w:pPr>
    </w:p>
    <w:p w14:paraId="56EF79FD">
      <w:pPr>
        <w:pStyle w:val="33"/>
        <w:widowControl w:val="0"/>
        <w:numPr>
          <w:ilvl w:val="-1"/>
          <w:numId w:val="0"/>
        </w:numPr>
        <w:spacing w:before="157" w:beforeLines="50" w:beforeAutospacing="0" w:after="157" w:afterLines="50" w:afterAutospacing="0"/>
        <w:ind w:firstLine="0" w:firstLineChars="0"/>
        <w:jc w:val="both"/>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A.2 用于晶界扩散工艺优化时的建议</w:t>
      </w:r>
    </w:p>
    <w:p w14:paraId="24347909">
      <w:pPr>
        <w:pStyle w:val="33"/>
        <w:widowControl w:val="0"/>
        <w:numPr>
          <w:ilvl w:val="-1"/>
          <w:numId w:val="0"/>
        </w:numPr>
        <w:spacing w:before="0" w:beforeAutospacing="0" w:after="0" w:afterAutospacing="0"/>
        <w:ind w:firstLine="420" w:firstLineChars="200"/>
        <w:jc w:val="both"/>
        <w:rPr>
          <w:rFonts w:hint="default" w:ascii="Times New Roman" w:hAnsi="Times New Roman" w:cs="Times New Roman" w:eastAsiaTheme="minorEastAsia"/>
          <w:kern w:val="2"/>
          <w:sz w:val="21"/>
          <w:szCs w:val="21"/>
          <w:lang w:val="en-US" w:eastAsia="zh-CN" w:bidi="ar"/>
        </w:rPr>
      </w:pPr>
      <w:r>
        <w:rPr>
          <w:rFonts w:hint="default" w:ascii="Times New Roman" w:hAnsi="Times New Roman" w:cs="Times New Roman" w:eastAsiaTheme="minorEastAsia"/>
          <w:kern w:val="2"/>
          <w:sz w:val="21"/>
          <w:szCs w:val="21"/>
          <w:lang w:val="en-US" w:eastAsia="zh-CN" w:bidi="ar"/>
        </w:rPr>
        <w:t>如要用同一基体比较两种扩散源</w:t>
      </w:r>
      <w:r>
        <w:rPr>
          <w:rFonts w:hint="eastAsia" w:ascii="Times New Roman" w:hAnsi="Times New Roman" w:cs="Times New Roman" w:eastAsiaTheme="minorEastAsia"/>
          <w:kern w:val="2"/>
          <w:sz w:val="21"/>
          <w:szCs w:val="21"/>
          <w:lang w:val="en-US" w:eastAsia="zh-CN" w:bidi="ar"/>
        </w:rPr>
        <w:t>或不同扩散方向</w:t>
      </w:r>
      <w:r>
        <w:rPr>
          <w:rFonts w:hint="default" w:ascii="Times New Roman" w:hAnsi="Times New Roman" w:cs="Times New Roman" w:eastAsiaTheme="minorEastAsia"/>
          <w:kern w:val="2"/>
          <w:sz w:val="21"/>
          <w:szCs w:val="21"/>
          <w:lang w:val="en-US" w:eastAsia="zh-CN" w:bidi="ar"/>
        </w:rPr>
        <w:t>的扩散效果，或用同一扩散源比较不同微结构磁体的扩散效果，可通过测量磁体表层扩散元素含量随深度变化曲线，比较那一种情况下扩散元素更容易扩散进基体内部。如下图A1中b曲线对应</w:t>
      </w:r>
      <w:r>
        <w:rPr>
          <w:rFonts w:hint="eastAsia" w:ascii="Times New Roman" w:hAnsi="Times New Roman" w:cs="Times New Roman" w:eastAsiaTheme="minorEastAsia"/>
          <w:kern w:val="2"/>
          <w:sz w:val="21"/>
          <w:szCs w:val="21"/>
          <w:lang w:val="en-US" w:eastAsia="zh-CN" w:bidi="ar"/>
        </w:rPr>
        <w:t>扩散</w:t>
      </w:r>
      <w:r>
        <w:rPr>
          <w:rFonts w:hint="default" w:ascii="Times New Roman" w:hAnsi="Times New Roman" w:cs="Times New Roman" w:eastAsiaTheme="minorEastAsia"/>
          <w:kern w:val="2"/>
          <w:sz w:val="21"/>
          <w:szCs w:val="21"/>
          <w:lang w:val="en-US" w:eastAsia="zh-CN" w:bidi="ar"/>
        </w:rPr>
        <w:t>工艺要优于a曲线对应</w:t>
      </w:r>
      <w:r>
        <w:rPr>
          <w:rFonts w:hint="eastAsia" w:ascii="Times New Roman" w:hAnsi="Times New Roman" w:cs="Times New Roman" w:eastAsiaTheme="minorEastAsia"/>
          <w:kern w:val="2"/>
          <w:sz w:val="21"/>
          <w:szCs w:val="21"/>
          <w:lang w:val="en-US" w:eastAsia="zh-CN" w:bidi="ar"/>
        </w:rPr>
        <w:t>扩散</w:t>
      </w:r>
      <w:r>
        <w:rPr>
          <w:rFonts w:hint="default" w:ascii="Times New Roman" w:hAnsi="Times New Roman" w:cs="Times New Roman" w:eastAsiaTheme="minorEastAsia"/>
          <w:kern w:val="2"/>
          <w:sz w:val="21"/>
          <w:szCs w:val="21"/>
          <w:lang w:val="en-US" w:eastAsia="zh-CN" w:bidi="ar"/>
        </w:rPr>
        <w:t>工艺。</w:t>
      </w:r>
    </w:p>
    <w:p w14:paraId="3BBC461F">
      <w:pPr>
        <w:pStyle w:val="33"/>
        <w:widowControl w:val="0"/>
        <w:numPr>
          <w:ilvl w:val="-1"/>
          <w:numId w:val="0"/>
        </w:numPr>
        <w:spacing w:before="0" w:beforeAutospacing="0" w:after="0" w:afterAutospacing="0"/>
        <w:ind w:firstLine="0" w:firstLineChars="0"/>
        <w:jc w:val="both"/>
        <w:rPr>
          <w:rFonts w:hint="default" w:ascii="Times New Roman" w:hAnsi="Times New Roman" w:cs="Times New Roman" w:eastAsiaTheme="minorEastAsia"/>
          <w:kern w:val="2"/>
          <w:sz w:val="21"/>
          <w:szCs w:val="21"/>
          <w:lang w:val="en-US" w:eastAsia="zh-CN" w:bidi="ar"/>
        </w:rPr>
      </w:pPr>
    </w:p>
    <w:p w14:paraId="4C0E9E60">
      <w:pPr>
        <w:pStyle w:val="33"/>
        <w:widowControl w:val="0"/>
        <w:numPr>
          <w:ilvl w:val="-1"/>
          <w:numId w:val="0"/>
        </w:numPr>
        <w:spacing w:before="0" w:beforeAutospacing="0" w:after="0" w:afterAutospacing="0"/>
        <w:ind w:firstLine="0" w:firstLineChars="0"/>
        <w:jc w:val="center"/>
        <w:rPr>
          <w:rFonts w:hint="eastAsia" w:asciiTheme="minorEastAsia" w:hAnsiTheme="minorEastAsia" w:eastAsiaTheme="minorEastAsia" w:cstheme="minorEastAsia"/>
          <w:sz w:val="21"/>
          <w:szCs w:val="21"/>
        </w:rPr>
      </w:pPr>
    </w:p>
    <w:p w14:paraId="67DF73C5">
      <w:pPr>
        <w:pStyle w:val="33"/>
        <w:widowControl w:val="0"/>
        <w:numPr>
          <w:ilvl w:val="-1"/>
          <w:numId w:val="0"/>
        </w:numPr>
        <w:spacing w:before="0" w:beforeAutospacing="0" w:after="0" w:afterAutospacing="0"/>
        <w:ind w:firstLine="0" w:firstLineChars="0"/>
        <w:jc w:val="center"/>
        <w:rPr>
          <w:rFonts w:hint="eastAsia" w:asciiTheme="minorEastAsia" w:hAnsiTheme="minorEastAsia" w:eastAsiaTheme="minorEastAsia" w:cstheme="minorEastAsia"/>
          <w:sz w:val="21"/>
          <w:szCs w:val="21"/>
        </w:rPr>
      </w:pPr>
    </w:p>
    <w:p w14:paraId="6E0BF9F6">
      <w:pPr>
        <w:pStyle w:val="33"/>
        <w:widowControl w:val="0"/>
        <w:numPr>
          <w:ilvl w:val="-1"/>
          <w:numId w:val="0"/>
        </w:numPr>
        <w:spacing w:before="0" w:beforeAutospacing="0" w:after="0" w:afterAutospacing="0"/>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drawing>
          <wp:inline distT="0" distB="0" distL="114300" distR="114300">
            <wp:extent cx="2966085" cy="1644650"/>
            <wp:effectExtent l="0" t="0" r="5715" b="1270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3"/>
                    <a:stretch>
                      <a:fillRect/>
                    </a:stretch>
                  </pic:blipFill>
                  <pic:spPr>
                    <a:xfrm>
                      <a:off x="0" y="0"/>
                      <a:ext cx="2966085" cy="1644650"/>
                    </a:xfrm>
                    <a:prstGeom prst="rect">
                      <a:avLst/>
                    </a:prstGeom>
                    <a:noFill/>
                    <a:ln>
                      <a:noFill/>
                    </a:ln>
                  </pic:spPr>
                </pic:pic>
              </a:graphicData>
            </a:graphic>
          </wp:inline>
        </w:drawing>
      </w:r>
    </w:p>
    <w:p w14:paraId="4188BEF5">
      <w:pPr>
        <w:pStyle w:val="33"/>
        <w:widowControl w:val="0"/>
        <w:numPr>
          <w:ilvl w:val="-1"/>
          <w:numId w:val="0"/>
        </w:numPr>
        <w:spacing w:before="0" w:beforeAutospacing="0" w:after="0" w:afterAutospacing="0"/>
        <w:ind w:firstLine="0" w:firstLineChars="0"/>
        <w:jc w:val="center"/>
        <w:rPr>
          <w:rFonts w:hint="eastAsia" w:asciiTheme="minorEastAsia" w:hAnsiTheme="minorEastAsia" w:eastAsiaTheme="minorEastAsia" w:cstheme="minorEastAsia"/>
          <w:sz w:val="21"/>
          <w:szCs w:val="21"/>
          <w:lang w:val="en-US" w:eastAsia="zh-CN"/>
        </w:rPr>
      </w:pPr>
      <w:r>
        <w:rPr>
          <w:rFonts w:hint="eastAsia" w:ascii="黑体" w:hAnsi="黑体" w:eastAsia="黑体" w:cs="黑体"/>
          <w:sz w:val="21"/>
          <w:szCs w:val="21"/>
          <w:lang w:val="en-US" w:eastAsia="zh-CN"/>
        </w:rPr>
        <w:t>图A1 扩散元素进入基体内部容易程度示意图</w:t>
      </w:r>
    </w:p>
    <w:p w14:paraId="4FC99F0F">
      <w:pPr>
        <w:pStyle w:val="33"/>
        <w:widowControl w:val="0"/>
        <w:numPr>
          <w:ilvl w:val="-1"/>
          <w:numId w:val="0"/>
        </w:numPr>
        <w:spacing w:before="0" w:beforeAutospacing="0" w:after="0" w:afterAutospacing="0"/>
        <w:ind w:firstLine="0" w:firstLineChars="0"/>
        <w:jc w:val="left"/>
        <w:rPr>
          <w:rFonts w:hint="eastAsia" w:asciiTheme="minorEastAsia" w:hAnsiTheme="minorEastAsia" w:eastAsiaTheme="minorEastAsia" w:cstheme="minorEastAsia"/>
          <w:sz w:val="21"/>
          <w:szCs w:val="21"/>
          <w:lang w:val="en-US" w:eastAsia="zh-CN"/>
        </w:rPr>
      </w:pPr>
    </w:p>
    <w:p w14:paraId="772BF075">
      <w:pPr>
        <w:pStyle w:val="33"/>
        <w:widowControl w:val="0"/>
        <w:numPr>
          <w:ilvl w:val="-1"/>
          <w:numId w:val="0"/>
        </w:numPr>
        <w:spacing w:before="0" w:beforeAutospacing="0" w:after="0" w:afterAutospacing="0"/>
        <w:ind w:firstLine="0" w:firstLineChars="0"/>
        <w:jc w:val="left"/>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A.3 使用膝点矫顽力评价的建议</w:t>
      </w:r>
    </w:p>
    <w:p w14:paraId="536A23A7">
      <w:pPr>
        <w:pStyle w:val="33"/>
        <w:widowControl w:val="0"/>
        <w:numPr>
          <w:ilvl w:val="-1"/>
          <w:numId w:val="0"/>
        </w:numPr>
        <w:spacing w:before="157" w:beforeLines="50" w:beforeAutospacing="0" w:after="157" w:afterLines="50" w:afterAutospacing="0"/>
        <w:ind w:firstLine="420" w:firstLineChars="200"/>
        <w:jc w:val="left"/>
        <w:rPr>
          <w:rFonts w:hint="eastAsia" w:asciiTheme="minorEastAsia" w:hAnsiTheme="minorEastAsia" w:eastAsiaTheme="minorEastAsia" w:cstheme="minorEastAsia"/>
          <w:kern w:val="0"/>
          <w:sz w:val="21"/>
          <w:szCs w:val="21"/>
          <w:highlight w:val="none"/>
          <w:lang w:eastAsia="zh-CN"/>
        </w:rPr>
      </w:pPr>
      <w:r>
        <w:rPr>
          <w:rFonts w:hint="default" w:ascii="Times New Roman" w:hAnsi="Times New Roman" w:cs="Times New Roman" w:eastAsiaTheme="minorEastAsia"/>
          <w:sz w:val="21"/>
          <w:szCs w:val="21"/>
          <w:lang w:val="en-US" w:eastAsia="zh-CN"/>
        </w:rPr>
        <w:t>目前脉冲法测量膝点矫顽力H</w:t>
      </w:r>
      <w:r>
        <w:rPr>
          <w:rFonts w:hint="default" w:ascii="Times New Roman" w:hAnsi="Times New Roman" w:cs="Times New Roman" w:eastAsiaTheme="minorEastAsia"/>
          <w:sz w:val="21"/>
          <w:szCs w:val="21"/>
          <w:vertAlign w:val="subscript"/>
          <w:lang w:val="en-US" w:eastAsia="zh-CN"/>
        </w:rPr>
        <w:t>k</w:t>
      </w:r>
      <w:r>
        <w:rPr>
          <w:rFonts w:hint="default" w:ascii="Times New Roman" w:hAnsi="Times New Roman" w:cs="Times New Roman" w:eastAsiaTheme="minorEastAsia"/>
          <w:sz w:val="21"/>
          <w:szCs w:val="21"/>
          <w:lang w:val="en-US" w:eastAsia="zh-CN"/>
        </w:rPr>
        <w:t>的不确定度比较大。如需要比较</w:t>
      </w:r>
      <w:r>
        <w:rPr>
          <w:rFonts w:hint="default" w:ascii="Times New Roman" w:hAnsi="Times New Roman" w:cs="Times New Roman" w:eastAsiaTheme="minorEastAsia"/>
          <w:bCs/>
          <w:sz w:val="21"/>
          <w:szCs w:val="21"/>
          <w:highlight w:val="none"/>
        </w:rPr>
        <w:t>扩散后</w:t>
      </w:r>
      <w:r>
        <w:rPr>
          <w:rFonts w:hint="default" w:ascii="Times New Roman" w:hAnsi="Times New Roman" w:cs="Times New Roman" w:eastAsiaTheme="minorEastAsia"/>
          <w:snapToGrid w:val="0"/>
          <w:sz w:val="21"/>
          <w:szCs w:val="21"/>
        </w:rPr>
        <w:t>磁体内部与整体</w:t>
      </w:r>
      <w:r>
        <w:rPr>
          <w:rFonts w:hint="default" w:ascii="Times New Roman" w:hAnsi="Times New Roman" w:cs="Times New Roman" w:eastAsiaTheme="minorEastAsia"/>
          <w:kern w:val="0"/>
          <w:sz w:val="21"/>
          <w:szCs w:val="21"/>
        </w:rPr>
        <w:t>膝点矫顽力H</w:t>
      </w:r>
      <w:r>
        <w:rPr>
          <w:rFonts w:hint="default" w:ascii="Times New Roman" w:hAnsi="Times New Roman" w:cs="Times New Roman" w:eastAsiaTheme="minorEastAsia"/>
          <w:kern w:val="0"/>
          <w:sz w:val="21"/>
          <w:szCs w:val="21"/>
          <w:vertAlign w:val="subscript"/>
        </w:rPr>
        <w:t>k</w:t>
      </w:r>
      <w:r>
        <w:rPr>
          <w:rFonts w:hint="default" w:ascii="Times New Roman" w:hAnsi="Times New Roman" w:cs="Times New Roman" w:eastAsiaTheme="minorEastAsia"/>
          <w:snapToGrid w:val="0"/>
          <w:sz w:val="21"/>
          <w:szCs w:val="21"/>
        </w:rPr>
        <w:t>的比值</w:t>
      </w:r>
      <w:r>
        <w:rPr>
          <w:rFonts w:hint="default" w:ascii="Times New Roman" w:hAnsi="Times New Roman" w:cs="Times New Roman" w:eastAsiaTheme="minorEastAsia"/>
          <w:snapToGrid w:val="0"/>
          <w:sz w:val="21"/>
          <w:szCs w:val="21"/>
          <w:lang w:eastAsia="zh-CN"/>
        </w:rPr>
        <w:t>，建议用闭路方式测量室温或</w:t>
      </w:r>
      <w:r>
        <w:rPr>
          <w:rFonts w:hint="default" w:ascii="Times New Roman" w:hAnsi="Times New Roman" w:cs="Times New Roman" w:eastAsiaTheme="minorEastAsia"/>
          <w:snapToGrid w:val="0"/>
          <w:sz w:val="21"/>
          <w:szCs w:val="21"/>
          <w:lang w:val="en-US" w:eastAsia="zh-CN"/>
        </w:rPr>
        <w:t>120</w:t>
      </w:r>
      <w:r>
        <w:rPr>
          <w:rFonts w:hint="default" w:ascii="Times New Roman" w:hAnsi="Times New Roman" w:cs="Times New Roman" w:eastAsiaTheme="minorEastAsia"/>
          <w:kern w:val="2"/>
          <w:sz w:val="21"/>
          <w:szCs w:val="21"/>
          <w:lang w:val="en-US" w:eastAsia="zh-CN" w:bidi="ar"/>
        </w:rPr>
        <w:t>  </w:t>
      </w:r>
      <w:r>
        <w:rPr>
          <w:rFonts w:hint="default" w:ascii="Times New Roman" w:hAnsi="Times New Roman" w:cs="Times New Roman" w:eastAsiaTheme="minorEastAsia"/>
          <w:snapToGrid w:val="0"/>
          <w:sz w:val="21"/>
          <w:szCs w:val="21"/>
          <w:lang w:val="en-US" w:eastAsia="zh-CN"/>
        </w:rPr>
        <w:t>℃下样品的磁性能</w:t>
      </w:r>
      <w:r>
        <w:rPr>
          <w:rFonts w:hint="default" w:ascii="Times New Roman" w:hAnsi="Times New Roman" w:cs="Times New Roman" w:eastAsiaTheme="minorEastAsia"/>
          <w:kern w:val="0"/>
          <w:sz w:val="21"/>
          <w:szCs w:val="21"/>
          <w:highlight w:val="none"/>
          <w:lang w:eastAsia="zh-CN"/>
        </w:rPr>
        <w:t>。</w:t>
      </w:r>
    </w:p>
    <w:p w14:paraId="047113CB">
      <w:pPr>
        <w:pStyle w:val="33"/>
        <w:tabs>
          <w:tab w:val="center" w:pos="4201"/>
          <w:tab w:val="right" w:leader="dot" w:pos="9298"/>
        </w:tabs>
        <w:autoSpaceDE w:val="0"/>
        <w:autoSpaceDN w:val="0"/>
        <w:spacing w:before="156" w:beforeLines="50" w:beforeAutospacing="0" w:after="156" w:afterLines="50" w:afterAutospacing="0"/>
        <w:jc w:val="both"/>
        <w:rPr>
          <w:rFonts w:hint="eastAsia" w:ascii="黑体" w:hAnsi="黑体" w:eastAsia="黑体" w:cs="黑体"/>
          <w:sz w:val="21"/>
          <w:szCs w:val="21"/>
          <w:lang w:eastAsia="zh-CN"/>
        </w:rPr>
      </w:pPr>
      <w:r>
        <w:rPr>
          <w:rFonts w:hint="eastAsia" w:ascii="黑体" w:hAnsi="黑体" w:eastAsia="黑体" w:cs="黑体"/>
          <w:kern w:val="0"/>
          <w:sz w:val="21"/>
          <w:szCs w:val="21"/>
          <w:highlight w:val="none"/>
          <w:lang w:val="en-US" w:eastAsia="zh-CN"/>
        </w:rPr>
        <w:t>A.4 评价</w:t>
      </w:r>
      <w:r>
        <w:rPr>
          <w:rFonts w:hint="eastAsia" w:ascii="黑体" w:hAnsi="黑体" w:eastAsia="黑体" w:cs="黑体"/>
          <w:sz w:val="21"/>
          <w:szCs w:val="21"/>
          <w:lang w:bidi="ar"/>
        </w:rPr>
        <w:t>选区扩散磁体或非选区扩散磁体表面扩散均匀性</w:t>
      </w:r>
      <w:r>
        <w:rPr>
          <w:rFonts w:hint="eastAsia" w:ascii="黑体" w:hAnsi="黑体" w:eastAsia="黑体" w:cs="黑体"/>
          <w:sz w:val="21"/>
          <w:szCs w:val="21"/>
          <w:lang w:eastAsia="zh-CN" w:bidi="ar"/>
        </w:rPr>
        <w:t>的建议</w:t>
      </w:r>
    </w:p>
    <w:p w14:paraId="4E45C2E3">
      <w:pPr>
        <w:adjustRightInd w:val="0"/>
        <w:snapToGrid w:val="0"/>
        <w:spacing w:before="157" w:beforeLines="50" w:after="157" w:afterLines="50"/>
        <w:jc w:val="left"/>
        <w:textAlignment w:val="baseline"/>
        <w:rPr>
          <w:kern w:val="0"/>
          <w:szCs w:val="20"/>
        </w:rPr>
      </w:pPr>
      <w:r>
        <w:rPr>
          <w:rFonts w:hint="eastAsia" w:ascii="黑体" w:hAnsi="宋体" w:eastAsia="黑体" w:cs="黑体"/>
          <w:lang w:val="en-US" w:eastAsia="zh-CN" w:bidi="ar"/>
        </w:rPr>
        <w:t>A.4</w:t>
      </w:r>
      <w:r>
        <w:rPr>
          <w:rFonts w:hint="eastAsia" w:ascii="黑体" w:hAnsi="宋体" w:eastAsia="黑体" w:cs="黑体"/>
          <w:lang w:bidi="ar"/>
        </w:rPr>
        <w:t xml:space="preserve">.1 </w:t>
      </w:r>
      <w:r>
        <w:rPr>
          <w:rFonts w:hint="eastAsia" w:cs="宋体"/>
          <w:kern w:val="0"/>
          <w:szCs w:val="20"/>
          <w:lang w:bidi="ar"/>
        </w:rPr>
        <w:t>先用高精度单面磨床将与待测选区主扩散面对应的另一面磨平，磨削量应不少于</w:t>
      </w:r>
      <w:r>
        <w:rPr>
          <w:rFonts w:hint="eastAsia"/>
          <w:kern w:val="0"/>
          <w:szCs w:val="20"/>
          <w:lang w:val="en-US" w:eastAsia="zh-CN" w:bidi="ar"/>
        </w:rPr>
        <w:t>5</w:t>
      </w:r>
      <w:r>
        <w:rPr>
          <w:kern w:val="0"/>
          <w:szCs w:val="20"/>
          <w:lang w:bidi="ar"/>
        </w:rPr>
        <w:t>0</w:t>
      </w:r>
      <w:r>
        <w:rPr>
          <w:rFonts w:hint="eastAsia" w:asciiTheme="minorEastAsia" w:hAnsiTheme="minorEastAsia" w:eastAsiaTheme="minorEastAsia" w:cstheme="minorEastAsia"/>
          <w:kern w:val="2"/>
          <w:sz w:val="21"/>
          <w:szCs w:val="21"/>
          <w:lang w:val="en-US" w:eastAsia="zh-CN" w:bidi="ar"/>
        </w:rPr>
        <w:t> </w:t>
      </w:r>
      <w:r>
        <w:rPr>
          <w:kern w:val="0"/>
          <w:szCs w:val="20"/>
          <w:lang w:bidi="ar"/>
        </w:rPr>
        <w:t>μm</w:t>
      </w:r>
      <w:r>
        <w:rPr>
          <w:rFonts w:hint="eastAsia" w:cs="宋体"/>
          <w:kern w:val="0"/>
          <w:szCs w:val="20"/>
          <w:lang w:bidi="ar"/>
        </w:rPr>
        <w:t>，</w:t>
      </w:r>
      <w:r>
        <w:rPr>
          <w:rFonts w:hint="eastAsia" w:cs="宋体"/>
          <w:szCs w:val="21"/>
          <w:lang w:bidi="ar"/>
        </w:rPr>
        <w:t>并在该面用机加工方式做一个标识。</w:t>
      </w:r>
      <w:r>
        <w:rPr>
          <w:rFonts w:hint="eastAsia" w:cs="宋体"/>
          <w:kern w:val="0"/>
          <w:szCs w:val="20"/>
          <w:lang w:bidi="ar"/>
        </w:rPr>
        <w:t>以磨削过的样品表面作为厚度测量基准面，测量确定样品初始厚度</w:t>
      </w:r>
      <w:r>
        <w:rPr>
          <w:kern w:val="0"/>
          <w:szCs w:val="20"/>
          <w:lang w:bidi="ar"/>
        </w:rPr>
        <w:t>H</w:t>
      </w:r>
      <w:r>
        <w:rPr>
          <w:kern w:val="0"/>
          <w:szCs w:val="20"/>
          <w:vertAlign w:val="subscript"/>
          <w:lang w:bidi="ar"/>
        </w:rPr>
        <w:t>0</w:t>
      </w:r>
      <w:r>
        <w:rPr>
          <w:rFonts w:hint="eastAsia" w:cs="宋体"/>
          <w:kern w:val="0"/>
          <w:szCs w:val="20"/>
          <w:lang w:bidi="ar"/>
        </w:rPr>
        <w:t>。再用高精度单面磨床对待测主扩散面进行加工，完全清除掉样品表面残余扩散源物质及氧化物，加工去皮厚度</w:t>
      </w:r>
      <w:r>
        <w:rPr>
          <w:rFonts w:hint="eastAsia" w:cs="宋体"/>
          <w:kern w:val="0"/>
          <w:szCs w:val="20"/>
          <w:lang w:eastAsia="zh-CN" w:bidi="ar"/>
        </w:rPr>
        <w:t>通常应小于</w:t>
      </w:r>
      <w:r>
        <w:rPr>
          <w:kern w:val="0"/>
          <w:szCs w:val="20"/>
          <w:lang w:bidi="ar"/>
        </w:rPr>
        <w:t>50</w:t>
      </w:r>
      <w:r>
        <w:rPr>
          <w:rFonts w:hint="eastAsia" w:asciiTheme="minorEastAsia" w:hAnsiTheme="minorEastAsia" w:eastAsiaTheme="minorEastAsia" w:cstheme="minorEastAsia"/>
          <w:kern w:val="2"/>
          <w:sz w:val="21"/>
          <w:szCs w:val="21"/>
          <w:lang w:val="en-US" w:eastAsia="zh-CN" w:bidi="ar"/>
        </w:rPr>
        <w:t> </w:t>
      </w:r>
      <w:r>
        <w:rPr>
          <w:kern w:val="0"/>
          <w:szCs w:val="20"/>
          <w:lang w:bidi="ar"/>
        </w:rPr>
        <w:t>μm</w:t>
      </w:r>
      <w:r>
        <w:rPr>
          <w:rFonts w:hint="eastAsia" w:cs="宋体"/>
          <w:kern w:val="0"/>
          <w:szCs w:val="20"/>
          <w:lang w:bidi="ar"/>
        </w:rPr>
        <w:t>。</w:t>
      </w:r>
    </w:p>
    <w:p w14:paraId="57B36673">
      <w:pPr>
        <w:adjustRightInd w:val="0"/>
        <w:snapToGrid w:val="0"/>
        <w:spacing w:before="157" w:beforeLines="50" w:after="157" w:afterLines="50"/>
        <w:jc w:val="left"/>
        <w:textAlignment w:val="baseline"/>
        <w:rPr>
          <w:kern w:val="0"/>
          <w:szCs w:val="20"/>
        </w:rPr>
      </w:pPr>
      <w:r>
        <w:rPr>
          <w:rFonts w:hint="eastAsia" w:ascii="黑体" w:hAnsi="宋体" w:eastAsia="黑体" w:cs="黑体"/>
          <w:kern w:val="0"/>
          <w:szCs w:val="20"/>
          <w:lang w:val="en-US" w:eastAsia="zh-CN" w:bidi="ar"/>
        </w:rPr>
        <w:t>A</w:t>
      </w:r>
      <w:r>
        <w:rPr>
          <w:rFonts w:hint="eastAsia" w:ascii="黑体" w:hAnsi="宋体" w:eastAsia="黑体" w:cs="黑体"/>
          <w:kern w:val="0"/>
          <w:szCs w:val="20"/>
          <w:lang w:bidi="ar"/>
        </w:rPr>
        <w:t>.</w:t>
      </w:r>
      <w:r>
        <w:rPr>
          <w:rFonts w:hint="eastAsia" w:ascii="黑体" w:hAnsi="宋体" w:eastAsia="黑体" w:cs="黑体"/>
          <w:kern w:val="0"/>
          <w:szCs w:val="20"/>
          <w:lang w:val="en-US" w:eastAsia="zh-CN" w:bidi="ar"/>
        </w:rPr>
        <w:t>4</w:t>
      </w:r>
      <w:r>
        <w:rPr>
          <w:rFonts w:hint="eastAsia" w:ascii="黑体" w:hAnsi="宋体" w:eastAsia="黑体" w:cs="黑体"/>
          <w:kern w:val="0"/>
          <w:szCs w:val="20"/>
          <w:lang w:bidi="ar"/>
        </w:rPr>
        <w:t>.2</w:t>
      </w:r>
      <w:r>
        <w:rPr>
          <w:kern w:val="0"/>
          <w:szCs w:val="20"/>
          <w:lang w:bidi="ar"/>
        </w:rPr>
        <w:t xml:space="preserve"> </w:t>
      </w:r>
      <w:r>
        <w:rPr>
          <w:rFonts w:hint="eastAsia" w:cs="宋体"/>
          <w:kern w:val="0"/>
          <w:szCs w:val="20"/>
          <w:lang w:bidi="ar"/>
        </w:rPr>
        <w:t>按本文</w:t>
      </w:r>
      <w:r>
        <w:rPr>
          <w:kern w:val="0"/>
          <w:szCs w:val="20"/>
          <w:lang w:bidi="ar"/>
        </w:rPr>
        <w:t>5.8</w:t>
      </w:r>
      <w:r>
        <w:rPr>
          <w:rFonts w:hint="eastAsia" w:cs="宋体"/>
          <w:kern w:val="0"/>
          <w:szCs w:val="20"/>
          <w:lang w:bidi="ar"/>
        </w:rPr>
        <w:t>条所述方式，用能量型</w:t>
      </w:r>
      <w:r>
        <w:rPr>
          <w:kern w:val="0"/>
          <w:szCs w:val="20"/>
          <w:lang w:bidi="ar"/>
        </w:rPr>
        <w:t>X</w:t>
      </w:r>
      <w:r>
        <w:rPr>
          <w:rFonts w:hint="eastAsia" w:cs="宋体"/>
          <w:kern w:val="0"/>
          <w:szCs w:val="20"/>
          <w:lang w:bidi="ar"/>
        </w:rPr>
        <w:t>射线仪小条型光斑扫描测量样品表面扩散元素含量分布。扫描线路可参考示意图A</w:t>
      </w:r>
      <w:r>
        <w:rPr>
          <w:rFonts w:hint="eastAsia" w:cs="宋体"/>
          <w:kern w:val="0"/>
          <w:szCs w:val="20"/>
          <w:lang w:val="en-US" w:eastAsia="zh-CN" w:bidi="ar"/>
        </w:rPr>
        <w:t>2中虚线</w:t>
      </w:r>
      <w:r>
        <w:rPr>
          <w:rFonts w:hint="eastAsia" w:cs="宋体"/>
          <w:kern w:val="0"/>
          <w:szCs w:val="20"/>
          <w:lang w:bidi="ar"/>
        </w:rPr>
        <w:t>。</w:t>
      </w:r>
    </w:p>
    <w:p w14:paraId="2C2A5DEE">
      <w:pPr>
        <w:adjustRightInd w:val="0"/>
        <w:snapToGrid w:val="0"/>
        <w:jc w:val="left"/>
        <w:textAlignment w:val="baseline"/>
        <w:rPr>
          <w:kern w:val="0"/>
          <w:szCs w:val="20"/>
        </w:rPr>
      </w:pPr>
    </w:p>
    <w:p w14:paraId="4D6BCF22">
      <w:pPr>
        <w:pStyle w:val="33"/>
        <w:tabs>
          <w:tab w:val="center" w:pos="4201"/>
          <w:tab w:val="right" w:leader="dot" w:pos="9298"/>
        </w:tabs>
        <w:autoSpaceDE w:val="0"/>
        <w:autoSpaceDN w:val="0"/>
        <w:spacing w:before="0" w:beforeAutospacing="0" w:after="0" w:afterAutospacing="0" w:line="360" w:lineRule="auto"/>
        <w:ind w:firstLine="420" w:firstLineChars="200"/>
        <w:jc w:val="both"/>
        <w:rPr>
          <w:rFonts w:hint="eastAsia"/>
        </w:rPr>
      </w:pPr>
      <w:r>
        <w:rPr>
          <w:rFonts w:hint="eastAsia" w:hAnsi="Times New Roman" w:cs="Times New Roman"/>
          <w:sz w:val="21"/>
          <w:szCs w:val="20"/>
        </w:rPr>
        <mc:AlternateContent>
          <mc:Choice Requires="wps">
            <w:drawing>
              <wp:anchor distT="0" distB="0" distL="114300" distR="114300" simplePos="0" relativeHeight="251665408" behindDoc="0" locked="0" layoutInCell="1" allowOverlap="1">
                <wp:simplePos x="0" y="0"/>
                <wp:positionH relativeFrom="column">
                  <wp:posOffset>2151380</wp:posOffset>
                </wp:positionH>
                <wp:positionV relativeFrom="paragraph">
                  <wp:posOffset>205105</wp:posOffset>
                </wp:positionV>
                <wp:extent cx="1134745" cy="0"/>
                <wp:effectExtent l="0" t="4445" r="0" b="0"/>
                <wp:wrapNone/>
                <wp:docPr id="18" name="直接连接符 24"/>
                <wp:cNvGraphicFramePr/>
                <a:graphic xmlns:a="http://schemas.openxmlformats.org/drawingml/2006/main">
                  <a:graphicData uri="http://schemas.microsoft.com/office/word/2010/wordprocessingShape">
                    <wps:wsp>
                      <wps:cNvCnPr/>
                      <wps:spPr>
                        <a:xfrm>
                          <a:off x="0" y="0"/>
                          <a:ext cx="1134745" cy="0"/>
                        </a:xfrm>
                        <a:prstGeom prst="line">
                          <a:avLst/>
                        </a:prstGeom>
                        <a:ln w="9525" cap="flat" cmpd="sng">
                          <a:solidFill>
                            <a:srgbClr val="4579B8"/>
                          </a:solidFill>
                          <a:prstDash val="sysDash"/>
                          <a:headEnd type="none" w="med" len="med"/>
                          <a:tailEnd type="none" w="med" len="med"/>
                        </a:ln>
                      </wps:spPr>
                      <wps:bodyPr/>
                    </wps:wsp>
                  </a:graphicData>
                </a:graphic>
              </wp:anchor>
            </w:drawing>
          </mc:Choice>
          <mc:Fallback>
            <w:pict>
              <v:line id="直接连接符 24" o:spid="_x0000_s1026" o:spt="20" style="position:absolute;left:0pt;margin-left:169.4pt;margin-top:16.15pt;height:0pt;width:89.35pt;z-index:251665408;mso-width-relative:page;mso-height-relative:page;" filled="f" stroked="t" coordsize="21600,21600" o:gfxdata="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LCBRtkAAAAJAQAADwAAAAAAAAABACAAAAAiAAAAZHJzL2Rvd25yZXYueG1sUEsB&#10;AhQAFAAAAAgAh07iQKx4cZf0AQAA3AMAAA4AAAAAAAAAAQAgAAAAKAEAAGRycy9lMm9Eb2MueG1s&#10;UEsFBgAAAAAGAAYAWQEAAI4FAAAAAA==&#10;">
                <v:fill on="f" focussize="0,0"/>
                <v:stroke color="#4579B8" joinstyle="round" dashstyle="3 1"/>
                <v:imagedata o:title=""/>
                <o:lock v:ext="edit" aspectratio="f"/>
              </v:line>
            </w:pict>
          </mc:Fallback>
        </mc:AlternateContent>
      </w:r>
      <w:r>
        <w:rPr>
          <w:rFonts w:hint="eastAsia" w:hAnsi="Times New Roman" w:cs="Times New Roman"/>
          <w:sz w:val="21"/>
          <w:szCs w:val="20"/>
        </w:rPr>
        <mc:AlternateContent>
          <mc:Choice Requires="wps">
            <w:drawing>
              <wp:anchor distT="0" distB="0" distL="114300" distR="114300" simplePos="0" relativeHeight="251666432" behindDoc="0" locked="0" layoutInCell="1" allowOverlap="1">
                <wp:simplePos x="0" y="0"/>
                <wp:positionH relativeFrom="column">
                  <wp:posOffset>2758440</wp:posOffset>
                </wp:positionH>
                <wp:positionV relativeFrom="paragraph">
                  <wp:posOffset>6350</wp:posOffset>
                </wp:positionV>
                <wp:extent cx="0" cy="398780"/>
                <wp:effectExtent l="5080" t="0" r="13970" b="1270"/>
                <wp:wrapNone/>
                <wp:docPr id="16" name="直接连接符 22"/>
                <wp:cNvGraphicFramePr/>
                <a:graphic xmlns:a="http://schemas.openxmlformats.org/drawingml/2006/main">
                  <a:graphicData uri="http://schemas.microsoft.com/office/word/2010/wordprocessingShape">
                    <wps:wsp>
                      <wps:cNvCnPr/>
                      <wps:spPr>
                        <a:xfrm>
                          <a:off x="0" y="0"/>
                          <a:ext cx="0" cy="398780"/>
                        </a:xfrm>
                        <a:prstGeom prst="line">
                          <a:avLst/>
                        </a:prstGeom>
                        <a:ln w="9525" cap="flat" cmpd="sng">
                          <a:solidFill>
                            <a:srgbClr val="4A7EBB"/>
                          </a:solidFill>
                          <a:prstDash val="sysDash"/>
                          <a:headEnd type="none" w="med" len="med"/>
                          <a:tailEnd type="none" w="med" len="med"/>
                        </a:ln>
                      </wps:spPr>
                      <wps:bodyPr/>
                    </wps:wsp>
                  </a:graphicData>
                </a:graphic>
              </wp:anchor>
            </w:drawing>
          </mc:Choice>
          <mc:Fallback>
            <w:pict>
              <v:line id="直接连接符 22" o:spid="_x0000_s1026" o:spt="20" style="position:absolute;left:0pt;margin-left:217.2pt;margin-top:0.5pt;height:31.4pt;width:0pt;z-index:251666432;mso-width-relative:page;mso-height-relative:page;" filled="f" stroked="t" coordsize="21600,21600" o:gfxdata="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hlQ83XAAAACAEAAA8AAAAAAAAAAQAgAAAAIgAAAGRycy9kb3ducmV2LnhtbFBLAQIU&#10;ABQAAAAIAIdO4kBdQxiN9AEAANsDAAAOAAAAAAAAAAEAIAAAACYBAABkcnMvZTJvRG9jLnhtbFBL&#10;BQYAAAAABgAGAFkBAACMBQAAAAA=&#10;">
                <v:fill on="f" focussize="0,0"/>
                <v:stroke color="#4A7EBB" joinstyle="round" dashstyle="3 1"/>
                <v:imagedata o:title=""/>
                <o:lock v:ext="edit" aspectratio="f"/>
              </v:line>
            </w:pict>
          </mc:Fallback>
        </mc:AlternateContent>
      </w:r>
      <w:r>
        <w:rPr>
          <w:rFonts w:hint="eastAsia" w:hAnsi="Times New Roman" w:cs="Times New Roman"/>
          <w:sz w:val="21"/>
          <w:szCs w:val="20"/>
        </w:rPr>
        <mc:AlternateContent>
          <mc:Choice Requires="wps">
            <w:drawing>
              <wp:anchor distT="0" distB="0" distL="114300" distR="114300" simplePos="0" relativeHeight="251664384" behindDoc="0" locked="0" layoutInCell="1" allowOverlap="1">
                <wp:simplePos x="0" y="0"/>
                <wp:positionH relativeFrom="column">
                  <wp:posOffset>2151380</wp:posOffset>
                </wp:positionH>
                <wp:positionV relativeFrom="paragraph">
                  <wp:posOffset>12700</wp:posOffset>
                </wp:positionV>
                <wp:extent cx="1134745" cy="398780"/>
                <wp:effectExtent l="12700" t="12700" r="14605" b="26670"/>
                <wp:wrapNone/>
                <wp:docPr id="19" name="矩形 23"/>
                <wp:cNvGraphicFramePr/>
                <a:graphic xmlns:a="http://schemas.openxmlformats.org/drawingml/2006/main">
                  <a:graphicData uri="http://schemas.microsoft.com/office/word/2010/wordprocessingShape">
                    <wps:wsp>
                      <wps:cNvSpPr/>
                      <wps:spPr>
                        <a:xfrm>
                          <a:off x="0" y="0"/>
                          <a:ext cx="1134745" cy="398780"/>
                        </a:xfrm>
                        <a:prstGeom prst="rect">
                          <a:avLst/>
                        </a:prstGeom>
                        <a:noFill/>
                        <a:ln w="25400" cap="flat" cmpd="sng">
                          <a:solidFill>
                            <a:srgbClr val="243F60"/>
                          </a:solidFill>
                          <a:prstDash val="solid"/>
                          <a:miter/>
                          <a:headEnd type="none" w="med" len="med"/>
                          <a:tailEnd type="none" w="med" len="med"/>
                        </a:ln>
                      </wps:spPr>
                      <wps:bodyPr wrap="square" upright="1"/>
                    </wps:wsp>
                  </a:graphicData>
                </a:graphic>
              </wp:anchor>
            </w:drawing>
          </mc:Choice>
          <mc:Fallback>
            <w:pict>
              <v:rect id="矩形 23" o:spid="_x0000_s1026" o:spt="1" style="position:absolute;left:0pt;margin-left:169.4pt;margin-top:1pt;height:31.4pt;width:89.35pt;z-index:251664384;mso-width-relative:page;mso-height-relative:page;" filled="f" stroked="t" coordsize="21600,21600" o:gfxdata="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PWpyNkAAAAIAQAADwAAAAAAAAABACAAAAAiAAAA&#10;ZHJzL2Rvd25yZXYueG1sUEsBAhQAFAAAAAgAh07iQLiPBx4GAgAABgQAAA4AAAAAAAAAAQAgAAAA&#10;KAEAAGRycy9lMm9Eb2MueG1sUEsFBgAAAAAGAAYAWQEAAKAFAAAAAA==&#10;">
                <v:fill on="f" focussize="0,0"/>
                <v:stroke weight="2pt" color="#243F60" joinstyle="miter"/>
                <v:imagedata o:title=""/>
                <o:lock v:ext="edit" aspectratio="f"/>
              </v:rect>
            </w:pict>
          </mc:Fallback>
        </mc:AlternateContent>
      </w:r>
      <w:r>
        <w:rPr>
          <w:rFonts w:hint="eastAsia" w:hAnsi="Times New Roman" w:cs="Times New Roman"/>
          <w:sz w:val="21"/>
          <w:szCs w:val="20"/>
          <w:lang w:bidi="ar"/>
        </w:rPr>
        <w:t xml:space="preserve">    </w:t>
      </w:r>
    </w:p>
    <w:p w14:paraId="3F8EA508">
      <w:pPr>
        <w:pStyle w:val="33"/>
        <w:tabs>
          <w:tab w:val="center" w:pos="4201"/>
          <w:tab w:val="right" w:leader="dot" w:pos="9298"/>
        </w:tabs>
        <w:autoSpaceDE w:val="0"/>
        <w:autoSpaceDN w:val="0"/>
        <w:spacing w:before="0" w:beforeAutospacing="0" w:after="0" w:afterAutospacing="0"/>
        <w:jc w:val="both"/>
        <w:rPr>
          <w:rFonts w:hint="eastAsia" w:ascii="黑体" w:eastAsia="黑体" w:cs="黑体"/>
        </w:rPr>
      </w:pPr>
    </w:p>
    <w:p w14:paraId="33EA36ED">
      <w:pPr>
        <w:pStyle w:val="33"/>
        <w:tabs>
          <w:tab w:val="center" w:pos="4201"/>
          <w:tab w:val="right" w:leader="dot" w:pos="9298"/>
        </w:tabs>
        <w:autoSpaceDE w:val="0"/>
        <w:autoSpaceDN w:val="0"/>
        <w:spacing w:before="156" w:beforeLines="50" w:beforeAutospacing="0" w:after="156" w:afterLines="50" w:afterAutospacing="0"/>
        <w:ind w:firstLine="2310" w:firstLineChars="1100"/>
        <w:jc w:val="both"/>
        <w:rPr>
          <w:rFonts w:hint="eastAsia" w:ascii="黑体" w:eastAsia="黑体" w:cs="黑体"/>
        </w:rPr>
      </w:pPr>
      <w:r>
        <w:rPr>
          <w:rFonts w:hint="eastAsia" w:ascii="黑体" w:eastAsia="黑体" w:cs="黑体"/>
          <w:sz w:val="21"/>
          <w:szCs w:val="20"/>
          <w:lang w:bidi="ar"/>
        </w:rPr>
        <w:t>图</w:t>
      </w:r>
      <w:r>
        <w:rPr>
          <w:rFonts w:hint="eastAsia" w:ascii="黑体" w:eastAsia="黑体" w:cs="黑体"/>
          <w:sz w:val="21"/>
          <w:szCs w:val="20"/>
          <w:lang w:val="en-US" w:eastAsia="zh-CN" w:bidi="ar"/>
        </w:rPr>
        <w:t>A2</w:t>
      </w:r>
      <w:r>
        <w:rPr>
          <w:rFonts w:hint="eastAsia" w:ascii="黑体" w:eastAsia="黑体" w:cs="黑体"/>
          <w:sz w:val="21"/>
          <w:szCs w:val="20"/>
          <w:lang w:bidi="ar"/>
        </w:rPr>
        <w:t xml:space="preserve"> 磁体表面扩散元素含量扫描线路示意图</w:t>
      </w:r>
    </w:p>
    <w:p w14:paraId="31B96540">
      <w:pPr>
        <w:pStyle w:val="33"/>
        <w:widowControl w:val="0"/>
        <w:numPr>
          <w:ilvl w:val="0"/>
          <w:numId w:val="0"/>
        </w:numPr>
        <w:spacing w:before="157" w:beforeLines="50" w:beforeAutospacing="0" w:after="157" w:afterLines="50" w:afterAutospacing="0"/>
        <w:ind w:firstLine="0" w:firstLineChars="0"/>
        <w:jc w:val="left"/>
        <w:rPr>
          <w:rFonts w:hint="eastAsia" w:ascii="Times New Roman" w:hAnsi="Times New Roman" w:cs="Times New Roman"/>
          <w:b/>
          <w:bCs/>
          <w:kern w:val="2"/>
          <w:sz w:val="21"/>
          <w:lang w:eastAsia="zh-CN" w:bidi="ar"/>
        </w:rPr>
      </w:pPr>
      <w:r>
        <w:rPr>
          <w:rFonts w:hint="eastAsia"/>
          <w:b/>
          <w:bCs/>
          <w:kern w:val="0"/>
          <w:szCs w:val="20"/>
          <w:highlight w:val="none"/>
          <w:lang w:val="en-US" w:eastAsia="zh-CN"/>
        </w:rPr>
        <w:t>A.5 用于</w:t>
      </w:r>
      <w:r>
        <w:rPr>
          <w:rFonts w:hint="eastAsia" w:asciiTheme="minorEastAsia" w:hAnsiTheme="minorEastAsia" w:eastAsiaTheme="minorEastAsia" w:cstheme="minorEastAsia"/>
          <w:b/>
          <w:bCs/>
          <w:kern w:val="2"/>
          <w:sz w:val="21"/>
          <w:szCs w:val="21"/>
          <w:lang w:val="en-US" w:eastAsia="zh-CN" w:bidi="ar"/>
        </w:rPr>
        <w:t>各种非典型晶界扩散情形</w:t>
      </w:r>
      <w:r>
        <w:rPr>
          <w:rFonts w:hint="eastAsia" w:ascii="Times New Roman" w:hAnsi="Times New Roman" w:cs="Times New Roman"/>
          <w:b/>
          <w:bCs/>
          <w:kern w:val="2"/>
          <w:sz w:val="21"/>
          <w:lang w:bidi="ar"/>
        </w:rPr>
        <w:t>评价</w:t>
      </w:r>
      <w:r>
        <w:rPr>
          <w:rFonts w:hint="eastAsia" w:ascii="Times New Roman" w:hAnsi="Times New Roman" w:cs="Times New Roman"/>
          <w:b/>
          <w:bCs/>
          <w:kern w:val="2"/>
          <w:sz w:val="21"/>
          <w:lang w:eastAsia="zh-CN" w:bidi="ar"/>
        </w:rPr>
        <w:t>的建议。</w:t>
      </w:r>
    </w:p>
    <w:p w14:paraId="2E2D59C3">
      <w:pPr>
        <w:widowControl/>
        <w:tabs>
          <w:tab w:val="center" w:pos="4201"/>
          <w:tab w:val="right" w:leader="dot" w:pos="9298"/>
        </w:tabs>
        <w:autoSpaceDE w:val="0"/>
        <w:autoSpaceDN w:val="0"/>
        <w:adjustRightInd w:val="0"/>
        <w:spacing w:before="156" w:beforeLines="50" w:after="156" w:afterLines="50"/>
        <w:rPr>
          <w:rFonts w:hint="eastAsia" w:ascii="黑体" w:hAnsi="宋体" w:eastAsia="黑体" w:cs="黑体"/>
          <w:bCs/>
          <w:szCs w:val="21"/>
          <w:lang w:bidi="ar"/>
        </w:rPr>
      </w:pPr>
      <w:r>
        <w:rPr>
          <w:rFonts w:hint="eastAsia" w:ascii="黑体" w:hAnsi="宋体" w:eastAsia="黑体" w:cs="黑体"/>
          <w:bCs/>
          <w:szCs w:val="21"/>
          <w:lang w:val="en-US" w:eastAsia="zh-CN" w:bidi="ar"/>
        </w:rPr>
        <w:t>A.5.1</w:t>
      </w:r>
      <w:r>
        <w:rPr>
          <w:rFonts w:hint="eastAsia" w:ascii="黑体" w:hAnsi="宋体" w:eastAsia="黑体" w:cs="黑体"/>
          <w:bCs/>
          <w:szCs w:val="21"/>
          <w:lang w:bidi="ar"/>
        </w:rPr>
        <w:t xml:space="preserve"> 单面扩散样品</w:t>
      </w:r>
    </w:p>
    <w:p w14:paraId="6AF74268">
      <w:pPr>
        <w:widowControl/>
        <w:tabs>
          <w:tab w:val="center" w:pos="4201"/>
          <w:tab w:val="right" w:leader="dot" w:pos="9298"/>
        </w:tabs>
        <w:autoSpaceDE w:val="0"/>
        <w:autoSpaceDN w:val="0"/>
        <w:adjustRightInd w:val="0"/>
        <w:rPr>
          <w:rFonts w:hint="eastAsia" w:ascii="宋体" w:hAnsi="宋体" w:cs="宋体"/>
          <w:bCs/>
          <w:szCs w:val="21"/>
          <w:lang w:bidi="ar"/>
        </w:rPr>
      </w:pPr>
      <w:r>
        <w:rPr>
          <w:rFonts w:hint="eastAsia" w:ascii="黑体" w:hAnsi="宋体" w:eastAsia="黑体" w:cs="黑体"/>
          <w:bCs/>
          <w:szCs w:val="21"/>
          <w:lang w:bidi="ar"/>
        </w:rPr>
        <w:t xml:space="preserve">    </w:t>
      </w:r>
      <w:r>
        <w:rPr>
          <w:rFonts w:hint="eastAsia" w:ascii="宋体" w:hAnsi="宋体" w:cs="宋体"/>
          <w:bCs/>
          <w:szCs w:val="21"/>
          <w:lang w:bidi="ar"/>
        </w:rPr>
        <w:t>单面扩散的磁体，与主扩散面对应的另一面磁性能</w:t>
      </w:r>
      <w:r>
        <w:rPr>
          <w:rFonts w:hint="eastAsia" w:ascii="宋体" w:hAnsi="宋体" w:cs="宋体"/>
          <w:bCs/>
          <w:szCs w:val="21"/>
          <w:lang w:eastAsia="zh-CN" w:bidi="ar"/>
        </w:rPr>
        <w:t>及扩散元素含量</w:t>
      </w:r>
      <w:r>
        <w:rPr>
          <w:rFonts w:hint="eastAsia" w:ascii="宋体" w:hAnsi="宋体" w:cs="宋体"/>
          <w:bCs/>
          <w:szCs w:val="21"/>
          <w:lang w:bidi="ar"/>
        </w:rPr>
        <w:t>最低，可从与主扩散面对应的另一面制备厚度</w:t>
      </w:r>
      <w:r>
        <w:rPr>
          <w:rFonts w:hint="eastAsia" w:ascii="宋体" w:hAnsi="宋体" w:cs="宋体"/>
          <w:bCs/>
          <w:szCs w:val="21"/>
          <w:lang w:eastAsia="zh-CN" w:bidi="ar"/>
        </w:rPr>
        <w:t>较薄</w:t>
      </w:r>
      <w:r>
        <w:rPr>
          <w:rFonts w:hint="eastAsia" w:ascii="宋体" w:hAnsi="宋体" w:cs="宋体"/>
          <w:bCs/>
          <w:szCs w:val="21"/>
          <w:lang w:bidi="ar"/>
        </w:rPr>
        <w:t>的样品，</w:t>
      </w:r>
      <w:r>
        <w:rPr>
          <w:rFonts w:hint="eastAsia" w:ascii="宋体" w:hAnsi="宋体" w:cs="宋体"/>
          <w:bCs/>
          <w:szCs w:val="21"/>
          <w:lang w:eastAsia="zh-CN" w:bidi="ar"/>
        </w:rPr>
        <w:t>进行扩散元素含量测量</w:t>
      </w:r>
      <w:r>
        <w:rPr>
          <w:rFonts w:hint="eastAsia" w:ascii="宋体" w:hAnsi="宋体" w:cs="宋体"/>
          <w:bCs/>
          <w:szCs w:val="21"/>
          <w:lang w:bidi="ar"/>
        </w:rPr>
        <w:t>与磁体整体磁性能进行比较。</w:t>
      </w:r>
    </w:p>
    <w:p w14:paraId="47D316B3">
      <w:pPr>
        <w:widowControl/>
        <w:tabs>
          <w:tab w:val="center" w:pos="4201"/>
          <w:tab w:val="right" w:leader="dot" w:pos="9298"/>
        </w:tabs>
        <w:autoSpaceDE w:val="0"/>
        <w:autoSpaceDN w:val="0"/>
        <w:adjustRightInd w:val="0"/>
        <w:spacing w:before="156" w:beforeLines="50" w:after="156" w:afterLines="50"/>
        <w:rPr>
          <w:rFonts w:hint="eastAsia" w:ascii="黑体" w:hAnsi="宋体" w:eastAsia="黑体" w:cs="黑体"/>
          <w:bCs/>
          <w:szCs w:val="21"/>
          <w:lang w:bidi="ar"/>
        </w:rPr>
      </w:pPr>
      <w:r>
        <w:rPr>
          <w:rFonts w:hint="eastAsia" w:ascii="黑体" w:hAnsi="宋体" w:eastAsia="黑体" w:cs="黑体"/>
          <w:bCs/>
          <w:szCs w:val="21"/>
          <w:lang w:val="en-US" w:eastAsia="zh-CN" w:bidi="ar"/>
        </w:rPr>
        <w:t>A.5.2</w:t>
      </w:r>
      <w:r>
        <w:rPr>
          <w:rFonts w:hint="eastAsia" w:ascii="黑体" w:hAnsi="宋体" w:eastAsia="黑体" w:cs="黑体"/>
          <w:bCs/>
          <w:szCs w:val="21"/>
          <w:lang w:bidi="ar"/>
        </w:rPr>
        <w:t xml:space="preserve"> 非重稀土扩散样品</w:t>
      </w:r>
    </w:p>
    <w:p w14:paraId="0EEDC773">
      <w:pPr>
        <w:widowControl/>
        <w:tabs>
          <w:tab w:val="center" w:pos="4201"/>
          <w:tab w:val="right" w:leader="dot" w:pos="9298"/>
        </w:tabs>
        <w:adjustRightInd w:val="0"/>
        <w:rPr>
          <w:rFonts w:hint="eastAsia" w:asciiTheme="minorEastAsia" w:hAnsiTheme="minorEastAsia" w:eastAsiaTheme="minorEastAsia" w:cstheme="minorEastAsia"/>
          <w:bCs/>
          <w:szCs w:val="21"/>
          <w:lang w:bidi="ar"/>
        </w:rPr>
      </w:pPr>
      <w:r>
        <w:rPr>
          <w:rFonts w:hint="eastAsia" w:ascii="黑体" w:hAnsi="宋体" w:eastAsia="黑体" w:cs="黑体"/>
          <w:bCs/>
          <w:szCs w:val="21"/>
          <w:lang w:bidi="ar"/>
        </w:rPr>
        <w:t xml:space="preserve">  </w:t>
      </w:r>
      <w:r>
        <w:rPr>
          <w:rFonts w:hint="eastAsia" w:asciiTheme="minorEastAsia" w:hAnsiTheme="minorEastAsia" w:eastAsiaTheme="minorEastAsia" w:cstheme="minorEastAsia"/>
          <w:bCs/>
          <w:szCs w:val="21"/>
          <w:lang w:bidi="ar"/>
        </w:rPr>
        <w:t xml:space="preserve">  </w:t>
      </w:r>
      <w:r>
        <w:rPr>
          <w:rFonts w:hint="default" w:ascii="Times New Roman" w:hAnsi="Times New Roman" w:cs="Times New Roman" w:eastAsiaTheme="minorEastAsia"/>
          <w:bCs/>
          <w:szCs w:val="21"/>
          <w:lang w:bidi="ar"/>
        </w:rPr>
        <w:t>用Pr、Nd、Cu、Al</w:t>
      </w:r>
      <w:r>
        <w:rPr>
          <w:rFonts w:hint="eastAsia" w:cs="Times New Roman" w:eastAsiaTheme="minorEastAsia"/>
          <w:bCs/>
          <w:szCs w:val="21"/>
          <w:lang w:eastAsia="zh-CN" w:bidi="ar"/>
        </w:rPr>
        <w:t>和</w:t>
      </w:r>
      <w:r>
        <w:rPr>
          <w:rFonts w:hint="eastAsia" w:cs="Times New Roman" w:eastAsiaTheme="minorEastAsia"/>
          <w:bCs/>
          <w:szCs w:val="21"/>
          <w:lang w:val="en-US" w:eastAsia="zh-CN" w:bidi="ar"/>
        </w:rPr>
        <w:t>Ga</w:t>
      </w:r>
      <w:r>
        <w:rPr>
          <w:rFonts w:hint="default" w:ascii="Times New Roman" w:hAnsi="Times New Roman" w:cs="Times New Roman" w:eastAsiaTheme="minorEastAsia"/>
          <w:bCs/>
          <w:szCs w:val="21"/>
          <w:lang w:bidi="ar"/>
        </w:rPr>
        <w:t>等元素扩散的样品，宜参照本文件5.3条，制备与扩散元素相应的成分均匀的磁体，并按5.4条建立相应的扩散元素</w:t>
      </w:r>
      <w:r>
        <w:rPr>
          <w:rFonts w:hint="eastAsia" w:cs="Times New Roman" w:eastAsiaTheme="minorEastAsia"/>
          <w:bCs/>
          <w:szCs w:val="21"/>
          <w:lang w:eastAsia="zh-CN" w:bidi="ar"/>
        </w:rPr>
        <w:t>含量</w:t>
      </w:r>
      <w:r>
        <w:rPr>
          <w:rFonts w:hint="default" w:ascii="Times New Roman" w:hAnsi="Times New Roman" w:cs="Times New Roman" w:eastAsiaTheme="minorEastAsia"/>
          <w:bCs/>
          <w:szCs w:val="21"/>
          <w:lang w:bidi="ar"/>
        </w:rPr>
        <w:t>测量程序，然后进行评价。</w:t>
      </w:r>
      <w:bookmarkStart w:id="10" w:name="_GoBack"/>
      <w:bookmarkEnd w:id="10"/>
    </w:p>
    <w:p w14:paraId="60627B5C">
      <w:pPr>
        <w:widowControl/>
        <w:tabs>
          <w:tab w:val="center" w:pos="4201"/>
          <w:tab w:val="right" w:leader="dot" w:pos="9298"/>
        </w:tabs>
        <w:autoSpaceDE w:val="0"/>
        <w:autoSpaceDN w:val="0"/>
        <w:adjustRightInd w:val="0"/>
        <w:spacing w:before="156" w:beforeLines="50" w:after="156" w:afterLines="50"/>
        <w:rPr>
          <w:rFonts w:hint="eastAsia" w:ascii="黑体" w:hAnsi="黑体" w:eastAsia="黑体" w:cs="黑体"/>
          <w:bCs/>
          <w:szCs w:val="21"/>
          <w:lang w:bidi="ar"/>
        </w:rPr>
      </w:pPr>
      <w:r>
        <w:rPr>
          <w:rFonts w:hint="eastAsia" w:ascii="黑体" w:hAnsi="黑体" w:eastAsia="黑体" w:cs="黑体"/>
          <w:bCs/>
          <w:szCs w:val="21"/>
          <w:lang w:val="en-US" w:eastAsia="zh-CN" w:bidi="ar"/>
        </w:rPr>
        <w:t>A.5.3</w:t>
      </w:r>
      <w:r>
        <w:rPr>
          <w:rFonts w:hint="eastAsia" w:ascii="黑体" w:hAnsi="黑体" w:eastAsia="黑体" w:cs="黑体"/>
          <w:bCs/>
          <w:szCs w:val="21"/>
          <w:lang w:bidi="ar"/>
        </w:rPr>
        <w:t xml:space="preserve"> 异形和小尺寸样品</w:t>
      </w:r>
    </w:p>
    <w:p w14:paraId="6B7758D9">
      <w:pPr>
        <w:widowControl/>
        <w:tabs>
          <w:tab w:val="center" w:pos="4201"/>
          <w:tab w:val="right" w:leader="dot" w:pos="9298"/>
        </w:tabs>
        <w:autoSpaceDE w:val="0"/>
        <w:autoSpaceDN w:val="0"/>
        <w:adjustRightInd w:val="0"/>
        <w:spacing w:before="156" w:beforeLines="50" w:after="156" w:afterLines="50"/>
        <w:rPr>
          <w:rFonts w:hint="default" w:ascii="Times New Roman" w:hAnsi="Times New Roman" w:cs="Times New Roman" w:eastAsiaTheme="minorEastAsia"/>
          <w:bCs/>
          <w:szCs w:val="21"/>
          <w:lang w:bidi="ar"/>
        </w:rPr>
      </w:pPr>
      <w:r>
        <w:rPr>
          <w:rFonts w:hint="eastAsia" w:asciiTheme="minorEastAsia" w:hAnsiTheme="minorEastAsia" w:eastAsiaTheme="minorEastAsia" w:cstheme="minorEastAsia"/>
          <w:bCs/>
          <w:szCs w:val="21"/>
          <w:lang w:val="en-US" w:eastAsia="zh-CN" w:bidi="ar"/>
        </w:rPr>
        <w:t xml:space="preserve">  </w:t>
      </w:r>
      <w:r>
        <w:rPr>
          <w:rFonts w:hint="eastAsia" w:asciiTheme="minorEastAsia" w:hAnsiTheme="minorEastAsia" w:eastAsiaTheme="minorEastAsia" w:cstheme="minorEastAsia"/>
          <w:bCs/>
          <w:szCs w:val="21"/>
          <w:lang w:bidi="ar"/>
        </w:rPr>
        <w:t xml:space="preserve"> </w:t>
      </w:r>
      <w:r>
        <w:rPr>
          <w:rFonts w:hint="default" w:ascii="Times New Roman" w:hAnsi="Times New Roman" w:cs="Times New Roman" w:eastAsiaTheme="minorEastAsia"/>
          <w:bCs/>
          <w:szCs w:val="21"/>
          <w:lang w:bidi="ar"/>
        </w:rPr>
        <w:t>异形样品，可用厚度相近的片状平行样品晶界扩散后进行评价。</w:t>
      </w:r>
      <w:r>
        <w:rPr>
          <w:rFonts w:hint="default" w:ascii="Times New Roman" w:hAnsi="Times New Roman" w:cs="Times New Roman" w:eastAsiaTheme="minorEastAsia"/>
          <w:bCs/>
          <w:szCs w:val="21"/>
          <w:lang w:val="en-US" w:eastAsia="zh-CN" w:bidi="ar"/>
        </w:rPr>
        <w:t>非易磁化方向</w:t>
      </w:r>
      <w:r>
        <w:rPr>
          <w:rFonts w:hint="default" w:ascii="Times New Roman" w:hAnsi="Times New Roman" w:cs="Times New Roman" w:eastAsiaTheme="minorEastAsia"/>
          <w:bCs/>
          <w:szCs w:val="21"/>
          <w:lang w:bidi="ar"/>
        </w:rPr>
        <w:t>尺寸</w:t>
      </w:r>
      <w:r>
        <w:rPr>
          <w:rFonts w:hint="default" w:ascii="Times New Roman" w:hAnsi="Times New Roman" w:cs="Times New Roman" w:eastAsiaTheme="minorEastAsia"/>
          <w:bCs/>
          <w:szCs w:val="21"/>
          <w:lang w:val="en-US" w:eastAsia="zh-CN" w:bidi="ar"/>
        </w:rPr>
        <w:t>较小</w:t>
      </w:r>
      <w:r>
        <w:rPr>
          <w:rFonts w:hint="default" w:ascii="Times New Roman" w:hAnsi="Times New Roman" w:cs="Times New Roman" w:eastAsiaTheme="minorEastAsia"/>
          <w:bCs/>
          <w:szCs w:val="21"/>
          <w:lang w:bidi="ar"/>
        </w:rPr>
        <w:t>的片状样品，可用厚度相同但尺寸较大的平行样品晶界扩散后进行评价。</w:t>
      </w:r>
      <w:r>
        <w:rPr>
          <w:rFonts w:hint="default" w:ascii="Times New Roman" w:hAnsi="Times New Roman" w:cs="Times New Roman" w:eastAsiaTheme="minorEastAsia"/>
          <w:bCs/>
          <w:szCs w:val="21"/>
          <w:lang w:val="en-US" w:eastAsia="zh-CN" w:bidi="ar"/>
        </w:rPr>
        <w:t>易磁化方向</w:t>
      </w:r>
      <w:r>
        <w:rPr>
          <w:rFonts w:hint="default" w:ascii="Times New Roman" w:hAnsi="Times New Roman" w:cs="Times New Roman" w:eastAsiaTheme="minorEastAsia"/>
          <w:bCs/>
          <w:szCs w:val="21"/>
          <w:lang w:eastAsia="zh-CN" w:bidi="ar"/>
        </w:rPr>
        <w:t>扩散</w:t>
      </w:r>
      <w:r>
        <w:rPr>
          <w:rFonts w:hint="default" w:ascii="Times New Roman" w:hAnsi="Times New Roman" w:cs="Times New Roman" w:eastAsiaTheme="minorEastAsia"/>
          <w:bCs/>
          <w:szCs w:val="21"/>
          <w:lang w:bidi="ar"/>
        </w:rPr>
        <w:t>厚度小于2</w:t>
      </w:r>
      <w:r>
        <w:rPr>
          <w:rFonts w:hint="default" w:ascii="Times New Roman" w:hAnsi="Times New Roman" w:cs="Times New Roman" w:eastAsiaTheme="minorEastAsia"/>
          <w:kern w:val="2"/>
          <w:sz w:val="21"/>
          <w:szCs w:val="21"/>
          <w:lang w:val="en-US" w:eastAsia="zh-CN" w:bidi="ar"/>
        </w:rPr>
        <w:t> </w:t>
      </w:r>
      <w:r>
        <w:rPr>
          <w:rFonts w:hint="default" w:ascii="Times New Roman" w:hAnsi="Times New Roman" w:cs="Times New Roman" w:eastAsiaTheme="minorEastAsia"/>
          <w:bCs/>
          <w:szCs w:val="21"/>
          <w:lang w:bidi="ar"/>
        </w:rPr>
        <w:t>mm的样品</w:t>
      </w:r>
      <w:r>
        <w:rPr>
          <w:rFonts w:hint="default" w:ascii="Times New Roman" w:hAnsi="Times New Roman" w:cs="Times New Roman" w:eastAsiaTheme="minorEastAsia"/>
          <w:bCs/>
          <w:szCs w:val="21"/>
          <w:lang w:eastAsia="zh-CN" w:bidi="ar"/>
        </w:rPr>
        <w:t>，多数情况下</w:t>
      </w:r>
      <w:r>
        <w:rPr>
          <w:rFonts w:hint="default" w:ascii="Times New Roman" w:hAnsi="Times New Roman" w:cs="Times New Roman" w:eastAsiaTheme="minorEastAsia"/>
          <w:bCs/>
          <w:szCs w:val="21"/>
          <w:lang w:bidi="ar"/>
        </w:rPr>
        <w:t>，内外磁性能相当均匀，不需要进行磁性能均匀性评价</w:t>
      </w:r>
      <w:r>
        <w:rPr>
          <w:rFonts w:hint="default" w:ascii="Times New Roman" w:hAnsi="Times New Roman" w:cs="Times New Roman" w:eastAsiaTheme="minorEastAsia"/>
          <w:bCs/>
          <w:szCs w:val="21"/>
          <w:lang w:eastAsia="zh-CN" w:bidi="ar"/>
        </w:rPr>
        <w:t>；</w:t>
      </w:r>
      <w:r>
        <w:rPr>
          <w:rFonts w:hint="default" w:ascii="Times New Roman" w:hAnsi="Times New Roman" w:cs="Times New Roman" w:eastAsiaTheme="minorEastAsia"/>
          <w:bCs/>
          <w:szCs w:val="21"/>
          <w:lang w:bidi="ar"/>
        </w:rPr>
        <w:t xml:space="preserve">有特殊需要时，也可依磁性能测量设备的能力，加工尺寸适宜的样品进行评价。 </w:t>
      </w:r>
    </w:p>
    <w:p w14:paraId="13EEF41E">
      <w:pPr>
        <w:widowControl/>
        <w:tabs>
          <w:tab w:val="center" w:pos="4201"/>
          <w:tab w:val="right" w:leader="dot" w:pos="9298"/>
        </w:tabs>
        <w:autoSpaceDE w:val="0"/>
        <w:autoSpaceDN w:val="0"/>
        <w:adjustRightInd w:val="0"/>
        <w:spacing w:before="156" w:beforeLines="50" w:after="156" w:afterLines="50"/>
        <w:ind w:firstLine="0"/>
        <w:rPr>
          <w:rFonts w:hint="eastAsia" w:asciiTheme="minorEastAsia" w:hAnsiTheme="minorEastAsia" w:eastAsiaTheme="minorEastAsia" w:cstheme="minorEastAsia"/>
          <w:bCs/>
          <w:szCs w:val="21"/>
          <w:lang w:bidi="ar"/>
        </w:rPr>
      </w:pPr>
    </w:p>
    <w:p w14:paraId="53C7C725">
      <w:pPr>
        <w:spacing w:line="360" w:lineRule="auto"/>
        <w:jc w:val="center"/>
        <w:outlineLvl w:val="0"/>
        <w:rPr>
          <w:rFonts w:hint="eastAsia" w:asciiTheme="minorEastAsia" w:hAnsiTheme="minorEastAsia" w:eastAsiaTheme="minorEastAsia" w:cstheme="minorEastAsia"/>
          <w:szCs w:val="21"/>
        </w:rPr>
      </w:pPr>
    </w:p>
    <w:p w14:paraId="3B48EE89">
      <w:pPr>
        <w:widowControl/>
        <w:autoSpaceDE/>
        <w:autoSpaceDN/>
        <w:spacing w:line="360" w:lineRule="auto"/>
        <w:jc w:val="center"/>
        <w:outlineLvl w:val="0"/>
        <w:rPr>
          <w:rFonts w:hint="eastAsia" w:ascii="黑体" w:hAnsi="黑体" w:eastAsia="黑体"/>
          <w:color w:val="FF0000"/>
        </w:rPr>
      </w:pPr>
      <w:r>
        <mc:AlternateContent>
          <mc:Choice Requires="wps">
            <w:drawing>
              <wp:anchor distT="0" distB="0" distL="114300" distR="114300" simplePos="0" relativeHeight="251663360" behindDoc="0" locked="0" layoutInCell="1" allowOverlap="1">
                <wp:simplePos x="0" y="0"/>
                <wp:positionH relativeFrom="column">
                  <wp:posOffset>1586230</wp:posOffset>
                </wp:positionH>
                <wp:positionV relativeFrom="paragraph">
                  <wp:posOffset>25400</wp:posOffset>
                </wp:positionV>
                <wp:extent cx="2638425" cy="0"/>
                <wp:effectExtent l="0" t="0" r="0" b="0"/>
                <wp:wrapNone/>
                <wp:docPr id="30" name="直接连接符 30"/>
                <wp:cNvGraphicFramePr/>
                <a:graphic xmlns:a="http://schemas.openxmlformats.org/drawingml/2006/main">
                  <a:graphicData uri="http://schemas.microsoft.com/office/word/2010/wordprocessingShape">
                    <wps:wsp>
                      <wps:cNvCnPr/>
                      <wps:spPr>
                        <a:xfrm>
                          <a:off x="2183130" y="8195310"/>
                          <a:ext cx="2638425" cy="0"/>
                        </a:xfrm>
                        <a:prstGeom prst="line">
                          <a:avLst/>
                        </a:prstGeom>
                        <a:noFill/>
                        <a:ln w="19050" cap="flat" cmpd="sng" algn="ctr">
                          <a:solidFill>
                            <a:srgbClr val="000000"/>
                          </a:solidFill>
                          <a:prstDash val="solid"/>
                        </a:ln>
                        <a:effectLst/>
                      </wps:spPr>
                      <wps:bodyPr/>
                    </wps:wsp>
                  </a:graphicData>
                </a:graphic>
              </wp:anchor>
            </w:drawing>
          </mc:Choice>
          <mc:Fallback>
            <w:pict>
              <v:line id="_x0000_s1026" o:spid="_x0000_s1026" o:spt="20" style="position:absolute;left:0pt;margin-left:124.9pt;margin-top:2pt;height:0pt;width:207.75pt;z-index:251663360;mso-width-relative:page;mso-height-relative:page;" filled="f" stroked="t" coordsize="21600,21600" o:gfxdata="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xijq&#10;1AAAAAcBAAAPAAAAAAAAAAEAIAAAACIAAABkcnMvZG93bnJldi54bWxQSwECFAAUAAAACACHTuJA&#10;QvWD5+wBAAC3AwAADgAAAAAAAAABACAAAAAjAQAAZHJzL2Uyb0RvYy54bWxQSwUGAAAAAAYABgBZ&#10;AQAAgQUAAAAA&#10;">
                <v:fill on="f" focussize="0,0"/>
                <v:stroke weight="1.5pt" color="#000000" joinstyle="round"/>
                <v:imagedata o:title=""/>
                <o:lock v:ext="edit" aspectratio="f"/>
              </v:line>
            </w:pict>
          </mc:Fallback>
        </mc:AlternateContent>
      </w: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Cambria Math">
    <w:panose1 w:val="02040503050406030204"/>
    <w:charset w:val="00"/>
    <w:family w:val="roman"/>
    <w:pitch w:val="default"/>
    <w:sig w:usb0="E00006FF" w:usb1="420024FF" w:usb2="02000000" w:usb3="00000000" w:csb0="2000019F"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E53E7">
    <w:pPr>
      <w:pStyle w:val="46"/>
    </w:pPr>
    <w:r>
      <w:fldChar w:fldCharType="begin"/>
    </w:r>
    <w:r>
      <w:instrText xml:space="preserve"> PAGE  \* MERGEFORMAT </w:instrText>
    </w:r>
    <w:r>
      <w:fldChar w:fldCharType="separate"/>
    </w:r>
    <w:r>
      <w:t>15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7BA2">
    <w:pPr>
      <w:pStyle w:val="47"/>
    </w:pPr>
    <w:r>
      <w:t>GB/T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D9906"/>
    <w:multiLevelType w:val="multilevel"/>
    <w:tmpl w:val="853D9906"/>
    <w:lvl w:ilvl="0" w:tentative="0">
      <w:start w:val="1"/>
      <w:numFmt w:val="decimal"/>
      <w:pStyle w:val="48"/>
      <w:suff w:val="nothing"/>
      <w:lvlText w:val="%1　"/>
      <w:lvlJc w:val="left"/>
      <w:pPr>
        <w:ind w:left="0" w:firstLine="0"/>
      </w:pPr>
      <w:rPr>
        <w:rFonts w:hint="default" w:ascii="黑体" w:hAnsi="Times New Roman" w:eastAsia="黑体"/>
        <w:b w:val="0"/>
        <w:i w:val="0"/>
        <w:color w:val="auto"/>
        <w:sz w:val="21"/>
        <w:szCs w:val="21"/>
      </w:rPr>
    </w:lvl>
    <w:lvl w:ilvl="1" w:tentative="0">
      <w:start w:val="1"/>
      <w:numFmt w:val="decimal"/>
      <w:pStyle w:val="44"/>
      <w:suff w:val="nothing"/>
      <w:lvlText w:val="%1.%2　"/>
      <w:lvlJc w:val="left"/>
      <w:pPr>
        <w:tabs>
          <w:tab w:val="left" w:pos="0"/>
        </w:tabs>
        <w:ind w:left="210" w:firstLine="0"/>
      </w:pPr>
      <w:rPr>
        <w:rFonts w:hint="default"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9"/>
      <w:suff w:val="nothing"/>
      <w:lvlText w:val="%1.%2.%3　"/>
      <w:lvlJc w:val="left"/>
      <w:pPr>
        <w:tabs>
          <w:tab w:val="left" w:pos="0"/>
        </w:tabs>
        <w:ind w:left="0" w:firstLine="0"/>
      </w:pPr>
      <w:rPr>
        <w:rFonts w:hint="default" w:ascii="Arial" w:hAnsi="Arial" w:eastAsia="宋体" w:cs="Arial"/>
        <w:b w:val="0"/>
        <w:i w:val="0"/>
        <w:sz w:val="21"/>
      </w:rPr>
    </w:lvl>
    <w:lvl w:ilvl="3" w:tentative="0">
      <w:start w:val="1"/>
      <w:numFmt w:val="decimal"/>
      <w:pStyle w:val="54"/>
      <w:suff w:val="nothing"/>
      <w:lvlText w:val="%1.%2.%3.%4　"/>
      <w:lvlJc w:val="left"/>
      <w:pPr>
        <w:ind w:left="0" w:firstLine="0"/>
      </w:pPr>
      <w:rPr>
        <w:rFonts w:hint="default" w:ascii="黑体" w:hAnsi="Times New Roman" w:eastAsia="黑体"/>
        <w:b w:val="0"/>
        <w:i w:val="0"/>
        <w:sz w:val="21"/>
      </w:rPr>
    </w:lvl>
    <w:lvl w:ilvl="4" w:tentative="0">
      <w:start w:val="1"/>
      <w:numFmt w:val="decimal"/>
      <w:pStyle w:val="58"/>
      <w:suff w:val="nothing"/>
      <w:lvlText w:val="%1.%2.%3.%4.%5　"/>
      <w:lvlJc w:val="left"/>
      <w:pPr>
        <w:ind w:left="0" w:firstLine="0"/>
      </w:pPr>
      <w:rPr>
        <w:rFonts w:hint="default" w:ascii="黑体" w:hAnsi="Times New Roman" w:eastAsia="黑体"/>
        <w:b w:val="0"/>
        <w:i w:val="0"/>
        <w:sz w:val="21"/>
      </w:rPr>
    </w:lvl>
    <w:lvl w:ilvl="5" w:tentative="0">
      <w:start w:val="1"/>
      <w:numFmt w:val="decimal"/>
      <w:pStyle w:val="5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55"/>
      <w:suff w:val="nothing"/>
      <w:lvlText w:val="%1%2.%3　"/>
      <w:lvlJc w:val="left"/>
      <w:pPr>
        <w:ind w:left="0" w:firstLine="0"/>
      </w:pPr>
      <w:rPr>
        <w:rFonts w:hint="eastAsia" w:ascii="黑体" w:hAnsi="Times New Roman" w:eastAsia="黑体"/>
        <w:b w:val="0"/>
        <w:i w:val="0"/>
        <w:sz w:val="21"/>
      </w:rPr>
    </w:lvl>
    <w:lvl w:ilvl="3" w:tentative="0">
      <w:start w:val="1"/>
      <w:numFmt w:val="decimal"/>
      <w:pStyle w:val="151"/>
      <w:suff w:val="nothing"/>
      <w:lvlText w:val="%1%2.%3.%4　"/>
      <w:lvlJc w:val="left"/>
      <w:pPr>
        <w:ind w:left="0" w:firstLine="0"/>
      </w:pPr>
      <w:rPr>
        <w:rFonts w:hint="eastAsia" w:ascii="黑体" w:hAnsi="Times New Roman" w:eastAsia="黑体"/>
        <w:b w:val="0"/>
        <w:i w:val="0"/>
        <w:sz w:val="21"/>
      </w:rPr>
    </w:lvl>
    <w:lvl w:ilvl="4" w:tentative="0">
      <w:start w:val="1"/>
      <w:numFmt w:val="decimal"/>
      <w:pStyle w:val="152"/>
      <w:suff w:val="nothing"/>
      <w:lvlText w:val="%1%2.%3.%4.%5　"/>
      <w:lvlJc w:val="left"/>
      <w:pPr>
        <w:ind w:left="0" w:firstLine="0"/>
      </w:pPr>
      <w:rPr>
        <w:rFonts w:hint="eastAsia" w:ascii="黑体" w:hAnsi="Times New Roman" w:eastAsia="黑体"/>
        <w:b w:val="0"/>
        <w:i w:val="0"/>
        <w:sz w:val="21"/>
      </w:rPr>
    </w:lvl>
    <w:lvl w:ilvl="5" w:tentative="0">
      <w:start w:val="1"/>
      <w:numFmt w:val="decimal"/>
      <w:pStyle w:val="153"/>
      <w:suff w:val="nothing"/>
      <w:lvlText w:val="%1%2.%3.%4.%5.%6　"/>
      <w:lvlJc w:val="left"/>
      <w:pPr>
        <w:ind w:left="0" w:firstLine="0"/>
      </w:pPr>
      <w:rPr>
        <w:rFonts w:hint="eastAsia" w:ascii="黑体" w:hAnsi="Times New Roman" w:eastAsia="黑体"/>
        <w:b w:val="0"/>
        <w:i w:val="0"/>
        <w:sz w:val="21"/>
      </w:rPr>
    </w:lvl>
    <w:lvl w:ilvl="6" w:tentative="0">
      <w:start w:val="1"/>
      <w:numFmt w:val="decimal"/>
      <w:pStyle w:val="15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1DBF583A"/>
    <w:multiLevelType w:val="multilevel"/>
    <w:tmpl w:val="1DBF583A"/>
    <w:lvl w:ilvl="0" w:tentative="0">
      <w:start w:val="1"/>
      <w:numFmt w:val="decimal"/>
      <w:pStyle w:val="6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3">
    <w:nsid w:val="2A8F7113"/>
    <w:multiLevelType w:val="multilevel"/>
    <w:tmpl w:val="2A8F7113"/>
    <w:lvl w:ilvl="0" w:tentative="0">
      <w:start w:val="1"/>
      <w:numFmt w:val="upperLetter"/>
      <w:pStyle w:val="101"/>
      <w:suff w:val="space"/>
      <w:lvlText w:val="%1"/>
      <w:lvlJc w:val="left"/>
      <w:pPr>
        <w:ind w:left="623" w:hanging="425"/>
      </w:pPr>
      <w:rPr>
        <w:rFonts w:hint="eastAsia"/>
      </w:rPr>
    </w:lvl>
    <w:lvl w:ilvl="1" w:tentative="0">
      <w:start w:val="1"/>
      <w:numFmt w:val="decimal"/>
      <w:pStyle w:val="10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51"/>
      <w:suff w:val="nothing"/>
      <w:lvlText w:val="%1——"/>
      <w:lvlJc w:val="left"/>
      <w:pPr>
        <w:ind w:left="833" w:hanging="408"/>
      </w:pPr>
      <w:rPr>
        <w:rFonts w:hint="eastAsia"/>
      </w:rPr>
    </w:lvl>
    <w:lvl w:ilvl="1" w:tentative="0">
      <w:start w:val="1"/>
      <w:numFmt w:val="bullet"/>
      <w:pStyle w:val="52"/>
      <w:lvlText w:val=""/>
      <w:lvlJc w:val="left"/>
      <w:pPr>
        <w:tabs>
          <w:tab w:val="left" w:pos="760"/>
        </w:tabs>
        <w:ind w:left="1264" w:hanging="413"/>
      </w:pPr>
      <w:rPr>
        <w:rFonts w:hint="default" w:ascii="Symbol" w:hAnsi="Symbol"/>
        <w:color w:val="auto"/>
      </w:rPr>
    </w:lvl>
    <w:lvl w:ilvl="2" w:tentative="0">
      <w:start w:val="1"/>
      <w:numFmt w:val="bullet"/>
      <w:pStyle w:val="63"/>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4C50F90"/>
    <w:multiLevelType w:val="multilevel"/>
    <w:tmpl w:val="44C50F90"/>
    <w:lvl w:ilvl="0" w:tentative="0">
      <w:start w:val="1"/>
      <w:numFmt w:val="lowerLetter"/>
      <w:pStyle w:val="62"/>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7"/>
      <w:lvlText w:val="%2)"/>
      <w:lvlJc w:val="left"/>
      <w:pPr>
        <w:tabs>
          <w:tab w:val="left" w:pos="1260"/>
        </w:tabs>
        <w:ind w:left="1259" w:hanging="419"/>
      </w:pPr>
      <w:rPr>
        <w:rFonts w:hint="eastAsia"/>
      </w:rPr>
    </w:lvl>
    <w:lvl w:ilvl="2" w:tentative="0">
      <w:start w:val="1"/>
      <w:numFmt w:val="decimal"/>
      <w:pStyle w:val="6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5B38481D"/>
    <w:multiLevelType w:val="multilevel"/>
    <w:tmpl w:val="5B38481D"/>
    <w:lvl w:ilvl="0" w:tentative="0">
      <w:start w:val="1"/>
      <w:numFmt w:val="decimal"/>
      <w:pStyle w:val="157"/>
      <w:lvlText w:val="%1."/>
      <w:lvlJc w:val="left"/>
      <w:pPr>
        <w:ind w:left="841" w:hanging="420"/>
      </w:pPr>
    </w:lvl>
    <w:lvl w:ilvl="1" w:tentative="0">
      <w:start w:val="1"/>
      <w:numFmt w:val="lowerLetter"/>
      <w:lvlText w:val="%2)"/>
      <w:lvlJc w:val="left"/>
      <w:pPr>
        <w:ind w:left="1261" w:hanging="420"/>
      </w:pPr>
    </w:lvl>
    <w:lvl w:ilvl="2" w:tentative="0">
      <w:start w:val="1"/>
      <w:numFmt w:val="lowerRoman"/>
      <w:lvlText w:val="%3."/>
      <w:lvlJc w:val="right"/>
      <w:pPr>
        <w:ind w:left="1681" w:hanging="420"/>
      </w:pPr>
    </w:lvl>
    <w:lvl w:ilvl="3" w:tentative="0">
      <w:start w:val="1"/>
      <w:numFmt w:val="decimal"/>
      <w:lvlText w:val="%4."/>
      <w:lvlJc w:val="left"/>
      <w:pPr>
        <w:ind w:left="2101" w:hanging="420"/>
      </w:pPr>
    </w:lvl>
    <w:lvl w:ilvl="4" w:tentative="0">
      <w:start w:val="1"/>
      <w:numFmt w:val="lowerLetter"/>
      <w:lvlText w:val="%5)"/>
      <w:lvlJc w:val="left"/>
      <w:pPr>
        <w:ind w:left="2521" w:hanging="420"/>
      </w:pPr>
    </w:lvl>
    <w:lvl w:ilvl="5" w:tentative="0">
      <w:start w:val="1"/>
      <w:numFmt w:val="lowerRoman"/>
      <w:lvlText w:val="%6."/>
      <w:lvlJc w:val="right"/>
      <w:pPr>
        <w:ind w:left="2941" w:hanging="420"/>
      </w:pPr>
    </w:lvl>
    <w:lvl w:ilvl="6" w:tentative="0">
      <w:start w:val="1"/>
      <w:numFmt w:val="decimal"/>
      <w:lvlText w:val="%7."/>
      <w:lvlJc w:val="left"/>
      <w:pPr>
        <w:ind w:left="3361" w:hanging="420"/>
      </w:pPr>
    </w:lvl>
    <w:lvl w:ilvl="7" w:tentative="0">
      <w:start w:val="1"/>
      <w:numFmt w:val="lowerLetter"/>
      <w:lvlText w:val="%8)"/>
      <w:lvlJc w:val="left"/>
      <w:pPr>
        <w:ind w:left="3781" w:hanging="420"/>
      </w:pPr>
    </w:lvl>
    <w:lvl w:ilvl="8" w:tentative="0">
      <w:start w:val="1"/>
      <w:numFmt w:val="lowerRoman"/>
      <w:lvlText w:val="%9."/>
      <w:lvlJc w:val="right"/>
      <w:pPr>
        <w:ind w:left="4201" w:hanging="420"/>
      </w:pPr>
    </w:lvl>
  </w:abstractNum>
  <w:abstractNum w:abstractNumId="8">
    <w:nsid w:val="60B55DC2"/>
    <w:multiLevelType w:val="multilevel"/>
    <w:tmpl w:val="60B55DC2"/>
    <w:lvl w:ilvl="0" w:tentative="0">
      <w:start w:val="1"/>
      <w:numFmt w:val="upperLetter"/>
      <w:pStyle w:val="89"/>
      <w:lvlText w:val="%1"/>
      <w:lvlJc w:val="left"/>
      <w:pPr>
        <w:tabs>
          <w:tab w:val="left" w:pos="0"/>
        </w:tabs>
        <w:ind w:left="0" w:hanging="425"/>
      </w:pPr>
      <w:rPr>
        <w:rFonts w:hint="eastAsia"/>
      </w:rPr>
    </w:lvl>
    <w:lvl w:ilvl="1" w:tentative="0">
      <w:start w:val="1"/>
      <w:numFmt w:val="decimal"/>
      <w:pStyle w:val="90"/>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9">
    <w:nsid w:val="657D3FBC"/>
    <w:multiLevelType w:val="multilevel"/>
    <w:tmpl w:val="657D3FBC"/>
    <w:lvl w:ilvl="0" w:tentative="0">
      <w:start w:val="1"/>
      <w:numFmt w:val="upperLetter"/>
      <w:pStyle w:val="8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6"/>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0" w:firstLine="0"/>
      </w:pPr>
      <w:rPr>
        <w:rFonts w:hint="eastAsia" w:ascii="黑体" w:hAnsi="Times New Roman" w:eastAsia="黑体"/>
        <w:b w:val="0"/>
        <w:i w:val="0"/>
        <w:sz w:val="21"/>
      </w:rPr>
    </w:lvl>
    <w:lvl w:ilvl="4" w:tentative="0">
      <w:start w:val="1"/>
      <w:numFmt w:val="decimal"/>
      <w:pStyle w:val="96"/>
      <w:suff w:val="nothing"/>
      <w:lvlText w:val="%1.%2.%3.%4.%5　"/>
      <w:lvlJc w:val="left"/>
      <w:pPr>
        <w:ind w:left="0" w:firstLine="0"/>
      </w:pPr>
      <w:rPr>
        <w:rFonts w:hint="eastAsia" w:ascii="黑体" w:hAnsi="Times New Roman" w:eastAsia="黑体"/>
        <w:b w:val="0"/>
        <w:i w:val="0"/>
        <w:sz w:val="21"/>
      </w:rPr>
    </w:lvl>
    <w:lvl w:ilvl="5" w:tentative="0">
      <w:start w:val="1"/>
      <w:numFmt w:val="decimal"/>
      <w:pStyle w:val="99"/>
      <w:suff w:val="nothing"/>
      <w:lvlText w:val="%1.%2.%3.%4.%5.%6　"/>
      <w:lvlJc w:val="left"/>
      <w:pPr>
        <w:ind w:left="0" w:firstLine="0"/>
      </w:pPr>
      <w:rPr>
        <w:rFonts w:hint="eastAsia" w:ascii="黑体" w:hAnsi="Times New Roman" w:eastAsia="黑体"/>
        <w:b w:val="0"/>
        <w:i w:val="0"/>
        <w:sz w:val="21"/>
      </w:rPr>
    </w:lvl>
    <w:lvl w:ilvl="6" w:tentative="0">
      <w:start w:val="1"/>
      <w:numFmt w:val="decimal"/>
      <w:pStyle w:val="10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D6C07CD"/>
    <w:multiLevelType w:val="multilevel"/>
    <w:tmpl w:val="6D6C07CD"/>
    <w:lvl w:ilvl="0" w:tentative="0">
      <w:start w:val="1"/>
      <w:numFmt w:val="lowerLetter"/>
      <w:pStyle w:val="108"/>
      <w:lvlText w:val="%1)"/>
      <w:lvlJc w:val="left"/>
      <w:pPr>
        <w:tabs>
          <w:tab w:val="left" w:pos="839"/>
        </w:tabs>
        <w:ind w:left="839" w:hanging="419"/>
      </w:pPr>
      <w:rPr>
        <w:rFonts w:hint="eastAsia" w:ascii="宋体" w:eastAsia="宋体"/>
        <w:b w:val="0"/>
        <w:i w:val="0"/>
        <w:sz w:val="21"/>
      </w:rPr>
    </w:lvl>
    <w:lvl w:ilvl="1" w:tentative="0">
      <w:start w:val="1"/>
      <w:numFmt w:val="decimal"/>
      <w:pStyle w:val="9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5"/>
  </w:num>
  <w:num w:numId="2">
    <w:abstractNumId w:val="0"/>
  </w:num>
  <w:num w:numId="3">
    <w:abstractNumId w:val="4"/>
  </w:num>
  <w:num w:numId="4">
    <w:abstractNumId w:val="6"/>
  </w:num>
  <w:num w:numId="5">
    <w:abstractNumId w:val="2"/>
  </w:num>
  <w:num w:numId="6">
    <w:abstractNumId w:val="9"/>
  </w:num>
  <w:num w:numId="7">
    <w:abstractNumId w:val="8"/>
  </w:num>
  <w:num w:numId="8">
    <w:abstractNumId w:val="10"/>
  </w:num>
  <w:num w:numId="9">
    <w:abstractNumId w:val="3"/>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dit="form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mMmM0NzI4YWMwMDdjNDk2MDY5ZTIzZjlhY2VkZGQifQ=="/>
  </w:docVars>
  <w:rsids>
    <w:rsidRoot w:val="00035925"/>
    <w:rsid w:val="00000244"/>
    <w:rsid w:val="000009DF"/>
    <w:rsid w:val="0000185F"/>
    <w:rsid w:val="000028FE"/>
    <w:rsid w:val="00002EFE"/>
    <w:rsid w:val="00003BD1"/>
    <w:rsid w:val="00005023"/>
    <w:rsid w:val="0000541E"/>
    <w:rsid w:val="0000586F"/>
    <w:rsid w:val="0001018A"/>
    <w:rsid w:val="00010911"/>
    <w:rsid w:val="00013D86"/>
    <w:rsid w:val="00013E02"/>
    <w:rsid w:val="00014265"/>
    <w:rsid w:val="00015216"/>
    <w:rsid w:val="0001562C"/>
    <w:rsid w:val="00015FB1"/>
    <w:rsid w:val="00017867"/>
    <w:rsid w:val="0002073C"/>
    <w:rsid w:val="0002143C"/>
    <w:rsid w:val="00022689"/>
    <w:rsid w:val="00022BB3"/>
    <w:rsid w:val="00022D94"/>
    <w:rsid w:val="00023AD3"/>
    <w:rsid w:val="00023ECE"/>
    <w:rsid w:val="00024454"/>
    <w:rsid w:val="00024F39"/>
    <w:rsid w:val="00025A65"/>
    <w:rsid w:val="00025D49"/>
    <w:rsid w:val="00026C31"/>
    <w:rsid w:val="00027041"/>
    <w:rsid w:val="00027280"/>
    <w:rsid w:val="00027419"/>
    <w:rsid w:val="00027E3D"/>
    <w:rsid w:val="0003051F"/>
    <w:rsid w:val="000317A5"/>
    <w:rsid w:val="00031C13"/>
    <w:rsid w:val="000320A7"/>
    <w:rsid w:val="000329C3"/>
    <w:rsid w:val="00034A5A"/>
    <w:rsid w:val="0003529E"/>
    <w:rsid w:val="00035925"/>
    <w:rsid w:val="00036188"/>
    <w:rsid w:val="00036F8C"/>
    <w:rsid w:val="0004144E"/>
    <w:rsid w:val="00041B39"/>
    <w:rsid w:val="00042654"/>
    <w:rsid w:val="000441A7"/>
    <w:rsid w:val="0004556D"/>
    <w:rsid w:val="00050E10"/>
    <w:rsid w:val="000512D2"/>
    <w:rsid w:val="0005223C"/>
    <w:rsid w:val="000522DB"/>
    <w:rsid w:val="0005272A"/>
    <w:rsid w:val="00056280"/>
    <w:rsid w:val="0005669A"/>
    <w:rsid w:val="000567F0"/>
    <w:rsid w:val="00056D7B"/>
    <w:rsid w:val="00057F40"/>
    <w:rsid w:val="00061A07"/>
    <w:rsid w:val="00062679"/>
    <w:rsid w:val="00062B3B"/>
    <w:rsid w:val="000644B6"/>
    <w:rsid w:val="00064EA5"/>
    <w:rsid w:val="00065D2B"/>
    <w:rsid w:val="0006699F"/>
    <w:rsid w:val="000671C1"/>
    <w:rsid w:val="000679CD"/>
    <w:rsid w:val="00067CDF"/>
    <w:rsid w:val="00067D91"/>
    <w:rsid w:val="00070135"/>
    <w:rsid w:val="00070713"/>
    <w:rsid w:val="00074FBE"/>
    <w:rsid w:val="000761DD"/>
    <w:rsid w:val="00076B85"/>
    <w:rsid w:val="0008130A"/>
    <w:rsid w:val="00083A09"/>
    <w:rsid w:val="0008484F"/>
    <w:rsid w:val="00085244"/>
    <w:rsid w:val="0008644D"/>
    <w:rsid w:val="00086B8B"/>
    <w:rsid w:val="00086D41"/>
    <w:rsid w:val="0009005E"/>
    <w:rsid w:val="000906F4"/>
    <w:rsid w:val="000910DB"/>
    <w:rsid w:val="00092857"/>
    <w:rsid w:val="00092F54"/>
    <w:rsid w:val="00093691"/>
    <w:rsid w:val="00093DF4"/>
    <w:rsid w:val="00095564"/>
    <w:rsid w:val="00095B1C"/>
    <w:rsid w:val="00095BDA"/>
    <w:rsid w:val="0009761F"/>
    <w:rsid w:val="0009791E"/>
    <w:rsid w:val="00097D9D"/>
    <w:rsid w:val="000A016F"/>
    <w:rsid w:val="000A180E"/>
    <w:rsid w:val="000A1910"/>
    <w:rsid w:val="000A20A9"/>
    <w:rsid w:val="000A2E86"/>
    <w:rsid w:val="000A39AA"/>
    <w:rsid w:val="000A48B1"/>
    <w:rsid w:val="000A4EA8"/>
    <w:rsid w:val="000A55DB"/>
    <w:rsid w:val="000A5FA0"/>
    <w:rsid w:val="000A6C7B"/>
    <w:rsid w:val="000A6FC2"/>
    <w:rsid w:val="000B0516"/>
    <w:rsid w:val="000B073D"/>
    <w:rsid w:val="000B1614"/>
    <w:rsid w:val="000B3143"/>
    <w:rsid w:val="000B42AE"/>
    <w:rsid w:val="000B4E3E"/>
    <w:rsid w:val="000B5F9E"/>
    <w:rsid w:val="000B6FF9"/>
    <w:rsid w:val="000B71B8"/>
    <w:rsid w:val="000B7AA8"/>
    <w:rsid w:val="000C064C"/>
    <w:rsid w:val="000C2846"/>
    <w:rsid w:val="000C2EA0"/>
    <w:rsid w:val="000C47C7"/>
    <w:rsid w:val="000C4822"/>
    <w:rsid w:val="000C4A78"/>
    <w:rsid w:val="000C60FB"/>
    <w:rsid w:val="000C6B05"/>
    <w:rsid w:val="000C6DD6"/>
    <w:rsid w:val="000C73D4"/>
    <w:rsid w:val="000C75C1"/>
    <w:rsid w:val="000C7610"/>
    <w:rsid w:val="000C7994"/>
    <w:rsid w:val="000D05CE"/>
    <w:rsid w:val="000D07A6"/>
    <w:rsid w:val="000D244A"/>
    <w:rsid w:val="000D265C"/>
    <w:rsid w:val="000D2B31"/>
    <w:rsid w:val="000D3A2F"/>
    <w:rsid w:val="000D3AE5"/>
    <w:rsid w:val="000D3D4C"/>
    <w:rsid w:val="000D4157"/>
    <w:rsid w:val="000D4F51"/>
    <w:rsid w:val="000D6BAB"/>
    <w:rsid w:val="000D718B"/>
    <w:rsid w:val="000E0C46"/>
    <w:rsid w:val="000E1B93"/>
    <w:rsid w:val="000E3BD6"/>
    <w:rsid w:val="000E521C"/>
    <w:rsid w:val="000E6712"/>
    <w:rsid w:val="000E75CE"/>
    <w:rsid w:val="000E7E42"/>
    <w:rsid w:val="000F030C"/>
    <w:rsid w:val="000F1223"/>
    <w:rsid w:val="000F129C"/>
    <w:rsid w:val="000F151F"/>
    <w:rsid w:val="000F17A8"/>
    <w:rsid w:val="000F3974"/>
    <w:rsid w:val="000F5548"/>
    <w:rsid w:val="000F63B3"/>
    <w:rsid w:val="001001F5"/>
    <w:rsid w:val="00101E1F"/>
    <w:rsid w:val="00102353"/>
    <w:rsid w:val="001056DE"/>
    <w:rsid w:val="00105FDC"/>
    <w:rsid w:val="00106727"/>
    <w:rsid w:val="00106817"/>
    <w:rsid w:val="00110BC9"/>
    <w:rsid w:val="0011149A"/>
    <w:rsid w:val="0011245D"/>
    <w:rsid w:val="001124C0"/>
    <w:rsid w:val="001133A1"/>
    <w:rsid w:val="001135D8"/>
    <w:rsid w:val="00113D49"/>
    <w:rsid w:val="001170F3"/>
    <w:rsid w:val="00117FED"/>
    <w:rsid w:val="00120B99"/>
    <w:rsid w:val="00122294"/>
    <w:rsid w:val="00124C9B"/>
    <w:rsid w:val="00126E72"/>
    <w:rsid w:val="00127769"/>
    <w:rsid w:val="00127F98"/>
    <w:rsid w:val="00130DE8"/>
    <w:rsid w:val="0013175F"/>
    <w:rsid w:val="00131F2B"/>
    <w:rsid w:val="00133095"/>
    <w:rsid w:val="00133580"/>
    <w:rsid w:val="001335FD"/>
    <w:rsid w:val="00133E41"/>
    <w:rsid w:val="001347EF"/>
    <w:rsid w:val="00134F68"/>
    <w:rsid w:val="0013524D"/>
    <w:rsid w:val="001352BB"/>
    <w:rsid w:val="00135878"/>
    <w:rsid w:val="00135C3A"/>
    <w:rsid w:val="001363EC"/>
    <w:rsid w:val="00136456"/>
    <w:rsid w:val="00140F15"/>
    <w:rsid w:val="00141109"/>
    <w:rsid w:val="00141478"/>
    <w:rsid w:val="00141D1C"/>
    <w:rsid w:val="00142F95"/>
    <w:rsid w:val="00143652"/>
    <w:rsid w:val="0014412D"/>
    <w:rsid w:val="00144706"/>
    <w:rsid w:val="001462AE"/>
    <w:rsid w:val="00146485"/>
    <w:rsid w:val="001504C5"/>
    <w:rsid w:val="001512B4"/>
    <w:rsid w:val="001521B9"/>
    <w:rsid w:val="001522B4"/>
    <w:rsid w:val="00152773"/>
    <w:rsid w:val="00157610"/>
    <w:rsid w:val="00157DFE"/>
    <w:rsid w:val="0016037E"/>
    <w:rsid w:val="00160B31"/>
    <w:rsid w:val="0016203A"/>
    <w:rsid w:val="001620A5"/>
    <w:rsid w:val="001623EE"/>
    <w:rsid w:val="00162549"/>
    <w:rsid w:val="00163982"/>
    <w:rsid w:val="00164A4E"/>
    <w:rsid w:val="00164E53"/>
    <w:rsid w:val="0016506B"/>
    <w:rsid w:val="0016561A"/>
    <w:rsid w:val="00165815"/>
    <w:rsid w:val="0016699D"/>
    <w:rsid w:val="00171F6B"/>
    <w:rsid w:val="00171F90"/>
    <w:rsid w:val="00172611"/>
    <w:rsid w:val="00173F9E"/>
    <w:rsid w:val="001748AC"/>
    <w:rsid w:val="00174F99"/>
    <w:rsid w:val="00175159"/>
    <w:rsid w:val="00175741"/>
    <w:rsid w:val="00175D24"/>
    <w:rsid w:val="001760BC"/>
    <w:rsid w:val="001760C9"/>
    <w:rsid w:val="00176208"/>
    <w:rsid w:val="001764E6"/>
    <w:rsid w:val="001801B4"/>
    <w:rsid w:val="001814D0"/>
    <w:rsid w:val="00181DE3"/>
    <w:rsid w:val="0018201A"/>
    <w:rsid w:val="0018211B"/>
    <w:rsid w:val="0018347A"/>
    <w:rsid w:val="001836E9"/>
    <w:rsid w:val="001840D3"/>
    <w:rsid w:val="00184781"/>
    <w:rsid w:val="001852B7"/>
    <w:rsid w:val="00185995"/>
    <w:rsid w:val="00185C14"/>
    <w:rsid w:val="001869F2"/>
    <w:rsid w:val="00187F11"/>
    <w:rsid w:val="001900F8"/>
    <w:rsid w:val="00191258"/>
    <w:rsid w:val="001925AD"/>
    <w:rsid w:val="00192680"/>
    <w:rsid w:val="00193037"/>
    <w:rsid w:val="00193256"/>
    <w:rsid w:val="00193A2C"/>
    <w:rsid w:val="00194A9F"/>
    <w:rsid w:val="00194DA9"/>
    <w:rsid w:val="00194F27"/>
    <w:rsid w:val="001956B1"/>
    <w:rsid w:val="00195E25"/>
    <w:rsid w:val="001A1E98"/>
    <w:rsid w:val="001A288E"/>
    <w:rsid w:val="001A297B"/>
    <w:rsid w:val="001A2C6E"/>
    <w:rsid w:val="001A2D93"/>
    <w:rsid w:val="001A408E"/>
    <w:rsid w:val="001A516C"/>
    <w:rsid w:val="001B12F4"/>
    <w:rsid w:val="001B1343"/>
    <w:rsid w:val="001B214C"/>
    <w:rsid w:val="001B22A9"/>
    <w:rsid w:val="001B231C"/>
    <w:rsid w:val="001B2A79"/>
    <w:rsid w:val="001B31B3"/>
    <w:rsid w:val="001B3A15"/>
    <w:rsid w:val="001B3CD7"/>
    <w:rsid w:val="001B3EF3"/>
    <w:rsid w:val="001B68BC"/>
    <w:rsid w:val="001B6DC2"/>
    <w:rsid w:val="001B7FC8"/>
    <w:rsid w:val="001C149C"/>
    <w:rsid w:val="001C1AD2"/>
    <w:rsid w:val="001C21AC"/>
    <w:rsid w:val="001C21CE"/>
    <w:rsid w:val="001C2B05"/>
    <w:rsid w:val="001C47BA"/>
    <w:rsid w:val="001C5658"/>
    <w:rsid w:val="001C59EA"/>
    <w:rsid w:val="001C5DF2"/>
    <w:rsid w:val="001C715A"/>
    <w:rsid w:val="001C754C"/>
    <w:rsid w:val="001C7568"/>
    <w:rsid w:val="001D0241"/>
    <w:rsid w:val="001D0DED"/>
    <w:rsid w:val="001D1201"/>
    <w:rsid w:val="001D3F1B"/>
    <w:rsid w:val="001D406C"/>
    <w:rsid w:val="001D41EE"/>
    <w:rsid w:val="001D4315"/>
    <w:rsid w:val="001D5265"/>
    <w:rsid w:val="001D52E3"/>
    <w:rsid w:val="001D6E5D"/>
    <w:rsid w:val="001D7756"/>
    <w:rsid w:val="001E0380"/>
    <w:rsid w:val="001E13B1"/>
    <w:rsid w:val="001E3B62"/>
    <w:rsid w:val="001E3F8D"/>
    <w:rsid w:val="001E5961"/>
    <w:rsid w:val="001E68DC"/>
    <w:rsid w:val="001F0C79"/>
    <w:rsid w:val="001F129D"/>
    <w:rsid w:val="001F27EB"/>
    <w:rsid w:val="001F2B26"/>
    <w:rsid w:val="001F3026"/>
    <w:rsid w:val="001F352B"/>
    <w:rsid w:val="001F3A19"/>
    <w:rsid w:val="001F4E52"/>
    <w:rsid w:val="001F5F85"/>
    <w:rsid w:val="001F7A6A"/>
    <w:rsid w:val="0020028D"/>
    <w:rsid w:val="00200CC3"/>
    <w:rsid w:val="002018F0"/>
    <w:rsid w:val="00203320"/>
    <w:rsid w:val="002033B3"/>
    <w:rsid w:val="002039E0"/>
    <w:rsid w:val="00204A93"/>
    <w:rsid w:val="00205FBF"/>
    <w:rsid w:val="0020730C"/>
    <w:rsid w:val="0021011F"/>
    <w:rsid w:val="0021044E"/>
    <w:rsid w:val="00210832"/>
    <w:rsid w:val="0021245F"/>
    <w:rsid w:val="00213563"/>
    <w:rsid w:val="00213E06"/>
    <w:rsid w:val="00215734"/>
    <w:rsid w:val="00215CA8"/>
    <w:rsid w:val="002205C2"/>
    <w:rsid w:val="00220D67"/>
    <w:rsid w:val="002241CA"/>
    <w:rsid w:val="00227B87"/>
    <w:rsid w:val="00233B5F"/>
    <w:rsid w:val="00234467"/>
    <w:rsid w:val="00235885"/>
    <w:rsid w:val="00237D8D"/>
    <w:rsid w:val="00237E1B"/>
    <w:rsid w:val="00241DA2"/>
    <w:rsid w:val="0024592E"/>
    <w:rsid w:val="00247052"/>
    <w:rsid w:val="00247FEE"/>
    <w:rsid w:val="00250A74"/>
    <w:rsid w:val="00250E7D"/>
    <w:rsid w:val="00251908"/>
    <w:rsid w:val="00251975"/>
    <w:rsid w:val="00253268"/>
    <w:rsid w:val="00255651"/>
    <w:rsid w:val="002565D5"/>
    <w:rsid w:val="00256BD3"/>
    <w:rsid w:val="00257A44"/>
    <w:rsid w:val="002612ED"/>
    <w:rsid w:val="002622C0"/>
    <w:rsid w:val="00262AE9"/>
    <w:rsid w:val="00264305"/>
    <w:rsid w:val="00264D5A"/>
    <w:rsid w:val="002661A5"/>
    <w:rsid w:val="00266C64"/>
    <w:rsid w:val="0027144E"/>
    <w:rsid w:val="0027176D"/>
    <w:rsid w:val="002722A6"/>
    <w:rsid w:val="002727B4"/>
    <w:rsid w:val="00273F62"/>
    <w:rsid w:val="00275967"/>
    <w:rsid w:val="00275D5A"/>
    <w:rsid w:val="002778AE"/>
    <w:rsid w:val="00280E9E"/>
    <w:rsid w:val="00281490"/>
    <w:rsid w:val="00281652"/>
    <w:rsid w:val="0028269A"/>
    <w:rsid w:val="00283590"/>
    <w:rsid w:val="00283D25"/>
    <w:rsid w:val="00286973"/>
    <w:rsid w:val="00286AC1"/>
    <w:rsid w:val="00287F6E"/>
    <w:rsid w:val="00290FDF"/>
    <w:rsid w:val="00293229"/>
    <w:rsid w:val="00293358"/>
    <w:rsid w:val="00294A38"/>
    <w:rsid w:val="00294E70"/>
    <w:rsid w:val="002A1083"/>
    <w:rsid w:val="002A168A"/>
    <w:rsid w:val="002A1924"/>
    <w:rsid w:val="002A2D5E"/>
    <w:rsid w:val="002A363A"/>
    <w:rsid w:val="002A478D"/>
    <w:rsid w:val="002A5BC9"/>
    <w:rsid w:val="002A5E6C"/>
    <w:rsid w:val="002A601C"/>
    <w:rsid w:val="002A7420"/>
    <w:rsid w:val="002A77EE"/>
    <w:rsid w:val="002A7DE5"/>
    <w:rsid w:val="002B02AA"/>
    <w:rsid w:val="002B0870"/>
    <w:rsid w:val="002B0F12"/>
    <w:rsid w:val="002B1224"/>
    <w:rsid w:val="002B12C4"/>
    <w:rsid w:val="002B1308"/>
    <w:rsid w:val="002B1821"/>
    <w:rsid w:val="002B41C2"/>
    <w:rsid w:val="002B4554"/>
    <w:rsid w:val="002B605C"/>
    <w:rsid w:val="002B74E7"/>
    <w:rsid w:val="002B7AB0"/>
    <w:rsid w:val="002C08F3"/>
    <w:rsid w:val="002C0B5B"/>
    <w:rsid w:val="002C1267"/>
    <w:rsid w:val="002C13C5"/>
    <w:rsid w:val="002C2AA3"/>
    <w:rsid w:val="002C2D69"/>
    <w:rsid w:val="002C3255"/>
    <w:rsid w:val="002C34D0"/>
    <w:rsid w:val="002C4860"/>
    <w:rsid w:val="002C4D30"/>
    <w:rsid w:val="002C72D8"/>
    <w:rsid w:val="002C7C91"/>
    <w:rsid w:val="002D06C0"/>
    <w:rsid w:val="002D06D1"/>
    <w:rsid w:val="002D11FA"/>
    <w:rsid w:val="002D229C"/>
    <w:rsid w:val="002D2C1F"/>
    <w:rsid w:val="002D329D"/>
    <w:rsid w:val="002D42C7"/>
    <w:rsid w:val="002D4C23"/>
    <w:rsid w:val="002D57AF"/>
    <w:rsid w:val="002D6741"/>
    <w:rsid w:val="002D6C13"/>
    <w:rsid w:val="002D6C9F"/>
    <w:rsid w:val="002D789D"/>
    <w:rsid w:val="002E00FA"/>
    <w:rsid w:val="002E0DDF"/>
    <w:rsid w:val="002E197B"/>
    <w:rsid w:val="002E2537"/>
    <w:rsid w:val="002E284D"/>
    <w:rsid w:val="002E2906"/>
    <w:rsid w:val="002E3454"/>
    <w:rsid w:val="002E5635"/>
    <w:rsid w:val="002E567D"/>
    <w:rsid w:val="002E5E48"/>
    <w:rsid w:val="002E64C3"/>
    <w:rsid w:val="002E683A"/>
    <w:rsid w:val="002E6A2C"/>
    <w:rsid w:val="002E727B"/>
    <w:rsid w:val="002E7DC0"/>
    <w:rsid w:val="002F0236"/>
    <w:rsid w:val="002F1D8C"/>
    <w:rsid w:val="002F21DA"/>
    <w:rsid w:val="002F2E0E"/>
    <w:rsid w:val="002F3C8D"/>
    <w:rsid w:val="002F4DD6"/>
    <w:rsid w:val="002F4E7A"/>
    <w:rsid w:val="002F4FED"/>
    <w:rsid w:val="002F6F52"/>
    <w:rsid w:val="002F79ED"/>
    <w:rsid w:val="0030108D"/>
    <w:rsid w:val="003018CE"/>
    <w:rsid w:val="00301F39"/>
    <w:rsid w:val="00303C50"/>
    <w:rsid w:val="00303D09"/>
    <w:rsid w:val="00304968"/>
    <w:rsid w:val="00304B08"/>
    <w:rsid w:val="00306CB1"/>
    <w:rsid w:val="0031050E"/>
    <w:rsid w:val="0031158A"/>
    <w:rsid w:val="003138DF"/>
    <w:rsid w:val="003139E9"/>
    <w:rsid w:val="0031434D"/>
    <w:rsid w:val="00316B81"/>
    <w:rsid w:val="00320DF3"/>
    <w:rsid w:val="00323A6B"/>
    <w:rsid w:val="0032407C"/>
    <w:rsid w:val="0032486D"/>
    <w:rsid w:val="003251DC"/>
    <w:rsid w:val="003253AF"/>
    <w:rsid w:val="00325926"/>
    <w:rsid w:val="00325F0B"/>
    <w:rsid w:val="00326617"/>
    <w:rsid w:val="00326A69"/>
    <w:rsid w:val="00327A8A"/>
    <w:rsid w:val="00330C9E"/>
    <w:rsid w:val="00331059"/>
    <w:rsid w:val="003315F6"/>
    <w:rsid w:val="00332404"/>
    <w:rsid w:val="003344F8"/>
    <w:rsid w:val="00334C3F"/>
    <w:rsid w:val="00334C46"/>
    <w:rsid w:val="003358E3"/>
    <w:rsid w:val="00336610"/>
    <w:rsid w:val="00337324"/>
    <w:rsid w:val="00340D7A"/>
    <w:rsid w:val="003415DB"/>
    <w:rsid w:val="00341844"/>
    <w:rsid w:val="0034393E"/>
    <w:rsid w:val="00343F73"/>
    <w:rsid w:val="003446C9"/>
    <w:rsid w:val="00345060"/>
    <w:rsid w:val="00346114"/>
    <w:rsid w:val="00346FC6"/>
    <w:rsid w:val="00350D31"/>
    <w:rsid w:val="003517CD"/>
    <w:rsid w:val="00352808"/>
    <w:rsid w:val="00353044"/>
    <w:rsid w:val="0035323B"/>
    <w:rsid w:val="003538DC"/>
    <w:rsid w:val="00353DA2"/>
    <w:rsid w:val="00354099"/>
    <w:rsid w:val="0035658D"/>
    <w:rsid w:val="00356839"/>
    <w:rsid w:val="00357C57"/>
    <w:rsid w:val="00360314"/>
    <w:rsid w:val="003609D2"/>
    <w:rsid w:val="00363F22"/>
    <w:rsid w:val="00364666"/>
    <w:rsid w:val="00364E71"/>
    <w:rsid w:val="00367E68"/>
    <w:rsid w:val="00370565"/>
    <w:rsid w:val="003725F5"/>
    <w:rsid w:val="00373349"/>
    <w:rsid w:val="00373871"/>
    <w:rsid w:val="00373BDF"/>
    <w:rsid w:val="0037405B"/>
    <w:rsid w:val="00375564"/>
    <w:rsid w:val="003767FC"/>
    <w:rsid w:val="00383191"/>
    <w:rsid w:val="0038366C"/>
    <w:rsid w:val="00383F46"/>
    <w:rsid w:val="003861F0"/>
    <w:rsid w:val="003862DC"/>
    <w:rsid w:val="00386DED"/>
    <w:rsid w:val="00387041"/>
    <w:rsid w:val="003912E7"/>
    <w:rsid w:val="00391D34"/>
    <w:rsid w:val="0039220D"/>
    <w:rsid w:val="00392307"/>
    <w:rsid w:val="00393379"/>
    <w:rsid w:val="00393757"/>
    <w:rsid w:val="00393947"/>
    <w:rsid w:val="00394392"/>
    <w:rsid w:val="00394713"/>
    <w:rsid w:val="003956CA"/>
    <w:rsid w:val="00397517"/>
    <w:rsid w:val="003A0E83"/>
    <w:rsid w:val="003A0E94"/>
    <w:rsid w:val="003A2275"/>
    <w:rsid w:val="003A2615"/>
    <w:rsid w:val="003A2DCB"/>
    <w:rsid w:val="003A6A4F"/>
    <w:rsid w:val="003A7088"/>
    <w:rsid w:val="003B00DF"/>
    <w:rsid w:val="003B0EB9"/>
    <w:rsid w:val="003B1275"/>
    <w:rsid w:val="003B1778"/>
    <w:rsid w:val="003B211A"/>
    <w:rsid w:val="003B2B33"/>
    <w:rsid w:val="003B39D2"/>
    <w:rsid w:val="003B4057"/>
    <w:rsid w:val="003B4DA1"/>
    <w:rsid w:val="003B696D"/>
    <w:rsid w:val="003C0344"/>
    <w:rsid w:val="003C0731"/>
    <w:rsid w:val="003C0A80"/>
    <w:rsid w:val="003C11CB"/>
    <w:rsid w:val="003C2090"/>
    <w:rsid w:val="003C2454"/>
    <w:rsid w:val="003C31E7"/>
    <w:rsid w:val="003C465F"/>
    <w:rsid w:val="003C4A04"/>
    <w:rsid w:val="003C537C"/>
    <w:rsid w:val="003C54EB"/>
    <w:rsid w:val="003C623C"/>
    <w:rsid w:val="003C685A"/>
    <w:rsid w:val="003C7435"/>
    <w:rsid w:val="003C75F3"/>
    <w:rsid w:val="003C77FA"/>
    <w:rsid w:val="003C78A3"/>
    <w:rsid w:val="003C7F44"/>
    <w:rsid w:val="003D2BF2"/>
    <w:rsid w:val="003D2E24"/>
    <w:rsid w:val="003D3B1E"/>
    <w:rsid w:val="003D677A"/>
    <w:rsid w:val="003D795B"/>
    <w:rsid w:val="003D7B58"/>
    <w:rsid w:val="003E041E"/>
    <w:rsid w:val="003E10DA"/>
    <w:rsid w:val="003E14FD"/>
    <w:rsid w:val="003E1867"/>
    <w:rsid w:val="003E18A8"/>
    <w:rsid w:val="003E21D7"/>
    <w:rsid w:val="003E29D5"/>
    <w:rsid w:val="003E3AD7"/>
    <w:rsid w:val="003E4781"/>
    <w:rsid w:val="003E5729"/>
    <w:rsid w:val="003E574A"/>
    <w:rsid w:val="003E61F2"/>
    <w:rsid w:val="003E6548"/>
    <w:rsid w:val="003E6B0E"/>
    <w:rsid w:val="003E6F25"/>
    <w:rsid w:val="003E7939"/>
    <w:rsid w:val="003F109B"/>
    <w:rsid w:val="003F1558"/>
    <w:rsid w:val="003F1CF3"/>
    <w:rsid w:val="003F2D80"/>
    <w:rsid w:val="003F3789"/>
    <w:rsid w:val="003F4EE0"/>
    <w:rsid w:val="003F5B5B"/>
    <w:rsid w:val="003F5DC3"/>
    <w:rsid w:val="003F74EA"/>
    <w:rsid w:val="00400A8A"/>
    <w:rsid w:val="00400CA4"/>
    <w:rsid w:val="00401673"/>
    <w:rsid w:val="00401FC3"/>
    <w:rsid w:val="00402153"/>
    <w:rsid w:val="0040224F"/>
    <w:rsid w:val="00402FC1"/>
    <w:rsid w:val="00403509"/>
    <w:rsid w:val="00403CF4"/>
    <w:rsid w:val="004040AE"/>
    <w:rsid w:val="004059EE"/>
    <w:rsid w:val="00407761"/>
    <w:rsid w:val="00410001"/>
    <w:rsid w:val="004134CC"/>
    <w:rsid w:val="004147F5"/>
    <w:rsid w:val="004158E5"/>
    <w:rsid w:val="00417203"/>
    <w:rsid w:val="004177BD"/>
    <w:rsid w:val="00417E60"/>
    <w:rsid w:val="00420542"/>
    <w:rsid w:val="00420AD4"/>
    <w:rsid w:val="00423E09"/>
    <w:rsid w:val="0042477C"/>
    <w:rsid w:val="00425082"/>
    <w:rsid w:val="00427412"/>
    <w:rsid w:val="0042751B"/>
    <w:rsid w:val="00430D98"/>
    <w:rsid w:val="004312BC"/>
    <w:rsid w:val="00431553"/>
    <w:rsid w:val="00431DEB"/>
    <w:rsid w:val="00433690"/>
    <w:rsid w:val="004337E9"/>
    <w:rsid w:val="004377FA"/>
    <w:rsid w:val="00437CE3"/>
    <w:rsid w:val="00437E83"/>
    <w:rsid w:val="00442723"/>
    <w:rsid w:val="00442840"/>
    <w:rsid w:val="00444066"/>
    <w:rsid w:val="00444F82"/>
    <w:rsid w:val="00446B29"/>
    <w:rsid w:val="00446E3F"/>
    <w:rsid w:val="00447151"/>
    <w:rsid w:val="0045006F"/>
    <w:rsid w:val="004503DF"/>
    <w:rsid w:val="00451CC4"/>
    <w:rsid w:val="00451CFE"/>
    <w:rsid w:val="00451D27"/>
    <w:rsid w:val="00452613"/>
    <w:rsid w:val="00453326"/>
    <w:rsid w:val="00453D65"/>
    <w:rsid w:val="00453F9A"/>
    <w:rsid w:val="00454C24"/>
    <w:rsid w:val="00456022"/>
    <w:rsid w:val="00456BC0"/>
    <w:rsid w:val="00456D45"/>
    <w:rsid w:val="004619F9"/>
    <w:rsid w:val="004627FE"/>
    <w:rsid w:val="0046292D"/>
    <w:rsid w:val="00462E5A"/>
    <w:rsid w:val="004645CD"/>
    <w:rsid w:val="00464AD1"/>
    <w:rsid w:val="00467660"/>
    <w:rsid w:val="00471E91"/>
    <w:rsid w:val="00474675"/>
    <w:rsid w:val="0047470C"/>
    <w:rsid w:val="00476021"/>
    <w:rsid w:val="00476B75"/>
    <w:rsid w:val="00476C8F"/>
    <w:rsid w:val="0048346A"/>
    <w:rsid w:val="00485534"/>
    <w:rsid w:val="00485910"/>
    <w:rsid w:val="00485A36"/>
    <w:rsid w:val="00487C9C"/>
    <w:rsid w:val="004902A4"/>
    <w:rsid w:val="0049063E"/>
    <w:rsid w:val="00490C74"/>
    <w:rsid w:val="004916FD"/>
    <w:rsid w:val="00492DCF"/>
    <w:rsid w:val="0049423A"/>
    <w:rsid w:val="0049580D"/>
    <w:rsid w:val="00495E32"/>
    <w:rsid w:val="00496222"/>
    <w:rsid w:val="004972C2"/>
    <w:rsid w:val="004A0541"/>
    <w:rsid w:val="004A0C0F"/>
    <w:rsid w:val="004A0DB3"/>
    <w:rsid w:val="004A2498"/>
    <w:rsid w:val="004A2EE3"/>
    <w:rsid w:val="004A35F9"/>
    <w:rsid w:val="004A465B"/>
    <w:rsid w:val="004A4F85"/>
    <w:rsid w:val="004A53AD"/>
    <w:rsid w:val="004A5690"/>
    <w:rsid w:val="004B1578"/>
    <w:rsid w:val="004B24C1"/>
    <w:rsid w:val="004B39CA"/>
    <w:rsid w:val="004B51A4"/>
    <w:rsid w:val="004B5D36"/>
    <w:rsid w:val="004B726C"/>
    <w:rsid w:val="004B7B25"/>
    <w:rsid w:val="004C292F"/>
    <w:rsid w:val="004C295C"/>
    <w:rsid w:val="004C3273"/>
    <w:rsid w:val="004C3767"/>
    <w:rsid w:val="004C5C69"/>
    <w:rsid w:val="004C631B"/>
    <w:rsid w:val="004C665A"/>
    <w:rsid w:val="004C7C87"/>
    <w:rsid w:val="004D017B"/>
    <w:rsid w:val="004D0290"/>
    <w:rsid w:val="004D16AD"/>
    <w:rsid w:val="004D58A7"/>
    <w:rsid w:val="004D6877"/>
    <w:rsid w:val="004D689E"/>
    <w:rsid w:val="004D68D0"/>
    <w:rsid w:val="004D7235"/>
    <w:rsid w:val="004E05FC"/>
    <w:rsid w:val="004E1054"/>
    <w:rsid w:val="004E1226"/>
    <w:rsid w:val="004E2B2E"/>
    <w:rsid w:val="004E4F4E"/>
    <w:rsid w:val="004E55C3"/>
    <w:rsid w:val="004E5D0C"/>
    <w:rsid w:val="004E6326"/>
    <w:rsid w:val="004E694D"/>
    <w:rsid w:val="004E77B7"/>
    <w:rsid w:val="004F1215"/>
    <w:rsid w:val="004F16B3"/>
    <w:rsid w:val="004F18E3"/>
    <w:rsid w:val="004F3117"/>
    <w:rsid w:val="004F43B9"/>
    <w:rsid w:val="004F4A2D"/>
    <w:rsid w:val="004F4F78"/>
    <w:rsid w:val="004F5C56"/>
    <w:rsid w:val="004F6927"/>
    <w:rsid w:val="004F791C"/>
    <w:rsid w:val="005001E0"/>
    <w:rsid w:val="005007EE"/>
    <w:rsid w:val="00500EE5"/>
    <w:rsid w:val="0050130B"/>
    <w:rsid w:val="005022F8"/>
    <w:rsid w:val="00502690"/>
    <w:rsid w:val="005038FE"/>
    <w:rsid w:val="005054BC"/>
    <w:rsid w:val="0050569E"/>
    <w:rsid w:val="00506EEF"/>
    <w:rsid w:val="005101CC"/>
    <w:rsid w:val="00510280"/>
    <w:rsid w:val="00511022"/>
    <w:rsid w:val="00511612"/>
    <w:rsid w:val="00512204"/>
    <w:rsid w:val="005128AF"/>
    <w:rsid w:val="005139DE"/>
    <w:rsid w:val="00513D73"/>
    <w:rsid w:val="005144A2"/>
    <w:rsid w:val="00514A43"/>
    <w:rsid w:val="005174E5"/>
    <w:rsid w:val="00520598"/>
    <w:rsid w:val="0052086C"/>
    <w:rsid w:val="00522393"/>
    <w:rsid w:val="00522620"/>
    <w:rsid w:val="00523690"/>
    <w:rsid w:val="0052388C"/>
    <w:rsid w:val="00524882"/>
    <w:rsid w:val="00525215"/>
    <w:rsid w:val="0052554A"/>
    <w:rsid w:val="00525656"/>
    <w:rsid w:val="00525E8C"/>
    <w:rsid w:val="0052634E"/>
    <w:rsid w:val="00526479"/>
    <w:rsid w:val="00526BC4"/>
    <w:rsid w:val="0052707C"/>
    <w:rsid w:val="00527461"/>
    <w:rsid w:val="0053000A"/>
    <w:rsid w:val="005312A6"/>
    <w:rsid w:val="005332C7"/>
    <w:rsid w:val="00534C02"/>
    <w:rsid w:val="00535AD6"/>
    <w:rsid w:val="005371E9"/>
    <w:rsid w:val="005372B4"/>
    <w:rsid w:val="00537C28"/>
    <w:rsid w:val="00540053"/>
    <w:rsid w:val="0054021C"/>
    <w:rsid w:val="0054124C"/>
    <w:rsid w:val="00542013"/>
    <w:rsid w:val="0054233E"/>
    <w:rsid w:val="0054264B"/>
    <w:rsid w:val="005426B4"/>
    <w:rsid w:val="00542A7C"/>
    <w:rsid w:val="005430C1"/>
    <w:rsid w:val="00543298"/>
    <w:rsid w:val="00543786"/>
    <w:rsid w:val="00543972"/>
    <w:rsid w:val="00544B88"/>
    <w:rsid w:val="00547C78"/>
    <w:rsid w:val="00551827"/>
    <w:rsid w:val="005533D7"/>
    <w:rsid w:val="005548C9"/>
    <w:rsid w:val="00554B82"/>
    <w:rsid w:val="0055685E"/>
    <w:rsid w:val="005577E4"/>
    <w:rsid w:val="00557D44"/>
    <w:rsid w:val="00557E38"/>
    <w:rsid w:val="00560F7E"/>
    <w:rsid w:val="005614F1"/>
    <w:rsid w:val="00563417"/>
    <w:rsid w:val="00563A3D"/>
    <w:rsid w:val="00566142"/>
    <w:rsid w:val="0056724B"/>
    <w:rsid w:val="00567B9B"/>
    <w:rsid w:val="005703DE"/>
    <w:rsid w:val="00570AC8"/>
    <w:rsid w:val="00572A98"/>
    <w:rsid w:val="00573010"/>
    <w:rsid w:val="005738D2"/>
    <w:rsid w:val="00573BF1"/>
    <w:rsid w:val="00575DD3"/>
    <w:rsid w:val="005763BC"/>
    <w:rsid w:val="005766F4"/>
    <w:rsid w:val="00582999"/>
    <w:rsid w:val="00582AD3"/>
    <w:rsid w:val="0058311E"/>
    <w:rsid w:val="00583904"/>
    <w:rsid w:val="00583A82"/>
    <w:rsid w:val="0058464E"/>
    <w:rsid w:val="00586DF8"/>
    <w:rsid w:val="0058706D"/>
    <w:rsid w:val="00590637"/>
    <w:rsid w:val="005910B6"/>
    <w:rsid w:val="005911BF"/>
    <w:rsid w:val="00591D31"/>
    <w:rsid w:val="00592E75"/>
    <w:rsid w:val="00595915"/>
    <w:rsid w:val="005A01CB"/>
    <w:rsid w:val="005A0569"/>
    <w:rsid w:val="005A07EA"/>
    <w:rsid w:val="005A0D64"/>
    <w:rsid w:val="005A26B8"/>
    <w:rsid w:val="005A26CA"/>
    <w:rsid w:val="005A2892"/>
    <w:rsid w:val="005A3C86"/>
    <w:rsid w:val="005A4400"/>
    <w:rsid w:val="005A4A28"/>
    <w:rsid w:val="005A58FF"/>
    <w:rsid w:val="005A5EAF"/>
    <w:rsid w:val="005A5F31"/>
    <w:rsid w:val="005A64C0"/>
    <w:rsid w:val="005A6BDD"/>
    <w:rsid w:val="005B077D"/>
    <w:rsid w:val="005B273C"/>
    <w:rsid w:val="005B3C11"/>
    <w:rsid w:val="005B3EF4"/>
    <w:rsid w:val="005B4F7D"/>
    <w:rsid w:val="005B7C4B"/>
    <w:rsid w:val="005B7D09"/>
    <w:rsid w:val="005C0815"/>
    <w:rsid w:val="005C1151"/>
    <w:rsid w:val="005C1C28"/>
    <w:rsid w:val="005C1CE3"/>
    <w:rsid w:val="005C1E2C"/>
    <w:rsid w:val="005C37EA"/>
    <w:rsid w:val="005C56C1"/>
    <w:rsid w:val="005C60AE"/>
    <w:rsid w:val="005C6559"/>
    <w:rsid w:val="005C6DB5"/>
    <w:rsid w:val="005C78D9"/>
    <w:rsid w:val="005D07B5"/>
    <w:rsid w:val="005D1317"/>
    <w:rsid w:val="005D1A99"/>
    <w:rsid w:val="005D1C99"/>
    <w:rsid w:val="005D209E"/>
    <w:rsid w:val="005D3010"/>
    <w:rsid w:val="005D3724"/>
    <w:rsid w:val="005D46FD"/>
    <w:rsid w:val="005D6A64"/>
    <w:rsid w:val="005E0142"/>
    <w:rsid w:val="005E04FE"/>
    <w:rsid w:val="005E19E7"/>
    <w:rsid w:val="005E1C2E"/>
    <w:rsid w:val="005E4AA6"/>
    <w:rsid w:val="005E5D75"/>
    <w:rsid w:val="005E6D78"/>
    <w:rsid w:val="005F0E4D"/>
    <w:rsid w:val="005F1698"/>
    <w:rsid w:val="005F1712"/>
    <w:rsid w:val="005F1AA2"/>
    <w:rsid w:val="005F4856"/>
    <w:rsid w:val="005F635E"/>
    <w:rsid w:val="005F6436"/>
    <w:rsid w:val="0060069D"/>
    <w:rsid w:val="00601BB3"/>
    <w:rsid w:val="00601E14"/>
    <w:rsid w:val="0060320F"/>
    <w:rsid w:val="0060403A"/>
    <w:rsid w:val="00604973"/>
    <w:rsid w:val="00612349"/>
    <w:rsid w:val="00612F08"/>
    <w:rsid w:val="006154E8"/>
    <w:rsid w:val="0061628E"/>
    <w:rsid w:val="00616347"/>
    <w:rsid w:val="0061716C"/>
    <w:rsid w:val="00617AA4"/>
    <w:rsid w:val="00620F4D"/>
    <w:rsid w:val="006210C1"/>
    <w:rsid w:val="00621EFC"/>
    <w:rsid w:val="00623177"/>
    <w:rsid w:val="006234D6"/>
    <w:rsid w:val="006242CD"/>
    <w:rsid w:val="006243A1"/>
    <w:rsid w:val="00625723"/>
    <w:rsid w:val="00627A7C"/>
    <w:rsid w:val="006313A7"/>
    <w:rsid w:val="006317FE"/>
    <w:rsid w:val="00632E56"/>
    <w:rsid w:val="00633982"/>
    <w:rsid w:val="006339E4"/>
    <w:rsid w:val="0063571B"/>
    <w:rsid w:val="00635CBA"/>
    <w:rsid w:val="00636674"/>
    <w:rsid w:val="00640295"/>
    <w:rsid w:val="006419C4"/>
    <w:rsid w:val="006423BA"/>
    <w:rsid w:val="00642687"/>
    <w:rsid w:val="00642A32"/>
    <w:rsid w:val="0064338B"/>
    <w:rsid w:val="00643803"/>
    <w:rsid w:val="00643E1B"/>
    <w:rsid w:val="006459CA"/>
    <w:rsid w:val="00646017"/>
    <w:rsid w:val="00646542"/>
    <w:rsid w:val="00646766"/>
    <w:rsid w:val="006501FF"/>
    <w:rsid w:val="006504F4"/>
    <w:rsid w:val="006509BE"/>
    <w:rsid w:val="0065135B"/>
    <w:rsid w:val="00651BF3"/>
    <w:rsid w:val="00651FF9"/>
    <w:rsid w:val="00654BC9"/>
    <w:rsid w:val="006552FD"/>
    <w:rsid w:val="00660252"/>
    <w:rsid w:val="006605AC"/>
    <w:rsid w:val="00660739"/>
    <w:rsid w:val="0066089F"/>
    <w:rsid w:val="0066092F"/>
    <w:rsid w:val="00663AF3"/>
    <w:rsid w:val="00663DD3"/>
    <w:rsid w:val="00664EAC"/>
    <w:rsid w:val="00665A59"/>
    <w:rsid w:val="00665D55"/>
    <w:rsid w:val="00665F6C"/>
    <w:rsid w:val="006666DB"/>
    <w:rsid w:val="00666B6C"/>
    <w:rsid w:val="006701F8"/>
    <w:rsid w:val="006705AF"/>
    <w:rsid w:val="006706F6"/>
    <w:rsid w:val="00671BB6"/>
    <w:rsid w:val="00672DCD"/>
    <w:rsid w:val="00673234"/>
    <w:rsid w:val="00673F67"/>
    <w:rsid w:val="006746D6"/>
    <w:rsid w:val="0067492A"/>
    <w:rsid w:val="00675440"/>
    <w:rsid w:val="00675454"/>
    <w:rsid w:val="00676886"/>
    <w:rsid w:val="00676DB9"/>
    <w:rsid w:val="006819CA"/>
    <w:rsid w:val="006824AC"/>
    <w:rsid w:val="00682677"/>
    <w:rsid w:val="00682682"/>
    <w:rsid w:val="00682702"/>
    <w:rsid w:val="0068282E"/>
    <w:rsid w:val="00683A37"/>
    <w:rsid w:val="00684956"/>
    <w:rsid w:val="006852D2"/>
    <w:rsid w:val="00685633"/>
    <w:rsid w:val="0068568E"/>
    <w:rsid w:val="006863C8"/>
    <w:rsid w:val="00690B1C"/>
    <w:rsid w:val="0069102E"/>
    <w:rsid w:val="00692368"/>
    <w:rsid w:val="00692F40"/>
    <w:rsid w:val="00694C70"/>
    <w:rsid w:val="00696564"/>
    <w:rsid w:val="006A1FBD"/>
    <w:rsid w:val="006A2EBC"/>
    <w:rsid w:val="006A3BE0"/>
    <w:rsid w:val="006A5E00"/>
    <w:rsid w:val="006A5EA0"/>
    <w:rsid w:val="006A73E2"/>
    <w:rsid w:val="006A7491"/>
    <w:rsid w:val="006A783B"/>
    <w:rsid w:val="006A7B33"/>
    <w:rsid w:val="006B03EC"/>
    <w:rsid w:val="006B170E"/>
    <w:rsid w:val="006B19BE"/>
    <w:rsid w:val="006B1C51"/>
    <w:rsid w:val="006B230C"/>
    <w:rsid w:val="006B2667"/>
    <w:rsid w:val="006B3EA8"/>
    <w:rsid w:val="006B4E13"/>
    <w:rsid w:val="006B6126"/>
    <w:rsid w:val="006B75DD"/>
    <w:rsid w:val="006B7D2A"/>
    <w:rsid w:val="006B7DF4"/>
    <w:rsid w:val="006C050B"/>
    <w:rsid w:val="006C0B6B"/>
    <w:rsid w:val="006C11C9"/>
    <w:rsid w:val="006C2DA3"/>
    <w:rsid w:val="006C67E0"/>
    <w:rsid w:val="006C7305"/>
    <w:rsid w:val="006C7ABA"/>
    <w:rsid w:val="006D0391"/>
    <w:rsid w:val="006D03B0"/>
    <w:rsid w:val="006D0D60"/>
    <w:rsid w:val="006D1122"/>
    <w:rsid w:val="006D2F9E"/>
    <w:rsid w:val="006D3C00"/>
    <w:rsid w:val="006D4B2B"/>
    <w:rsid w:val="006D69E4"/>
    <w:rsid w:val="006E09F8"/>
    <w:rsid w:val="006E0E9F"/>
    <w:rsid w:val="006E140C"/>
    <w:rsid w:val="006E3675"/>
    <w:rsid w:val="006E46D4"/>
    <w:rsid w:val="006E4A7F"/>
    <w:rsid w:val="006E4F32"/>
    <w:rsid w:val="006E503C"/>
    <w:rsid w:val="006E57A5"/>
    <w:rsid w:val="006E68DC"/>
    <w:rsid w:val="006E6CF6"/>
    <w:rsid w:val="006F17D3"/>
    <w:rsid w:val="006F183A"/>
    <w:rsid w:val="006F2201"/>
    <w:rsid w:val="006F2276"/>
    <w:rsid w:val="006F2406"/>
    <w:rsid w:val="006F2AA5"/>
    <w:rsid w:val="006F304F"/>
    <w:rsid w:val="006F60E1"/>
    <w:rsid w:val="00700B73"/>
    <w:rsid w:val="0070106A"/>
    <w:rsid w:val="00701E16"/>
    <w:rsid w:val="007030A0"/>
    <w:rsid w:val="00703B0E"/>
    <w:rsid w:val="00703B6F"/>
    <w:rsid w:val="0070412A"/>
    <w:rsid w:val="00704DF6"/>
    <w:rsid w:val="00705F6C"/>
    <w:rsid w:val="0070651C"/>
    <w:rsid w:val="00706E50"/>
    <w:rsid w:val="00707CB6"/>
    <w:rsid w:val="00711056"/>
    <w:rsid w:val="007132A3"/>
    <w:rsid w:val="00716421"/>
    <w:rsid w:val="00716D92"/>
    <w:rsid w:val="007171EA"/>
    <w:rsid w:val="007200AE"/>
    <w:rsid w:val="00720422"/>
    <w:rsid w:val="00721353"/>
    <w:rsid w:val="00721A40"/>
    <w:rsid w:val="00721B23"/>
    <w:rsid w:val="00722663"/>
    <w:rsid w:val="00723161"/>
    <w:rsid w:val="00723C17"/>
    <w:rsid w:val="00724B73"/>
    <w:rsid w:val="00724EFB"/>
    <w:rsid w:val="00730644"/>
    <w:rsid w:val="0073298F"/>
    <w:rsid w:val="007331C8"/>
    <w:rsid w:val="007356E9"/>
    <w:rsid w:val="00735C70"/>
    <w:rsid w:val="0073690B"/>
    <w:rsid w:val="00737FF0"/>
    <w:rsid w:val="0074112E"/>
    <w:rsid w:val="007419C3"/>
    <w:rsid w:val="00742E32"/>
    <w:rsid w:val="00743ED7"/>
    <w:rsid w:val="00746772"/>
    <w:rsid w:val="007467A7"/>
    <w:rsid w:val="007469DD"/>
    <w:rsid w:val="007471AC"/>
    <w:rsid w:val="0074741B"/>
    <w:rsid w:val="0074759E"/>
    <w:rsid w:val="007478EA"/>
    <w:rsid w:val="00750563"/>
    <w:rsid w:val="007510E5"/>
    <w:rsid w:val="007521F8"/>
    <w:rsid w:val="007526EC"/>
    <w:rsid w:val="00753054"/>
    <w:rsid w:val="007534A8"/>
    <w:rsid w:val="00753592"/>
    <w:rsid w:val="0075415C"/>
    <w:rsid w:val="007544C3"/>
    <w:rsid w:val="00756401"/>
    <w:rsid w:val="00760152"/>
    <w:rsid w:val="00760AFE"/>
    <w:rsid w:val="00763085"/>
    <w:rsid w:val="00763362"/>
    <w:rsid w:val="00763502"/>
    <w:rsid w:val="00764482"/>
    <w:rsid w:val="00770953"/>
    <w:rsid w:val="00774D78"/>
    <w:rsid w:val="00775465"/>
    <w:rsid w:val="00775DFF"/>
    <w:rsid w:val="00780EC9"/>
    <w:rsid w:val="007828F6"/>
    <w:rsid w:val="00782A1A"/>
    <w:rsid w:val="00784BF5"/>
    <w:rsid w:val="00785C93"/>
    <w:rsid w:val="00785CC4"/>
    <w:rsid w:val="00786572"/>
    <w:rsid w:val="00787087"/>
    <w:rsid w:val="0079099B"/>
    <w:rsid w:val="00790CC5"/>
    <w:rsid w:val="007913AB"/>
    <w:rsid w:val="007914F7"/>
    <w:rsid w:val="007915AD"/>
    <w:rsid w:val="00792A87"/>
    <w:rsid w:val="00793E14"/>
    <w:rsid w:val="00793F1D"/>
    <w:rsid w:val="00794560"/>
    <w:rsid w:val="00794D0B"/>
    <w:rsid w:val="00794E4D"/>
    <w:rsid w:val="0079590A"/>
    <w:rsid w:val="00796953"/>
    <w:rsid w:val="00796CCB"/>
    <w:rsid w:val="007A254B"/>
    <w:rsid w:val="007A271D"/>
    <w:rsid w:val="007A3662"/>
    <w:rsid w:val="007A36FD"/>
    <w:rsid w:val="007A711A"/>
    <w:rsid w:val="007B14BA"/>
    <w:rsid w:val="007B1625"/>
    <w:rsid w:val="007B2AAB"/>
    <w:rsid w:val="007B3218"/>
    <w:rsid w:val="007B3622"/>
    <w:rsid w:val="007B40BD"/>
    <w:rsid w:val="007B46AF"/>
    <w:rsid w:val="007B5167"/>
    <w:rsid w:val="007B5983"/>
    <w:rsid w:val="007B5A7F"/>
    <w:rsid w:val="007B706E"/>
    <w:rsid w:val="007B71EB"/>
    <w:rsid w:val="007C03D0"/>
    <w:rsid w:val="007C04C8"/>
    <w:rsid w:val="007C14CD"/>
    <w:rsid w:val="007C2CB0"/>
    <w:rsid w:val="007C44EE"/>
    <w:rsid w:val="007C4D05"/>
    <w:rsid w:val="007C6205"/>
    <w:rsid w:val="007C6692"/>
    <w:rsid w:val="007C686A"/>
    <w:rsid w:val="007C7052"/>
    <w:rsid w:val="007C728E"/>
    <w:rsid w:val="007C75A8"/>
    <w:rsid w:val="007D1833"/>
    <w:rsid w:val="007D1CD4"/>
    <w:rsid w:val="007D2C53"/>
    <w:rsid w:val="007D344A"/>
    <w:rsid w:val="007D3636"/>
    <w:rsid w:val="007D3D60"/>
    <w:rsid w:val="007D423B"/>
    <w:rsid w:val="007D4C73"/>
    <w:rsid w:val="007D5658"/>
    <w:rsid w:val="007D64FB"/>
    <w:rsid w:val="007D7FB6"/>
    <w:rsid w:val="007E0C2D"/>
    <w:rsid w:val="007E1980"/>
    <w:rsid w:val="007E4063"/>
    <w:rsid w:val="007E4500"/>
    <w:rsid w:val="007E4B76"/>
    <w:rsid w:val="007E4EE7"/>
    <w:rsid w:val="007E5EA8"/>
    <w:rsid w:val="007E5F69"/>
    <w:rsid w:val="007E653D"/>
    <w:rsid w:val="007E6C5C"/>
    <w:rsid w:val="007E720E"/>
    <w:rsid w:val="007F0CF1"/>
    <w:rsid w:val="007F114E"/>
    <w:rsid w:val="007F12A5"/>
    <w:rsid w:val="007F1353"/>
    <w:rsid w:val="007F1354"/>
    <w:rsid w:val="007F1A32"/>
    <w:rsid w:val="007F1A33"/>
    <w:rsid w:val="007F1AD9"/>
    <w:rsid w:val="007F2D99"/>
    <w:rsid w:val="007F2EB5"/>
    <w:rsid w:val="007F3362"/>
    <w:rsid w:val="007F3905"/>
    <w:rsid w:val="007F4A52"/>
    <w:rsid w:val="007F4CF1"/>
    <w:rsid w:val="007F5D53"/>
    <w:rsid w:val="007F5DBC"/>
    <w:rsid w:val="007F5EE3"/>
    <w:rsid w:val="007F66B1"/>
    <w:rsid w:val="007F6C7E"/>
    <w:rsid w:val="007F758D"/>
    <w:rsid w:val="007F7D52"/>
    <w:rsid w:val="00803118"/>
    <w:rsid w:val="00803E88"/>
    <w:rsid w:val="00806079"/>
    <w:rsid w:val="0080654C"/>
    <w:rsid w:val="0080703B"/>
    <w:rsid w:val="008071C6"/>
    <w:rsid w:val="00810045"/>
    <w:rsid w:val="00810E62"/>
    <w:rsid w:val="00810ED5"/>
    <w:rsid w:val="00810EDD"/>
    <w:rsid w:val="0081130A"/>
    <w:rsid w:val="008125B5"/>
    <w:rsid w:val="008172EE"/>
    <w:rsid w:val="008175D6"/>
    <w:rsid w:val="00817A00"/>
    <w:rsid w:val="00817CE7"/>
    <w:rsid w:val="00820D34"/>
    <w:rsid w:val="00821398"/>
    <w:rsid w:val="0082163F"/>
    <w:rsid w:val="008222AE"/>
    <w:rsid w:val="00822918"/>
    <w:rsid w:val="00822E3E"/>
    <w:rsid w:val="008239C4"/>
    <w:rsid w:val="0082473A"/>
    <w:rsid w:val="00824FAD"/>
    <w:rsid w:val="00825171"/>
    <w:rsid w:val="00826040"/>
    <w:rsid w:val="00827ABF"/>
    <w:rsid w:val="00830F51"/>
    <w:rsid w:val="00833B9B"/>
    <w:rsid w:val="0083410B"/>
    <w:rsid w:val="008344A2"/>
    <w:rsid w:val="00835C0D"/>
    <w:rsid w:val="00835DB3"/>
    <w:rsid w:val="00835EFA"/>
    <w:rsid w:val="0083617B"/>
    <w:rsid w:val="008362FA"/>
    <w:rsid w:val="0083677C"/>
    <w:rsid w:val="008367F6"/>
    <w:rsid w:val="00837046"/>
    <w:rsid w:val="008371BD"/>
    <w:rsid w:val="00837CD5"/>
    <w:rsid w:val="00837FD1"/>
    <w:rsid w:val="00843A6F"/>
    <w:rsid w:val="00844B63"/>
    <w:rsid w:val="0084540D"/>
    <w:rsid w:val="008456F4"/>
    <w:rsid w:val="00845842"/>
    <w:rsid w:val="00846383"/>
    <w:rsid w:val="008472B8"/>
    <w:rsid w:val="00847452"/>
    <w:rsid w:val="00847801"/>
    <w:rsid w:val="00847905"/>
    <w:rsid w:val="008504A8"/>
    <w:rsid w:val="0085282E"/>
    <w:rsid w:val="0085438A"/>
    <w:rsid w:val="0085541B"/>
    <w:rsid w:val="008574AC"/>
    <w:rsid w:val="0086017C"/>
    <w:rsid w:val="00860A48"/>
    <w:rsid w:val="00860DAB"/>
    <w:rsid w:val="00863115"/>
    <w:rsid w:val="00863C0A"/>
    <w:rsid w:val="008650B1"/>
    <w:rsid w:val="008651E2"/>
    <w:rsid w:val="00865BC9"/>
    <w:rsid w:val="0086624D"/>
    <w:rsid w:val="00866630"/>
    <w:rsid w:val="008668B8"/>
    <w:rsid w:val="00866963"/>
    <w:rsid w:val="00867FC0"/>
    <w:rsid w:val="00871923"/>
    <w:rsid w:val="0087198C"/>
    <w:rsid w:val="00871AE8"/>
    <w:rsid w:val="00872366"/>
    <w:rsid w:val="00872C1F"/>
    <w:rsid w:val="00873458"/>
    <w:rsid w:val="0087372D"/>
    <w:rsid w:val="00873790"/>
    <w:rsid w:val="00873B42"/>
    <w:rsid w:val="00874480"/>
    <w:rsid w:val="00876FD3"/>
    <w:rsid w:val="008775C4"/>
    <w:rsid w:val="008800A3"/>
    <w:rsid w:val="008815D7"/>
    <w:rsid w:val="0088167E"/>
    <w:rsid w:val="00882192"/>
    <w:rsid w:val="00882522"/>
    <w:rsid w:val="008856D8"/>
    <w:rsid w:val="00885E43"/>
    <w:rsid w:val="00886090"/>
    <w:rsid w:val="00887463"/>
    <w:rsid w:val="0088799A"/>
    <w:rsid w:val="00890760"/>
    <w:rsid w:val="00890AA0"/>
    <w:rsid w:val="00890CE6"/>
    <w:rsid w:val="00892E82"/>
    <w:rsid w:val="00893861"/>
    <w:rsid w:val="00894089"/>
    <w:rsid w:val="00894091"/>
    <w:rsid w:val="00894280"/>
    <w:rsid w:val="00894B5E"/>
    <w:rsid w:val="00895BF0"/>
    <w:rsid w:val="00896328"/>
    <w:rsid w:val="008974AD"/>
    <w:rsid w:val="00897627"/>
    <w:rsid w:val="00897635"/>
    <w:rsid w:val="008A0879"/>
    <w:rsid w:val="008A0E85"/>
    <w:rsid w:val="008A1811"/>
    <w:rsid w:val="008A182E"/>
    <w:rsid w:val="008A3228"/>
    <w:rsid w:val="008A3634"/>
    <w:rsid w:val="008B08D7"/>
    <w:rsid w:val="008B11D5"/>
    <w:rsid w:val="008B2C23"/>
    <w:rsid w:val="008B55A3"/>
    <w:rsid w:val="008B58EC"/>
    <w:rsid w:val="008B660A"/>
    <w:rsid w:val="008B7C9A"/>
    <w:rsid w:val="008C1739"/>
    <w:rsid w:val="008C1B58"/>
    <w:rsid w:val="008C2AB0"/>
    <w:rsid w:val="008C379F"/>
    <w:rsid w:val="008C39AE"/>
    <w:rsid w:val="008C3AEB"/>
    <w:rsid w:val="008C3BA8"/>
    <w:rsid w:val="008C462C"/>
    <w:rsid w:val="008C4878"/>
    <w:rsid w:val="008C590D"/>
    <w:rsid w:val="008C62B6"/>
    <w:rsid w:val="008C7948"/>
    <w:rsid w:val="008D0317"/>
    <w:rsid w:val="008D2319"/>
    <w:rsid w:val="008D29C2"/>
    <w:rsid w:val="008D31E4"/>
    <w:rsid w:val="008D43C4"/>
    <w:rsid w:val="008D4D9D"/>
    <w:rsid w:val="008D6605"/>
    <w:rsid w:val="008D6C1A"/>
    <w:rsid w:val="008E031B"/>
    <w:rsid w:val="008E2ADC"/>
    <w:rsid w:val="008E37B8"/>
    <w:rsid w:val="008E386E"/>
    <w:rsid w:val="008E4110"/>
    <w:rsid w:val="008E49AA"/>
    <w:rsid w:val="008E4C56"/>
    <w:rsid w:val="008E4D4D"/>
    <w:rsid w:val="008E5D71"/>
    <w:rsid w:val="008E6326"/>
    <w:rsid w:val="008E6E71"/>
    <w:rsid w:val="008E7029"/>
    <w:rsid w:val="008E7EC1"/>
    <w:rsid w:val="008E7EF6"/>
    <w:rsid w:val="008F1F98"/>
    <w:rsid w:val="008F2754"/>
    <w:rsid w:val="008F281C"/>
    <w:rsid w:val="008F3A78"/>
    <w:rsid w:val="008F40A8"/>
    <w:rsid w:val="008F4C2F"/>
    <w:rsid w:val="008F655D"/>
    <w:rsid w:val="008F6758"/>
    <w:rsid w:val="008F73AC"/>
    <w:rsid w:val="008F7BBA"/>
    <w:rsid w:val="009002E0"/>
    <w:rsid w:val="00900620"/>
    <w:rsid w:val="00900A9C"/>
    <w:rsid w:val="00900FB2"/>
    <w:rsid w:val="009018B6"/>
    <w:rsid w:val="00902EC3"/>
    <w:rsid w:val="00903E54"/>
    <w:rsid w:val="009040DD"/>
    <w:rsid w:val="00904175"/>
    <w:rsid w:val="009054DE"/>
    <w:rsid w:val="00905B24"/>
    <w:rsid w:val="00905B47"/>
    <w:rsid w:val="009078C6"/>
    <w:rsid w:val="009100A6"/>
    <w:rsid w:val="009120D8"/>
    <w:rsid w:val="0091331C"/>
    <w:rsid w:val="00913757"/>
    <w:rsid w:val="00913D97"/>
    <w:rsid w:val="00923586"/>
    <w:rsid w:val="00925FC2"/>
    <w:rsid w:val="0092600C"/>
    <w:rsid w:val="0092612B"/>
    <w:rsid w:val="009265E1"/>
    <w:rsid w:val="009279DE"/>
    <w:rsid w:val="00930116"/>
    <w:rsid w:val="00932018"/>
    <w:rsid w:val="009323D4"/>
    <w:rsid w:val="00932474"/>
    <w:rsid w:val="009332D4"/>
    <w:rsid w:val="00935E32"/>
    <w:rsid w:val="00935ED4"/>
    <w:rsid w:val="009364D3"/>
    <w:rsid w:val="009402F0"/>
    <w:rsid w:val="009410AB"/>
    <w:rsid w:val="0094212C"/>
    <w:rsid w:val="009430CD"/>
    <w:rsid w:val="00943DB9"/>
    <w:rsid w:val="00944832"/>
    <w:rsid w:val="00950C2C"/>
    <w:rsid w:val="00951242"/>
    <w:rsid w:val="00952831"/>
    <w:rsid w:val="00952DD7"/>
    <w:rsid w:val="00953E8D"/>
    <w:rsid w:val="00954689"/>
    <w:rsid w:val="009617C9"/>
    <w:rsid w:val="00961C93"/>
    <w:rsid w:val="00962D51"/>
    <w:rsid w:val="00963F11"/>
    <w:rsid w:val="00963F4D"/>
    <w:rsid w:val="009649B4"/>
    <w:rsid w:val="00965324"/>
    <w:rsid w:val="00966D79"/>
    <w:rsid w:val="009679F1"/>
    <w:rsid w:val="0097091E"/>
    <w:rsid w:val="00972AAD"/>
    <w:rsid w:val="00973A7C"/>
    <w:rsid w:val="00974088"/>
    <w:rsid w:val="00974EBF"/>
    <w:rsid w:val="009760D3"/>
    <w:rsid w:val="00977132"/>
    <w:rsid w:val="00977E4D"/>
    <w:rsid w:val="009807D2"/>
    <w:rsid w:val="0098122A"/>
    <w:rsid w:val="00981A4B"/>
    <w:rsid w:val="00982501"/>
    <w:rsid w:val="00983EB5"/>
    <w:rsid w:val="00985010"/>
    <w:rsid w:val="009877D3"/>
    <w:rsid w:val="00987B93"/>
    <w:rsid w:val="009900D4"/>
    <w:rsid w:val="00990C51"/>
    <w:rsid w:val="00991A47"/>
    <w:rsid w:val="0099402A"/>
    <w:rsid w:val="00994422"/>
    <w:rsid w:val="00994E8F"/>
    <w:rsid w:val="009951DC"/>
    <w:rsid w:val="009959BB"/>
    <w:rsid w:val="00995A55"/>
    <w:rsid w:val="009961E6"/>
    <w:rsid w:val="00997158"/>
    <w:rsid w:val="009A2124"/>
    <w:rsid w:val="009A3A7C"/>
    <w:rsid w:val="009A3C43"/>
    <w:rsid w:val="009A3DAE"/>
    <w:rsid w:val="009A6A59"/>
    <w:rsid w:val="009A6AD9"/>
    <w:rsid w:val="009A6ECC"/>
    <w:rsid w:val="009A75D6"/>
    <w:rsid w:val="009A7BA2"/>
    <w:rsid w:val="009B20E0"/>
    <w:rsid w:val="009B2ADB"/>
    <w:rsid w:val="009B3579"/>
    <w:rsid w:val="009B3E61"/>
    <w:rsid w:val="009B4622"/>
    <w:rsid w:val="009B47AD"/>
    <w:rsid w:val="009B4892"/>
    <w:rsid w:val="009B51E0"/>
    <w:rsid w:val="009B603A"/>
    <w:rsid w:val="009B6A2E"/>
    <w:rsid w:val="009B7726"/>
    <w:rsid w:val="009C01D5"/>
    <w:rsid w:val="009C04DA"/>
    <w:rsid w:val="009C0551"/>
    <w:rsid w:val="009C1EF1"/>
    <w:rsid w:val="009C2699"/>
    <w:rsid w:val="009C2D0E"/>
    <w:rsid w:val="009C2D2D"/>
    <w:rsid w:val="009C3075"/>
    <w:rsid w:val="009C3DAC"/>
    <w:rsid w:val="009C42E0"/>
    <w:rsid w:val="009C50CE"/>
    <w:rsid w:val="009C5CFF"/>
    <w:rsid w:val="009C72FF"/>
    <w:rsid w:val="009D398E"/>
    <w:rsid w:val="009D5362"/>
    <w:rsid w:val="009D55BB"/>
    <w:rsid w:val="009D6A91"/>
    <w:rsid w:val="009D7354"/>
    <w:rsid w:val="009E08B1"/>
    <w:rsid w:val="009E1415"/>
    <w:rsid w:val="009E1D6E"/>
    <w:rsid w:val="009E4884"/>
    <w:rsid w:val="009E58A6"/>
    <w:rsid w:val="009E5AC6"/>
    <w:rsid w:val="009E6116"/>
    <w:rsid w:val="009E7C73"/>
    <w:rsid w:val="009F5366"/>
    <w:rsid w:val="009F6662"/>
    <w:rsid w:val="00A016B5"/>
    <w:rsid w:val="00A02E43"/>
    <w:rsid w:val="00A03BC7"/>
    <w:rsid w:val="00A04351"/>
    <w:rsid w:val="00A04BF2"/>
    <w:rsid w:val="00A059E1"/>
    <w:rsid w:val="00A06041"/>
    <w:rsid w:val="00A06491"/>
    <w:rsid w:val="00A065F9"/>
    <w:rsid w:val="00A06987"/>
    <w:rsid w:val="00A07F34"/>
    <w:rsid w:val="00A10359"/>
    <w:rsid w:val="00A12196"/>
    <w:rsid w:val="00A12621"/>
    <w:rsid w:val="00A12640"/>
    <w:rsid w:val="00A126F8"/>
    <w:rsid w:val="00A12A8A"/>
    <w:rsid w:val="00A145B9"/>
    <w:rsid w:val="00A145D0"/>
    <w:rsid w:val="00A147A7"/>
    <w:rsid w:val="00A15BB2"/>
    <w:rsid w:val="00A22154"/>
    <w:rsid w:val="00A22512"/>
    <w:rsid w:val="00A245A2"/>
    <w:rsid w:val="00A25C38"/>
    <w:rsid w:val="00A304A5"/>
    <w:rsid w:val="00A315B5"/>
    <w:rsid w:val="00A32CF0"/>
    <w:rsid w:val="00A32D7B"/>
    <w:rsid w:val="00A32E09"/>
    <w:rsid w:val="00A34003"/>
    <w:rsid w:val="00A35056"/>
    <w:rsid w:val="00A35DBB"/>
    <w:rsid w:val="00A36BBE"/>
    <w:rsid w:val="00A37CF7"/>
    <w:rsid w:val="00A37E12"/>
    <w:rsid w:val="00A402C0"/>
    <w:rsid w:val="00A404FD"/>
    <w:rsid w:val="00A409B1"/>
    <w:rsid w:val="00A4307A"/>
    <w:rsid w:val="00A43B89"/>
    <w:rsid w:val="00A43EC2"/>
    <w:rsid w:val="00A44A34"/>
    <w:rsid w:val="00A46256"/>
    <w:rsid w:val="00A47EBB"/>
    <w:rsid w:val="00A47F70"/>
    <w:rsid w:val="00A503B2"/>
    <w:rsid w:val="00A51A32"/>
    <w:rsid w:val="00A51CDD"/>
    <w:rsid w:val="00A532F8"/>
    <w:rsid w:val="00A53554"/>
    <w:rsid w:val="00A53D82"/>
    <w:rsid w:val="00A62C0D"/>
    <w:rsid w:val="00A6479E"/>
    <w:rsid w:val="00A651C1"/>
    <w:rsid w:val="00A66A58"/>
    <w:rsid w:val="00A66AC5"/>
    <w:rsid w:val="00A6730D"/>
    <w:rsid w:val="00A701EC"/>
    <w:rsid w:val="00A714A0"/>
    <w:rsid w:val="00A71625"/>
    <w:rsid w:val="00A71898"/>
    <w:rsid w:val="00A71B9B"/>
    <w:rsid w:val="00A72A2D"/>
    <w:rsid w:val="00A73014"/>
    <w:rsid w:val="00A7340D"/>
    <w:rsid w:val="00A74E46"/>
    <w:rsid w:val="00A751C7"/>
    <w:rsid w:val="00A75BA8"/>
    <w:rsid w:val="00A75ED8"/>
    <w:rsid w:val="00A82530"/>
    <w:rsid w:val="00A844EB"/>
    <w:rsid w:val="00A84658"/>
    <w:rsid w:val="00A862B5"/>
    <w:rsid w:val="00A86E68"/>
    <w:rsid w:val="00A877A8"/>
    <w:rsid w:val="00A87844"/>
    <w:rsid w:val="00A87F33"/>
    <w:rsid w:val="00A90652"/>
    <w:rsid w:val="00A91221"/>
    <w:rsid w:val="00A91994"/>
    <w:rsid w:val="00A91AA4"/>
    <w:rsid w:val="00A94171"/>
    <w:rsid w:val="00A9426F"/>
    <w:rsid w:val="00A94B58"/>
    <w:rsid w:val="00A94BCD"/>
    <w:rsid w:val="00A9506F"/>
    <w:rsid w:val="00A972B3"/>
    <w:rsid w:val="00A97E7A"/>
    <w:rsid w:val="00AA038C"/>
    <w:rsid w:val="00AA14C7"/>
    <w:rsid w:val="00AA14E7"/>
    <w:rsid w:val="00AA15D8"/>
    <w:rsid w:val="00AA20F4"/>
    <w:rsid w:val="00AA303A"/>
    <w:rsid w:val="00AA317E"/>
    <w:rsid w:val="00AA3F1C"/>
    <w:rsid w:val="00AA40F4"/>
    <w:rsid w:val="00AA4131"/>
    <w:rsid w:val="00AA4EAA"/>
    <w:rsid w:val="00AA515E"/>
    <w:rsid w:val="00AA7A09"/>
    <w:rsid w:val="00AB04EC"/>
    <w:rsid w:val="00AB0A33"/>
    <w:rsid w:val="00AB0FD9"/>
    <w:rsid w:val="00AB1C04"/>
    <w:rsid w:val="00AB3306"/>
    <w:rsid w:val="00AB3B4A"/>
    <w:rsid w:val="00AB3B50"/>
    <w:rsid w:val="00AB430D"/>
    <w:rsid w:val="00AB5021"/>
    <w:rsid w:val="00AB7A02"/>
    <w:rsid w:val="00AB7BB0"/>
    <w:rsid w:val="00AC05B1"/>
    <w:rsid w:val="00AC1D05"/>
    <w:rsid w:val="00AC23A9"/>
    <w:rsid w:val="00AC3326"/>
    <w:rsid w:val="00AC4241"/>
    <w:rsid w:val="00AC4443"/>
    <w:rsid w:val="00AC48F0"/>
    <w:rsid w:val="00AC574B"/>
    <w:rsid w:val="00AC7CB0"/>
    <w:rsid w:val="00AD05C0"/>
    <w:rsid w:val="00AD1A49"/>
    <w:rsid w:val="00AD22BB"/>
    <w:rsid w:val="00AD25AE"/>
    <w:rsid w:val="00AD3390"/>
    <w:rsid w:val="00AD356C"/>
    <w:rsid w:val="00AD386C"/>
    <w:rsid w:val="00AD6F35"/>
    <w:rsid w:val="00AD72D1"/>
    <w:rsid w:val="00AE225A"/>
    <w:rsid w:val="00AE2914"/>
    <w:rsid w:val="00AE35DB"/>
    <w:rsid w:val="00AE4737"/>
    <w:rsid w:val="00AE6D15"/>
    <w:rsid w:val="00AE74DD"/>
    <w:rsid w:val="00AE77AF"/>
    <w:rsid w:val="00AF0459"/>
    <w:rsid w:val="00AF1E29"/>
    <w:rsid w:val="00AF2157"/>
    <w:rsid w:val="00AF357D"/>
    <w:rsid w:val="00AF3BE3"/>
    <w:rsid w:val="00AF490A"/>
    <w:rsid w:val="00AF70DC"/>
    <w:rsid w:val="00B005E8"/>
    <w:rsid w:val="00B01FF2"/>
    <w:rsid w:val="00B03479"/>
    <w:rsid w:val="00B04182"/>
    <w:rsid w:val="00B0715E"/>
    <w:rsid w:val="00B07AE3"/>
    <w:rsid w:val="00B07D0E"/>
    <w:rsid w:val="00B11156"/>
    <w:rsid w:val="00B11430"/>
    <w:rsid w:val="00B11678"/>
    <w:rsid w:val="00B11719"/>
    <w:rsid w:val="00B1254F"/>
    <w:rsid w:val="00B12775"/>
    <w:rsid w:val="00B12BBA"/>
    <w:rsid w:val="00B15822"/>
    <w:rsid w:val="00B16FC8"/>
    <w:rsid w:val="00B20656"/>
    <w:rsid w:val="00B20FAF"/>
    <w:rsid w:val="00B210E2"/>
    <w:rsid w:val="00B21842"/>
    <w:rsid w:val="00B23611"/>
    <w:rsid w:val="00B3113C"/>
    <w:rsid w:val="00B3401F"/>
    <w:rsid w:val="00B353EB"/>
    <w:rsid w:val="00B37B21"/>
    <w:rsid w:val="00B37BDF"/>
    <w:rsid w:val="00B37F30"/>
    <w:rsid w:val="00B400C3"/>
    <w:rsid w:val="00B40129"/>
    <w:rsid w:val="00B405B4"/>
    <w:rsid w:val="00B40794"/>
    <w:rsid w:val="00B439C4"/>
    <w:rsid w:val="00B4535E"/>
    <w:rsid w:val="00B4591C"/>
    <w:rsid w:val="00B478AC"/>
    <w:rsid w:val="00B50C8B"/>
    <w:rsid w:val="00B522B9"/>
    <w:rsid w:val="00B5232A"/>
    <w:rsid w:val="00B52A8C"/>
    <w:rsid w:val="00B53653"/>
    <w:rsid w:val="00B54A1B"/>
    <w:rsid w:val="00B56009"/>
    <w:rsid w:val="00B57651"/>
    <w:rsid w:val="00B60F8D"/>
    <w:rsid w:val="00B61152"/>
    <w:rsid w:val="00B618A8"/>
    <w:rsid w:val="00B61AF5"/>
    <w:rsid w:val="00B636A8"/>
    <w:rsid w:val="00B643F8"/>
    <w:rsid w:val="00B647D6"/>
    <w:rsid w:val="00B64E97"/>
    <w:rsid w:val="00B656F0"/>
    <w:rsid w:val="00B662FB"/>
    <w:rsid w:val="00B66498"/>
    <w:rsid w:val="00B664EA"/>
    <w:rsid w:val="00B665C6"/>
    <w:rsid w:val="00B67610"/>
    <w:rsid w:val="00B70BBB"/>
    <w:rsid w:val="00B725B3"/>
    <w:rsid w:val="00B73E53"/>
    <w:rsid w:val="00B766BF"/>
    <w:rsid w:val="00B77296"/>
    <w:rsid w:val="00B7799A"/>
    <w:rsid w:val="00B805AF"/>
    <w:rsid w:val="00B8134F"/>
    <w:rsid w:val="00B822B3"/>
    <w:rsid w:val="00B83FBF"/>
    <w:rsid w:val="00B8592F"/>
    <w:rsid w:val="00B85EE5"/>
    <w:rsid w:val="00B86947"/>
    <w:rsid w:val="00B869EC"/>
    <w:rsid w:val="00B87DFA"/>
    <w:rsid w:val="00B9319F"/>
    <w:rsid w:val="00B9397A"/>
    <w:rsid w:val="00B93F48"/>
    <w:rsid w:val="00B9633D"/>
    <w:rsid w:val="00B96C2D"/>
    <w:rsid w:val="00B9745D"/>
    <w:rsid w:val="00B97AEC"/>
    <w:rsid w:val="00BA0836"/>
    <w:rsid w:val="00BA1E74"/>
    <w:rsid w:val="00BA2EBE"/>
    <w:rsid w:val="00BA363C"/>
    <w:rsid w:val="00BA445D"/>
    <w:rsid w:val="00BA4D51"/>
    <w:rsid w:val="00BA52DB"/>
    <w:rsid w:val="00BA5981"/>
    <w:rsid w:val="00BA651B"/>
    <w:rsid w:val="00BA7D7E"/>
    <w:rsid w:val="00BB0F28"/>
    <w:rsid w:val="00BB1A05"/>
    <w:rsid w:val="00BB2C85"/>
    <w:rsid w:val="00BB37FF"/>
    <w:rsid w:val="00BB4379"/>
    <w:rsid w:val="00BB458A"/>
    <w:rsid w:val="00BC5999"/>
    <w:rsid w:val="00BC5DAE"/>
    <w:rsid w:val="00BC6CF9"/>
    <w:rsid w:val="00BD00D3"/>
    <w:rsid w:val="00BD0AE9"/>
    <w:rsid w:val="00BD1659"/>
    <w:rsid w:val="00BD1D5C"/>
    <w:rsid w:val="00BD24FD"/>
    <w:rsid w:val="00BD3AA9"/>
    <w:rsid w:val="00BD4A18"/>
    <w:rsid w:val="00BD50AF"/>
    <w:rsid w:val="00BD52AD"/>
    <w:rsid w:val="00BD571F"/>
    <w:rsid w:val="00BD645D"/>
    <w:rsid w:val="00BD6B7B"/>
    <w:rsid w:val="00BD6DB2"/>
    <w:rsid w:val="00BD6F0E"/>
    <w:rsid w:val="00BD7F27"/>
    <w:rsid w:val="00BE11CF"/>
    <w:rsid w:val="00BE1BE8"/>
    <w:rsid w:val="00BE21AB"/>
    <w:rsid w:val="00BE24CB"/>
    <w:rsid w:val="00BE55CB"/>
    <w:rsid w:val="00BE7CAB"/>
    <w:rsid w:val="00BF068B"/>
    <w:rsid w:val="00BF0F08"/>
    <w:rsid w:val="00BF1DE4"/>
    <w:rsid w:val="00BF272A"/>
    <w:rsid w:val="00BF44FF"/>
    <w:rsid w:val="00BF5C9D"/>
    <w:rsid w:val="00BF617A"/>
    <w:rsid w:val="00BF7F23"/>
    <w:rsid w:val="00C00215"/>
    <w:rsid w:val="00C0074C"/>
    <w:rsid w:val="00C00C0F"/>
    <w:rsid w:val="00C0262E"/>
    <w:rsid w:val="00C02AA0"/>
    <w:rsid w:val="00C02C07"/>
    <w:rsid w:val="00C03390"/>
    <w:rsid w:val="00C0379D"/>
    <w:rsid w:val="00C0386B"/>
    <w:rsid w:val="00C03931"/>
    <w:rsid w:val="00C05FE3"/>
    <w:rsid w:val="00C105AD"/>
    <w:rsid w:val="00C11C91"/>
    <w:rsid w:val="00C13673"/>
    <w:rsid w:val="00C1412A"/>
    <w:rsid w:val="00C14EE7"/>
    <w:rsid w:val="00C157C5"/>
    <w:rsid w:val="00C1656A"/>
    <w:rsid w:val="00C1778B"/>
    <w:rsid w:val="00C2061A"/>
    <w:rsid w:val="00C20D0D"/>
    <w:rsid w:val="00C2136D"/>
    <w:rsid w:val="00C214EE"/>
    <w:rsid w:val="00C21945"/>
    <w:rsid w:val="00C224D8"/>
    <w:rsid w:val="00C22D3E"/>
    <w:rsid w:val="00C22DAD"/>
    <w:rsid w:val="00C2314B"/>
    <w:rsid w:val="00C24971"/>
    <w:rsid w:val="00C26361"/>
    <w:rsid w:val="00C26BE5"/>
    <w:rsid w:val="00C26E4D"/>
    <w:rsid w:val="00C27909"/>
    <w:rsid w:val="00C27B03"/>
    <w:rsid w:val="00C30D9A"/>
    <w:rsid w:val="00C314E1"/>
    <w:rsid w:val="00C3263A"/>
    <w:rsid w:val="00C3299E"/>
    <w:rsid w:val="00C32D9B"/>
    <w:rsid w:val="00C34397"/>
    <w:rsid w:val="00C34A00"/>
    <w:rsid w:val="00C358F2"/>
    <w:rsid w:val="00C36690"/>
    <w:rsid w:val="00C37016"/>
    <w:rsid w:val="00C4095D"/>
    <w:rsid w:val="00C41ED9"/>
    <w:rsid w:val="00C4548D"/>
    <w:rsid w:val="00C46105"/>
    <w:rsid w:val="00C470A7"/>
    <w:rsid w:val="00C4796D"/>
    <w:rsid w:val="00C47B5E"/>
    <w:rsid w:val="00C47B7C"/>
    <w:rsid w:val="00C509CF"/>
    <w:rsid w:val="00C50D97"/>
    <w:rsid w:val="00C50F2E"/>
    <w:rsid w:val="00C52873"/>
    <w:rsid w:val="00C53099"/>
    <w:rsid w:val="00C53C12"/>
    <w:rsid w:val="00C54CF6"/>
    <w:rsid w:val="00C566A5"/>
    <w:rsid w:val="00C56A11"/>
    <w:rsid w:val="00C57416"/>
    <w:rsid w:val="00C601D2"/>
    <w:rsid w:val="00C6109E"/>
    <w:rsid w:val="00C61419"/>
    <w:rsid w:val="00C62633"/>
    <w:rsid w:val="00C63980"/>
    <w:rsid w:val="00C64530"/>
    <w:rsid w:val="00C648A8"/>
    <w:rsid w:val="00C657AB"/>
    <w:rsid w:val="00C65BCC"/>
    <w:rsid w:val="00C66190"/>
    <w:rsid w:val="00C663B2"/>
    <w:rsid w:val="00C66970"/>
    <w:rsid w:val="00C673D9"/>
    <w:rsid w:val="00C67B75"/>
    <w:rsid w:val="00C67E46"/>
    <w:rsid w:val="00C70311"/>
    <w:rsid w:val="00C71BA2"/>
    <w:rsid w:val="00C71FE1"/>
    <w:rsid w:val="00C72B2A"/>
    <w:rsid w:val="00C736EA"/>
    <w:rsid w:val="00C76E4D"/>
    <w:rsid w:val="00C77A90"/>
    <w:rsid w:val="00C81384"/>
    <w:rsid w:val="00C841CA"/>
    <w:rsid w:val="00C8487C"/>
    <w:rsid w:val="00C8579A"/>
    <w:rsid w:val="00C859F7"/>
    <w:rsid w:val="00C8691C"/>
    <w:rsid w:val="00C87607"/>
    <w:rsid w:val="00C915FF"/>
    <w:rsid w:val="00C92EAD"/>
    <w:rsid w:val="00C930A4"/>
    <w:rsid w:val="00C94D69"/>
    <w:rsid w:val="00C95848"/>
    <w:rsid w:val="00C96185"/>
    <w:rsid w:val="00C9623A"/>
    <w:rsid w:val="00C96E9B"/>
    <w:rsid w:val="00CA00B3"/>
    <w:rsid w:val="00CA05D0"/>
    <w:rsid w:val="00CA168A"/>
    <w:rsid w:val="00CA2BD4"/>
    <w:rsid w:val="00CA3185"/>
    <w:rsid w:val="00CA357E"/>
    <w:rsid w:val="00CA4131"/>
    <w:rsid w:val="00CA44F9"/>
    <w:rsid w:val="00CA49EA"/>
    <w:rsid w:val="00CA4A69"/>
    <w:rsid w:val="00CA5145"/>
    <w:rsid w:val="00CA58C1"/>
    <w:rsid w:val="00CA5D9A"/>
    <w:rsid w:val="00CA5F74"/>
    <w:rsid w:val="00CA7BBF"/>
    <w:rsid w:val="00CB0A0D"/>
    <w:rsid w:val="00CB1352"/>
    <w:rsid w:val="00CB3C62"/>
    <w:rsid w:val="00CB410A"/>
    <w:rsid w:val="00CB5464"/>
    <w:rsid w:val="00CB569D"/>
    <w:rsid w:val="00CB67D0"/>
    <w:rsid w:val="00CB79EF"/>
    <w:rsid w:val="00CC2027"/>
    <w:rsid w:val="00CC265F"/>
    <w:rsid w:val="00CC27D7"/>
    <w:rsid w:val="00CC2C26"/>
    <w:rsid w:val="00CC3114"/>
    <w:rsid w:val="00CC3A49"/>
    <w:rsid w:val="00CC3BB4"/>
    <w:rsid w:val="00CC3E0C"/>
    <w:rsid w:val="00CC47BA"/>
    <w:rsid w:val="00CC4D50"/>
    <w:rsid w:val="00CC58D3"/>
    <w:rsid w:val="00CC6581"/>
    <w:rsid w:val="00CC68C3"/>
    <w:rsid w:val="00CC784D"/>
    <w:rsid w:val="00CD0EA6"/>
    <w:rsid w:val="00CD1275"/>
    <w:rsid w:val="00CD38E8"/>
    <w:rsid w:val="00CD3A99"/>
    <w:rsid w:val="00CD429E"/>
    <w:rsid w:val="00CD5D37"/>
    <w:rsid w:val="00CD7EA7"/>
    <w:rsid w:val="00CE0128"/>
    <w:rsid w:val="00CE0546"/>
    <w:rsid w:val="00CE132D"/>
    <w:rsid w:val="00CE1AAE"/>
    <w:rsid w:val="00CE27E9"/>
    <w:rsid w:val="00CE3EC0"/>
    <w:rsid w:val="00CE7173"/>
    <w:rsid w:val="00CE7581"/>
    <w:rsid w:val="00CE758C"/>
    <w:rsid w:val="00CF0959"/>
    <w:rsid w:val="00CF0D68"/>
    <w:rsid w:val="00CF33A3"/>
    <w:rsid w:val="00CF43D3"/>
    <w:rsid w:val="00CF5A0D"/>
    <w:rsid w:val="00CF5B01"/>
    <w:rsid w:val="00CF5BF8"/>
    <w:rsid w:val="00CF657D"/>
    <w:rsid w:val="00CF73CC"/>
    <w:rsid w:val="00CF7BFE"/>
    <w:rsid w:val="00CF7DEB"/>
    <w:rsid w:val="00D007C8"/>
    <w:rsid w:val="00D012EC"/>
    <w:rsid w:val="00D0159B"/>
    <w:rsid w:val="00D01A0E"/>
    <w:rsid w:val="00D0323A"/>
    <w:rsid w:val="00D0337B"/>
    <w:rsid w:val="00D06AE8"/>
    <w:rsid w:val="00D079B2"/>
    <w:rsid w:val="00D10120"/>
    <w:rsid w:val="00D1074C"/>
    <w:rsid w:val="00D114E9"/>
    <w:rsid w:val="00D12011"/>
    <w:rsid w:val="00D12E7F"/>
    <w:rsid w:val="00D13886"/>
    <w:rsid w:val="00D13C7D"/>
    <w:rsid w:val="00D15E99"/>
    <w:rsid w:val="00D167EC"/>
    <w:rsid w:val="00D215FE"/>
    <w:rsid w:val="00D24567"/>
    <w:rsid w:val="00D2576D"/>
    <w:rsid w:val="00D2782C"/>
    <w:rsid w:val="00D32038"/>
    <w:rsid w:val="00D32B44"/>
    <w:rsid w:val="00D3306B"/>
    <w:rsid w:val="00D33991"/>
    <w:rsid w:val="00D33BA5"/>
    <w:rsid w:val="00D349B6"/>
    <w:rsid w:val="00D3734D"/>
    <w:rsid w:val="00D373E8"/>
    <w:rsid w:val="00D3770B"/>
    <w:rsid w:val="00D37EF0"/>
    <w:rsid w:val="00D429C6"/>
    <w:rsid w:val="00D43D30"/>
    <w:rsid w:val="00D43EA1"/>
    <w:rsid w:val="00D47748"/>
    <w:rsid w:val="00D47774"/>
    <w:rsid w:val="00D500E8"/>
    <w:rsid w:val="00D51F51"/>
    <w:rsid w:val="00D522C2"/>
    <w:rsid w:val="00D52443"/>
    <w:rsid w:val="00D53942"/>
    <w:rsid w:val="00D53977"/>
    <w:rsid w:val="00D54CC3"/>
    <w:rsid w:val="00D55043"/>
    <w:rsid w:val="00D5619E"/>
    <w:rsid w:val="00D5630F"/>
    <w:rsid w:val="00D56639"/>
    <w:rsid w:val="00D5690F"/>
    <w:rsid w:val="00D575EA"/>
    <w:rsid w:val="00D6041A"/>
    <w:rsid w:val="00D62A5B"/>
    <w:rsid w:val="00D62FB8"/>
    <w:rsid w:val="00D633EB"/>
    <w:rsid w:val="00D637CE"/>
    <w:rsid w:val="00D641F1"/>
    <w:rsid w:val="00D6463D"/>
    <w:rsid w:val="00D65CCE"/>
    <w:rsid w:val="00D66311"/>
    <w:rsid w:val="00D669E2"/>
    <w:rsid w:val="00D67C1D"/>
    <w:rsid w:val="00D70345"/>
    <w:rsid w:val="00D732F2"/>
    <w:rsid w:val="00D73BD2"/>
    <w:rsid w:val="00D73EC4"/>
    <w:rsid w:val="00D74BB6"/>
    <w:rsid w:val="00D75427"/>
    <w:rsid w:val="00D7680C"/>
    <w:rsid w:val="00D82FF7"/>
    <w:rsid w:val="00D847FE"/>
    <w:rsid w:val="00D84930"/>
    <w:rsid w:val="00D84B3F"/>
    <w:rsid w:val="00D8520C"/>
    <w:rsid w:val="00D85E55"/>
    <w:rsid w:val="00D870D1"/>
    <w:rsid w:val="00D87BF6"/>
    <w:rsid w:val="00D87C56"/>
    <w:rsid w:val="00D90CF1"/>
    <w:rsid w:val="00D9113B"/>
    <w:rsid w:val="00D9319D"/>
    <w:rsid w:val="00D95F51"/>
    <w:rsid w:val="00D964EA"/>
    <w:rsid w:val="00D966D0"/>
    <w:rsid w:val="00D979C3"/>
    <w:rsid w:val="00DA0670"/>
    <w:rsid w:val="00DA0C59"/>
    <w:rsid w:val="00DA2883"/>
    <w:rsid w:val="00DA28AF"/>
    <w:rsid w:val="00DA2C34"/>
    <w:rsid w:val="00DA312A"/>
    <w:rsid w:val="00DA3181"/>
    <w:rsid w:val="00DA37CD"/>
    <w:rsid w:val="00DA37D8"/>
    <w:rsid w:val="00DA3991"/>
    <w:rsid w:val="00DA3AED"/>
    <w:rsid w:val="00DA3D08"/>
    <w:rsid w:val="00DA4094"/>
    <w:rsid w:val="00DA6E2E"/>
    <w:rsid w:val="00DA7445"/>
    <w:rsid w:val="00DB0AB3"/>
    <w:rsid w:val="00DB0C0D"/>
    <w:rsid w:val="00DB599A"/>
    <w:rsid w:val="00DB614A"/>
    <w:rsid w:val="00DB7E6C"/>
    <w:rsid w:val="00DC20E9"/>
    <w:rsid w:val="00DC28AD"/>
    <w:rsid w:val="00DC2C38"/>
    <w:rsid w:val="00DC7C2F"/>
    <w:rsid w:val="00DD02C8"/>
    <w:rsid w:val="00DD0903"/>
    <w:rsid w:val="00DD5A29"/>
    <w:rsid w:val="00DD5D9D"/>
    <w:rsid w:val="00DD6F6A"/>
    <w:rsid w:val="00DE0349"/>
    <w:rsid w:val="00DE114B"/>
    <w:rsid w:val="00DE35CB"/>
    <w:rsid w:val="00DE48FB"/>
    <w:rsid w:val="00DF1031"/>
    <w:rsid w:val="00DF15BF"/>
    <w:rsid w:val="00DF21E9"/>
    <w:rsid w:val="00DF2439"/>
    <w:rsid w:val="00DF416B"/>
    <w:rsid w:val="00DF4701"/>
    <w:rsid w:val="00DF4761"/>
    <w:rsid w:val="00DF63EC"/>
    <w:rsid w:val="00DF764B"/>
    <w:rsid w:val="00E00BD7"/>
    <w:rsid w:val="00E00F14"/>
    <w:rsid w:val="00E02E3A"/>
    <w:rsid w:val="00E04BD7"/>
    <w:rsid w:val="00E04F9E"/>
    <w:rsid w:val="00E05464"/>
    <w:rsid w:val="00E06386"/>
    <w:rsid w:val="00E072C7"/>
    <w:rsid w:val="00E110EB"/>
    <w:rsid w:val="00E11F27"/>
    <w:rsid w:val="00E12D2C"/>
    <w:rsid w:val="00E1562F"/>
    <w:rsid w:val="00E15CA7"/>
    <w:rsid w:val="00E17C3C"/>
    <w:rsid w:val="00E21B33"/>
    <w:rsid w:val="00E21D47"/>
    <w:rsid w:val="00E21FD2"/>
    <w:rsid w:val="00E22113"/>
    <w:rsid w:val="00E2333F"/>
    <w:rsid w:val="00E24EB4"/>
    <w:rsid w:val="00E25972"/>
    <w:rsid w:val="00E26A81"/>
    <w:rsid w:val="00E30A1F"/>
    <w:rsid w:val="00E315CB"/>
    <w:rsid w:val="00E315DA"/>
    <w:rsid w:val="00E320CB"/>
    <w:rsid w:val="00E320ED"/>
    <w:rsid w:val="00E33AFB"/>
    <w:rsid w:val="00E34218"/>
    <w:rsid w:val="00E34924"/>
    <w:rsid w:val="00E36E01"/>
    <w:rsid w:val="00E40954"/>
    <w:rsid w:val="00E414DA"/>
    <w:rsid w:val="00E42071"/>
    <w:rsid w:val="00E42BF7"/>
    <w:rsid w:val="00E4351E"/>
    <w:rsid w:val="00E43D2A"/>
    <w:rsid w:val="00E46282"/>
    <w:rsid w:val="00E46484"/>
    <w:rsid w:val="00E46A0A"/>
    <w:rsid w:val="00E47A09"/>
    <w:rsid w:val="00E47A86"/>
    <w:rsid w:val="00E5048A"/>
    <w:rsid w:val="00E520E5"/>
    <w:rsid w:val="00E5216E"/>
    <w:rsid w:val="00E54737"/>
    <w:rsid w:val="00E55A5E"/>
    <w:rsid w:val="00E55ADB"/>
    <w:rsid w:val="00E561AD"/>
    <w:rsid w:val="00E561B3"/>
    <w:rsid w:val="00E56644"/>
    <w:rsid w:val="00E56A6D"/>
    <w:rsid w:val="00E61854"/>
    <w:rsid w:val="00E61951"/>
    <w:rsid w:val="00E61CB3"/>
    <w:rsid w:val="00E61D58"/>
    <w:rsid w:val="00E63FEC"/>
    <w:rsid w:val="00E642DE"/>
    <w:rsid w:val="00E647E7"/>
    <w:rsid w:val="00E64ECD"/>
    <w:rsid w:val="00E66894"/>
    <w:rsid w:val="00E673E3"/>
    <w:rsid w:val="00E702C6"/>
    <w:rsid w:val="00E70675"/>
    <w:rsid w:val="00E70A1A"/>
    <w:rsid w:val="00E70D91"/>
    <w:rsid w:val="00E70F95"/>
    <w:rsid w:val="00E71914"/>
    <w:rsid w:val="00E71BC4"/>
    <w:rsid w:val="00E7224F"/>
    <w:rsid w:val="00E72297"/>
    <w:rsid w:val="00E72626"/>
    <w:rsid w:val="00E733A4"/>
    <w:rsid w:val="00E76856"/>
    <w:rsid w:val="00E82344"/>
    <w:rsid w:val="00E82E43"/>
    <w:rsid w:val="00E8339A"/>
    <w:rsid w:val="00E8453F"/>
    <w:rsid w:val="00E849F3"/>
    <w:rsid w:val="00E84C82"/>
    <w:rsid w:val="00E84D64"/>
    <w:rsid w:val="00E85575"/>
    <w:rsid w:val="00E85584"/>
    <w:rsid w:val="00E8585F"/>
    <w:rsid w:val="00E87408"/>
    <w:rsid w:val="00E8747E"/>
    <w:rsid w:val="00E87DB5"/>
    <w:rsid w:val="00E90B42"/>
    <w:rsid w:val="00E914C4"/>
    <w:rsid w:val="00E91719"/>
    <w:rsid w:val="00E91DA6"/>
    <w:rsid w:val="00E9237C"/>
    <w:rsid w:val="00E934F5"/>
    <w:rsid w:val="00E93C89"/>
    <w:rsid w:val="00E93D74"/>
    <w:rsid w:val="00E94042"/>
    <w:rsid w:val="00E96961"/>
    <w:rsid w:val="00E97833"/>
    <w:rsid w:val="00EA0F42"/>
    <w:rsid w:val="00EA4C8B"/>
    <w:rsid w:val="00EA5512"/>
    <w:rsid w:val="00EA5A8C"/>
    <w:rsid w:val="00EA6692"/>
    <w:rsid w:val="00EA6C9F"/>
    <w:rsid w:val="00EA72EC"/>
    <w:rsid w:val="00EB066B"/>
    <w:rsid w:val="00EB07C0"/>
    <w:rsid w:val="00EB0A49"/>
    <w:rsid w:val="00EB0F84"/>
    <w:rsid w:val="00EB11CB"/>
    <w:rsid w:val="00EB275A"/>
    <w:rsid w:val="00EB4734"/>
    <w:rsid w:val="00EB62A0"/>
    <w:rsid w:val="00EB62D6"/>
    <w:rsid w:val="00EB62DB"/>
    <w:rsid w:val="00EB786A"/>
    <w:rsid w:val="00EC0633"/>
    <w:rsid w:val="00EC140F"/>
    <w:rsid w:val="00EC1578"/>
    <w:rsid w:val="00EC177C"/>
    <w:rsid w:val="00EC1C72"/>
    <w:rsid w:val="00EC206B"/>
    <w:rsid w:val="00EC2385"/>
    <w:rsid w:val="00EC30D4"/>
    <w:rsid w:val="00EC3791"/>
    <w:rsid w:val="00EC3CC9"/>
    <w:rsid w:val="00EC4080"/>
    <w:rsid w:val="00EC4A86"/>
    <w:rsid w:val="00EC50C6"/>
    <w:rsid w:val="00EC5A72"/>
    <w:rsid w:val="00EC680A"/>
    <w:rsid w:val="00ED047B"/>
    <w:rsid w:val="00ED0CE1"/>
    <w:rsid w:val="00ED1589"/>
    <w:rsid w:val="00ED2153"/>
    <w:rsid w:val="00ED3127"/>
    <w:rsid w:val="00ED41B4"/>
    <w:rsid w:val="00ED46C5"/>
    <w:rsid w:val="00ED67B9"/>
    <w:rsid w:val="00ED7DB2"/>
    <w:rsid w:val="00EE0531"/>
    <w:rsid w:val="00EE0FCB"/>
    <w:rsid w:val="00EE1885"/>
    <w:rsid w:val="00EE2544"/>
    <w:rsid w:val="00EE2BED"/>
    <w:rsid w:val="00EE33D0"/>
    <w:rsid w:val="00EE374B"/>
    <w:rsid w:val="00EE45FC"/>
    <w:rsid w:val="00EE4A90"/>
    <w:rsid w:val="00EE7285"/>
    <w:rsid w:val="00EF0E7E"/>
    <w:rsid w:val="00EF182D"/>
    <w:rsid w:val="00EF1C8B"/>
    <w:rsid w:val="00EF3A07"/>
    <w:rsid w:val="00EF3C31"/>
    <w:rsid w:val="00EF5F42"/>
    <w:rsid w:val="00EF7299"/>
    <w:rsid w:val="00F03887"/>
    <w:rsid w:val="00F04BB5"/>
    <w:rsid w:val="00F052EE"/>
    <w:rsid w:val="00F05F72"/>
    <w:rsid w:val="00F07C4A"/>
    <w:rsid w:val="00F1004E"/>
    <w:rsid w:val="00F10FD3"/>
    <w:rsid w:val="00F11BB5"/>
    <w:rsid w:val="00F122CF"/>
    <w:rsid w:val="00F12FFB"/>
    <w:rsid w:val="00F13A5E"/>
    <w:rsid w:val="00F13ADE"/>
    <w:rsid w:val="00F13F40"/>
    <w:rsid w:val="00F14083"/>
    <w:rsid w:val="00F1417B"/>
    <w:rsid w:val="00F1493D"/>
    <w:rsid w:val="00F20BF1"/>
    <w:rsid w:val="00F21999"/>
    <w:rsid w:val="00F2484D"/>
    <w:rsid w:val="00F25843"/>
    <w:rsid w:val="00F263BA"/>
    <w:rsid w:val="00F26F6F"/>
    <w:rsid w:val="00F2723F"/>
    <w:rsid w:val="00F31F15"/>
    <w:rsid w:val="00F3375B"/>
    <w:rsid w:val="00F33798"/>
    <w:rsid w:val="00F33E2D"/>
    <w:rsid w:val="00F34B99"/>
    <w:rsid w:val="00F34FBB"/>
    <w:rsid w:val="00F36C04"/>
    <w:rsid w:val="00F371B6"/>
    <w:rsid w:val="00F37B34"/>
    <w:rsid w:val="00F37F84"/>
    <w:rsid w:val="00F40C3D"/>
    <w:rsid w:val="00F40EDC"/>
    <w:rsid w:val="00F410D2"/>
    <w:rsid w:val="00F46D22"/>
    <w:rsid w:val="00F46D7C"/>
    <w:rsid w:val="00F501BD"/>
    <w:rsid w:val="00F5118B"/>
    <w:rsid w:val="00F52056"/>
    <w:rsid w:val="00F52DAB"/>
    <w:rsid w:val="00F5320A"/>
    <w:rsid w:val="00F53933"/>
    <w:rsid w:val="00F539F8"/>
    <w:rsid w:val="00F53AC3"/>
    <w:rsid w:val="00F543F0"/>
    <w:rsid w:val="00F54A8E"/>
    <w:rsid w:val="00F54B3C"/>
    <w:rsid w:val="00F55154"/>
    <w:rsid w:val="00F57492"/>
    <w:rsid w:val="00F601FA"/>
    <w:rsid w:val="00F60BC1"/>
    <w:rsid w:val="00F613FE"/>
    <w:rsid w:val="00F635F4"/>
    <w:rsid w:val="00F6360C"/>
    <w:rsid w:val="00F63951"/>
    <w:rsid w:val="00F643B1"/>
    <w:rsid w:val="00F6565B"/>
    <w:rsid w:val="00F67C26"/>
    <w:rsid w:val="00F70FB8"/>
    <w:rsid w:val="00F7205F"/>
    <w:rsid w:val="00F73D1A"/>
    <w:rsid w:val="00F74DCF"/>
    <w:rsid w:val="00F752C8"/>
    <w:rsid w:val="00F760D6"/>
    <w:rsid w:val="00F76D28"/>
    <w:rsid w:val="00F77793"/>
    <w:rsid w:val="00F800EA"/>
    <w:rsid w:val="00F81727"/>
    <w:rsid w:val="00F81AD8"/>
    <w:rsid w:val="00F81D29"/>
    <w:rsid w:val="00F8210E"/>
    <w:rsid w:val="00F82D64"/>
    <w:rsid w:val="00F8424D"/>
    <w:rsid w:val="00F875F6"/>
    <w:rsid w:val="00F87DE7"/>
    <w:rsid w:val="00F910DA"/>
    <w:rsid w:val="00F91B72"/>
    <w:rsid w:val="00F91C4D"/>
    <w:rsid w:val="00F92807"/>
    <w:rsid w:val="00F92B45"/>
    <w:rsid w:val="00F92FD9"/>
    <w:rsid w:val="00F94DF8"/>
    <w:rsid w:val="00F977D8"/>
    <w:rsid w:val="00F97FDA"/>
    <w:rsid w:val="00FA18F0"/>
    <w:rsid w:val="00FA205A"/>
    <w:rsid w:val="00FA247F"/>
    <w:rsid w:val="00FA390C"/>
    <w:rsid w:val="00FA3911"/>
    <w:rsid w:val="00FA5C3C"/>
    <w:rsid w:val="00FA5E8B"/>
    <w:rsid w:val="00FA6684"/>
    <w:rsid w:val="00FA731E"/>
    <w:rsid w:val="00FA7944"/>
    <w:rsid w:val="00FB05B6"/>
    <w:rsid w:val="00FB1F25"/>
    <w:rsid w:val="00FB21E0"/>
    <w:rsid w:val="00FB2575"/>
    <w:rsid w:val="00FB2B38"/>
    <w:rsid w:val="00FB2C43"/>
    <w:rsid w:val="00FB3B7C"/>
    <w:rsid w:val="00FB487B"/>
    <w:rsid w:val="00FB48CB"/>
    <w:rsid w:val="00FB72F3"/>
    <w:rsid w:val="00FC4D7A"/>
    <w:rsid w:val="00FC536A"/>
    <w:rsid w:val="00FC6358"/>
    <w:rsid w:val="00FC7136"/>
    <w:rsid w:val="00FD02CC"/>
    <w:rsid w:val="00FD0B17"/>
    <w:rsid w:val="00FD1612"/>
    <w:rsid w:val="00FD2435"/>
    <w:rsid w:val="00FD320D"/>
    <w:rsid w:val="00FD3F92"/>
    <w:rsid w:val="00FD4D7A"/>
    <w:rsid w:val="00FD5F67"/>
    <w:rsid w:val="00FD6AE0"/>
    <w:rsid w:val="00FD7E69"/>
    <w:rsid w:val="00FE0BEA"/>
    <w:rsid w:val="00FE23DE"/>
    <w:rsid w:val="00FE2A01"/>
    <w:rsid w:val="00FF17E6"/>
    <w:rsid w:val="00FF21C5"/>
    <w:rsid w:val="00FF2773"/>
    <w:rsid w:val="00FF388B"/>
    <w:rsid w:val="0115767C"/>
    <w:rsid w:val="01323CE1"/>
    <w:rsid w:val="01443A28"/>
    <w:rsid w:val="01626374"/>
    <w:rsid w:val="01A7022B"/>
    <w:rsid w:val="01EA636A"/>
    <w:rsid w:val="020C62E0"/>
    <w:rsid w:val="02104C13"/>
    <w:rsid w:val="025A704C"/>
    <w:rsid w:val="0325537B"/>
    <w:rsid w:val="03264699"/>
    <w:rsid w:val="0328539C"/>
    <w:rsid w:val="03CC265C"/>
    <w:rsid w:val="03E312C3"/>
    <w:rsid w:val="04115E30"/>
    <w:rsid w:val="04221DEB"/>
    <w:rsid w:val="044E0E8F"/>
    <w:rsid w:val="04CC1F40"/>
    <w:rsid w:val="04F03C97"/>
    <w:rsid w:val="04F35535"/>
    <w:rsid w:val="04F73278"/>
    <w:rsid w:val="054B68BD"/>
    <w:rsid w:val="056E3A91"/>
    <w:rsid w:val="056F4E37"/>
    <w:rsid w:val="05A57349"/>
    <w:rsid w:val="06055520"/>
    <w:rsid w:val="06862B05"/>
    <w:rsid w:val="068B7FCC"/>
    <w:rsid w:val="06D07900"/>
    <w:rsid w:val="06D51014"/>
    <w:rsid w:val="072567F3"/>
    <w:rsid w:val="073065CD"/>
    <w:rsid w:val="074E1CBF"/>
    <w:rsid w:val="07AB20F7"/>
    <w:rsid w:val="07E20E7C"/>
    <w:rsid w:val="083D3C40"/>
    <w:rsid w:val="08512C9F"/>
    <w:rsid w:val="086B2933"/>
    <w:rsid w:val="08C571E9"/>
    <w:rsid w:val="09095DE2"/>
    <w:rsid w:val="094F1E10"/>
    <w:rsid w:val="09A22511"/>
    <w:rsid w:val="09AD0AEE"/>
    <w:rsid w:val="09AD2157"/>
    <w:rsid w:val="09D65B51"/>
    <w:rsid w:val="0A6751AF"/>
    <w:rsid w:val="0A9450C5"/>
    <w:rsid w:val="0AAF49A9"/>
    <w:rsid w:val="0ACB4F8A"/>
    <w:rsid w:val="0AD767DE"/>
    <w:rsid w:val="0AF86297"/>
    <w:rsid w:val="0B156206"/>
    <w:rsid w:val="0C2051B2"/>
    <w:rsid w:val="0C260D49"/>
    <w:rsid w:val="0C48085D"/>
    <w:rsid w:val="0C8278CB"/>
    <w:rsid w:val="0D7C07BE"/>
    <w:rsid w:val="0DF06AB6"/>
    <w:rsid w:val="0E6F0323"/>
    <w:rsid w:val="0E744A50"/>
    <w:rsid w:val="0E8D5E01"/>
    <w:rsid w:val="0EB16245"/>
    <w:rsid w:val="0EFE4EFA"/>
    <w:rsid w:val="0EFE61C8"/>
    <w:rsid w:val="0F4D240F"/>
    <w:rsid w:val="0F657030"/>
    <w:rsid w:val="0F76123D"/>
    <w:rsid w:val="0F847DFE"/>
    <w:rsid w:val="0FA16B5A"/>
    <w:rsid w:val="0FAD1102"/>
    <w:rsid w:val="0FE32D76"/>
    <w:rsid w:val="0FEB3DA7"/>
    <w:rsid w:val="0FF36CB9"/>
    <w:rsid w:val="10536B68"/>
    <w:rsid w:val="10685029"/>
    <w:rsid w:val="10927AA5"/>
    <w:rsid w:val="10DE709A"/>
    <w:rsid w:val="110F36F7"/>
    <w:rsid w:val="1134412E"/>
    <w:rsid w:val="119D51A7"/>
    <w:rsid w:val="12B20F94"/>
    <w:rsid w:val="12C0739F"/>
    <w:rsid w:val="12D270D2"/>
    <w:rsid w:val="12D746E8"/>
    <w:rsid w:val="1367781A"/>
    <w:rsid w:val="13D1738A"/>
    <w:rsid w:val="14372438"/>
    <w:rsid w:val="143B23FA"/>
    <w:rsid w:val="146A2E8A"/>
    <w:rsid w:val="1471317D"/>
    <w:rsid w:val="149B6B6A"/>
    <w:rsid w:val="14CD492E"/>
    <w:rsid w:val="15477903"/>
    <w:rsid w:val="16826719"/>
    <w:rsid w:val="16DF72B6"/>
    <w:rsid w:val="16F06BB2"/>
    <w:rsid w:val="17312619"/>
    <w:rsid w:val="17F92A0B"/>
    <w:rsid w:val="181463E9"/>
    <w:rsid w:val="186C3E63"/>
    <w:rsid w:val="18B63C84"/>
    <w:rsid w:val="18E65685"/>
    <w:rsid w:val="18F96E43"/>
    <w:rsid w:val="192F2B88"/>
    <w:rsid w:val="19D70880"/>
    <w:rsid w:val="1A571740"/>
    <w:rsid w:val="1A5A6F96"/>
    <w:rsid w:val="1A5F124B"/>
    <w:rsid w:val="1AC50B28"/>
    <w:rsid w:val="1B487F31"/>
    <w:rsid w:val="1B6034CD"/>
    <w:rsid w:val="1C3B7A96"/>
    <w:rsid w:val="1C6012AB"/>
    <w:rsid w:val="1CB25FAA"/>
    <w:rsid w:val="1D504607"/>
    <w:rsid w:val="1D7A639C"/>
    <w:rsid w:val="1D8611E5"/>
    <w:rsid w:val="1DBC2FC3"/>
    <w:rsid w:val="1DCC0ABD"/>
    <w:rsid w:val="1DD91315"/>
    <w:rsid w:val="1DF95513"/>
    <w:rsid w:val="1E2A3CA3"/>
    <w:rsid w:val="1E2F085F"/>
    <w:rsid w:val="1E326C77"/>
    <w:rsid w:val="1E576F40"/>
    <w:rsid w:val="1E786BBE"/>
    <w:rsid w:val="1E850154"/>
    <w:rsid w:val="1EC93137"/>
    <w:rsid w:val="1F536EA5"/>
    <w:rsid w:val="200563F1"/>
    <w:rsid w:val="20254CE5"/>
    <w:rsid w:val="20AF0147"/>
    <w:rsid w:val="20B85742"/>
    <w:rsid w:val="21306D9B"/>
    <w:rsid w:val="213C4185"/>
    <w:rsid w:val="2152653D"/>
    <w:rsid w:val="217557F8"/>
    <w:rsid w:val="2181419D"/>
    <w:rsid w:val="218855E2"/>
    <w:rsid w:val="21CE6779"/>
    <w:rsid w:val="21F37EB4"/>
    <w:rsid w:val="22135D23"/>
    <w:rsid w:val="2277734E"/>
    <w:rsid w:val="22A55C69"/>
    <w:rsid w:val="22B64322"/>
    <w:rsid w:val="2309444A"/>
    <w:rsid w:val="231860A1"/>
    <w:rsid w:val="23782B4D"/>
    <w:rsid w:val="239F090A"/>
    <w:rsid w:val="23AE6D9F"/>
    <w:rsid w:val="23E76D75"/>
    <w:rsid w:val="24320600"/>
    <w:rsid w:val="24784B8B"/>
    <w:rsid w:val="248D3980"/>
    <w:rsid w:val="249C4E4A"/>
    <w:rsid w:val="24AF3183"/>
    <w:rsid w:val="24B55AE1"/>
    <w:rsid w:val="24CC0392"/>
    <w:rsid w:val="25083ABE"/>
    <w:rsid w:val="250C6474"/>
    <w:rsid w:val="25114980"/>
    <w:rsid w:val="25891872"/>
    <w:rsid w:val="25AC730F"/>
    <w:rsid w:val="25DF3146"/>
    <w:rsid w:val="260E3B25"/>
    <w:rsid w:val="2652540A"/>
    <w:rsid w:val="26E647A9"/>
    <w:rsid w:val="27170840"/>
    <w:rsid w:val="271E248E"/>
    <w:rsid w:val="27567006"/>
    <w:rsid w:val="27A97FAA"/>
    <w:rsid w:val="27AD3195"/>
    <w:rsid w:val="2871783D"/>
    <w:rsid w:val="28825973"/>
    <w:rsid w:val="28846321"/>
    <w:rsid w:val="28A864B3"/>
    <w:rsid w:val="28E03E9F"/>
    <w:rsid w:val="28F45255"/>
    <w:rsid w:val="291B2FBA"/>
    <w:rsid w:val="293D309F"/>
    <w:rsid w:val="298505A2"/>
    <w:rsid w:val="29926808"/>
    <w:rsid w:val="29D15C04"/>
    <w:rsid w:val="29D3630E"/>
    <w:rsid w:val="29EA509F"/>
    <w:rsid w:val="29FF2103"/>
    <w:rsid w:val="2A0B0AA8"/>
    <w:rsid w:val="2A7445E5"/>
    <w:rsid w:val="2A7B4CC0"/>
    <w:rsid w:val="2AB84B24"/>
    <w:rsid w:val="2AB90504"/>
    <w:rsid w:val="2AD77182"/>
    <w:rsid w:val="2AEE4F26"/>
    <w:rsid w:val="2B1E17C4"/>
    <w:rsid w:val="2B2F4C6A"/>
    <w:rsid w:val="2B3E6C5B"/>
    <w:rsid w:val="2B5C357B"/>
    <w:rsid w:val="2B6B4D28"/>
    <w:rsid w:val="2BE363BA"/>
    <w:rsid w:val="2C1F4CDE"/>
    <w:rsid w:val="2CDC497D"/>
    <w:rsid w:val="2D3E2F42"/>
    <w:rsid w:val="2D446116"/>
    <w:rsid w:val="2D962D7E"/>
    <w:rsid w:val="2E3D144C"/>
    <w:rsid w:val="2E6E6659"/>
    <w:rsid w:val="2E9B3D72"/>
    <w:rsid w:val="2EA119DB"/>
    <w:rsid w:val="2ECD6C74"/>
    <w:rsid w:val="2F6153DB"/>
    <w:rsid w:val="2F9C46C0"/>
    <w:rsid w:val="2FB26F13"/>
    <w:rsid w:val="2FC242FE"/>
    <w:rsid w:val="2FCE2CA3"/>
    <w:rsid w:val="303348B4"/>
    <w:rsid w:val="30717AD3"/>
    <w:rsid w:val="30E346C5"/>
    <w:rsid w:val="314E571E"/>
    <w:rsid w:val="317B29B7"/>
    <w:rsid w:val="3186135C"/>
    <w:rsid w:val="31CB1D9B"/>
    <w:rsid w:val="31CE7E7C"/>
    <w:rsid w:val="32322F82"/>
    <w:rsid w:val="3242765B"/>
    <w:rsid w:val="32CB6139"/>
    <w:rsid w:val="333122D8"/>
    <w:rsid w:val="334E5EA9"/>
    <w:rsid w:val="335D7E9A"/>
    <w:rsid w:val="33E818FE"/>
    <w:rsid w:val="345319C9"/>
    <w:rsid w:val="34572B3B"/>
    <w:rsid w:val="34692F9B"/>
    <w:rsid w:val="34A949D0"/>
    <w:rsid w:val="34B41D3C"/>
    <w:rsid w:val="34BA1A48"/>
    <w:rsid w:val="34E40873"/>
    <w:rsid w:val="350031D3"/>
    <w:rsid w:val="35633E8E"/>
    <w:rsid w:val="358160C2"/>
    <w:rsid w:val="367F4CF7"/>
    <w:rsid w:val="368F480F"/>
    <w:rsid w:val="36C27665"/>
    <w:rsid w:val="36F42B5D"/>
    <w:rsid w:val="373A2207"/>
    <w:rsid w:val="37822F1F"/>
    <w:rsid w:val="379753A2"/>
    <w:rsid w:val="37BB137B"/>
    <w:rsid w:val="381E22EE"/>
    <w:rsid w:val="3820054C"/>
    <w:rsid w:val="386A5533"/>
    <w:rsid w:val="38BB694B"/>
    <w:rsid w:val="38F91371"/>
    <w:rsid w:val="3A4A73CA"/>
    <w:rsid w:val="3A992100"/>
    <w:rsid w:val="3AAD51C8"/>
    <w:rsid w:val="3ACB3368"/>
    <w:rsid w:val="3BA67340"/>
    <w:rsid w:val="3BF33A92"/>
    <w:rsid w:val="3C2A0E76"/>
    <w:rsid w:val="3C2C7858"/>
    <w:rsid w:val="3C4C49F3"/>
    <w:rsid w:val="3C6F3118"/>
    <w:rsid w:val="3CAD59EE"/>
    <w:rsid w:val="3CB94393"/>
    <w:rsid w:val="3CE43076"/>
    <w:rsid w:val="3CF67EA7"/>
    <w:rsid w:val="3D98669F"/>
    <w:rsid w:val="3DF338D5"/>
    <w:rsid w:val="3E284D73"/>
    <w:rsid w:val="3E35523B"/>
    <w:rsid w:val="3E7C7D6E"/>
    <w:rsid w:val="3E816E0B"/>
    <w:rsid w:val="3EBA0660"/>
    <w:rsid w:val="3EE23A00"/>
    <w:rsid w:val="3F696545"/>
    <w:rsid w:val="3F73566E"/>
    <w:rsid w:val="3F8D1397"/>
    <w:rsid w:val="402661E4"/>
    <w:rsid w:val="40372842"/>
    <w:rsid w:val="40644F5E"/>
    <w:rsid w:val="406E1939"/>
    <w:rsid w:val="408C14AC"/>
    <w:rsid w:val="40956EC5"/>
    <w:rsid w:val="40B53CCC"/>
    <w:rsid w:val="40FE6E4A"/>
    <w:rsid w:val="410B1D95"/>
    <w:rsid w:val="411374C6"/>
    <w:rsid w:val="41166258"/>
    <w:rsid w:val="41744D2D"/>
    <w:rsid w:val="41CF23CD"/>
    <w:rsid w:val="41F06AA9"/>
    <w:rsid w:val="41FD11C6"/>
    <w:rsid w:val="421A6AA3"/>
    <w:rsid w:val="42D812EB"/>
    <w:rsid w:val="434D4F08"/>
    <w:rsid w:val="43607C5E"/>
    <w:rsid w:val="43B65A49"/>
    <w:rsid w:val="43F839F3"/>
    <w:rsid w:val="4433393C"/>
    <w:rsid w:val="44AB6087"/>
    <w:rsid w:val="44E87F0C"/>
    <w:rsid w:val="44F74CE7"/>
    <w:rsid w:val="45D87AAA"/>
    <w:rsid w:val="45E30135"/>
    <w:rsid w:val="45F67960"/>
    <w:rsid w:val="475C698F"/>
    <w:rsid w:val="47881532"/>
    <w:rsid w:val="47A02AD1"/>
    <w:rsid w:val="47A45C40"/>
    <w:rsid w:val="47E86474"/>
    <w:rsid w:val="47F47296"/>
    <w:rsid w:val="483A2D51"/>
    <w:rsid w:val="48C20A74"/>
    <w:rsid w:val="49041173"/>
    <w:rsid w:val="493914A0"/>
    <w:rsid w:val="495B0E0B"/>
    <w:rsid w:val="49663AF5"/>
    <w:rsid w:val="49725FF6"/>
    <w:rsid w:val="49787384"/>
    <w:rsid w:val="49A563CB"/>
    <w:rsid w:val="49AF0FF8"/>
    <w:rsid w:val="49B06B1E"/>
    <w:rsid w:val="4A2712B4"/>
    <w:rsid w:val="4A595408"/>
    <w:rsid w:val="4A65539B"/>
    <w:rsid w:val="4A8C7696"/>
    <w:rsid w:val="4A8E7D35"/>
    <w:rsid w:val="4AD131F0"/>
    <w:rsid w:val="4AE41175"/>
    <w:rsid w:val="4AEB1A8F"/>
    <w:rsid w:val="4B332897"/>
    <w:rsid w:val="4B38501D"/>
    <w:rsid w:val="4B8502EA"/>
    <w:rsid w:val="4B892032"/>
    <w:rsid w:val="4B9C1A50"/>
    <w:rsid w:val="4BB70D9F"/>
    <w:rsid w:val="4BD7024F"/>
    <w:rsid w:val="4C066EC9"/>
    <w:rsid w:val="4C0D02C8"/>
    <w:rsid w:val="4CBF2E37"/>
    <w:rsid w:val="4CC77F9A"/>
    <w:rsid w:val="4E1E76B5"/>
    <w:rsid w:val="4E6C1FEA"/>
    <w:rsid w:val="4EBD72E5"/>
    <w:rsid w:val="4EEE25C2"/>
    <w:rsid w:val="4F2C30EB"/>
    <w:rsid w:val="4F304989"/>
    <w:rsid w:val="4F381582"/>
    <w:rsid w:val="4FBE62A1"/>
    <w:rsid w:val="4FC77B7E"/>
    <w:rsid w:val="4FD63506"/>
    <w:rsid w:val="505867F1"/>
    <w:rsid w:val="50744D49"/>
    <w:rsid w:val="50962F71"/>
    <w:rsid w:val="50B0169E"/>
    <w:rsid w:val="515F563F"/>
    <w:rsid w:val="51654692"/>
    <w:rsid w:val="519C08BF"/>
    <w:rsid w:val="519E0A3D"/>
    <w:rsid w:val="52064315"/>
    <w:rsid w:val="520D0FB1"/>
    <w:rsid w:val="52140592"/>
    <w:rsid w:val="521E6678"/>
    <w:rsid w:val="52214A5D"/>
    <w:rsid w:val="5248023B"/>
    <w:rsid w:val="5294622D"/>
    <w:rsid w:val="53E804B6"/>
    <w:rsid w:val="54736A29"/>
    <w:rsid w:val="548F2152"/>
    <w:rsid w:val="549731C4"/>
    <w:rsid w:val="54F31AB6"/>
    <w:rsid w:val="55821CB6"/>
    <w:rsid w:val="558C0B67"/>
    <w:rsid w:val="5593401E"/>
    <w:rsid w:val="55A7171D"/>
    <w:rsid w:val="55C1547B"/>
    <w:rsid w:val="55CE47A4"/>
    <w:rsid w:val="55CF657E"/>
    <w:rsid w:val="55ED5C6D"/>
    <w:rsid w:val="55F83D27"/>
    <w:rsid w:val="55FE41C5"/>
    <w:rsid w:val="563F3703"/>
    <w:rsid w:val="56440D1A"/>
    <w:rsid w:val="56614AC6"/>
    <w:rsid w:val="568665FD"/>
    <w:rsid w:val="56C43381"/>
    <w:rsid w:val="570C7D5E"/>
    <w:rsid w:val="57180CBA"/>
    <w:rsid w:val="573A7FF8"/>
    <w:rsid w:val="57671257"/>
    <w:rsid w:val="57723665"/>
    <w:rsid w:val="57912CAA"/>
    <w:rsid w:val="5797131D"/>
    <w:rsid w:val="57AF5E37"/>
    <w:rsid w:val="57F80B47"/>
    <w:rsid w:val="5838665C"/>
    <w:rsid w:val="58403763"/>
    <w:rsid w:val="58467845"/>
    <w:rsid w:val="5A0031AA"/>
    <w:rsid w:val="5A117165"/>
    <w:rsid w:val="5A366BCB"/>
    <w:rsid w:val="5A874E91"/>
    <w:rsid w:val="5AA93733"/>
    <w:rsid w:val="5AE54B2B"/>
    <w:rsid w:val="5B0F5A03"/>
    <w:rsid w:val="5BCA22AF"/>
    <w:rsid w:val="5BD22495"/>
    <w:rsid w:val="5BEF11A2"/>
    <w:rsid w:val="5C0C40E0"/>
    <w:rsid w:val="5C6575A6"/>
    <w:rsid w:val="5C82610F"/>
    <w:rsid w:val="5CA26AF4"/>
    <w:rsid w:val="5CD81F8E"/>
    <w:rsid w:val="5CDF0459"/>
    <w:rsid w:val="5CE65575"/>
    <w:rsid w:val="5CF70B75"/>
    <w:rsid w:val="5CF73FF2"/>
    <w:rsid w:val="5D997B9D"/>
    <w:rsid w:val="5DC310BE"/>
    <w:rsid w:val="5DE84681"/>
    <w:rsid w:val="5E355124"/>
    <w:rsid w:val="5EA15AC4"/>
    <w:rsid w:val="5ED74A1A"/>
    <w:rsid w:val="5F2B0CC9"/>
    <w:rsid w:val="5F82389D"/>
    <w:rsid w:val="5FA97D3B"/>
    <w:rsid w:val="5FAB1E44"/>
    <w:rsid w:val="5FDD6B34"/>
    <w:rsid w:val="602A2D2E"/>
    <w:rsid w:val="605F496D"/>
    <w:rsid w:val="608F5287"/>
    <w:rsid w:val="60A61854"/>
    <w:rsid w:val="60D07B65"/>
    <w:rsid w:val="60E07891"/>
    <w:rsid w:val="61657228"/>
    <w:rsid w:val="61B2122D"/>
    <w:rsid w:val="61DB4C28"/>
    <w:rsid w:val="61F01D56"/>
    <w:rsid w:val="624A76B8"/>
    <w:rsid w:val="62563928"/>
    <w:rsid w:val="62593D9F"/>
    <w:rsid w:val="627A0731"/>
    <w:rsid w:val="62910C93"/>
    <w:rsid w:val="62F7456C"/>
    <w:rsid w:val="63302D52"/>
    <w:rsid w:val="633A750F"/>
    <w:rsid w:val="63A415E2"/>
    <w:rsid w:val="63A64240"/>
    <w:rsid w:val="63BD210C"/>
    <w:rsid w:val="63CA30D8"/>
    <w:rsid w:val="63E853DA"/>
    <w:rsid w:val="640E695D"/>
    <w:rsid w:val="65206AA3"/>
    <w:rsid w:val="65210C1C"/>
    <w:rsid w:val="65A45331"/>
    <w:rsid w:val="65C939F8"/>
    <w:rsid w:val="65CD6463"/>
    <w:rsid w:val="66833D45"/>
    <w:rsid w:val="66B3120C"/>
    <w:rsid w:val="67073DC9"/>
    <w:rsid w:val="672D64D9"/>
    <w:rsid w:val="675039C2"/>
    <w:rsid w:val="67837EE3"/>
    <w:rsid w:val="67A16908"/>
    <w:rsid w:val="67BB4BB4"/>
    <w:rsid w:val="67CC5EAB"/>
    <w:rsid w:val="67CD5277"/>
    <w:rsid w:val="67F62765"/>
    <w:rsid w:val="687C2679"/>
    <w:rsid w:val="68B021A0"/>
    <w:rsid w:val="68C857DA"/>
    <w:rsid w:val="692362BF"/>
    <w:rsid w:val="694127AB"/>
    <w:rsid w:val="694D2DB0"/>
    <w:rsid w:val="699217DB"/>
    <w:rsid w:val="69EB79D2"/>
    <w:rsid w:val="69F36B6A"/>
    <w:rsid w:val="6A9277E6"/>
    <w:rsid w:val="6AE879D6"/>
    <w:rsid w:val="6B8963AD"/>
    <w:rsid w:val="6B8F0831"/>
    <w:rsid w:val="6BC67B57"/>
    <w:rsid w:val="6C3F4006"/>
    <w:rsid w:val="6CAB169B"/>
    <w:rsid w:val="6D042B59"/>
    <w:rsid w:val="6D3C0545"/>
    <w:rsid w:val="6D7A4916"/>
    <w:rsid w:val="6D8D7E43"/>
    <w:rsid w:val="6DB70F9A"/>
    <w:rsid w:val="6DD469CF"/>
    <w:rsid w:val="6E351940"/>
    <w:rsid w:val="6E8E6B7E"/>
    <w:rsid w:val="6EE2039C"/>
    <w:rsid w:val="6EEB5D7F"/>
    <w:rsid w:val="6F651FD5"/>
    <w:rsid w:val="6F90685A"/>
    <w:rsid w:val="6F9330BC"/>
    <w:rsid w:val="6FB10D76"/>
    <w:rsid w:val="6FB40867"/>
    <w:rsid w:val="6FDB5DF3"/>
    <w:rsid w:val="6FF623A2"/>
    <w:rsid w:val="6FF675F6"/>
    <w:rsid w:val="7004359C"/>
    <w:rsid w:val="70553DF8"/>
    <w:rsid w:val="705D4B36"/>
    <w:rsid w:val="70691651"/>
    <w:rsid w:val="706E61AC"/>
    <w:rsid w:val="706F13F6"/>
    <w:rsid w:val="70A703CB"/>
    <w:rsid w:val="70C41275"/>
    <w:rsid w:val="70D056C7"/>
    <w:rsid w:val="710D52AF"/>
    <w:rsid w:val="71634F44"/>
    <w:rsid w:val="71663DE2"/>
    <w:rsid w:val="72253C9E"/>
    <w:rsid w:val="72A96169"/>
    <w:rsid w:val="734343DB"/>
    <w:rsid w:val="734C6B06"/>
    <w:rsid w:val="7352461E"/>
    <w:rsid w:val="73B40E35"/>
    <w:rsid w:val="73BB6668"/>
    <w:rsid w:val="73C372CA"/>
    <w:rsid w:val="74030D51"/>
    <w:rsid w:val="74485B23"/>
    <w:rsid w:val="74A05D67"/>
    <w:rsid w:val="74F51705"/>
    <w:rsid w:val="755E2130"/>
    <w:rsid w:val="75C90D63"/>
    <w:rsid w:val="76215DE7"/>
    <w:rsid w:val="7634625D"/>
    <w:rsid w:val="76584AC2"/>
    <w:rsid w:val="766F145A"/>
    <w:rsid w:val="769A13A5"/>
    <w:rsid w:val="76A157D7"/>
    <w:rsid w:val="76C70E7F"/>
    <w:rsid w:val="76E23BD4"/>
    <w:rsid w:val="76EA1012"/>
    <w:rsid w:val="76EF2560"/>
    <w:rsid w:val="774B1E6F"/>
    <w:rsid w:val="778356EE"/>
    <w:rsid w:val="78252301"/>
    <w:rsid w:val="78256321"/>
    <w:rsid w:val="784C2146"/>
    <w:rsid w:val="789322F5"/>
    <w:rsid w:val="78EB3B8A"/>
    <w:rsid w:val="78F63C9E"/>
    <w:rsid w:val="79200C4B"/>
    <w:rsid w:val="7958623E"/>
    <w:rsid w:val="796D1AAE"/>
    <w:rsid w:val="799B65F3"/>
    <w:rsid w:val="79B37DE1"/>
    <w:rsid w:val="79CC4DBF"/>
    <w:rsid w:val="79D06969"/>
    <w:rsid w:val="7A2B7977"/>
    <w:rsid w:val="7A8967B1"/>
    <w:rsid w:val="7AF92E45"/>
    <w:rsid w:val="7B220D7A"/>
    <w:rsid w:val="7B3A2568"/>
    <w:rsid w:val="7B6F3B69"/>
    <w:rsid w:val="7B9A1258"/>
    <w:rsid w:val="7B9F061D"/>
    <w:rsid w:val="7BC75F93"/>
    <w:rsid w:val="7C501630"/>
    <w:rsid w:val="7CD73EB8"/>
    <w:rsid w:val="7CF16C56"/>
    <w:rsid w:val="7DAE2D99"/>
    <w:rsid w:val="7E8E1713"/>
    <w:rsid w:val="7F280929"/>
    <w:rsid w:val="7F886D17"/>
    <w:rsid w:val="7F95573F"/>
    <w:rsid w:val="7FA206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41"/>
    <w:autoRedefine/>
    <w:qFormat/>
    <w:uiPriority w:val="99"/>
    <w:pPr>
      <w:widowControl/>
      <w:jc w:val="left"/>
      <w:outlineLvl w:val="2"/>
    </w:pPr>
    <w:rPr>
      <w:rFonts w:ascii="宋体" w:hAnsi="宋体"/>
      <w:b/>
      <w:bCs/>
      <w:kern w:val="0"/>
      <w:sz w:val="27"/>
      <w:szCs w:val="27"/>
      <w:lang w:val="zh-CN"/>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autoRedefine/>
    <w:semiHidden/>
    <w:qFormat/>
    <w:uiPriority w:val="0"/>
    <w:pPr>
      <w:tabs>
        <w:tab w:val="right" w:leader="dot" w:pos="9241"/>
      </w:tabs>
      <w:ind w:firstLine="500" w:firstLineChars="500"/>
      <w:jc w:val="left"/>
    </w:pPr>
    <w:rPr>
      <w:rFonts w:ascii="宋体"/>
      <w:szCs w:val="21"/>
    </w:rPr>
  </w:style>
  <w:style w:type="paragraph" w:styleId="4">
    <w:name w:val="index 8"/>
    <w:basedOn w:val="1"/>
    <w:next w:val="1"/>
    <w:autoRedefine/>
    <w:qFormat/>
    <w:uiPriority w:val="0"/>
    <w:pPr>
      <w:ind w:left="1680" w:hanging="210"/>
      <w:jc w:val="left"/>
    </w:pPr>
    <w:rPr>
      <w:rFonts w:ascii="Calibri" w:hAnsi="Calibri"/>
      <w:sz w:val="20"/>
      <w:szCs w:val="20"/>
    </w:rPr>
  </w:style>
  <w:style w:type="paragraph" w:styleId="5">
    <w:name w:val="caption"/>
    <w:basedOn w:val="1"/>
    <w:next w:val="1"/>
    <w:autoRedefine/>
    <w:qFormat/>
    <w:uiPriority w:val="0"/>
    <w:pPr>
      <w:spacing w:before="152" w:after="160"/>
    </w:pPr>
    <w:rPr>
      <w:rFonts w:ascii="Arial" w:hAnsi="Arial" w:eastAsia="黑体" w:cs="Arial"/>
      <w:sz w:val="20"/>
      <w:szCs w:val="20"/>
    </w:rPr>
  </w:style>
  <w:style w:type="paragraph" w:styleId="6">
    <w:name w:val="index 5"/>
    <w:basedOn w:val="1"/>
    <w:next w:val="1"/>
    <w:autoRedefine/>
    <w:qFormat/>
    <w:uiPriority w:val="0"/>
    <w:pPr>
      <w:ind w:left="1050" w:hanging="210"/>
      <w:jc w:val="left"/>
    </w:pPr>
    <w:rPr>
      <w:rFonts w:ascii="Calibri" w:hAnsi="Calibri"/>
      <w:sz w:val="20"/>
      <w:szCs w:val="20"/>
    </w:rPr>
  </w:style>
  <w:style w:type="paragraph" w:styleId="7">
    <w:name w:val="Document Map"/>
    <w:basedOn w:val="1"/>
    <w:autoRedefine/>
    <w:semiHidden/>
    <w:qFormat/>
    <w:uiPriority w:val="0"/>
    <w:pPr>
      <w:shd w:val="clear" w:color="auto" w:fill="000080"/>
    </w:pPr>
  </w:style>
  <w:style w:type="paragraph" w:styleId="8">
    <w:name w:val="annotation text"/>
    <w:basedOn w:val="1"/>
    <w:link w:val="149"/>
    <w:autoRedefine/>
    <w:qFormat/>
    <w:uiPriority w:val="0"/>
    <w:pPr>
      <w:jc w:val="left"/>
    </w:pPr>
    <w:rPr>
      <w:rFonts w:ascii="Calibri" w:hAnsi="Calibri"/>
      <w:szCs w:val="22"/>
      <w:lang w:val="zh-CN"/>
    </w:rPr>
  </w:style>
  <w:style w:type="paragraph" w:styleId="9">
    <w:name w:val="index 6"/>
    <w:basedOn w:val="1"/>
    <w:next w:val="1"/>
    <w:autoRedefine/>
    <w:qFormat/>
    <w:uiPriority w:val="0"/>
    <w:pPr>
      <w:ind w:left="1260" w:hanging="210"/>
      <w:jc w:val="left"/>
    </w:pPr>
    <w:rPr>
      <w:rFonts w:ascii="Calibri" w:hAnsi="Calibri"/>
      <w:sz w:val="20"/>
      <w:szCs w:val="20"/>
    </w:rPr>
  </w:style>
  <w:style w:type="paragraph" w:styleId="10">
    <w:name w:val="Body Text Indent"/>
    <w:basedOn w:val="1"/>
    <w:link w:val="143"/>
    <w:autoRedefine/>
    <w:qFormat/>
    <w:uiPriority w:val="0"/>
    <w:pPr>
      <w:adjustRightInd w:val="0"/>
      <w:spacing w:line="300" w:lineRule="exact"/>
      <w:ind w:firstLine="420" w:firstLineChars="200"/>
      <w:textAlignment w:val="baseline"/>
    </w:pPr>
    <w:rPr>
      <w:kern w:val="0"/>
      <w:szCs w:val="20"/>
      <w:lang w:val="zh-CN"/>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autoRedefine/>
    <w:semiHidden/>
    <w:qFormat/>
    <w:uiPriority w:val="0"/>
    <w:pPr>
      <w:tabs>
        <w:tab w:val="right" w:leader="dot" w:pos="9241"/>
      </w:tabs>
      <w:ind w:firstLine="300" w:firstLineChars="300"/>
      <w:jc w:val="left"/>
    </w:pPr>
    <w:rPr>
      <w:rFonts w:ascii="宋体"/>
      <w:szCs w:val="21"/>
    </w:rPr>
  </w:style>
  <w:style w:type="paragraph" w:styleId="13">
    <w:name w:val="toc 3"/>
    <w:basedOn w:val="1"/>
    <w:next w:val="1"/>
    <w:autoRedefine/>
    <w:semiHidden/>
    <w:qFormat/>
    <w:uiPriority w:val="0"/>
    <w:pPr>
      <w:tabs>
        <w:tab w:val="right" w:leader="dot" w:pos="9241"/>
      </w:tabs>
      <w:ind w:firstLine="100" w:firstLineChars="100"/>
      <w:jc w:val="left"/>
    </w:pPr>
    <w:rPr>
      <w:rFonts w:ascii="宋体"/>
      <w:szCs w:val="21"/>
    </w:rPr>
  </w:style>
  <w:style w:type="paragraph" w:styleId="14">
    <w:name w:val="toc 8"/>
    <w:basedOn w:val="1"/>
    <w:next w:val="1"/>
    <w:autoRedefine/>
    <w:semiHidden/>
    <w:qFormat/>
    <w:uiPriority w:val="0"/>
    <w:pPr>
      <w:tabs>
        <w:tab w:val="right" w:leader="dot" w:pos="9241"/>
      </w:tabs>
      <w:ind w:firstLine="607" w:firstLineChars="600"/>
      <w:jc w:val="left"/>
    </w:pPr>
    <w:rPr>
      <w:rFonts w:ascii="宋体"/>
      <w:szCs w:val="21"/>
    </w:rPr>
  </w:style>
  <w:style w:type="paragraph" w:styleId="15">
    <w:name w:val="index 3"/>
    <w:basedOn w:val="1"/>
    <w:next w:val="1"/>
    <w:autoRedefine/>
    <w:qFormat/>
    <w:uiPriority w:val="0"/>
    <w:pPr>
      <w:ind w:left="630" w:hanging="210"/>
      <w:jc w:val="left"/>
    </w:pPr>
    <w:rPr>
      <w:rFonts w:ascii="Calibri" w:hAnsi="Calibri"/>
      <w:sz w:val="20"/>
      <w:szCs w:val="20"/>
    </w:rPr>
  </w:style>
  <w:style w:type="paragraph" w:styleId="16">
    <w:name w:val="Date"/>
    <w:basedOn w:val="1"/>
    <w:next w:val="1"/>
    <w:link w:val="146"/>
    <w:qFormat/>
    <w:uiPriority w:val="0"/>
    <w:pPr>
      <w:ind w:left="100" w:leftChars="2500"/>
    </w:pPr>
    <w:rPr>
      <w:lang w:val="zh-CN"/>
    </w:rPr>
  </w:style>
  <w:style w:type="paragraph" w:styleId="17">
    <w:name w:val="Body Text Indent 2"/>
    <w:basedOn w:val="1"/>
    <w:qFormat/>
    <w:uiPriority w:val="0"/>
    <w:pPr>
      <w:spacing w:line="440" w:lineRule="exact"/>
      <w:ind w:firstLine="420" w:firstLineChars="200"/>
    </w:pPr>
  </w:style>
  <w:style w:type="paragraph" w:styleId="18">
    <w:name w:val="endnote text"/>
    <w:basedOn w:val="1"/>
    <w:semiHidden/>
    <w:qFormat/>
    <w:uiPriority w:val="0"/>
    <w:pPr>
      <w:snapToGrid w:val="0"/>
      <w:jc w:val="left"/>
    </w:pPr>
  </w:style>
  <w:style w:type="paragraph" w:styleId="19">
    <w:name w:val="Balloon Text"/>
    <w:basedOn w:val="1"/>
    <w:link w:val="142"/>
    <w:qFormat/>
    <w:uiPriority w:val="0"/>
    <w:rPr>
      <w:sz w:val="18"/>
      <w:szCs w:val="18"/>
      <w:lang w:val="zh-CN"/>
    </w:rPr>
  </w:style>
  <w:style w:type="paragraph" w:styleId="20">
    <w:name w:val="footer"/>
    <w:basedOn w:val="1"/>
    <w:link w:val="159"/>
    <w:qFormat/>
    <w:uiPriority w:val="99"/>
    <w:pPr>
      <w:snapToGrid w:val="0"/>
      <w:ind w:right="210" w:rightChars="100"/>
      <w:jc w:val="right"/>
    </w:pPr>
    <w:rPr>
      <w:sz w:val="18"/>
      <w:szCs w:val="18"/>
      <w:lang w:val="zh-CN"/>
    </w:rPr>
  </w:style>
  <w:style w:type="paragraph" w:styleId="21">
    <w:name w:val="header"/>
    <w:basedOn w:val="1"/>
    <w:link w:val="147"/>
    <w:qFormat/>
    <w:uiPriority w:val="99"/>
    <w:pPr>
      <w:snapToGrid w:val="0"/>
      <w:jc w:val="left"/>
    </w:pPr>
    <w:rPr>
      <w:sz w:val="18"/>
      <w:szCs w:val="18"/>
      <w:lang w:val="zh-CN"/>
    </w:rPr>
  </w:style>
  <w:style w:type="paragraph" w:styleId="22">
    <w:name w:val="toc 1"/>
    <w:basedOn w:val="1"/>
    <w:next w:val="1"/>
    <w:semiHidden/>
    <w:qFormat/>
    <w:uiPriority w:val="0"/>
    <w:pPr>
      <w:tabs>
        <w:tab w:val="right" w:leader="dot" w:pos="9242"/>
      </w:tabs>
      <w:spacing w:beforeLines="25" w:afterLines="25"/>
      <w:jc w:val="left"/>
    </w:pPr>
    <w:rPr>
      <w:rFonts w:ascii="宋体"/>
      <w:szCs w:val="21"/>
    </w:rPr>
  </w:style>
  <w:style w:type="paragraph" w:styleId="23">
    <w:name w:val="toc 4"/>
    <w:basedOn w:val="1"/>
    <w:next w:val="1"/>
    <w:semiHidden/>
    <w:qFormat/>
    <w:uiPriority w:val="0"/>
    <w:pPr>
      <w:tabs>
        <w:tab w:val="right" w:leader="dot" w:pos="9241"/>
      </w:tabs>
      <w:ind w:firstLine="200" w:firstLineChars="200"/>
      <w:jc w:val="left"/>
    </w:pPr>
    <w:rPr>
      <w:rFonts w:ascii="宋体"/>
      <w:szCs w:val="21"/>
    </w:rPr>
  </w:style>
  <w:style w:type="paragraph" w:styleId="24">
    <w:name w:val="index heading"/>
    <w:basedOn w:val="1"/>
    <w:next w:val="25"/>
    <w:qFormat/>
    <w:uiPriority w:val="0"/>
    <w:pPr>
      <w:spacing w:before="120" w:after="120"/>
      <w:jc w:val="center"/>
    </w:pPr>
    <w:rPr>
      <w:rFonts w:ascii="Calibri" w:hAnsi="Calibri"/>
      <w:b/>
      <w:bCs/>
      <w:iCs/>
      <w:szCs w:val="20"/>
    </w:rPr>
  </w:style>
  <w:style w:type="paragraph" w:styleId="25">
    <w:name w:val="index 1"/>
    <w:basedOn w:val="1"/>
    <w:next w:val="26"/>
    <w:qFormat/>
    <w:uiPriority w:val="0"/>
    <w:pPr>
      <w:tabs>
        <w:tab w:val="right" w:leader="dot" w:pos="9299"/>
      </w:tabs>
      <w:jc w:val="left"/>
    </w:pPr>
    <w:rPr>
      <w:rFonts w:ascii="宋体"/>
      <w:szCs w:val="21"/>
    </w:rPr>
  </w:style>
  <w:style w:type="paragraph" w:customStyle="1" w:styleId="26">
    <w:name w:val="段"/>
    <w:link w:val="4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qFormat/>
    <w:uiPriority w:val="0"/>
    <w:pPr>
      <w:numPr>
        <w:ilvl w:val="0"/>
        <w:numId w:val="1"/>
      </w:numPr>
      <w:snapToGrid w:val="0"/>
      <w:jc w:val="left"/>
    </w:pPr>
    <w:rPr>
      <w:rFonts w:ascii="宋体"/>
      <w:sz w:val="18"/>
      <w:szCs w:val="18"/>
    </w:rPr>
  </w:style>
  <w:style w:type="paragraph" w:styleId="28">
    <w:name w:val="toc 6"/>
    <w:basedOn w:val="1"/>
    <w:next w:val="1"/>
    <w:semiHidden/>
    <w:qFormat/>
    <w:uiPriority w:val="0"/>
    <w:pPr>
      <w:tabs>
        <w:tab w:val="right" w:leader="dot" w:pos="9241"/>
      </w:tabs>
      <w:ind w:firstLine="400" w:firstLineChars="400"/>
      <w:jc w:val="left"/>
    </w:pPr>
    <w:rPr>
      <w:rFonts w:ascii="宋体"/>
      <w:szCs w:val="21"/>
    </w:rPr>
  </w:style>
  <w:style w:type="paragraph" w:styleId="29">
    <w:name w:val="index 7"/>
    <w:basedOn w:val="1"/>
    <w:next w:val="1"/>
    <w:qFormat/>
    <w:uiPriority w:val="0"/>
    <w:pPr>
      <w:ind w:left="1470" w:hanging="210"/>
      <w:jc w:val="left"/>
    </w:pPr>
    <w:rPr>
      <w:rFonts w:ascii="Calibri" w:hAnsi="Calibri"/>
      <w:sz w:val="20"/>
      <w:szCs w:val="20"/>
    </w:rPr>
  </w:style>
  <w:style w:type="paragraph" w:styleId="30">
    <w:name w:val="index 9"/>
    <w:basedOn w:val="1"/>
    <w:next w:val="1"/>
    <w:qFormat/>
    <w:uiPriority w:val="0"/>
    <w:pPr>
      <w:ind w:left="1890" w:hanging="210"/>
      <w:jc w:val="left"/>
    </w:pPr>
    <w:rPr>
      <w:rFonts w:ascii="Calibri" w:hAnsi="Calibri"/>
      <w:sz w:val="20"/>
      <w:szCs w:val="20"/>
    </w:rPr>
  </w:style>
  <w:style w:type="paragraph" w:styleId="31">
    <w:name w:val="toc 2"/>
    <w:basedOn w:val="1"/>
    <w:next w:val="1"/>
    <w:semiHidden/>
    <w:qFormat/>
    <w:uiPriority w:val="0"/>
    <w:pPr>
      <w:tabs>
        <w:tab w:val="right" w:leader="dot" w:pos="9242"/>
      </w:tabs>
    </w:pPr>
    <w:rPr>
      <w:rFonts w:ascii="宋体"/>
      <w:szCs w:val="21"/>
    </w:rPr>
  </w:style>
  <w:style w:type="paragraph" w:styleId="32">
    <w:name w:val="toc 9"/>
    <w:basedOn w:val="1"/>
    <w:next w:val="1"/>
    <w:semiHidden/>
    <w:qFormat/>
    <w:uiPriority w:val="0"/>
    <w:pPr>
      <w:ind w:left="1470"/>
      <w:jc w:val="left"/>
    </w:pPr>
    <w:rPr>
      <w:sz w:val="20"/>
      <w:szCs w:val="20"/>
    </w:rPr>
  </w:style>
  <w:style w:type="paragraph" w:styleId="3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4">
    <w:name w:val="index 2"/>
    <w:basedOn w:val="1"/>
    <w:next w:val="1"/>
    <w:qFormat/>
    <w:uiPriority w:val="0"/>
    <w:pPr>
      <w:ind w:left="420" w:hanging="210"/>
      <w:jc w:val="left"/>
    </w:pPr>
    <w:rPr>
      <w:rFonts w:ascii="Calibri" w:hAnsi="Calibri"/>
      <w:sz w:val="20"/>
      <w:szCs w:val="20"/>
    </w:rPr>
  </w:style>
  <w:style w:type="paragraph" w:styleId="35">
    <w:name w:val="annotation subject"/>
    <w:basedOn w:val="8"/>
    <w:next w:val="8"/>
    <w:link w:val="161"/>
    <w:qFormat/>
    <w:uiPriority w:val="0"/>
    <w:rPr>
      <w:rFonts w:ascii="Times New Roman" w:hAnsi="Times New Roman"/>
      <w:b/>
      <w:bCs/>
      <w:szCs w:val="24"/>
      <w:lang w:val="en-US"/>
    </w:rPr>
  </w:style>
  <w:style w:type="table" w:styleId="37">
    <w:name w:val="Table Grid"/>
    <w:basedOn w:val="36"/>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
    <w:name w:val="endnote reference"/>
    <w:semiHidden/>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Hyperlink"/>
    <w:qFormat/>
    <w:uiPriority w:val="0"/>
    <w:rPr>
      <w:color w:val="0000FF"/>
      <w:spacing w:val="0"/>
      <w:w w:val="100"/>
      <w:szCs w:val="21"/>
      <w:u w:val="single"/>
    </w:rPr>
  </w:style>
  <w:style w:type="character" w:styleId="42">
    <w:name w:val="annotation reference"/>
    <w:qFormat/>
    <w:uiPriority w:val="0"/>
    <w:rPr>
      <w:sz w:val="21"/>
      <w:szCs w:val="21"/>
    </w:rPr>
  </w:style>
  <w:style w:type="character" w:styleId="43">
    <w:name w:val="footnote reference"/>
    <w:semiHidden/>
    <w:qFormat/>
    <w:uiPriority w:val="0"/>
    <w:rPr>
      <w:vertAlign w:val="superscript"/>
    </w:rPr>
  </w:style>
  <w:style w:type="paragraph" w:customStyle="1" w:styleId="44">
    <w:name w:val="一级条标题"/>
    <w:next w:val="26"/>
    <w:qFormat/>
    <w:uiPriority w:val="0"/>
    <w:pPr>
      <w:numPr>
        <w:ilvl w:val="1"/>
        <w:numId w:val="2"/>
      </w:numPr>
      <w:spacing w:before="50" w:beforeLines="50" w:after="50" w:afterLines="50"/>
      <w:ind w:left="0"/>
      <w:outlineLvl w:val="2"/>
    </w:pPr>
    <w:rPr>
      <w:rFonts w:ascii="黑体" w:hAnsi="黑体" w:eastAsia="黑体" w:cs="Times New Roman"/>
      <w:sz w:val="21"/>
      <w:szCs w:val="21"/>
      <w:lang w:val="en-US" w:eastAsia="zh-CN" w:bidi="ar-SA"/>
    </w:rPr>
  </w:style>
  <w:style w:type="character" w:customStyle="1" w:styleId="45">
    <w:name w:val="段 Char"/>
    <w:link w:val="26"/>
    <w:qFormat/>
    <w:uiPriority w:val="0"/>
    <w:rPr>
      <w:rFonts w:ascii="宋体"/>
      <w:sz w:val="21"/>
      <w:lang w:val="en-US" w:eastAsia="zh-CN" w:bidi="ar-SA"/>
    </w:rPr>
  </w:style>
  <w:style w:type="paragraph" w:customStyle="1" w:styleId="46">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8">
    <w:name w:val="章标题"/>
    <w:next w:val="26"/>
    <w:link w:val="156"/>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9">
    <w:name w:val="二级条标题"/>
    <w:basedOn w:val="44"/>
    <w:next w:val="26"/>
    <w:qFormat/>
    <w:uiPriority w:val="0"/>
    <w:pPr>
      <w:numPr>
        <w:ilvl w:val="2"/>
      </w:numPr>
      <w:outlineLvl w:val="3"/>
    </w:pPr>
  </w:style>
  <w:style w:type="paragraph" w:customStyle="1" w:styleId="50">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1">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2">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3">
    <w:name w:val="目次、标准名称标题"/>
    <w:basedOn w:val="1"/>
    <w:next w:val="2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4">
    <w:name w:val="三级条标题"/>
    <w:basedOn w:val="49"/>
    <w:next w:val="26"/>
    <w:qFormat/>
    <w:uiPriority w:val="0"/>
    <w:pPr>
      <w:numPr>
        <w:ilvl w:val="3"/>
      </w:numPr>
      <w:outlineLvl w:val="4"/>
    </w:pPr>
  </w:style>
  <w:style w:type="paragraph" w:customStyle="1" w:styleId="55">
    <w:name w:val="示例"/>
    <w:next w:val="56"/>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56">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7">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58">
    <w:name w:val="四级条标题"/>
    <w:basedOn w:val="54"/>
    <w:next w:val="26"/>
    <w:qFormat/>
    <w:uiPriority w:val="0"/>
    <w:pPr>
      <w:numPr>
        <w:ilvl w:val="4"/>
      </w:numPr>
      <w:outlineLvl w:val="5"/>
    </w:pPr>
  </w:style>
  <w:style w:type="paragraph" w:customStyle="1" w:styleId="59">
    <w:name w:val="五级条标题"/>
    <w:basedOn w:val="58"/>
    <w:next w:val="26"/>
    <w:qFormat/>
    <w:uiPriority w:val="0"/>
    <w:pPr>
      <w:numPr>
        <w:ilvl w:val="5"/>
      </w:numPr>
      <w:outlineLvl w:val="6"/>
    </w:pPr>
  </w:style>
  <w:style w:type="paragraph" w:customStyle="1" w:styleId="60">
    <w:name w:val="注："/>
    <w:next w:val="26"/>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1">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2">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3">
    <w:name w:val="列项◆（三级）"/>
    <w:basedOn w:val="1"/>
    <w:qFormat/>
    <w:uiPriority w:val="0"/>
    <w:pPr>
      <w:numPr>
        <w:ilvl w:val="2"/>
        <w:numId w:val="3"/>
      </w:numPr>
    </w:pPr>
    <w:rPr>
      <w:rFonts w:ascii="宋体"/>
      <w:szCs w:val="21"/>
    </w:rPr>
  </w:style>
  <w:style w:type="paragraph" w:customStyle="1" w:styleId="64">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65">
    <w:name w:val="示例×："/>
    <w:basedOn w:val="48"/>
    <w:qFormat/>
    <w:uiPriority w:val="0"/>
    <w:pPr>
      <w:numPr>
        <w:numId w:val="0"/>
      </w:numPr>
      <w:spacing w:beforeLines="0" w:afterLines="0"/>
      <w:ind w:firstLine="363"/>
      <w:outlineLvl w:val="9"/>
    </w:pPr>
    <w:rPr>
      <w:rFonts w:ascii="宋体" w:eastAsia="宋体"/>
      <w:sz w:val="18"/>
      <w:szCs w:val="18"/>
    </w:rPr>
  </w:style>
  <w:style w:type="paragraph" w:customStyle="1" w:styleId="66">
    <w:name w:val="二级无"/>
    <w:basedOn w:val="49"/>
    <w:qFormat/>
    <w:uiPriority w:val="0"/>
    <w:pPr>
      <w:spacing w:beforeLines="0" w:afterLines="0"/>
    </w:pPr>
    <w:rPr>
      <w:rFonts w:ascii="宋体" w:eastAsia="宋体"/>
    </w:rPr>
  </w:style>
  <w:style w:type="paragraph" w:customStyle="1" w:styleId="67">
    <w:name w:val="注：（正文）"/>
    <w:basedOn w:val="60"/>
    <w:next w:val="26"/>
    <w:qFormat/>
    <w:uiPriority w:val="0"/>
  </w:style>
  <w:style w:type="paragraph" w:customStyle="1" w:styleId="68">
    <w:name w:val="注×：（正文）"/>
    <w:qFormat/>
    <w:uiPriority w:val="0"/>
    <w:pPr>
      <w:numPr>
        <w:ilvl w:val="0"/>
        <w:numId w:val="5"/>
      </w:numPr>
      <w:jc w:val="both"/>
    </w:pPr>
    <w:rPr>
      <w:rFonts w:ascii="宋体" w:hAnsi="Times New Roman" w:eastAsia="宋体" w:cs="Times New Roman"/>
      <w:sz w:val="18"/>
      <w:szCs w:val="18"/>
      <w:lang w:val="en-US" w:eastAsia="zh-CN" w:bidi="ar-SA"/>
    </w:rPr>
  </w:style>
  <w:style w:type="paragraph" w:customStyle="1" w:styleId="69">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0">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1">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72">
    <w:name w:val="标准书眉_偶数页"/>
    <w:basedOn w:val="47"/>
    <w:next w:val="1"/>
    <w:autoRedefine/>
    <w:qFormat/>
    <w:uiPriority w:val="0"/>
    <w:pPr>
      <w:jc w:val="left"/>
    </w:pPr>
  </w:style>
  <w:style w:type="paragraph" w:customStyle="1" w:styleId="73">
    <w:name w:val="标准书眉一"/>
    <w:autoRedefine/>
    <w:qFormat/>
    <w:uiPriority w:val="0"/>
    <w:pPr>
      <w:jc w:val="both"/>
    </w:pPr>
    <w:rPr>
      <w:rFonts w:ascii="Times New Roman" w:hAnsi="Times New Roman" w:eastAsia="宋体" w:cs="Times New Roman"/>
      <w:lang w:val="en-US" w:eastAsia="zh-CN" w:bidi="ar-SA"/>
    </w:rPr>
  </w:style>
  <w:style w:type="paragraph" w:customStyle="1" w:styleId="74">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6">
    <w:name w:val="发布"/>
    <w:autoRedefine/>
    <w:qFormat/>
    <w:uiPriority w:val="0"/>
    <w:rPr>
      <w:rFonts w:ascii="黑体" w:eastAsia="黑体"/>
      <w:spacing w:val="85"/>
      <w:w w:val="100"/>
      <w:position w:val="3"/>
      <w:sz w:val="28"/>
      <w:szCs w:val="28"/>
    </w:rPr>
  </w:style>
  <w:style w:type="paragraph" w:customStyle="1" w:styleId="77">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8">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9">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1">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2">
    <w:name w:val="封面标准英文名称"/>
    <w:basedOn w:val="81"/>
    <w:autoRedefine/>
    <w:qFormat/>
    <w:uiPriority w:val="0"/>
    <w:pPr>
      <w:framePr w:wrap="around"/>
      <w:spacing w:before="370" w:line="400" w:lineRule="exact"/>
    </w:pPr>
    <w:rPr>
      <w:rFonts w:ascii="Times New Roman"/>
      <w:sz w:val="28"/>
      <w:szCs w:val="28"/>
    </w:rPr>
  </w:style>
  <w:style w:type="paragraph" w:customStyle="1" w:styleId="83">
    <w:name w:val="封面一致性程度标识"/>
    <w:basedOn w:val="82"/>
    <w:autoRedefine/>
    <w:qFormat/>
    <w:uiPriority w:val="0"/>
    <w:pPr>
      <w:framePr w:wrap="around"/>
      <w:spacing w:before="440"/>
    </w:pPr>
    <w:rPr>
      <w:rFonts w:ascii="宋体" w:eastAsia="宋体"/>
    </w:rPr>
  </w:style>
  <w:style w:type="paragraph" w:customStyle="1" w:styleId="84">
    <w:name w:val="封面标准文稿类别"/>
    <w:basedOn w:val="83"/>
    <w:autoRedefine/>
    <w:qFormat/>
    <w:uiPriority w:val="0"/>
    <w:pPr>
      <w:framePr w:wrap="around"/>
      <w:spacing w:after="160" w:line="240" w:lineRule="auto"/>
    </w:pPr>
    <w:rPr>
      <w:sz w:val="24"/>
    </w:rPr>
  </w:style>
  <w:style w:type="paragraph" w:customStyle="1" w:styleId="85">
    <w:name w:val="封面标准文稿编辑信息"/>
    <w:basedOn w:val="84"/>
    <w:autoRedefine/>
    <w:qFormat/>
    <w:uiPriority w:val="0"/>
    <w:pPr>
      <w:framePr w:wrap="around"/>
      <w:spacing w:before="180" w:line="180" w:lineRule="exact"/>
    </w:pPr>
    <w:rPr>
      <w:sz w:val="21"/>
    </w:rPr>
  </w:style>
  <w:style w:type="paragraph" w:customStyle="1" w:styleId="86">
    <w:name w:val="封面正文"/>
    <w:autoRedefine/>
    <w:qFormat/>
    <w:uiPriority w:val="0"/>
    <w:pPr>
      <w:jc w:val="both"/>
    </w:pPr>
    <w:rPr>
      <w:rFonts w:ascii="Times New Roman" w:hAnsi="Times New Roman" w:eastAsia="宋体" w:cs="Times New Roman"/>
      <w:lang w:val="en-US" w:eastAsia="zh-CN" w:bidi="ar-SA"/>
    </w:rPr>
  </w:style>
  <w:style w:type="paragraph" w:customStyle="1" w:styleId="87">
    <w:name w:val="附录标识"/>
    <w:basedOn w:val="1"/>
    <w:next w:val="26"/>
    <w:autoRedefine/>
    <w:qFormat/>
    <w:uiPriority w:val="0"/>
    <w:pPr>
      <w:keepNext/>
      <w:widowControl/>
      <w:numPr>
        <w:ilvl w:val="0"/>
        <w:numId w:val="6"/>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8">
    <w:name w:val="附录标题"/>
    <w:basedOn w:val="26"/>
    <w:next w:val="26"/>
    <w:autoRedefine/>
    <w:qFormat/>
    <w:uiPriority w:val="0"/>
    <w:pPr>
      <w:ind w:firstLine="0" w:firstLineChars="0"/>
      <w:jc w:val="center"/>
    </w:pPr>
    <w:rPr>
      <w:rFonts w:ascii="黑体" w:eastAsia="黑体"/>
    </w:rPr>
  </w:style>
  <w:style w:type="paragraph" w:customStyle="1" w:styleId="89">
    <w:name w:val="附录表标号"/>
    <w:basedOn w:val="1"/>
    <w:next w:val="26"/>
    <w:autoRedefine/>
    <w:qFormat/>
    <w:uiPriority w:val="0"/>
    <w:pPr>
      <w:numPr>
        <w:ilvl w:val="0"/>
        <w:numId w:val="7"/>
      </w:numPr>
      <w:tabs>
        <w:tab w:val="clear" w:pos="0"/>
      </w:tabs>
      <w:spacing w:line="14" w:lineRule="exact"/>
      <w:ind w:left="811" w:hanging="448"/>
      <w:jc w:val="center"/>
      <w:outlineLvl w:val="0"/>
    </w:pPr>
    <w:rPr>
      <w:color w:val="FFFFFF"/>
    </w:rPr>
  </w:style>
  <w:style w:type="paragraph" w:customStyle="1" w:styleId="90">
    <w:name w:val="附录表标题"/>
    <w:basedOn w:val="1"/>
    <w:next w:val="26"/>
    <w:autoRedefine/>
    <w:qFormat/>
    <w:uiPriority w:val="0"/>
    <w:pPr>
      <w:numPr>
        <w:ilvl w:val="1"/>
        <w:numId w:val="7"/>
      </w:numPr>
      <w:tabs>
        <w:tab w:val="left" w:pos="180"/>
      </w:tabs>
      <w:spacing w:beforeLines="50" w:afterLines="50"/>
      <w:ind w:left="0" w:firstLine="0"/>
      <w:jc w:val="center"/>
    </w:pPr>
    <w:rPr>
      <w:rFonts w:ascii="黑体" w:eastAsia="黑体"/>
      <w:szCs w:val="21"/>
    </w:rPr>
  </w:style>
  <w:style w:type="paragraph" w:customStyle="1" w:styleId="91">
    <w:name w:val="附录二级条标题"/>
    <w:basedOn w:val="1"/>
    <w:next w:val="26"/>
    <w:autoRedefine/>
    <w:qFormat/>
    <w:uiPriority w:val="0"/>
    <w:pPr>
      <w:widowControl/>
      <w:numPr>
        <w:ilvl w:val="3"/>
        <w:numId w:val="6"/>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2">
    <w:name w:val="附录二级无"/>
    <w:basedOn w:val="91"/>
    <w:autoRedefine/>
    <w:qFormat/>
    <w:uiPriority w:val="0"/>
    <w:pPr>
      <w:tabs>
        <w:tab w:val="clear" w:pos="360"/>
      </w:tabs>
      <w:spacing w:beforeLines="0" w:afterLines="0"/>
    </w:pPr>
    <w:rPr>
      <w:rFonts w:ascii="宋体" w:eastAsia="宋体"/>
      <w:szCs w:val="21"/>
    </w:rPr>
  </w:style>
  <w:style w:type="paragraph" w:customStyle="1" w:styleId="93">
    <w:name w:val="附录公式"/>
    <w:basedOn w:val="26"/>
    <w:next w:val="26"/>
    <w:link w:val="94"/>
    <w:autoRedefine/>
    <w:qFormat/>
    <w:uiPriority w:val="0"/>
  </w:style>
  <w:style w:type="character" w:customStyle="1" w:styleId="94">
    <w:name w:val="附录公式 Char"/>
    <w:link w:val="93"/>
    <w:autoRedefine/>
    <w:qFormat/>
    <w:uiPriority w:val="0"/>
    <w:rPr>
      <w:rFonts w:ascii="宋体"/>
      <w:sz w:val="21"/>
      <w:lang w:val="en-US" w:eastAsia="zh-CN" w:bidi="ar-SA"/>
    </w:rPr>
  </w:style>
  <w:style w:type="paragraph" w:customStyle="1" w:styleId="95">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6">
    <w:name w:val="附录三级条标题"/>
    <w:basedOn w:val="91"/>
    <w:next w:val="26"/>
    <w:qFormat/>
    <w:uiPriority w:val="0"/>
    <w:pPr>
      <w:numPr>
        <w:ilvl w:val="4"/>
      </w:numPr>
      <w:outlineLvl w:val="4"/>
    </w:pPr>
  </w:style>
  <w:style w:type="paragraph" w:customStyle="1" w:styleId="97">
    <w:name w:val="附录三级无"/>
    <w:basedOn w:val="96"/>
    <w:qFormat/>
    <w:uiPriority w:val="0"/>
    <w:pPr>
      <w:tabs>
        <w:tab w:val="clear" w:pos="360"/>
      </w:tabs>
      <w:spacing w:beforeLines="0" w:afterLines="0"/>
    </w:pPr>
    <w:rPr>
      <w:rFonts w:ascii="宋体" w:eastAsia="宋体"/>
      <w:szCs w:val="21"/>
    </w:rPr>
  </w:style>
  <w:style w:type="paragraph" w:customStyle="1" w:styleId="98">
    <w:name w:val="附录数字编号列项（二级）"/>
    <w:qFormat/>
    <w:uiPriority w:val="0"/>
    <w:pPr>
      <w:numPr>
        <w:ilvl w:val="1"/>
        <w:numId w:val="8"/>
      </w:numPr>
    </w:pPr>
    <w:rPr>
      <w:rFonts w:ascii="宋体" w:hAnsi="Times New Roman" w:eastAsia="宋体" w:cs="Times New Roman"/>
      <w:sz w:val="21"/>
      <w:lang w:val="en-US" w:eastAsia="zh-CN" w:bidi="ar-SA"/>
    </w:rPr>
  </w:style>
  <w:style w:type="paragraph" w:customStyle="1" w:styleId="99">
    <w:name w:val="附录四级条标题"/>
    <w:basedOn w:val="96"/>
    <w:next w:val="26"/>
    <w:qFormat/>
    <w:uiPriority w:val="0"/>
    <w:pPr>
      <w:numPr>
        <w:ilvl w:val="5"/>
      </w:numPr>
      <w:outlineLvl w:val="5"/>
    </w:pPr>
  </w:style>
  <w:style w:type="paragraph" w:customStyle="1" w:styleId="100">
    <w:name w:val="附录四级无"/>
    <w:basedOn w:val="99"/>
    <w:qFormat/>
    <w:uiPriority w:val="0"/>
    <w:pPr>
      <w:tabs>
        <w:tab w:val="clear" w:pos="360"/>
      </w:tabs>
      <w:spacing w:beforeLines="0" w:afterLines="0"/>
    </w:pPr>
    <w:rPr>
      <w:rFonts w:ascii="宋体" w:eastAsia="宋体"/>
      <w:szCs w:val="21"/>
    </w:rPr>
  </w:style>
  <w:style w:type="paragraph" w:customStyle="1" w:styleId="101">
    <w:name w:val="附录图标号"/>
    <w:basedOn w:val="1"/>
    <w:qFormat/>
    <w:uiPriority w:val="0"/>
    <w:pPr>
      <w:keepNext/>
      <w:pageBreakBefore/>
      <w:widowControl/>
      <w:numPr>
        <w:ilvl w:val="0"/>
        <w:numId w:val="9"/>
      </w:numPr>
      <w:spacing w:line="14" w:lineRule="exact"/>
      <w:ind w:left="0" w:firstLine="363"/>
      <w:jc w:val="center"/>
      <w:outlineLvl w:val="0"/>
    </w:pPr>
    <w:rPr>
      <w:color w:val="FFFFFF"/>
    </w:rPr>
  </w:style>
  <w:style w:type="paragraph" w:customStyle="1" w:styleId="102">
    <w:name w:val="附录图标题"/>
    <w:basedOn w:val="1"/>
    <w:next w:val="26"/>
    <w:qFormat/>
    <w:uiPriority w:val="0"/>
    <w:pPr>
      <w:numPr>
        <w:ilvl w:val="1"/>
        <w:numId w:val="9"/>
      </w:numPr>
      <w:tabs>
        <w:tab w:val="left" w:pos="363"/>
      </w:tabs>
      <w:spacing w:beforeLines="50" w:afterLines="50"/>
      <w:ind w:left="0" w:firstLine="0"/>
      <w:jc w:val="center"/>
    </w:pPr>
    <w:rPr>
      <w:rFonts w:ascii="黑体" w:eastAsia="黑体"/>
      <w:szCs w:val="21"/>
    </w:rPr>
  </w:style>
  <w:style w:type="paragraph" w:customStyle="1" w:styleId="103">
    <w:name w:val="附录五级条标题"/>
    <w:basedOn w:val="99"/>
    <w:next w:val="26"/>
    <w:qFormat/>
    <w:uiPriority w:val="0"/>
    <w:pPr>
      <w:numPr>
        <w:ilvl w:val="6"/>
      </w:numPr>
      <w:outlineLvl w:val="6"/>
    </w:pPr>
  </w:style>
  <w:style w:type="paragraph" w:customStyle="1" w:styleId="104">
    <w:name w:val="附录五级无"/>
    <w:basedOn w:val="103"/>
    <w:qFormat/>
    <w:uiPriority w:val="0"/>
    <w:pPr>
      <w:tabs>
        <w:tab w:val="clear" w:pos="360"/>
      </w:tabs>
      <w:spacing w:beforeLines="0" w:afterLines="0"/>
    </w:pPr>
    <w:rPr>
      <w:rFonts w:ascii="宋体" w:eastAsia="宋体"/>
      <w:szCs w:val="21"/>
    </w:rPr>
  </w:style>
  <w:style w:type="paragraph" w:customStyle="1" w:styleId="105">
    <w:name w:val="附录章标题"/>
    <w:next w:val="26"/>
    <w:qFormat/>
    <w:uiPriority w:val="0"/>
    <w:pPr>
      <w:numPr>
        <w:ilvl w:val="1"/>
        <w:numId w:val="6"/>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6">
    <w:name w:val="附录一级条标题"/>
    <w:basedOn w:val="105"/>
    <w:next w:val="26"/>
    <w:qFormat/>
    <w:uiPriority w:val="0"/>
    <w:pPr>
      <w:numPr>
        <w:ilvl w:val="2"/>
      </w:numPr>
      <w:autoSpaceDN w:val="0"/>
      <w:spacing w:beforeLines="50" w:afterLines="50"/>
      <w:outlineLvl w:val="2"/>
    </w:pPr>
  </w:style>
  <w:style w:type="paragraph" w:customStyle="1" w:styleId="107">
    <w:name w:val="附录一级无"/>
    <w:basedOn w:val="106"/>
    <w:qFormat/>
    <w:uiPriority w:val="0"/>
    <w:pPr>
      <w:tabs>
        <w:tab w:val="clear" w:pos="360"/>
      </w:tabs>
      <w:spacing w:beforeLines="0" w:afterLines="0"/>
    </w:pPr>
    <w:rPr>
      <w:rFonts w:ascii="宋体" w:eastAsia="宋体"/>
      <w:szCs w:val="21"/>
    </w:rPr>
  </w:style>
  <w:style w:type="paragraph" w:customStyle="1" w:styleId="108">
    <w:name w:val="附录字母编号列项（一级）"/>
    <w:qFormat/>
    <w:uiPriority w:val="0"/>
    <w:pPr>
      <w:numPr>
        <w:ilvl w:val="0"/>
        <w:numId w:val="8"/>
      </w:numPr>
    </w:pPr>
    <w:rPr>
      <w:rFonts w:ascii="宋体" w:hAnsi="Times New Roman" w:eastAsia="宋体" w:cs="Times New Roman"/>
      <w:sz w:val="21"/>
      <w:lang w:val="en-US" w:eastAsia="zh-CN" w:bidi="ar-SA"/>
    </w:rPr>
  </w:style>
  <w:style w:type="paragraph" w:customStyle="1" w:styleId="10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2">
    <w:name w:val="其他标准标志"/>
    <w:basedOn w:val="69"/>
    <w:qFormat/>
    <w:uiPriority w:val="0"/>
    <w:pPr>
      <w:framePr w:w="6101" w:wrap="around" w:vAnchor="page" w:hAnchor="page" w:x="4673" w:y="942"/>
    </w:pPr>
    <w:rPr>
      <w:w w:val="130"/>
    </w:rPr>
  </w:style>
  <w:style w:type="paragraph" w:customStyle="1" w:styleId="11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4">
    <w:name w:val="其他发布部门"/>
    <w:basedOn w:val="77"/>
    <w:qFormat/>
    <w:uiPriority w:val="0"/>
    <w:pPr>
      <w:framePr w:wrap="around" w:y="15310"/>
      <w:spacing w:line="0" w:lineRule="atLeast"/>
    </w:pPr>
    <w:rPr>
      <w:rFonts w:ascii="黑体" w:eastAsia="黑体"/>
      <w:b w:val="0"/>
    </w:rPr>
  </w:style>
  <w:style w:type="paragraph" w:customStyle="1" w:styleId="115">
    <w:name w:val="前言、引言标题"/>
    <w:next w:val="26"/>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6">
    <w:name w:val="三级无"/>
    <w:basedOn w:val="54"/>
    <w:qFormat/>
    <w:uiPriority w:val="0"/>
    <w:pPr>
      <w:spacing w:beforeLines="0" w:afterLines="0"/>
    </w:pPr>
    <w:rPr>
      <w:rFonts w:ascii="宋体" w:eastAsia="宋体"/>
    </w:rPr>
  </w:style>
  <w:style w:type="paragraph" w:customStyle="1" w:styleId="117">
    <w:name w:val="实施日期"/>
    <w:basedOn w:val="78"/>
    <w:qFormat/>
    <w:uiPriority w:val="0"/>
    <w:pPr>
      <w:framePr w:wrap="around" w:vAnchor="page" w:hAnchor="text"/>
      <w:jc w:val="right"/>
    </w:pPr>
  </w:style>
  <w:style w:type="paragraph" w:customStyle="1" w:styleId="118">
    <w:name w:val="示例后文字"/>
    <w:basedOn w:val="26"/>
    <w:next w:val="26"/>
    <w:qFormat/>
    <w:uiPriority w:val="0"/>
    <w:pPr>
      <w:ind w:firstLine="360"/>
    </w:pPr>
    <w:rPr>
      <w:sz w:val="18"/>
    </w:rPr>
  </w:style>
  <w:style w:type="paragraph" w:customStyle="1" w:styleId="119">
    <w:name w:val="首示例"/>
    <w:next w:val="26"/>
    <w:link w:val="120"/>
    <w:qFormat/>
    <w:uiPriority w:val="0"/>
    <w:pPr>
      <w:tabs>
        <w:tab w:val="left" w:pos="360"/>
      </w:tabs>
    </w:pPr>
    <w:rPr>
      <w:rFonts w:ascii="宋体" w:hAnsi="宋体" w:eastAsia="宋体" w:cs="Times New Roman"/>
      <w:kern w:val="2"/>
      <w:sz w:val="18"/>
      <w:szCs w:val="18"/>
      <w:lang w:val="en-US" w:eastAsia="zh-CN" w:bidi="ar-SA"/>
    </w:rPr>
  </w:style>
  <w:style w:type="character" w:customStyle="1" w:styleId="120">
    <w:name w:val="首示例 Char"/>
    <w:link w:val="119"/>
    <w:qFormat/>
    <w:uiPriority w:val="0"/>
    <w:rPr>
      <w:rFonts w:ascii="宋体" w:hAnsi="宋体"/>
      <w:kern w:val="2"/>
      <w:sz w:val="18"/>
      <w:szCs w:val="18"/>
      <w:lang w:val="en-US" w:eastAsia="zh-CN" w:bidi="ar-SA"/>
    </w:rPr>
  </w:style>
  <w:style w:type="paragraph" w:customStyle="1" w:styleId="121">
    <w:name w:val="四级无"/>
    <w:basedOn w:val="58"/>
    <w:qFormat/>
    <w:uiPriority w:val="0"/>
    <w:pPr>
      <w:spacing w:beforeLines="0" w:afterLines="0"/>
    </w:pPr>
    <w:rPr>
      <w:rFonts w:ascii="宋体" w:eastAsia="宋体"/>
    </w:rPr>
  </w:style>
  <w:style w:type="paragraph" w:customStyle="1" w:styleId="122">
    <w:name w:val="条文脚注"/>
    <w:basedOn w:val="27"/>
    <w:qFormat/>
    <w:uiPriority w:val="0"/>
    <w:pPr>
      <w:numPr>
        <w:numId w:val="0"/>
      </w:numPr>
      <w:jc w:val="both"/>
    </w:pPr>
  </w:style>
  <w:style w:type="paragraph" w:customStyle="1" w:styleId="123">
    <w:name w:val="图标脚注说明"/>
    <w:basedOn w:val="26"/>
    <w:qFormat/>
    <w:uiPriority w:val="0"/>
    <w:pPr>
      <w:ind w:left="840" w:hanging="420" w:firstLineChars="0"/>
    </w:pPr>
    <w:rPr>
      <w:sz w:val="18"/>
      <w:szCs w:val="18"/>
    </w:rPr>
  </w:style>
  <w:style w:type="paragraph" w:customStyle="1" w:styleId="124">
    <w:name w:val="图表脚注说明"/>
    <w:basedOn w:val="1"/>
    <w:qFormat/>
    <w:uiPriority w:val="0"/>
    <w:pPr>
      <w:ind w:left="544" w:hanging="181"/>
    </w:pPr>
    <w:rPr>
      <w:rFonts w:ascii="宋体"/>
      <w:sz w:val="18"/>
      <w:szCs w:val="18"/>
    </w:rPr>
  </w:style>
  <w:style w:type="paragraph" w:customStyle="1" w:styleId="125">
    <w:name w:val="图的脚注"/>
    <w:next w:val="26"/>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6">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7">
    <w:name w:val="五级无"/>
    <w:basedOn w:val="59"/>
    <w:autoRedefine/>
    <w:qFormat/>
    <w:uiPriority w:val="0"/>
    <w:pPr>
      <w:spacing w:beforeLines="0" w:afterLines="0"/>
    </w:pPr>
    <w:rPr>
      <w:rFonts w:ascii="宋体" w:eastAsia="宋体"/>
    </w:rPr>
  </w:style>
  <w:style w:type="paragraph" w:customStyle="1" w:styleId="128">
    <w:name w:val="一级无"/>
    <w:basedOn w:val="44"/>
    <w:autoRedefine/>
    <w:qFormat/>
    <w:uiPriority w:val="0"/>
    <w:pPr>
      <w:spacing w:beforeLines="0" w:afterLines="0"/>
    </w:pPr>
    <w:rPr>
      <w:rFonts w:ascii="宋体" w:eastAsia="宋体"/>
    </w:rPr>
  </w:style>
  <w:style w:type="character" w:customStyle="1" w:styleId="129">
    <w:name w:val="已访问的超链接1"/>
    <w:autoRedefine/>
    <w:qFormat/>
    <w:uiPriority w:val="0"/>
    <w:rPr>
      <w:color w:val="800080"/>
      <w:u w:val="single"/>
    </w:rPr>
  </w:style>
  <w:style w:type="paragraph" w:customStyle="1" w:styleId="13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3">
    <w:name w:val="终结线"/>
    <w:basedOn w:val="1"/>
    <w:autoRedefine/>
    <w:qFormat/>
    <w:uiPriority w:val="0"/>
    <w:pPr>
      <w:framePr w:hSpace="181" w:vSpace="181" w:wrap="around" w:vAnchor="text" w:hAnchor="margin" w:xAlign="center" w:y="285"/>
    </w:pPr>
  </w:style>
  <w:style w:type="paragraph" w:customStyle="1" w:styleId="134">
    <w:name w:val="其他发布日期"/>
    <w:basedOn w:val="78"/>
    <w:qFormat/>
    <w:uiPriority w:val="0"/>
    <w:pPr>
      <w:framePr w:wrap="around" w:vAnchor="page" w:hAnchor="text" w:x="1419"/>
    </w:pPr>
  </w:style>
  <w:style w:type="paragraph" w:customStyle="1" w:styleId="135">
    <w:name w:val="其他实施日期"/>
    <w:basedOn w:val="117"/>
    <w:autoRedefine/>
    <w:qFormat/>
    <w:uiPriority w:val="0"/>
    <w:pPr>
      <w:framePr w:wrap="around"/>
    </w:pPr>
  </w:style>
  <w:style w:type="paragraph" w:customStyle="1" w:styleId="136">
    <w:name w:val="封面标准名称2"/>
    <w:basedOn w:val="81"/>
    <w:autoRedefine/>
    <w:qFormat/>
    <w:uiPriority w:val="0"/>
    <w:pPr>
      <w:framePr w:wrap="around" w:y="4469"/>
      <w:spacing w:beforeLines="630"/>
    </w:pPr>
  </w:style>
  <w:style w:type="paragraph" w:customStyle="1" w:styleId="137">
    <w:name w:val="封面标准英文名称2"/>
    <w:basedOn w:val="82"/>
    <w:autoRedefine/>
    <w:qFormat/>
    <w:uiPriority w:val="0"/>
    <w:pPr>
      <w:framePr w:wrap="around" w:y="4469"/>
    </w:pPr>
  </w:style>
  <w:style w:type="paragraph" w:customStyle="1" w:styleId="138">
    <w:name w:val="封面一致性程度标识2"/>
    <w:basedOn w:val="83"/>
    <w:autoRedefine/>
    <w:qFormat/>
    <w:uiPriority w:val="0"/>
    <w:pPr>
      <w:framePr w:wrap="around" w:y="4469"/>
    </w:pPr>
  </w:style>
  <w:style w:type="paragraph" w:customStyle="1" w:styleId="139">
    <w:name w:val="封面标准文稿类别2"/>
    <w:basedOn w:val="84"/>
    <w:autoRedefine/>
    <w:qFormat/>
    <w:uiPriority w:val="0"/>
    <w:pPr>
      <w:framePr w:wrap="around" w:y="4469"/>
    </w:pPr>
  </w:style>
  <w:style w:type="paragraph" w:customStyle="1" w:styleId="140">
    <w:name w:val="封面标准文稿编辑信息2"/>
    <w:basedOn w:val="85"/>
    <w:autoRedefine/>
    <w:qFormat/>
    <w:uiPriority w:val="0"/>
    <w:pPr>
      <w:framePr w:wrap="around" w:y="4469"/>
    </w:pPr>
  </w:style>
  <w:style w:type="character" w:customStyle="1" w:styleId="141">
    <w:name w:val="标题 3 字符"/>
    <w:link w:val="2"/>
    <w:autoRedefine/>
    <w:qFormat/>
    <w:uiPriority w:val="99"/>
    <w:rPr>
      <w:rFonts w:ascii="宋体" w:hAnsi="宋体" w:cs="宋体"/>
      <w:b/>
      <w:bCs/>
      <w:sz w:val="27"/>
      <w:szCs w:val="27"/>
    </w:rPr>
  </w:style>
  <w:style w:type="character" w:customStyle="1" w:styleId="142">
    <w:name w:val="批注框文本 字符"/>
    <w:link w:val="19"/>
    <w:autoRedefine/>
    <w:qFormat/>
    <w:uiPriority w:val="0"/>
    <w:rPr>
      <w:kern w:val="2"/>
      <w:sz w:val="18"/>
      <w:szCs w:val="18"/>
    </w:rPr>
  </w:style>
  <w:style w:type="character" w:customStyle="1" w:styleId="143">
    <w:name w:val="正文文本缩进 字符"/>
    <w:link w:val="10"/>
    <w:autoRedefine/>
    <w:qFormat/>
    <w:uiPriority w:val="0"/>
    <w:rPr>
      <w:sz w:val="21"/>
    </w:rPr>
  </w:style>
  <w:style w:type="paragraph" w:customStyle="1" w:styleId="144">
    <w:name w:val="标准"/>
    <w:basedOn w:val="1"/>
    <w:autoRedefine/>
    <w:qFormat/>
    <w:uiPriority w:val="0"/>
    <w:pPr>
      <w:adjustRightInd w:val="0"/>
      <w:spacing w:line="312" w:lineRule="atLeast"/>
      <w:jc w:val="center"/>
      <w:textAlignment w:val="baseline"/>
    </w:pPr>
    <w:rPr>
      <w:kern w:val="0"/>
      <w:szCs w:val="20"/>
    </w:rPr>
  </w:style>
  <w:style w:type="paragraph" w:customStyle="1" w:styleId="145">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46">
    <w:name w:val="日期 字符"/>
    <w:link w:val="16"/>
    <w:autoRedefine/>
    <w:qFormat/>
    <w:uiPriority w:val="0"/>
    <w:rPr>
      <w:kern w:val="2"/>
      <w:sz w:val="21"/>
      <w:szCs w:val="24"/>
    </w:rPr>
  </w:style>
  <w:style w:type="character" w:customStyle="1" w:styleId="147">
    <w:name w:val="页眉 字符"/>
    <w:link w:val="21"/>
    <w:autoRedefine/>
    <w:qFormat/>
    <w:uiPriority w:val="99"/>
    <w:rPr>
      <w:kern w:val="2"/>
      <w:sz w:val="18"/>
      <w:szCs w:val="18"/>
    </w:rPr>
  </w:style>
  <w:style w:type="paragraph" w:customStyle="1" w:styleId="148">
    <w:name w:val="列出段落1"/>
    <w:basedOn w:val="1"/>
    <w:autoRedefine/>
    <w:qFormat/>
    <w:uiPriority w:val="0"/>
    <w:pPr>
      <w:ind w:firstLine="420" w:firstLineChars="200"/>
    </w:pPr>
    <w:rPr>
      <w:rFonts w:ascii="Calibri" w:hAnsi="Calibri"/>
      <w:szCs w:val="22"/>
    </w:rPr>
  </w:style>
  <w:style w:type="character" w:customStyle="1" w:styleId="149">
    <w:name w:val="批注文字 字符"/>
    <w:link w:val="8"/>
    <w:autoRedefine/>
    <w:qFormat/>
    <w:uiPriority w:val="0"/>
    <w:rPr>
      <w:rFonts w:ascii="Calibri" w:hAnsi="Calibri"/>
      <w:kern w:val="2"/>
      <w:sz w:val="21"/>
      <w:szCs w:val="22"/>
    </w:rPr>
  </w:style>
  <w:style w:type="paragraph" w:customStyle="1" w:styleId="150">
    <w:name w:val="列出段落2"/>
    <w:basedOn w:val="1"/>
    <w:autoRedefine/>
    <w:qFormat/>
    <w:uiPriority w:val="0"/>
    <w:pPr>
      <w:ind w:firstLine="420" w:firstLineChars="200"/>
    </w:pPr>
    <w:rPr>
      <w:rFonts w:ascii="Calibri" w:hAnsi="Calibri"/>
      <w:szCs w:val="22"/>
    </w:rPr>
  </w:style>
  <w:style w:type="paragraph" w:customStyle="1" w:styleId="151">
    <w:name w:val="二级无标题条"/>
    <w:basedOn w:val="1"/>
    <w:autoRedefine/>
    <w:qFormat/>
    <w:uiPriority w:val="0"/>
    <w:pPr>
      <w:numPr>
        <w:ilvl w:val="3"/>
        <w:numId w:val="10"/>
      </w:numPr>
    </w:pPr>
  </w:style>
  <w:style w:type="paragraph" w:customStyle="1" w:styleId="152">
    <w:name w:val="三级无标题条"/>
    <w:basedOn w:val="1"/>
    <w:autoRedefine/>
    <w:qFormat/>
    <w:uiPriority w:val="0"/>
    <w:pPr>
      <w:numPr>
        <w:ilvl w:val="4"/>
        <w:numId w:val="10"/>
      </w:numPr>
    </w:pPr>
  </w:style>
  <w:style w:type="paragraph" w:customStyle="1" w:styleId="153">
    <w:name w:val="四级无标题条"/>
    <w:basedOn w:val="1"/>
    <w:autoRedefine/>
    <w:qFormat/>
    <w:uiPriority w:val="0"/>
    <w:pPr>
      <w:numPr>
        <w:ilvl w:val="5"/>
        <w:numId w:val="10"/>
      </w:numPr>
    </w:pPr>
  </w:style>
  <w:style w:type="paragraph" w:customStyle="1" w:styleId="154">
    <w:name w:val="五级无标题条"/>
    <w:basedOn w:val="1"/>
    <w:autoRedefine/>
    <w:qFormat/>
    <w:uiPriority w:val="0"/>
    <w:pPr>
      <w:numPr>
        <w:ilvl w:val="6"/>
        <w:numId w:val="10"/>
      </w:numPr>
    </w:pPr>
  </w:style>
  <w:style w:type="paragraph" w:customStyle="1" w:styleId="155">
    <w:name w:val="一级无标题条"/>
    <w:basedOn w:val="1"/>
    <w:autoRedefine/>
    <w:qFormat/>
    <w:uiPriority w:val="0"/>
    <w:pPr>
      <w:numPr>
        <w:ilvl w:val="2"/>
        <w:numId w:val="10"/>
      </w:numPr>
    </w:pPr>
  </w:style>
  <w:style w:type="character" w:customStyle="1" w:styleId="156">
    <w:name w:val="章标题 Char"/>
    <w:link w:val="48"/>
    <w:autoRedefine/>
    <w:qFormat/>
    <w:uiPriority w:val="0"/>
    <w:rPr>
      <w:rFonts w:ascii="黑体" w:eastAsia="黑体"/>
      <w:sz w:val="21"/>
      <w:lang w:bidi="ar-SA"/>
    </w:rPr>
  </w:style>
  <w:style w:type="paragraph" w:styleId="157">
    <w:name w:val="List Paragraph"/>
    <w:basedOn w:val="1"/>
    <w:autoRedefine/>
    <w:qFormat/>
    <w:uiPriority w:val="34"/>
    <w:pPr>
      <w:numPr>
        <w:ilvl w:val="0"/>
        <w:numId w:val="11"/>
      </w:numPr>
    </w:pPr>
  </w:style>
  <w:style w:type="table" w:customStyle="1" w:styleId="158">
    <w:name w:val="网格型1"/>
    <w:basedOn w:val="36"/>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9">
    <w:name w:val="页脚 字符"/>
    <w:link w:val="20"/>
    <w:autoRedefine/>
    <w:qFormat/>
    <w:uiPriority w:val="99"/>
    <w:rPr>
      <w:kern w:val="2"/>
      <w:sz w:val="18"/>
      <w:szCs w:val="18"/>
    </w:rPr>
  </w:style>
  <w:style w:type="table" w:customStyle="1" w:styleId="160">
    <w:name w:val="网格型2"/>
    <w:basedOn w:val="3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1">
    <w:name w:val="批注主题 字符"/>
    <w:link w:val="35"/>
    <w:autoRedefine/>
    <w:qFormat/>
    <w:uiPriority w:val="0"/>
    <w:rPr>
      <w:rFonts w:ascii="Calibri" w:hAnsi="Calibri"/>
      <w:b/>
      <w:bCs/>
      <w:kern w:val="2"/>
      <w:sz w:val="21"/>
      <w:szCs w:val="24"/>
    </w:rPr>
  </w:style>
  <w:style w:type="paragraph" w:customStyle="1" w:styleId="162">
    <w:name w:val="50cm"/>
    <w:basedOn w:val="26"/>
    <w:link w:val="164"/>
    <w:autoRedefine/>
    <w:qFormat/>
    <w:uiPriority w:val="0"/>
    <w:pPr>
      <w:spacing w:line="360" w:lineRule="auto"/>
      <w:ind w:firstLine="0" w:firstLineChars="0"/>
      <w:jc w:val="left"/>
    </w:pPr>
    <w:rPr>
      <w:rFonts w:ascii="Arial Unicode MS" w:hAnsi="Arial Unicode MS" w:eastAsia="Arial Unicode MS" w:cs="Arial Unicode MS"/>
      <w:bCs/>
      <w:kern w:val="2"/>
      <w:szCs w:val="24"/>
    </w:rPr>
  </w:style>
  <w:style w:type="paragraph" w:customStyle="1" w:styleId="163">
    <w:name w:val="60cm"/>
    <w:basedOn w:val="26"/>
    <w:link w:val="166"/>
    <w:autoRedefine/>
    <w:qFormat/>
    <w:uiPriority w:val="0"/>
    <w:pPr>
      <w:spacing w:line="360" w:lineRule="auto"/>
      <w:ind w:firstLine="0" w:firstLineChars="0"/>
      <w:jc w:val="left"/>
    </w:pPr>
    <w:rPr>
      <w:rFonts w:ascii="Times New Roman"/>
    </w:rPr>
  </w:style>
  <w:style w:type="character" w:customStyle="1" w:styleId="164">
    <w:name w:val="50cm Char"/>
    <w:link w:val="162"/>
    <w:autoRedefine/>
    <w:qFormat/>
    <w:uiPriority w:val="0"/>
    <w:rPr>
      <w:rFonts w:ascii="Arial Unicode MS" w:hAnsi="Arial Unicode MS" w:eastAsia="Arial Unicode MS" w:cs="Arial Unicode MS"/>
      <w:bCs/>
      <w:kern w:val="2"/>
      <w:sz w:val="21"/>
      <w:szCs w:val="24"/>
      <w:lang w:val="en-US" w:eastAsia="zh-CN" w:bidi="ar-SA"/>
    </w:rPr>
  </w:style>
  <w:style w:type="paragraph" w:customStyle="1" w:styleId="165">
    <w:name w:val="70cm"/>
    <w:basedOn w:val="26"/>
    <w:link w:val="168"/>
    <w:autoRedefine/>
    <w:qFormat/>
    <w:uiPriority w:val="0"/>
    <w:pPr>
      <w:spacing w:line="360" w:lineRule="auto"/>
      <w:ind w:firstLine="0" w:firstLineChars="0"/>
      <w:jc w:val="left"/>
    </w:pPr>
  </w:style>
  <w:style w:type="character" w:customStyle="1" w:styleId="166">
    <w:name w:val="60cm Char"/>
    <w:link w:val="163"/>
    <w:autoRedefine/>
    <w:qFormat/>
    <w:uiPriority w:val="0"/>
    <w:rPr>
      <w:rFonts w:ascii="宋体"/>
      <w:sz w:val="21"/>
      <w:lang w:val="en-US" w:eastAsia="zh-CN" w:bidi="ar-SA"/>
    </w:rPr>
  </w:style>
  <w:style w:type="paragraph" w:customStyle="1" w:styleId="167">
    <w:name w:val="80cm"/>
    <w:basedOn w:val="26"/>
    <w:link w:val="170"/>
    <w:autoRedefine/>
    <w:qFormat/>
    <w:uiPriority w:val="0"/>
    <w:pPr>
      <w:spacing w:line="360" w:lineRule="auto"/>
      <w:ind w:firstLine="0" w:firstLineChars="0"/>
      <w:jc w:val="left"/>
    </w:pPr>
    <w:rPr>
      <w:rFonts w:ascii="Times New Roman" w:eastAsia="Times New Roman"/>
    </w:rPr>
  </w:style>
  <w:style w:type="character" w:customStyle="1" w:styleId="168">
    <w:name w:val="70cm Char"/>
    <w:link w:val="165"/>
    <w:autoRedefine/>
    <w:qFormat/>
    <w:uiPriority w:val="0"/>
    <w:rPr>
      <w:rFonts w:ascii="宋体"/>
      <w:sz w:val="21"/>
      <w:lang w:val="en-US" w:eastAsia="zh-CN" w:bidi="ar-SA"/>
    </w:rPr>
  </w:style>
  <w:style w:type="paragraph" w:customStyle="1" w:styleId="169">
    <w:name w:val="850cm"/>
    <w:basedOn w:val="26"/>
    <w:link w:val="172"/>
    <w:autoRedefine/>
    <w:qFormat/>
    <w:uiPriority w:val="0"/>
    <w:pPr>
      <w:spacing w:line="360" w:lineRule="auto"/>
      <w:ind w:firstLine="0" w:firstLineChars="0"/>
      <w:jc w:val="left"/>
    </w:pPr>
    <w:rPr>
      <w:rFonts w:ascii="Times New Roman" w:eastAsia="Times New Roman"/>
    </w:rPr>
  </w:style>
  <w:style w:type="character" w:customStyle="1" w:styleId="170">
    <w:name w:val="80cm Char"/>
    <w:link w:val="167"/>
    <w:autoRedefine/>
    <w:qFormat/>
    <w:uiPriority w:val="0"/>
    <w:rPr>
      <w:rFonts w:ascii="宋体" w:eastAsia="Times New Roman"/>
      <w:sz w:val="21"/>
      <w:lang w:val="en-US" w:eastAsia="zh-CN" w:bidi="ar-SA"/>
    </w:rPr>
  </w:style>
  <w:style w:type="paragraph" w:customStyle="1" w:styleId="171">
    <w:name w:val="10cm"/>
    <w:basedOn w:val="26"/>
    <w:link w:val="173"/>
    <w:autoRedefine/>
    <w:qFormat/>
    <w:uiPriority w:val="0"/>
    <w:pPr>
      <w:spacing w:line="360" w:lineRule="auto"/>
      <w:ind w:firstLine="0" w:firstLineChars="0"/>
      <w:jc w:val="left"/>
    </w:pPr>
    <w:rPr>
      <w:rFonts w:ascii="Times New Roman"/>
    </w:rPr>
  </w:style>
  <w:style w:type="character" w:customStyle="1" w:styleId="172">
    <w:name w:val="850cm Char"/>
    <w:link w:val="169"/>
    <w:autoRedefine/>
    <w:qFormat/>
    <w:uiPriority w:val="0"/>
    <w:rPr>
      <w:rFonts w:ascii="宋体" w:eastAsia="Times New Roman"/>
      <w:sz w:val="21"/>
      <w:lang w:val="en-US" w:eastAsia="zh-CN" w:bidi="ar-SA"/>
    </w:rPr>
  </w:style>
  <w:style w:type="character" w:customStyle="1" w:styleId="173">
    <w:name w:val="10cm Char"/>
    <w:link w:val="171"/>
    <w:autoRedefine/>
    <w:qFormat/>
    <w:uiPriority w:val="0"/>
    <w:rPr>
      <w:rFonts w:ascii="宋体"/>
      <w:sz w:val="21"/>
      <w:lang w:val="en-US" w:eastAsia="zh-CN" w:bidi="ar-SA"/>
    </w:rPr>
  </w:style>
  <w:style w:type="paragraph" w:customStyle="1" w:styleId="174">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5">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修订3"/>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7">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7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9">
    <w:name w:val="标准文件_表格"/>
    <w:basedOn w:val="178"/>
    <w:qFormat/>
    <w:uiPriority w:val="0"/>
    <w:pPr>
      <w:ind w:firstLine="0" w:firstLineChars="0"/>
      <w:jc w:val="center"/>
    </w:pPr>
    <w:rPr>
      <w:rFonts w:ascii="Times New Roman"/>
      <w:sz w:val="18"/>
    </w:rPr>
  </w:style>
  <w:style w:type="paragraph" w:customStyle="1" w:styleId="18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5249B-A93F-46F4-AFC1-71650ACD825D}">
  <ds:schemaRefs/>
</ds:datastoreItem>
</file>

<file path=docProps/app.xml><?xml version="1.0" encoding="utf-8"?>
<Properties xmlns="http://schemas.openxmlformats.org/officeDocument/2006/extended-properties" xmlns:vt="http://schemas.openxmlformats.org/officeDocument/2006/docPropsVTypes">
  <Template>Normal</Template>
  <Pages>12</Pages>
  <Words>6656</Words>
  <Characters>7860</Characters>
  <Lines>80</Lines>
  <Paragraphs>22</Paragraphs>
  <TotalTime>112</TotalTime>
  <ScaleCrop>false</ScaleCrop>
  <LinksUpToDate>false</LinksUpToDate>
  <CharactersWithSpaces>8060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2025-04-22T05:17:00Z</dcterms:created>
  <cp:lastPrinted>2025-06-11T03:48:00Z</cp:lastPrinted>
  <dcterms:modified xsi:type="dcterms:W3CDTF">2025-08-13T07:39:12Z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45EE8E05F8954C938E5B7FC793115AD9_13</vt:lpwstr>
  </property>
  <property fmtid="{D5CDD505-2E9C-101B-9397-08002B2CF9AE}" pid="4" name="KSOTemplateDocerSaveRecord">
    <vt:lpwstr>eyJoZGlkIjoiYTUzNDRhNWViZDIwNjhjZWY3ODA1ZmI4ZTRjNDU2ZTYiLCJ1c2VySWQiOiIzMTMzMzMyNTcifQ==</vt:lpwstr>
  </property>
</Properties>
</file>