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4E33">
      <w:pPr>
        <w:jc w:val="center"/>
        <w:rPr>
          <w:rFonts w:hint="eastAsia" w:eastAsia="黑体"/>
          <w:color w:val="auto"/>
          <w:sz w:val="32"/>
          <w:szCs w:val="32"/>
          <w:lang w:val="en-US" w:eastAsia="zh-CN"/>
        </w:rPr>
      </w:pPr>
    </w:p>
    <w:p w14:paraId="43B6A713">
      <w:pPr>
        <w:jc w:val="center"/>
        <w:rPr>
          <w:rFonts w:hint="eastAsia" w:eastAsia="黑体"/>
          <w:color w:val="auto"/>
          <w:sz w:val="32"/>
          <w:szCs w:val="32"/>
          <w:lang w:val="en-US" w:eastAsia="zh-CN"/>
        </w:rPr>
      </w:pPr>
    </w:p>
    <w:p w14:paraId="077F43BF">
      <w:pPr>
        <w:jc w:val="center"/>
        <w:rPr>
          <w:rFonts w:hint="eastAsia" w:eastAsia="黑体"/>
          <w:color w:val="auto"/>
          <w:sz w:val="32"/>
          <w:szCs w:val="32"/>
          <w:lang w:val="en-US" w:eastAsia="zh-CN"/>
        </w:rPr>
      </w:pPr>
    </w:p>
    <w:p w14:paraId="53969195">
      <w:pPr>
        <w:jc w:val="center"/>
        <w:rPr>
          <w:rFonts w:hint="eastAsia" w:eastAsia="黑体"/>
          <w:color w:val="auto"/>
          <w:sz w:val="32"/>
          <w:szCs w:val="32"/>
          <w:lang w:val="en-US" w:eastAsia="zh-CN"/>
        </w:rPr>
      </w:pPr>
    </w:p>
    <w:p w14:paraId="49B2B3D8">
      <w:pPr>
        <w:jc w:val="center"/>
        <w:rPr>
          <w:rFonts w:hint="eastAsia" w:eastAsia="黑体"/>
          <w:color w:val="auto"/>
          <w:sz w:val="32"/>
          <w:szCs w:val="32"/>
          <w:lang w:val="en-US" w:eastAsia="zh-CN"/>
        </w:rPr>
      </w:pPr>
    </w:p>
    <w:p w14:paraId="68A45F7A">
      <w:pPr>
        <w:jc w:val="center"/>
        <w:rPr>
          <w:rFonts w:hint="eastAsia" w:eastAsia="黑体"/>
          <w:color w:val="auto"/>
          <w:sz w:val="44"/>
          <w:szCs w:val="44"/>
          <w:lang w:val="en-US" w:eastAsia="zh-CN"/>
        </w:rPr>
      </w:pPr>
    </w:p>
    <w:p w14:paraId="00AE9882">
      <w:pPr>
        <w:jc w:val="center"/>
        <w:rPr>
          <w:rFonts w:hint="eastAsia" w:eastAsia="黑体"/>
          <w:color w:val="auto"/>
          <w:sz w:val="44"/>
          <w:szCs w:val="44"/>
          <w:lang w:val="en-US" w:eastAsia="zh-CN"/>
        </w:rPr>
      </w:pPr>
      <w:r>
        <w:rPr>
          <w:rFonts w:hint="eastAsia" w:eastAsia="黑体"/>
          <w:color w:val="auto"/>
          <w:sz w:val="44"/>
          <w:szCs w:val="44"/>
          <w:lang w:val="en-US" w:eastAsia="zh-CN"/>
        </w:rPr>
        <w:t>国家</w:t>
      </w:r>
      <w:r>
        <w:rPr>
          <w:rFonts w:hint="eastAsia" w:eastAsia="黑体"/>
          <w:color w:val="0000FF"/>
          <w:sz w:val="44"/>
          <w:szCs w:val="44"/>
          <w:lang w:val="en-US" w:eastAsia="zh-CN"/>
        </w:rPr>
        <w:t>（行业/协会）</w:t>
      </w:r>
      <w:r>
        <w:rPr>
          <w:rFonts w:hint="eastAsia" w:eastAsia="黑体"/>
          <w:color w:val="auto"/>
          <w:sz w:val="44"/>
          <w:szCs w:val="44"/>
          <w:lang w:val="en-US" w:eastAsia="zh-CN"/>
        </w:rPr>
        <w:t>标准《铜合金的变色腐蚀试验方法及抗变色能力评价方法》编制说明</w:t>
      </w:r>
    </w:p>
    <w:p w14:paraId="2B0E82A0">
      <w:pPr>
        <w:pStyle w:val="4"/>
        <w:rPr>
          <w:rFonts w:hint="eastAsia"/>
          <w:lang w:val="en-US" w:eastAsia="zh-CN"/>
        </w:rPr>
      </w:pPr>
    </w:p>
    <w:p w14:paraId="6FD979E8">
      <w:pPr>
        <w:jc w:val="center"/>
        <w:rPr>
          <w:rFonts w:hint="eastAsia" w:eastAsia="黑体"/>
          <w:color w:val="auto"/>
          <w:sz w:val="32"/>
          <w:szCs w:val="32"/>
          <w:lang w:val="en-US" w:eastAsia="zh-CN"/>
        </w:rPr>
      </w:pPr>
      <w:r>
        <w:rPr>
          <w:rFonts w:hint="eastAsia" w:eastAsia="黑体"/>
          <w:color w:val="auto"/>
          <w:sz w:val="32"/>
          <w:szCs w:val="32"/>
          <w:lang w:val="en-US" w:eastAsia="zh-CN"/>
        </w:rPr>
        <w:t>（预审稿）</w:t>
      </w:r>
    </w:p>
    <w:p w14:paraId="083AF3D4">
      <w:pPr>
        <w:jc w:val="center"/>
        <w:rPr>
          <w:rFonts w:hint="eastAsia" w:eastAsia="黑体"/>
          <w:color w:val="auto"/>
          <w:sz w:val="28"/>
          <w:szCs w:val="28"/>
          <w:lang w:val="en-US" w:eastAsia="zh-CN"/>
        </w:rPr>
      </w:pPr>
    </w:p>
    <w:p w14:paraId="67D435A6">
      <w:pPr>
        <w:jc w:val="center"/>
        <w:rPr>
          <w:rFonts w:hint="eastAsia" w:eastAsia="黑体"/>
          <w:color w:val="auto"/>
          <w:sz w:val="28"/>
          <w:szCs w:val="28"/>
          <w:lang w:val="en-US" w:eastAsia="zh-CN"/>
        </w:rPr>
      </w:pPr>
    </w:p>
    <w:p w14:paraId="4D5E62B0">
      <w:pPr>
        <w:jc w:val="center"/>
        <w:rPr>
          <w:rFonts w:hint="eastAsia" w:eastAsia="黑体"/>
          <w:color w:val="auto"/>
          <w:sz w:val="28"/>
          <w:szCs w:val="28"/>
          <w:lang w:val="en-US" w:eastAsia="zh-CN"/>
        </w:rPr>
      </w:pPr>
    </w:p>
    <w:p w14:paraId="15B73921">
      <w:pPr>
        <w:jc w:val="center"/>
        <w:rPr>
          <w:rFonts w:hint="eastAsia" w:eastAsia="黑体"/>
          <w:color w:val="auto"/>
          <w:sz w:val="28"/>
          <w:szCs w:val="28"/>
          <w:lang w:val="en-US" w:eastAsia="zh-CN"/>
        </w:rPr>
      </w:pPr>
    </w:p>
    <w:p w14:paraId="4AE6AF22">
      <w:pPr>
        <w:jc w:val="center"/>
        <w:rPr>
          <w:rFonts w:hint="eastAsia" w:eastAsia="黑体"/>
          <w:color w:val="auto"/>
          <w:sz w:val="28"/>
          <w:szCs w:val="28"/>
          <w:lang w:val="en-US" w:eastAsia="zh-CN"/>
        </w:rPr>
      </w:pPr>
    </w:p>
    <w:p w14:paraId="65CCCD6A">
      <w:pPr>
        <w:jc w:val="center"/>
        <w:rPr>
          <w:rFonts w:hint="eastAsia" w:eastAsia="黑体"/>
          <w:color w:val="auto"/>
          <w:sz w:val="28"/>
          <w:szCs w:val="28"/>
          <w:lang w:val="en-US" w:eastAsia="zh-CN"/>
        </w:rPr>
      </w:pPr>
    </w:p>
    <w:p w14:paraId="00909E4C">
      <w:pPr>
        <w:jc w:val="center"/>
        <w:rPr>
          <w:rFonts w:hint="eastAsia" w:eastAsia="黑体"/>
          <w:color w:val="auto"/>
          <w:sz w:val="28"/>
          <w:szCs w:val="28"/>
          <w:lang w:val="en-US" w:eastAsia="zh-CN"/>
        </w:rPr>
      </w:pPr>
    </w:p>
    <w:p w14:paraId="154E1BBE">
      <w:pPr>
        <w:jc w:val="center"/>
        <w:rPr>
          <w:rFonts w:hint="eastAsia" w:eastAsia="黑体"/>
          <w:color w:val="auto"/>
          <w:sz w:val="28"/>
          <w:szCs w:val="28"/>
          <w:lang w:val="en-US" w:eastAsia="zh-CN"/>
        </w:rPr>
      </w:pPr>
      <w:r>
        <w:rPr>
          <w:rFonts w:hint="eastAsia" w:eastAsia="黑体"/>
          <w:color w:val="auto"/>
          <w:sz w:val="28"/>
          <w:szCs w:val="28"/>
          <w:lang w:val="en-US" w:eastAsia="zh-CN"/>
        </w:rPr>
        <w:t>中国科学院金属研究所</w:t>
      </w:r>
    </w:p>
    <w:p w14:paraId="23FDA1D1">
      <w:pPr>
        <w:jc w:val="center"/>
        <w:rPr>
          <w:rFonts w:hint="default" w:eastAsia="黑体"/>
          <w:color w:val="auto"/>
          <w:sz w:val="28"/>
          <w:szCs w:val="28"/>
          <w:lang w:val="en-US" w:eastAsia="zh-CN"/>
        </w:rPr>
      </w:pPr>
      <w:r>
        <w:rPr>
          <w:rFonts w:hint="eastAsia" w:eastAsia="黑体"/>
          <w:color w:val="auto"/>
          <w:sz w:val="28"/>
          <w:szCs w:val="28"/>
          <w:lang w:val="en-US" w:eastAsia="zh-CN"/>
        </w:rPr>
        <w:t>2025年06月</w:t>
      </w:r>
      <w:r>
        <w:rPr>
          <w:rFonts w:hint="eastAsia" w:eastAsia="黑体"/>
          <w:color w:val="auto"/>
          <w:sz w:val="28"/>
          <w:szCs w:val="28"/>
          <w:lang w:val="en-US" w:eastAsia="zh-CN"/>
        </w:rPr>
        <w:br w:type="page"/>
      </w:r>
    </w:p>
    <w:p w14:paraId="6E03AA90">
      <w:pPr>
        <w:jc w:val="center"/>
        <w:rPr>
          <w:rFonts w:hint="eastAsia" w:eastAsia="黑体"/>
          <w:color w:val="auto"/>
          <w:sz w:val="44"/>
          <w:szCs w:val="44"/>
          <w:lang w:val="en-US" w:eastAsia="zh-CN"/>
        </w:rPr>
      </w:pPr>
      <w:r>
        <w:rPr>
          <w:rFonts w:hint="eastAsia" w:eastAsia="黑体"/>
          <w:color w:val="auto"/>
          <w:sz w:val="44"/>
          <w:szCs w:val="44"/>
          <w:lang w:val="en-US" w:eastAsia="zh-CN"/>
        </w:rPr>
        <w:t>国家</w:t>
      </w:r>
      <w:r>
        <w:rPr>
          <w:rFonts w:hint="eastAsia" w:eastAsia="黑体"/>
          <w:color w:val="0000FF"/>
          <w:sz w:val="44"/>
          <w:szCs w:val="44"/>
          <w:lang w:val="en-US" w:eastAsia="zh-CN"/>
        </w:rPr>
        <w:t>（行业/协会）</w:t>
      </w:r>
      <w:r>
        <w:rPr>
          <w:rFonts w:hint="eastAsia" w:eastAsia="黑体"/>
          <w:color w:val="auto"/>
          <w:sz w:val="44"/>
          <w:szCs w:val="44"/>
          <w:lang w:val="en-US" w:eastAsia="zh-CN"/>
        </w:rPr>
        <w:t>标准《铜合金的变色腐蚀试验方法及抗变色能力评价方法》编制说明（预审稿）</w:t>
      </w:r>
    </w:p>
    <w:p w14:paraId="5229526A">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rPr>
      </w:pPr>
      <w:r>
        <w:rPr>
          <w:rFonts w:hint="eastAsia" w:ascii="黑体" w:eastAsia="黑体" w:cs="Arial"/>
          <w:color w:val="auto"/>
          <w:sz w:val="21"/>
          <w:szCs w:val="21"/>
        </w:rPr>
        <w:t>一、工作简况</w:t>
      </w:r>
    </w:p>
    <w:p w14:paraId="7889C107">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rPr>
      </w:pPr>
      <w:r>
        <w:rPr>
          <w:rFonts w:hint="eastAsia" w:ascii="黑体" w:eastAsia="黑体" w:cs="Arial"/>
          <w:color w:val="auto"/>
          <w:sz w:val="21"/>
          <w:szCs w:val="21"/>
        </w:rPr>
        <w:t>1.1任务来源</w:t>
      </w:r>
    </w:p>
    <w:p w14:paraId="7B75A44E">
      <w:pPr>
        <w:pStyle w:val="4"/>
        <w:ind w:firstLine="420" w:firstLineChars="200"/>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kern w:val="2"/>
          <w:sz w:val="21"/>
          <w:szCs w:val="22"/>
          <w:lang w:val="en-US" w:eastAsia="zh-CN" w:bidi="ar-SA"/>
        </w:rPr>
        <w:t>根据工业和信息化部《关于促进制造业产品和服务质量提升的实施意见（工信部科〔2019〕188 号）》文件，深入贯彻落实《中共中央 国务院关于开展质量提升行动的指导意见》，加快提升制造业产品和服务质量，推动制造业高质量发展，针对性地和精准描述产品耐蚀性质量，提高铜及铜合金产品质量，明确了铜合金产品耐蚀性及使用寿命的快速评价方法，制定铜合金的测试方法和评价标准已迫在眉睫。</w:t>
      </w:r>
    </w:p>
    <w:p w14:paraId="2695E74F">
      <w:pPr>
        <w:pStyle w:val="4"/>
        <w:ind w:firstLine="420" w:firstLineChars="200"/>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kern w:val="2"/>
          <w:sz w:val="21"/>
          <w:szCs w:val="22"/>
          <w:lang w:val="en-US" w:eastAsia="zh-CN" w:bidi="ar-SA"/>
        </w:rPr>
        <w:t>中色协科字[2024] 36 号《关于下达2024年第三批协会团体标准制修订计划的通知》下发了制定团体标准《铜合金的变色腐蚀试验方法及抗变色能力评价方法》的通知，协会文件为中色协科字[2024]36号，计划号2024-030-T/CNIA，起草单位为中国科学院金属研究所、沈阳造币有限公司、中铝洛阳铜加工有限公司</w:t>
      </w:r>
      <w:r>
        <w:rPr>
          <w:rFonts w:hint="eastAsia" w:asciiTheme="minorHAnsi" w:hAnsiTheme="minorHAnsi" w:eastAsiaTheme="minorEastAsia" w:cstheme="minorBidi"/>
          <w:kern w:val="2"/>
          <w:sz w:val="21"/>
          <w:szCs w:val="22"/>
          <w:lang w:val="en-US" w:eastAsia="zh-CN" w:bidi="ar-SA"/>
        </w:rPr>
        <w:t>和广东龙丰精密铜管有限公司</w:t>
      </w:r>
      <w:r>
        <w:rPr>
          <w:rFonts w:hint="default" w:asciiTheme="minorHAnsi" w:hAnsiTheme="minorHAnsi" w:eastAsiaTheme="minorEastAsia" w:cstheme="minorBidi"/>
          <w:kern w:val="2"/>
          <w:sz w:val="21"/>
          <w:szCs w:val="22"/>
          <w:lang w:val="en-US" w:eastAsia="zh-CN" w:bidi="ar-SA"/>
        </w:rPr>
        <w:t>，完成年限为2025年6月。</w:t>
      </w:r>
    </w:p>
    <w:p w14:paraId="78559F10">
      <w:pPr>
        <w:pStyle w:val="17"/>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rPr>
      </w:pPr>
      <w:r>
        <w:rPr>
          <w:rFonts w:hint="eastAsia" w:hAnsi="黑体" w:cs="黑体"/>
          <w:color w:val="auto"/>
          <w:sz w:val="21"/>
          <w:szCs w:val="21"/>
        </w:rPr>
        <w:t>1.2立项目的和意义</w:t>
      </w:r>
    </w:p>
    <w:p w14:paraId="21AB659B">
      <w:pPr>
        <w:ind w:firstLine="420" w:firstLineChars="200"/>
        <w:rPr>
          <w:rFonts w:hint="default" w:eastAsiaTheme="minorEastAsia"/>
          <w:lang w:val="en-US" w:eastAsia="zh-CN"/>
        </w:rPr>
      </w:pPr>
      <w:r>
        <w:rPr>
          <w:rFonts w:hint="default" w:eastAsiaTheme="minorEastAsia"/>
          <w:lang w:val="en-US" w:eastAsia="zh-CN"/>
        </w:rPr>
        <w:t>铜合金因其合金色泽美观，且本身具有巨大装饰及收藏价值，被广泛应用于铸币、收藏品和装饰性金属选材行业。新中国普通纪念币的历史是从1984年10月1日的建国三十五周年纪念币开始的，至2021年11月已经发行了121枚，发行数量62.0291亿枚。在一些特殊活动如奥运会期间，发行纪念币不仅可以进行宣传，还能帮助举办国进行筹资，用于场馆建设、设施购置等等。在第18届东京奥运会纪念币销售达到了10.3亿美元，在第20届慕尼黑奥运会销售额为9.6098亿美元。随着整个国家经济迅猛发展，人们的收入和消费水平大大提高，售藏钱币，尤其是纪念币成为了时尚。有些纪念币如“中国人民银行建行40周年”纪念币具有很高的收藏和投资价值，这套纪念币发行量为206.8万枚，全套仅一枚价值1元的铜镍合金结构硬币，现在的市场价格为3000元，被称为普通纪念币中的“币王”。在铜合金生产过程中，大量出现基材变色现象，其中以七、八、九三个月份最严重，甚至几小时内就产生严重变色，不得不投入反洗，严重影响了生产的连续性，降低生产效率。这种现象不但在我国存在，其他国家的造币厂同样面临相同问题。此外，铜合金纪念币因腐蚀产生的表面色泽变化，如氧化亚铜呈现鲜红色，氧化铜为黑色，碱式硫酸铜、碱式碳酸铜、碱式氯化铜等为绿色，氧化锌、硫酸锌、氧化铝等为白色，对铸币行业选材和铜合金纪念币的收藏造成了极大的损失。国际认可度高的钱币品相评级公司有PCGS（机制币）、NGC（硬币）、PMG（纸币）。其中NGC是美国最大的钱币鉴定评级公司，也是全球最大的第三方钱币评级服务提供商，在现代金银币和流通纪念币的评级这一方面被广泛认可。该公司常用的是谢尔登70级数值评级标准，这也是国际公认的评级标准，该标准的指标是纪念币的铸型、磨损度和细节清晰度，对于铜合金纪念币因腐蚀变色造成纪念币收藏价值下降影响进行评定。如果表面上形成的是观赏价值高的氧化包浆，硬币评级时品相等级会提高，但如果腐蚀严重到使花纹等细节分辨不清，那会大大降低硬币的价值。</w:t>
      </w:r>
    </w:p>
    <w:p w14:paraId="111B7CF8">
      <w:pPr>
        <w:ind w:firstLine="420" w:firstLineChars="200"/>
        <w:rPr>
          <w:rFonts w:hint="default" w:eastAsiaTheme="minorEastAsia"/>
          <w:lang w:val="en-US" w:eastAsia="zh-CN"/>
        </w:rPr>
      </w:pPr>
      <w:r>
        <w:rPr>
          <w:rFonts w:hint="default" w:eastAsiaTheme="minorEastAsia"/>
          <w:lang w:val="en-US" w:eastAsia="zh-CN"/>
        </w:rPr>
        <w:t>通过本次标准制定，规范了铜合金的腐蚀试验方法及抗变色能力评价方法，解决了有色金属行业铜及铜合金无统一的耐蚀性评价方法的急需问题，填补国内铜合金耐蚀性检测方法的空白，提高铜合金耐蚀性等级评价的准确性，稳定和指导生产工艺，保证了铜合金原材料的供给质量，提高原材料产品用户满意度。</w:t>
      </w:r>
    </w:p>
    <w:p w14:paraId="31A7F5A2">
      <w:pPr>
        <w:ind w:firstLine="420" w:firstLineChars="200"/>
        <w:rPr>
          <w:rFonts w:hint="default" w:eastAsiaTheme="minorEastAsia"/>
          <w:lang w:val="en-US" w:eastAsia="zh-CN"/>
        </w:rPr>
      </w:pPr>
    </w:p>
    <w:p w14:paraId="57437CB9">
      <w:pPr>
        <w:pStyle w:val="17"/>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lang w:val="en-US" w:eastAsia="zh-CN"/>
        </w:rPr>
      </w:pPr>
      <w:r>
        <w:rPr>
          <w:rFonts w:hint="eastAsia" w:hAnsi="黑体" w:cs="黑体"/>
          <w:color w:val="auto"/>
          <w:sz w:val="21"/>
          <w:szCs w:val="21"/>
        </w:rPr>
        <w:t>1.3</w:t>
      </w:r>
      <w:r>
        <w:rPr>
          <w:rFonts w:hint="eastAsia" w:hAnsi="黑体" w:cs="黑体"/>
          <w:color w:val="auto"/>
          <w:sz w:val="21"/>
          <w:szCs w:val="21"/>
          <w:lang w:val="en-US" w:eastAsia="zh-CN"/>
        </w:rPr>
        <w:t>主要参加单位和工作成员所作的工作</w:t>
      </w:r>
    </w:p>
    <w:p w14:paraId="011E7467">
      <w:pPr>
        <w:ind w:firstLine="420" w:firstLineChars="200"/>
        <w:rPr>
          <w:rFonts w:hint="eastAsia" w:eastAsiaTheme="minorEastAsia"/>
          <w:lang w:val="en-US" w:eastAsia="zh-CN"/>
        </w:rPr>
      </w:pPr>
      <w:r>
        <w:rPr>
          <w:rFonts w:hint="default" w:eastAsiaTheme="minorEastAsia"/>
          <w:lang w:val="en-US" w:eastAsia="zh-CN"/>
        </w:rPr>
        <w:t>标准制订计划任务正式下达后，立即成立了标准编制组，并落实起草任务，确定标准的主要起草人，拟定该标准的工作计划。具体分工为：</w:t>
      </w:r>
      <w:r>
        <w:rPr>
          <w:rFonts w:hint="eastAsia" w:eastAsiaTheme="minorEastAsia"/>
          <w:lang w:val="en-US" w:eastAsia="zh-CN"/>
        </w:rPr>
        <w:t>中国科学院</w:t>
      </w:r>
      <w:r>
        <w:rPr>
          <w:rFonts w:hint="default" w:eastAsiaTheme="minorEastAsia"/>
          <w:lang w:val="en-US" w:eastAsia="zh-CN"/>
        </w:rPr>
        <w:t>金属研究所，试验方案确定、市场和铜</w:t>
      </w:r>
      <w:r>
        <w:rPr>
          <w:rFonts w:hint="eastAsia" w:eastAsiaTheme="minorEastAsia"/>
          <w:lang w:val="en-US" w:eastAsia="zh-CN"/>
        </w:rPr>
        <w:t>加工</w:t>
      </w:r>
      <w:r>
        <w:rPr>
          <w:rFonts w:hint="default" w:eastAsiaTheme="minorEastAsia"/>
          <w:lang w:val="en-US" w:eastAsia="zh-CN"/>
        </w:rPr>
        <w:t>行业信息收集、资料汇总分析及执笔；</w:t>
      </w:r>
      <w:r>
        <w:rPr>
          <w:rFonts w:hint="eastAsia" w:eastAsiaTheme="minorEastAsia"/>
          <w:lang w:val="en-US" w:eastAsia="zh-CN"/>
        </w:rPr>
        <w:t>沈阳造币</w:t>
      </w:r>
      <w:r>
        <w:rPr>
          <w:rFonts w:hint="default" w:eastAsiaTheme="minorEastAsia"/>
          <w:lang w:val="en-US" w:eastAsia="zh-CN"/>
        </w:rPr>
        <w:t>有限公司</w:t>
      </w:r>
      <w:r>
        <w:rPr>
          <w:rFonts w:hint="eastAsia" w:eastAsiaTheme="minorEastAsia"/>
          <w:lang w:val="en-US" w:eastAsia="zh-CN"/>
        </w:rPr>
        <w:t>、中铝洛阳</w:t>
      </w:r>
      <w:r>
        <w:rPr>
          <w:rFonts w:hint="default" w:eastAsiaTheme="minorEastAsia"/>
          <w:lang w:val="en-US" w:eastAsia="zh-CN"/>
        </w:rPr>
        <w:t>铜加工有限公司</w:t>
      </w:r>
      <w:r>
        <w:rPr>
          <w:rFonts w:hint="eastAsia" w:eastAsiaTheme="minorEastAsia"/>
          <w:lang w:val="en-US" w:eastAsia="zh-CN"/>
        </w:rPr>
        <w:t>和广东龙丰精密铜管有限公司</w:t>
      </w:r>
      <w:r>
        <w:rPr>
          <w:rFonts w:hint="default" w:eastAsiaTheme="minorEastAsia"/>
          <w:lang w:val="en-US" w:eastAsia="zh-CN"/>
        </w:rPr>
        <w:t>等单位负责补充市场信息和标准数据的验证。各</w:t>
      </w:r>
      <w:r>
        <w:rPr>
          <w:rFonts w:hint="eastAsia" w:eastAsiaTheme="minorEastAsia"/>
          <w:lang w:val="en-US" w:eastAsia="zh-CN"/>
        </w:rPr>
        <w:t>单位</w:t>
      </w:r>
      <w:r>
        <w:rPr>
          <w:rFonts w:hint="default" w:eastAsiaTheme="minorEastAsia"/>
          <w:lang w:val="en-US" w:eastAsia="zh-CN"/>
        </w:rPr>
        <w:t>分工明确，紧密合作，共同完成标准的修订工作。</w:t>
      </w:r>
    </w:p>
    <w:p w14:paraId="141E693C">
      <w:pPr>
        <w:ind w:firstLine="420" w:firstLineChars="200"/>
        <w:rPr>
          <w:rFonts w:hint="default" w:eastAsiaTheme="minorEastAsia"/>
          <w:lang w:val="en-US" w:eastAsia="zh-CN"/>
        </w:rPr>
      </w:pPr>
      <w:r>
        <w:rPr>
          <w:rFonts w:hint="eastAsia" w:eastAsiaTheme="minorEastAsia"/>
          <w:lang w:val="en-US" w:eastAsia="zh-CN"/>
        </w:rPr>
        <w:t>中国科学院金属研究所是材料科学与工程领域国内一流并具有重要国际影响的研究机构，是我国高性能材料研究与发展的重要基地。开展材料的成分设计、结构表征、制备加工、性能测试和使役行为研究。在基础研究领域，国家科技部依托金属研究所建立沈阳材料科学国家研究中心。在高技术研究领域，成立师昌绪先进材料创新中心，致力于提升我国重点工程先进材料自主创新能力和自主可控制备能力。成立材料腐蚀与防护中心，重新整合力量开展材料腐蚀基础研究及重大工程腐蚀防护技术研究。此外，金属研究所还拥有2个国家级工程技术中心、2个中国科学院重点实验室、1个中国科学院工程实验室。已累计取得科技成果奖400余项，其中获得国家级奖项100余项，包括国家科技进步特等奖、国家自然科学一等奖、国家技术发明一等奖和国家科技进步一等奖等奖项。2010年金属研究所名誉所长师昌绪院士获得了国家最高科学技术奖。近年来承担并高质量完成了载人航天、大飞机、航空发动机、跨海大桥以及高速铁路等重大工程中的关键材料技术攻关任务。承担并高质量完成了嫦娥系列探测器、长征五号火箭镁合金部件腐蚀防控、珠港澳大桥百年防腐、南海岛礁建设、飞机的日历寿命评估与腐蚀防护技术应用等国家重大工程中的关键材料腐蚀防护攻关任务。面向国民经济主战场，金属所自主研发的腐蚀防护涂料广泛应用于石油、石化、建筑、能源、飞机、船舶、电网等行业，阴极保护技术为核电、军工、石油石化等大型企业解决了关键防腐问题，多种型号的腐蚀监检测仪器已大量用于大型石化企业，关键工程结构的服役安全评定与寿命预测技术应用于飞机、管道、核电等领域。其中，一些具有自主知识产权的产品和技术替代了国外进口产品和技术，为全面、长效地解决我国腐蚀控制问题提供技术支持改善人民生活质量做出了重要贡献。</w:t>
      </w:r>
    </w:p>
    <w:p w14:paraId="1E0D03FB">
      <w:pPr>
        <w:ind w:firstLine="420" w:firstLineChars="200"/>
        <w:rPr>
          <w:rFonts w:hint="default" w:eastAsiaTheme="minorEastAsia"/>
          <w:lang w:val="en-US" w:eastAsia="zh-CN"/>
        </w:rPr>
      </w:pPr>
      <w:r>
        <w:rPr>
          <w:rFonts w:hint="eastAsia" w:eastAsiaTheme="minorEastAsia"/>
          <w:lang w:val="en-US" w:eastAsia="zh-CN"/>
        </w:rPr>
        <w:t>沈阳造币有限公司隶属于中国印钞造币集团有限公司，是国家指定的专门从事法定货币生产的特殊企业，主要产品包括流通硬币、金银纪念币和工业金银材等。公司具有百年造币经验，研制出众多设计工艺精美、高防伪性能、鲜明民族特色的钱币珍品，为我国在钱币界赢得了很高的国际声誉，为国家金融稳定做出了突出贡献。沈阳造币有限公司拥有经验丰富的技术队伍和造诣精深的工艺美术大师，拥有国家级金银及制品质量监督检验中心、国家级实验室和印制行业唯一一家造币技术研究所，是印制行业直属硬币研发基地，2007年企业被辽宁省认定为首批博士后科研基地。多年来，公司造币新品种开发、新材料研制、新工艺、新技术应用取得丰硕成果，开发储备的多项造币新技术及大众防伪技术通过总行、集团公司的科技成果鉴定，多项科研成果获得国家专利、达到国际领先水平。公司设计制作的历史文化遗产、台湾风光、珍稀动物、生肖系列等纪念币，远销世界各地，在国际市场享有盛誉，并屡获大奖公司产品的艺术性和收藏价值深受世界钱币爱好者的青睐，尤其是奥运系列产品的生产推出，得到了社会各界的广泛赞誉。沈阳造币有限公司在中国印钞造币集团公司领导下，落实科学发展观，全面实施现代企业制度改革，抢抓机遇，开拓创新、正朝着把沈币建成世界领先的现代化造币企业稳步前行。</w:t>
      </w:r>
    </w:p>
    <w:p w14:paraId="22FF9DA9">
      <w:pPr>
        <w:ind w:firstLine="420" w:firstLineChars="200"/>
        <w:rPr>
          <w:rFonts w:hint="default" w:eastAsiaTheme="minorEastAsia"/>
          <w:lang w:val="en-US" w:eastAsia="zh-CN"/>
        </w:rPr>
      </w:pPr>
      <w:r>
        <w:rPr>
          <w:rFonts w:hint="default" w:eastAsiaTheme="minorEastAsia"/>
          <w:lang w:val="en-US" w:eastAsia="zh-CN"/>
        </w:rPr>
        <w:t>中铝洛阳铜加工有限公司是综合性有色金属加工企业，拥有铜及铜合金高精度电子带、大管大棒、弥散强化无氧铜、宽厚板等多条生产线，产品涉及铜及铜合金板、带、箔、管、棒、型材，广泛应用于电子信息通讯、新能源、汽车、海洋工程、轨道交通</w:t>
      </w:r>
      <w:r>
        <w:rPr>
          <w:rFonts w:hint="eastAsia" w:eastAsiaTheme="minorEastAsia"/>
          <w:lang w:val="en-US" w:eastAsia="zh-CN"/>
        </w:rPr>
        <w:t>、国防、J工、核电</w:t>
      </w:r>
      <w:r>
        <w:rPr>
          <w:rFonts w:hint="default" w:eastAsiaTheme="minorEastAsia"/>
          <w:lang w:val="en-US" w:eastAsia="zh-CN"/>
        </w:rPr>
        <w:t>等领域。拥有国家级企业技术中心、</w:t>
      </w:r>
      <w:r>
        <w:rPr>
          <w:rFonts w:hint="eastAsia" w:eastAsiaTheme="minorEastAsia"/>
          <w:lang w:val="en-US" w:eastAsia="zh-CN"/>
        </w:rPr>
        <w:t>中</w:t>
      </w:r>
      <w:r>
        <w:rPr>
          <w:rFonts w:hint="default" w:eastAsiaTheme="minorEastAsia"/>
          <w:lang w:val="en-US" w:eastAsia="zh-CN"/>
        </w:rPr>
        <w:t>国</w:t>
      </w:r>
      <w:r>
        <w:rPr>
          <w:rFonts w:hint="eastAsia" w:eastAsiaTheme="minorEastAsia"/>
          <w:lang w:val="en-US" w:eastAsia="zh-CN"/>
        </w:rPr>
        <w:t>合格评定国家认可委员会</w:t>
      </w:r>
      <w:r>
        <w:rPr>
          <w:rFonts w:hint="default" w:eastAsiaTheme="minorEastAsia"/>
          <w:lang w:val="en-US" w:eastAsia="zh-CN"/>
        </w:rPr>
        <w:t>认可的实验室、中国有色金属工业重金属加工材质检站、河南省铜镁材料和加工技术工程研究中心、中铝集团高性能铜板带加工技术重点实验室、有色行业铜及铜合金材料与加工工程技术研究中心。先后从德国、美国、法国、日本、英国、意大利等十二个国家引进了80台(套)先进的设备和检测仪器，为有色金属产品的研制和生产打下了坚实的基础。公司拥有一支高素质的科研技术研发队伍，具备丰富的生产技术经验和技术能力。</w:t>
      </w:r>
    </w:p>
    <w:p w14:paraId="3927D1AB">
      <w:pPr>
        <w:ind w:firstLine="420" w:firstLineChars="200"/>
        <w:rPr>
          <w:rFonts w:hint="eastAsia" w:eastAsiaTheme="minorEastAsia"/>
          <w:lang w:val="en-US" w:eastAsia="zh-CN"/>
        </w:rPr>
      </w:pPr>
      <w:r>
        <w:rPr>
          <w:rFonts w:hint="eastAsia" w:eastAsiaTheme="minorEastAsia"/>
          <w:lang w:val="en-US" w:eastAsia="zh-CN"/>
        </w:rPr>
        <w:t>广东龙丰精密铜管有限公司是国家级高新技术企业，拥有 5 条精密铜管生产线，年产能 12万吨。建有省级“企业技术中心”“精密铜管（龙丰）工程技术研究中心”“精密铜管（高性能高精度铜及铜合金）院士工作站”、市级“精密铜管工程技术开发中心”“重点企业技术中心”等研发机构；通过“质量、环境、职业健康和安全、能源”四标一体化及“两化融合”“知识产权”“合规”“ESG” 共八标管理体系认证；获得国家级“专精特新‘小巨人’企业”“绿色工厂”“知识产权优势企业”、省级“制造业单项冠军企业-紫铜管材”“专精特新中小企业”“创新型企业”“战略性新兴产业骨干企业”“清洁生产企业”“知识产权示范企业”、市级“先进铜基新材料重点实验室”“知识产权优势企业”等资质认定。公司集各种精密铜管材的研发、制造、销售、服务于一体，生产包括无缝内螺纹铜管、电缆用无缝铜管、导电用无缝铜管、高精度薄壁铜管、热管用铜及铜合金管、热交换器用无缝翅片管、铜及铜合金散热管、铜及铜合金毛细管、大散盘铜管、蚊香盘管、一体化波纹管、椭圆管等管材产品，产品主要应用于空调与制冷设备、5G 通信电子设备、通讯电缆、变配电、汽车、新能源、储能、装备制造、航空航天等行业。通过自主研发拥有铜管材加工领域核心专利 57项，其中发明专利 10 项，“一种内螺纹铜管成型旋压装置”荣获第二十届中国专利优秀奖。</w:t>
      </w:r>
    </w:p>
    <w:p w14:paraId="70C9D131">
      <w:pPr>
        <w:ind w:firstLine="420" w:firstLineChars="200"/>
        <w:rPr>
          <w:rFonts w:hint="eastAsia" w:eastAsiaTheme="minorEastAsia"/>
          <w:lang w:val="en-US" w:eastAsia="zh-CN"/>
        </w:rPr>
      </w:pPr>
      <w:r>
        <w:rPr>
          <w:rFonts w:hint="eastAsia" w:eastAsiaTheme="minorEastAsia"/>
          <w:lang w:val="en-US" w:eastAsia="zh-CN"/>
        </w:rPr>
        <w:t>标准主要起草人及工作职责如下：</w:t>
      </w:r>
    </w:p>
    <w:p w14:paraId="3656B1CE">
      <w:pPr>
        <w:ind w:firstLine="420" w:firstLineChars="200"/>
        <w:jc w:val="center"/>
        <w:rPr>
          <w:rFonts w:hint="eastAsia" w:eastAsiaTheme="minorEastAsia"/>
          <w:lang w:val="en-US" w:eastAsia="zh-CN"/>
        </w:rPr>
      </w:pPr>
      <w:r>
        <w:rPr>
          <w:rFonts w:hint="eastAsia" w:eastAsiaTheme="minorEastAsia"/>
          <w:lang w:val="en-US" w:eastAsia="zh-CN"/>
        </w:rPr>
        <w:t>表1  标准编制组成员及职责</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57" w:type="dxa"/>
          <w:left w:w="108" w:type="dxa"/>
          <w:bottom w:w="57" w:type="dxa"/>
          <w:right w:w="108" w:type="dxa"/>
        </w:tblCellMar>
      </w:tblPr>
      <w:tblGrid>
        <w:gridCol w:w="687"/>
        <w:gridCol w:w="1229"/>
        <w:gridCol w:w="6646"/>
      </w:tblGrid>
      <w:tr w14:paraId="071DB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tcBorders>
              <w:bottom w:val="single" w:color="auto" w:sz="8" w:space="0"/>
            </w:tcBorders>
            <w:noWrap/>
            <w:tcMar>
              <w:top w:w="0" w:type="dxa"/>
              <w:left w:w="108" w:type="dxa"/>
              <w:bottom w:w="0" w:type="dxa"/>
              <w:right w:w="108" w:type="dxa"/>
            </w:tcMar>
            <w:vAlign w:val="center"/>
          </w:tcPr>
          <w:p w14:paraId="5EE59A0E">
            <w:pPr>
              <w:spacing w:line="320" w:lineRule="exact"/>
              <w:jc w:val="center"/>
              <w:rPr>
                <w:rFonts w:ascii="等线" w:hAnsi="等线" w:cs="宋体"/>
                <w:color w:val="000000"/>
                <w:sz w:val="18"/>
                <w:szCs w:val="18"/>
              </w:rPr>
            </w:pPr>
            <w:r>
              <w:rPr>
                <w:rFonts w:hint="eastAsia" w:ascii="等线" w:hAnsi="等线" w:cs="宋体"/>
                <w:color w:val="000000"/>
                <w:sz w:val="18"/>
                <w:szCs w:val="18"/>
              </w:rPr>
              <w:t>序号</w:t>
            </w:r>
          </w:p>
        </w:tc>
        <w:tc>
          <w:tcPr>
            <w:tcW w:w="1229" w:type="dxa"/>
            <w:tcBorders>
              <w:bottom w:val="single" w:color="auto" w:sz="8" w:space="0"/>
            </w:tcBorders>
            <w:noWrap/>
            <w:tcMar>
              <w:top w:w="0" w:type="dxa"/>
              <w:left w:w="108" w:type="dxa"/>
              <w:bottom w:w="0" w:type="dxa"/>
              <w:right w:w="108" w:type="dxa"/>
            </w:tcMar>
            <w:vAlign w:val="center"/>
          </w:tcPr>
          <w:p w14:paraId="31D43C22">
            <w:pPr>
              <w:spacing w:line="320" w:lineRule="exact"/>
              <w:jc w:val="center"/>
              <w:rPr>
                <w:rFonts w:ascii="等线" w:hAnsi="等线" w:cs="宋体"/>
                <w:color w:val="000000"/>
                <w:sz w:val="18"/>
                <w:szCs w:val="18"/>
              </w:rPr>
            </w:pPr>
            <w:r>
              <w:rPr>
                <w:rFonts w:hint="eastAsia" w:ascii="等线" w:hAnsi="等线" w:cs="宋体"/>
                <w:color w:val="000000"/>
                <w:sz w:val="18"/>
                <w:szCs w:val="18"/>
              </w:rPr>
              <w:t>起草人姓名</w:t>
            </w:r>
          </w:p>
        </w:tc>
        <w:tc>
          <w:tcPr>
            <w:tcW w:w="6646" w:type="dxa"/>
            <w:tcBorders>
              <w:bottom w:val="single" w:color="auto" w:sz="8" w:space="0"/>
            </w:tcBorders>
            <w:noWrap/>
            <w:tcMar>
              <w:top w:w="0" w:type="dxa"/>
              <w:left w:w="108" w:type="dxa"/>
              <w:bottom w:w="0" w:type="dxa"/>
              <w:right w:w="108" w:type="dxa"/>
            </w:tcMar>
            <w:vAlign w:val="center"/>
          </w:tcPr>
          <w:p w14:paraId="1FF3D3B3">
            <w:pPr>
              <w:spacing w:line="320" w:lineRule="exact"/>
              <w:jc w:val="center"/>
              <w:rPr>
                <w:rFonts w:ascii="等线" w:hAnsi="等线" w:cs="宋体"/>
                <w:color w:val="000000"/>
                <w:sz w:val="18"/>
                <w:szCs w:val="18"/>
              </w:rPr>
            </w:pPr>
            <w:r>
              <w:rPr>
                <w:rFonts w:hint="eastAsia" w:ascii="等线" w:hAnsi="等线" w:cs="宋体"/>
                <w:color w:val="000000"/>
                <w:sz w:val="18"/>
                <w:szCs w:val="18"/>
              </w:rPr>
              <w:t>职责及分工</w:t>
            </w:r>
          </w:p>
        </w:tc>
      </w:tr>
      <w:tr w14:paraId="30EDE7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tcBorders>
              <w:top w:val="single" w:color="auto" w:sz="8" w:space="0"/>
            </w:tcBorders>
            <w:noWrap/>
            <w:tcMar>
              <w:top w:w="0" w:type="dxa"/>
              <w:left w:w="108" w:type="dxa"/>
              <w:bottom w:w="0" w:type="dxa"/>
              <w:right w:w="108" w:type="dxa"/>
            </w:tcMar>
            <w:vAlign w:val="center"/>
          </w:tcPr>
          <w:p w14:paraId="177DF1A9">
            <w:pPr>
              <w:jc w:val="center"/>
              <w:rPr>
                <w:rFonts w:ascii="等线" w:hAnsi="等线" w:cs="宋体"/>
                <w:color w:val="000000"/>
                <w:sz w:val="18"/>
                <w:szCs w:val="18"/>
              </w:rPr>
            </w:pPr>
            <w:r>
              <w:rPr>
                <w:rFonts w:hint="eastAsia" w:ascii="等线" w:hAnsi="等线"/>
                <w:color w:val="000000"/>
                <w:sz w:val="18"/>
                <w:szCs w:val="18"/>
              </w:rPr>
              <w:t>1</w:t>
            </w:r>
          </w:p>
        </w:tc>
        <w:tc>
          <w:tcPr>
            <w:tcW w:w="1229" w:type="dxa"/>
            <w:tcBorders>
              <w:top w:val="single" w:color="auto" w:sz="8" w:space="0"/>
            </w:tcBorders>
            <w:noWrap/>
            <w:tcMar>
              <w:top w:w="0" w:type="dxa"/>
              <w:left w:w="108" w:type="dxa"/>
              <w:bottom w:w="0" w:type="dxa"/>
              <w:right w:w="108" w:type="dxa"/>
            </w:tcMar>
            <w:vAlign w:val="center"/>
          </w:tcPr>
          <w:p w14:paraId="0AB35616">
            <w:pPr>
              <w:pStyle w:val="9"/>
              <w:spacing w:before="0" w:beforeAutospacing="0" w:after="0" w:afterAutospacing="0" w:line="320" w:lineRule="exact"/>
              <w:rPr>
                <w:rFonts w:ascii="等线" w:hAnsi="等线" w:eastAsia="等线"/>
                <w:color w:val="000000"/>
                <w:sz w:val="18"/>
                <w:szCs w:val="18"/>
              </w:rPr>
            </w:pPr>
            <w:r>
              <w:rPr>
                <w:rFonts w:hint="eastAsia" w:ascii="等线" w:hAnsi="等线" w:eastAsia="等线"/>
                <w:color w:val="000000"/>
                <w:sz w:val="18"/>
                <w:szCs w:val="18"/>
              </w:rPr>
              <w:t>曹公望</w:t>
            </w:r>
          </w:p>
        </w:tc>
        <w:tc>
          <w:tcPr>
            <w:tcW w:w="6646" w:type="dxa"/>
            <w:tcBorders>
              <w:top w:val="single" w:color="auto" w:sz="8" w:space="0"/>
            </w:tcBorders>
            <w:noWrap/>
            <w:tcMar>
              <w:top w:w="0" w:type="dxa"/>
              <w:left w:w="108" w:type="dxa"/>
              <w:bottom w:w="0" w:type="dxa"/>
              <w:right w:w="108" w:type="dxa"/>
            </w:tcMar>
            <w:vAlign w:val="center"/>
          </w:tcPr>
          <w:p w14:paraId="3405D506">
            <w:pPr>
              <w:pStyle w:val="9"/>
              <w:spacing w:before="0" w:beforeAutospacing="0" w:after="0" w:afterAutospacing="0"/>
              <w:rPr>
                <w:rFonts w:ascii="等线" w:hAnsi="等线" w:cs="Times New Roman"/>
                <w:color w:val="000000"/>
                <w:sz w:val="18"/>
                <w:szCs w:val="18"/>
              </w:rPr>
            </w:pPr>
            <w:r>
              <w:rPr>
                <w:rFonts w:hint="eastAsia" w:ascii="等线" w:hAnsi="等线" w:cs="Times New Roman"/>
                <w:color w:val="000000"/>
                <w:sz w:val="18"/>
                <w:szCs w:val="18"/>
              </w:rPr>
              <w:t>标准编制组负责人，标准执笔人，负责标准编制方案的确定；负责各种文件的编制；</w:t>
            </w:r>
          </w:p>
        </w:tc>
      </w:tr>
      <w:tr w14:paraId="34F5D9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tcBorders>
              <w:top w:val="single" w:color="auto" w:sz="8" w:space="0"/>
            </w:tcBorders>
            <w:shd w:val="clear" w:color="auto" w:fill="auto"/>
            <w:noWrap/>
            <w:tcMar>
              <w:top w:w="0" w:type="dxa"/>
              <w:left w:w="108" w:type="dxa"/>
              <w:bottom w:w="0" w:type="dxa"/>
              <w:right w:w="108" w:type="dxa"/>
            </w:tcMar>
            <w:vAlign w:val="center"/>
          </w:tcPr>
          <w:p w14:paraId="1BDBC216">
            <w:pPr>
              <w:jc w:val="center"/>
              <w:rPr>
                <w:rFonts w:hint="eastAsia" w:ascii="等线" w:hAnsi="等线" w:cs="宋体" w:eastAsiaTheme="minorEastAsia"/>
                <w:color w:val="000000"/>
                <w:kern w:val="2"/>
                <w:sz w:val="18"/>
                <w:szCs w:val="18"/>
                <w:lang w:val="en-US" w:eastAsia="zh-CN" w:bidi="ar-SA"/>
              </w:rPr>
            </w:pPr>
            <w:r>
              <w:rPr>
                <w:rFonts w:hint="eastAsia" w:ascii="等线" w:hAnsi="等线"/>
                <w:color w:val="000000"/>
                <w:sz w:val="18"/>
                <w:szCs w:val="18"/>
                <w:lang w:val="en-US" w:eastAsia="zh-CN"/>
              </w:rPr>
              <w:t>2</w:t>
            </w:r>
          </w:p>
        </w:tc>
        <w:tc>
          <w:tcPr>
            <w:tcW w:w="1229" w:type="dxa"/>
            <w:tcBorders>
              <w:top w:val="single" w:color="auto" w:sz="8" w:space="0"/>
            </w:tcBorders>
            <w:shd w:val="clear" w:color="auto" w:fill="auto"/>
            <w:noWrap/>
            <w:tcMar>
              <w:top w:w="0" w:type="dxa"/>
              <w:left w:w="108" w:type="dxa"/>
              <w:bottom w:w="0" w:type="dxa"/>
              <w:right w:w="108" w:type="dxa"/>
            </w:tcMar>
            <w:vAlign w:val="center"/>
          </w:tcPr>
          <w:p w14:paraId="760B764C">
            <w:pPr>
              <w:pStyle w:val="9"/>
              <w:spacing w:before="0" w:beforeAutospacing="0" w:after="0" w:afterAutospacing="0" w:line="320" w:lineRule="exact"/>
              <w:rPr>
                <w:rFonts w:hint="eastAsia" w:ascii="等线" w:hAnsi="等线" w:eastAsia="等线" w:cs="宋体"/>
                <w:color w:val="000000"/>
                <w:kern w:val="0"/>
                <w:sz w:val="18"/>
                <w:szCs w:val="18"/>
                <w:lang w:val="en-US" w:eastAsia="zh-CN" w:bidi="ar-SA"/>
              </w:rPr>
            </w:pPr>
            <w:r>
              <w:rPr>
                <w:rFonts w:hint="eastAsia" w:ascii="等线" w:hAnsi="等线" w:eastAsia="等线"/>
                <w:color w:val="000000"/>
                <w:sz w:val="18"/>
                <w:szCs w:val="18"/>
              </w:rPr>
              <w:t>朱慕平</w:t>
            </w:r>
          </w:p>
        </w:tc>
        <w:tc>
          <w:tcPr>
            <w:tcW w:w="6646" w:type="dxa"/>
            <w:tcBorders>
              <w:top w:val="single" w:color="auto" w:sz="8" w:space="0"/>
            </w:tcBorders>
            <w:shd w:val="clear" w:color="auto" w:fill="auto"/>
            <w:noWrap/>
            <w:tcMar>
              <w:top w:w="0" w:type="dxa"/>
              <w:left w:w="108" w:type="dxa"/>
              <w:bottom w:w="0" w:type="dxa"/>
              <w:right w:w="108" w:type="dxa"/>
            </w:tcMar>
            <w:vAlign w:val="center"/>
          </w:tcPr>
          <w:p w14:paraId="5DE86B3F">
            <w:pPr>
              <w:rPr>
                <w:rFonts w:hint="eastAsia"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负责沈阳造币有限</w:t>
            </w:r>
            <w:r>
              <w:rPr>
                <w:rFonts w:ascii="等线" w:hAnsi="等线"/>
                <w:color w:val="000000"/>
                <w:sz w:val="18"/>
                <w:szCs w:val="18"/>
              </w:rPr>
              <w:t>公司</w:t>
            </w:r>
            <w:r>
              <w:rPr>
                <w:rFonts w:hint="eastAsia" w:ascii="等线" w:hAnsi="等线"/>
                <w:color w:val="000000"/>
                <w:sz w:val="18"/>
                <w:szCs w:val="18"/>
              </w:rPr>
              <w:t>试验数据的收集，参加标准的讨论、预审核审定；</w:t>
            </w:r>
          </w:p>
        </w:tc>
      </w:tr>
      <w:tr w14:paraId="7CEC83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tcBorders>
              <w:top w:val="single" w:color="auto" w:sz="8" w:space="0"/>
            </w:tcBorders>
            <w:shd w:val="clear" w:color="auto" w:fill="auto"/>
            <w:noWrap/>
            <w:tcMar>
              <w:top w:w="0" w:type="dxa"/>
              <w:left w:w="108" w:type="dxa"/>
              <w:bottom w:w="0" w:type="dxa"/>
              <w:right w:w="108" w:type="dxa"/>
            </w:tcMar>
            <w:vAlign w:val="center"/>
          </w:tcPr>
          <w:p w14:paraId="1C425A9E">
            <w:pPr>
              <w:jc w:val="center"/>
              <w:rPr>
                <w:rFonts w:hint="eastAsia" w:ascii="等线" w:hAnsi="等线" w:cs="宋体" w:eastAsiaTheme="minorEastAsia"/>
                <w:color w:val="000000"/>
                <w:kern w:val="2"/>
                <w:sz w:val="18"/>
                <w:szCs w:val="18"/>
                <w:lang w:val="en-US" w:eastAsia="zh-CN" w:bidi="ar-SA"/>
              </w:rPr>
            </w:pPr>
            <w:r>
              <w:rPr>
                <w:rFonts w:hint="eastAsia" w:ascii="等线" w:hAnsi="等线"/>
                <w:color w:val="000000"/>
                <w:sz w:val="18"/>
                <w:szCs w:val="18"/>
                <w:lang w:val="en-US" w:eastAsia="zh-CN"/>
              </w:rPr>
              <w:t>3</w:t>
            </w:r>
          </w:p>
        </w:tc>
        <w:tc>
          <w:tcPr>
            <w:tcW w:w="1229" w:type="dxa"/>
            <w:tcBorders>
              <w:top w:val="single" w:color="auto" w:sz="8" w:space="0"/>
            </w:tcBorders>
            <w:shd w:val="clear" w:color="auto" w:fill="auto"/>
            <w:noWrap/>
            <w:tcMar>
              <w:top w:w="0" w:type="dxa"/>
              <w:left w:w="108" w:type="dxa"/>
              <w:bottom w:w="0" w:type="dxa"/>
              <w:right w:w="108" w:type="dxa"/>
            </w:tcMar>
            <w:vAlign w:val="center"/>
          </w:tcPr>
          <w:p w14:paraId="2D42D920">
            <w:pPr>
              <w:pStyle w:val="9"/>
              <w:spacing w:before="0" w:beforeAutospacing="0" w:after="0" w:afterAutospacing="0" w:line="320" w:lineRule="exact"/>
              <w:rPr>
                <w:rFonts w:hint="eastAsia" w:ascii="等线" w:hAnsi="等线" w:eastAsia="等线" w:cs="宋体"/>
                <w:color w:val="000000"/>
                <w:kern w:val="0"/>
                <w:sz w:val="18"/>
                <w:szCs w:val="18"/>
                <w:lang w:val="en-US" w:eastAsia="zh-CN" w:bidi="ar-SA"/>
              </w:rPr>
            </w:pPr>
            <w:r>
              <w:rPr>
                <w:rFonts w:hint="eastAsia" w:ascii="等线" w:hAnsi="等线" w:eastAsia="等线"/>
                <w:color w:val="000000"/>
                <w:sz w:val="18"/>
                <w:szCs w:val="18"/>
              </w:rPr>
              <w:t>娄东</w:t>
            </w:r>
            <w:r>
              <w:rPr>
                <w:rFonts w:ascii="等线" w:hAnsi="等线" w:eastAsia="等线"/>
                <w:color w:val="000000"/>
                <w:sz w:val="18"/>
                <w:szCs w:val="18"/>
              </w:rPr>
              <w:t>阁</w:t>
            </w:r>
          </w:p>
        </w:tc>
        <w:tc>
          <w:tcPr>
            <w:tcW w:w="6646" w:type="dxa"/>
            <w:tcBorders>
              <w:top w:val="single" w:color="auto" w:sz="8" w:space="0"/>
            </w:tcBorders>
            <w:shd w:val="clear" w:color="auto" w:fill="auto"/>
            <w:noWrap/>
            <w:tcMar>
              <w:top w:w="0" w:type="dxa"/>
              <w:left w:w="108" w:type="dxa"/>
              <w:bottom w:w="0" w:type="dxa"/>
              <w:right w:w="108" w:type="dxa"/>
            </w:tcMar>
            <w:vAlign w:val="center"/>
          </w:tcPr>
          <w:p w14:paraId="27CEFC73">
            <w:pPr>
              <w:rPr>
                <w:rFonts w:hint="eastAsia"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负责中铝洛阳铜数据收集和验证，参加标准的讨论、预审核审定；</w:t>
            </w:r>
          </w:p>
        </w:tc>
      </w:tr>
      <w:tr w14:paraId="0DB24A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tcBorders>
              <w:top w:val="single" w:color="auto" w:sz="8" w:space="0"/>
            </w:tcBorders>
            <w:shd w:val="clear" w:color="auto" w:fill="auto"/>
            <w:noWrap/>
            <w:tcMar>
              <w:top w:w="0" w:type="dxa"/>
              <w:left w:w="108" w:type="dxa"/>
              <w:bottom w:w="0" w:type="dxa"/>
              <w:right w:w="108" w:type="dxa"/>
            </w:tcMar>
            <w:vAlign w:val="center"/>
          </w:tcPr>
          <w:p w14:paraId="43FECC41">
            <w:pPr>
              <w:jc w:val="center"/>
              <w:rPr>
                <w:rFonts w:hint="eastAsia" w:ascii="等线" w:hAnsi="等线"/>
                <w:color w:val="000000"/>
                <w:sz w:val="18"/>
                <w:szCs w:val="18"/>
                <w:lang w:val="en-US" w:eastAsia="zh-CN"/>
              </w:rPr>
            </w:pPr>
            <w:r>
              <w:rPr>
                <w:rFonts w:hint="eastAsia" w:ascii="等线" w:hAnsi="等线"/>
                <w:color w:val="000000"/>
                <w:sz w:val="18"/>
                <w:szCs w:val="18"/>
                <w:lang w:val="en-US" w:eastAsia="zh-CN"/>
              </w:rPr>
              <w:t>4</w:t>
            </w:r>
          </w:p>
        </w:tc>
        <w:tc>
          <w:tcPr>
            <w:tcW w:w="1229" w:type="dxa"/>
            <w:tcBorders>
              <w:top w:val="single" w:color="auto" w:sz="8" w:space="0"/>
            </w:tcBorders>
            <w:shd w:val="clear" w:color="auto" w:fill="auto"/>
            <w:noWrap/>
            <w:tcMar>
              <w:top w:w="0" w:type="dxa"/>
              <w:left w:w="108" w:type="dxa"/>
              <w:bottom w:w="0" w:type="dxa"/>
              <w:right w:w="108" w:type="dxa"/>
            </w:tcMar>
            <w:vAlign w:val="center"/>
          </w:tcPr>
          <w:p w14:paraId="1D99EB67">
            <w:pPr>
              <w:pStyle w:val="9"/>
              <w:spacing w:before="0" w:beforeAutospacing="0" w:after="0" w:afterAutospacing="0" w:line="320" w:lineRule="exact"/>
              <w:rPr>
                <w:rFonts w:hint="eastAsia" w:ascii="等线" w:hAnsi="等线" w:eastAsia="等线"/>
                <w:color w:val="000000"/>
                <w:sz w:val="18"/>
                <w:szCs w:val="18"/>
              </w:rPr>
            </w:pPr>
            <w:r>
              <w:rPr>
                <w:rFonts w:hint="eastAsia" w:ascii="等线" w:hAnsi="等线" w:eastAsia="等线"/>
                <w:color w:val="000000"/>
                <w:sz w:val="18"/>
                <w:szCs w:val="18"/>
              </w:rPr>
              <w:t>宋喜茜</w:t>
            </w:r>
          </w:p>
        </w:tc>
        <w:tc>
          <w:tcPr>
            <w:tcW w:w="6646" w:type="dxa"/>
            <w:tcBorders>
              <w:top w:val="single" w:color="auto" w:sz="8" w:space="0"/>
            </w:tcBorders>
            <w:shd w:val="clear" w:color="auto" w:fill="auto"/>
            <w:noWrap/>
            <w:tcMar>
              <w:top w:w="0" w:type="dxa"/>
              <w:left w:w="108" w:type="dxa"/>
              <w:bottom w:w="0" w:type="dxa"/>
              <w:right w:w="108" w:type="dxa"/>
            </w:tcMar>
            <w:vAlign w:val="center"/>
          </w:tcPr>
          <w:p w14:paraId="4CE81747">
            <w:pPr>
              <w:rPr>
                <w:rFonts w:hint="eastAsia" w:ascii="等线" w:hAnsi="等线"/>
                <w:color w:val="000000"/>
                <w:sz w:val="18"/>
                <w:szCs w:val="18"/>
              </w:rPr>
            </w:pPr>
            <w:r>
              <w:rPr>
                <w:rFonts w:hint="eastAsia" w:ascii="等线" w:hAnsi="等线"/>
                <w:color w:val="000000"/>
                <w:sz w:val="18"/>
                <w:szCs w:val="18"/>
              </w:rPr>
              <w:t>负责广东龙丰精密铜管有限公司协调管理；</w:t>
            </w:r>
          </w:p>
        </w:tc>
      </w:tr>
      <w:tr w14:paraId="1411C7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noWrap/>
            <w:tcMar>
              <w:top w:w="0" w:type="dxa"/>
              <w:left w:w="108" w:type="dxa"/>
              <w:bottom w:w="0" w:type="dxa"/>
              <w:right w:w="108" w:type="dxa"/>
            </w:tcMar>
            <w:vAlign w:val="center"/>
          </w:tcPr>
          <w:p w14:paraId="5C682E68">
            <w:pPr>
              <w:jc w:val="center"/>
              <w:rPr>
                <w:rFonts w:hint="eastAsia" w:ascii="等线" w:hAnsi="等线" w:cs="宋体" w:eastAsiaTheme="minorEastAsia"/>
                <w:color w:val="000000"/>
                <w:sz w:val="18"/>
                <w:szCs w:val="18"/>
                <w:lang w:eastAsia="zh-CN"/>
              </w:rPr>
            </w:pPr>
            <w:r>
              <w:rPr>
                <w:rFonts w:hint="eastAsia" w:ascii="等线" w:hAnsi="等线"/>
                <w:color w:val="000000"/>
                <w:sz w:val="18"/>
                <w:szCs w:val="18"/>
                <w:lang w:val="en-US" w:eastAsia="zh-CN"/>
              </w:rPr>
              <w:t>5</w:t>
            </w:r>
          </w:p>
        </w:tc>
        <w:tc>
          <w:tcPr>
            <w:tcW w:w="1229" w:type="dxa"/>
            <w:shd w:val="clear" w:color="auto" w:fill="auto"/>
            <w:noWrap/>
            <w:tcMar>
              <w:top w:w="0" w:type="dxa"/>
              <w:left w:w="108" w:type="dxa"/>
              <w:bottom w:w="0" w:type="dxa"/>
              <w:right w:w="108" w:type="dxa"/>
            </w:tcMar>
            <w:vAlign w:val="center"/>
          </w:tcPr>
          <w:p w14:paraId="313E9340">
            <w:pPr>
              <w:pStyle w:val="9"/>
              <w:spacing w:before="0" w:beforeAutospacing="0" w:after="0" w:afterAutospacing="0" w:line="320" w:lineRule="exact"/>
              <w:rPr>
                <w:rFonts w:ascii="等线" w:hAnsi="等线" w:eastAsia="等线" w:cs="宋体"/>
                <w:color w:val="000000"/>
                <w:kern w:val="0"/>
                <w:sz w:val="18"/>
                <w:szCs w:val="18"/>
                <w:lang w:val="en-US" w:eastAsia="zh-CN" w:bidi="ar-SA"/>
              </w:rPr>
            </w:pPr>
            <w:r>
              <w:rPr>
                <w:rFonts w:hint="eastAsia" w:ascii="等线" w:hAnsi="等线" w:eastAsia="等线"/>
                <w:color w:val="000000"/>
                <w:sz w:val="18"/>
                <w:szCs w:val="18"/>
              </w:rPr>
              <w:t>王振尧</w:t>
            </w:r>
          </w:p>
        </w:tc>
        <w:tc>
          <w:tcPr>
            <w:tcW w:w="6646" w:type="dxa"/>
            <w:shd w:val="clear" w:color="auto" w:fill="auto"/>
            <w:noWrap/>
            <w:tcMar>
              <w:top w:w="0" w:type="dxa"/>
              <w:left w:w="108" w:type="dxa"/>
              <w:bottom w:w="0" w:type="dxa"/>
              <w:right w:w="108" w:type="dxa"/>
            </w:tcMar>
            <w:vAlign w:val="center"/>
          </w:tcPr>
          <w:p w14:paraId="3060F73D">
            <w:pPr>
              <w:rPr>
                <w:rFonts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负责标准协调管理；负责标准编制过程中各方案得编制；</w:t>
            </w:r>
          </w:p>
        </w:tc>
      </w:tr>
      <w:tr w14:paraId="75DB06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shd w:val="clear"/>
            <w:noWrap/>
            <w:tcMar>
              <w:top w:w="0" w:type="dxa"/>
              <w:left w:w="108" w:type="dxa"/>
              <w:bottom w:w="0" w:type="dxa"/>
              <w:right w:w="108" w:type="dxa"/>
            </w:tcMar>
            <w:vAlign w:val="center"/>
          </w:tcPr>
          <w:p w14:paraId="399A9B7A">
            <w:pPr>
              <w:jc w:val="center"/>
              <w:rPr>
                <w:rFonts w:hint="eastAsia" w:ascii="等线" w:hAnsi="等线" w:cs="宋体" w:eastAsiaTheme="minorEastAsia"/>
                <w:color w:val="000000"/>
                <w:kern w:val="2"/>
                <w:sz w:val="18"/>
                <w:szCs w:val="18"/>
                <w:lang w:val="en-US" w:eastAsia="zh-CN" w:bidi="ar-SA"/>
              </w:rPr>
            </w:pPr>
            <w:r>
              <w:rPr>
                <w:rFonts w:hint="eastAsia" w:ascii="等线" w:hAnsi="等线"/>
                <w:color w:val="000000"/>
                <w:sz w:val="18"/>
                <w:szCs w:val="18"/>
                <w:lang w:val="en-US" w:eastAsia="zh-CN"/>
              </w:rPr>
              <w:t>6</w:t>
            </w:r>
          </w:p>
        </w:tc>
        <w:tc>
          <w:tcPr>
            <w:tcW w:w="1229" w:type="dxa"/>
            <w:shd w:val="clear" w:color="auto" w:fill="auto"/>
            <w:noWrap/>
            <w:tcMar>
              <w:top w:w="0" w:type="dxa"/>
              <w:left w:w="108" w:type="dxa"/>
              <w:bottom w:w="0" w:type="dxa"/>
              <w:right w:w="108" w:type="dxa"/>
            </w:tcMar>
            <w:vAlign w:val="center"/>
          </w:tcPr>
          <w:p w14:paraId="502B70E0">
            <w:pPr>
              <w:pStyle w:val="9"/>
              <w:spacing w:before="0" w:beforeAutospacing="0" w:after="0" w:afterAutospacing="0" w:line="320" w:lineRule="exact"/>
              <w:rPr>
                <w:rFonts w:hint="eastAsia" w:ascii="等线" w:hAnsi="等线" w:eastAsia="等线" w:cs="宋体"/>
                <w:color w:val="000000"/>
                <w:kern w:val="0"/>
                <w:sz w:val="18"/>
                <w:szCs w:val="18"/>
                <w:lang w:val="en-US" w:eastAsia="zh-CN" w:bidi="ar-SA"/>
              </w:rPr>
            </w:pPr>
            <w:r>
              <w:rPr>
                <w:rFonts w:hint="eastAsia" w:ascii="等线" w:hAnsi="等线" w:eastAsia="等线"/>
                <w:color w:val="000000"/>
                <w:sz w:val="18"/>
                <w:szCs w:val="18"/>
              </w:rPr>
              <w:t>梁军</w:t>
            </w:r>
          </w:p>
        </w:tc>
        <w:tc>
          <w:tcPr>
            <w:tcW w:w="6646" w:type="dxa"/>
            <w:shd w:val="clear" w:color="auto" w:fill="auto"/>
            <w:noWrap/>
            <w:tcMar>
              <w:top w:w="0" w:type="dxa"/>
              <w:left w:w="108" w:type="dxa"/>
              <w:bottom w:w="0" w:type="dxa"/>
              <w:right w:w="108" w:type="dxa"/>
            </w:tcMar>
            <w:vAlign w:val="center"/>
          </w:tcPr>
          <w:p w14:paraId="4E57C30F">
            <w:pPr>
              <w:rPr>
                <w:rFonts w:hint="eastAsia"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负责协调沈阳造币有限</w:t>
            </w:r>
            <w:r>
              <w:rPr>
                <w:rFonts w:ascii="等线" w:hAnsi="等线"/>
                <w:color w:val="000000"/>
                <w:sz w:val="18"/>
                <w:szCs w:val="18"/>
              </w:rPr>
              <w:t>公司</w:t>
            </w:r>
            <w:r>
              <w:rPr>
                <w:rFonts w:hint="eastAsia" w:ascii="等线" w:hAnsi="等线"/>
                <w:color w:val="000000"/>
                <w:sz w:val="18"/>
                <w:szCs w:val="18"/>
              </w:rPr>
              <w:t>、上海造币有限公司和南京造币有限公司数据收集和验证，相关标准信息和市场信息的收集；</w:t>
            </w:r>
          </w:p>
        </w:tc>
      </w:tr>
      <w:tr w14:paraId="408BC4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tcBorders>
              <w:top w:val="single" w:color="auto" w:sz="8" w:space="0"/>
            </w:tcBorders>
            <w:noWrap/>
            <w:tcMar>
              <w:top w:w="0" w:type="dxa"/>
              <w:left w:w="108" w:type="dxa"/>
              <w:bottom w:w="0" w:type="dxa"/>
              <w:right w:w="108" w:type="dxa"/>
            </w:tcMar>
            <w:vAlign w:val="center"/>
          </w:tcPr>
          <w:p w14:paraId="68D3050A">
            <w:pPr>
              <w:jc w:val="center"/>
              <w:rPr>
                <w:rFonts w:hint="eastAsia" w:ascii="等线" w:hAnsi="等线" w:cs="宋体" w:eastAsiaTheme="minorEastAsia"/>
                <w:color w:val="000000"/>
                <w:sz w:val="18"/>
                <w:szCs w:val="18"/>
                <w:lang w:eastAsia="zh-CN"/>
              </w:rPr>
            </w:pPr>
            <w:r>
              <w:rPr>
                <w:rFonts w:hint="eastAsia" w:ascii="等线" w:hAnsi="等线"/>
                <w:color w:val="000000"/>
                <w:sz w:val="18"/>
                <w:szCs w:val="18"/>
                <w:lang w:val="en-US" w:eastAsia="zh-CN"/>
              </w:rPr>
              <w:t>7</w:t>
            </w:r>
          </w:p>
        </w:tc>
        <w:tc>
          <w:tcPr>
            <w:tcW w:w="1229" w:type="dxa"/>
            <w:tcBorders>
              <w:top w:val="single" w:color="auto" w:sz="8" w:space="0"/>
            </w:tcBorders>
            <w:shd w:val="clear" w:color="auto" w:fill="auto"/>
            <w:noWrap/>
            <w:tcMar>
              <w:top w:w="0" w:type="dxa"/>
              <w:left w:w="108" w:type="dxa"/>
              <w:bottom w:w="0" w:type="dxa"/>
              <w:right w:w="108" w:type="dxa"/>
            </w:tcMar>
            <w:vAlign w:val="center"/>
          </w:tcPr>
          <w:p w14:paraId="5BF3C1E0">
            <w:pPr>
              <w:pStyle w:val="9"/>
              <w:spacing w:before="0" w:beforeAutospacing="0" w:after="0" w:afterAutospacing="0" w:line="320" w:lineRule="exact"/>
              <w:rPr>
                <w:rFonts w:ascii="等线" w:hAnsi="等线" w:eastAsia="等线" w:cs="宋体"/>
                <w:color w:val="000000"/>
                <w:kern w:val="0"/>
                <w:sz w:val="18"/>
                <w:szCs w:val="18"/>
                <w:lang w:val="en-US" w:eastAsia="zh-CN" w:bidi="ar-SA"/>
              </w:rPr>
            </w:pPr>
            <w:r>
              <w:rPr>
                <w:rFonts w:hint="eastAsia" w:ascii="等线" w:hAnsi="等线" w:eastAsia="等线"/>
                <w:color w:val="000000"/>
                <w:sz w:val="18"/>
                <w:szCs w:val="18"/>
              </w:rPr>
              <w:t>汪川</w:t>
            </w:r>
          </w:p>
        </w:tc>
        <w:tc>
          <w:tcPr>
            <w:tcW w:w="6646" w:type="dxa"/>
            <w:tcBorders>
              <w:top w:val="single" w:color="auto" w:sz="8" w:space="0"/>
            </w:tcBorders>
            <w:shd w:val="clear" w:color="auto" w:fill="auto"/>
            <w:noWrap/>
            <w:tcMar>
              <w:top w:w="0" w:type="dxa"/>
              <w:left w:w="108" w:type="dxa"/>
              <w:bottom w:w="0" w:type="dxa"/>
              <w:right w:w="108" w:type="dxa"/>
            </w:tcMar>
            <w:vAlign w:val="center"/>
          </w:tcPr>
          <w:p w14:paraId="7270E8AA">
            <w:pPr>
              <w:rPr>
                <w:rFonts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负责试验数据的归集和验证，相关标准信息和市场信息的收集；</w:t>
            </w:r>
          </w:p>
        </w:tc>
      </w:tr>
      <w:tr w14:paraId="6038E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tcBorders>
              <w:top w:val="single" w:color="auto" w:sz="8" w:space="0"/>
            </w:tcBorders>
            <w:noWrap/>
            <w:tcMar>
              <w:top w:w="0" w:type="dxa"/>
              <w:left w:w="108" w:type="dxa"/>
              <w:bottom w:w="0" w:type="dxa"/>
              <w:right w:w="108" w:type="dxa"/>
            </w:tcMar>
            <w:vAlign w:val="center"/>
          </w:tcPr>
          <w:p w14:paraId="2714BC0C">
            <w:pPr>
              <w:jc w:val="center"/>
              <w:rPr>
                <w:rFonts w:hint="default" w:ascii="等线" w:hAnsi="等线"/>
                <w:color w:val="000000"/>
                <w:sz w:val="18"/>
                <w:szCs w:val="18"/>
                <w:lang w:val="en-US" w:eastAsia="zh-CN"/>
              </w:rPr>
            </w:pPr>
            <w:r>
              <w:rPr>
                <w:rFonts w:hint="eastAsia" w:ascii="等线" w:hAnsi="等线"/>
                <w:color w:val="000000"/>
                <w:sz w:val="18"/>
                <w:szCs w:val="18"/>
                <w:lang w:val="en-US" w:eastAsia="zh-CN"/>
              </w:rPr>
              <w:t>8</w:t>
            </w:r>
          </w:p>
        </w:tc>
        <w:tc>
          <w:tcPr>
            <w:tcW w:w="1229" w:type="dxa"/>
            <w:tcBorders>
              <w:top w:val="single" w:color="auto" w:sz="8" w:space="0"/>
            </w:tcBorders>
            <w:shd w:val="clear" w:color="auto" w:fill="auto"/>
            <w:noWrap/>
            <w:tcMar>
              <w:top w:w="0" w:type="dxa"/>
              <w:left w:w="108" w:type="dxa"/>
              <w:bottom w:w="0" w:type="dxa"/>
              <w:right w:w="108" w:type="dxa"/>
            </w:tcMar>
            <w:vAlign w:val="center"/>
          </w:tcPr>
          <w:p w14:paraId="4A20D0BA">
            <w:pPr>
              <w:pStyle w:val="9"/>
              <w:spacing w:before="0" w:beforeAutospacing="0" w:after="0" w:afterAutospacing="0" w:line="320" w:lineRule="exact"/>
              <w:rPr>
                <w:rFonts w:hint="eastAsia" w:ascii="等线" w:hAnsi="等线" w:eastAsia="等线"/>
                <w:color w:val="000000"/>
                <w:sz w:val="18"/>
                <w:szCs w:val="18"/>
                <w:lang w:val="en-US" w:eastAsia="zh-CN"/>
              </w:rPr>
            </w:pPr>
            <w:r>
              <w:rPr>
                <w:rFonts w:hint="eastAsia" w:ascii="等线" w:hAnsi="等线" w:eastAsia="等线"/>
                <w:color w:val="000000"/>
                <w:sz w:val="18"/>
                <w:szCs w:val="18"/>
                <w:lang w:val="en-US" w:eastAsia="zh-CN"/>
              </w:rPr>
              <w:t>李彤</w:t>
            </w:r>
          </w:p>
        </w:tc>
        <w:tc>
          <w:tcPr>
            <w:tcW w:w="6646" w:type="dxa"/>
            <w:tcBorders>
              <w:top w:val="single" w:color="auto" w:sz="8" w:space="0"/>
            </w:tcBorders>
            <w:shd w:val="clear" w:color="auto" w:fill="auto"/>
            <w:noWrap/>
            <w:tcMar>
              <w:top w:w="0" w:type="dxa"/>
              <w:left w:w="108" w:type="dxa"/>
              <w:bottom w:w="0" w:type="dxa"/>
              <w:right w:w="108" w:type="dxa"/>
            </w:tcMar>
            <w:vAlign w:val="center"/>
          </w:tcPr>
          <w:p w14:paraId="0140CB1B">
            <w:pPr>
              <w:rPr>
                <w:rFonts w:hint="eastAsia" w:ascii="等线" w:hAnsi="等线"/>
                <w:color w:val="000000"/>
                <w:sz w:val="18"/>
                <w:szCs w:val="18"/>
              </w:rPr>
            </w:pPr>
            <w:r>
              <w:rPr>
                <w:rFonts w:hint="eastAsia" w:ascii="等线" w:hAnsi="等线"/>
                <w:color w:val="000000"/>
                <w:sz w:val="18"/>
                <w:szCs w:val="18"/>
              </w:rPr>
              <w:t>负责中铝洛阳铜数据收集和验证，参加标准的讨论、预审核审定；</w:t>
            </w:r>
          </w:p>
        </w:tc>
      </w:tr>
      <w:tr w14:paraId="007A7D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noWrap/>
            <w:tcMar>
              <w:top w:w="0" w:type="dxa"/>
              <w:left w:w="108" w:type="dxa"/>
              <w:bottom w:w="0" w:type="dxa"/>
              <w:right w:w="108" w:type="dxa"/>
            </w:tcMar>
            <w:vAlign w:val="center"/>
          </w:tcPr>
          <w:p w14:paraId="38B541D7">
            <w:pPr>
              <w:jc w:val="center"/>
              <w:rPr>
                <w:rFonts w:hint="default" w:ascii="等线" w:hAnsi="等线" w:cs="宋体" w:eastAsiaTheme="minorEastAsia"/>
                <w:color w:val="000000"/>
                <w:sz w:val="18"/>
                <w:szCs w:val="18"/>
                <w:lang w:val="en-US" w:eastAsia="zh-CN"/>
              </w:rPr>
            </w:pPr>
            <w:r>
              <w:rPr>
                <w:rFonts w:hint="eastAsia" w:ascii="等线" w:hAnsi="等线" w:cs="宋体"/>
                <w:color w:val="000000"/>
                <w:sz w:val="18"/>
                <w:szCs w:val="18"/>
                <w:lang w:val="en-US" w:eastAsia="zh-CN"/>
              </w:rPr>
              <w:t>9</w:t>
            </w:r>
          </w:p>
        </w:tc>
        <w:tc>
          <w:tcPr>
            <w:tcW w:w="1229" w:type="dxa"/>
            <w:shd w:val="clear" w:color="auto" w:fill="auto"/>
            <w:noWrap/>
            <w:tcMar>
              <w:top w:w="0" w:type="dxa"/>
              <w:left w:w="108" w:type="dxa"/>
              <w:bottom w:w="0" w:type="dxa"/>
              <w:right w:w="108" w:type="dxa"/>
            </w:tcMar>
            <w:vAlign w:val="center"/>
          </w:tcPr>
          <w:p w14:paraId="74B67138">
            <w:pPr>
              <w:pStyle w:val="9"/>
              <w:spacing w:before="0" w:beforeAutospacing="0" w:after="0" w:afterAutospacing="0" w:line="320" w:lineRule="exact"/>
              <w:rPr>
                <w:rFonts w:ascii="等线" w:hAnsi="等线" w:eastAsia="等线" w:cs="宋体"/>
                <w:color w:val="000000"/>
                <w:kern w:val="0"/>
                <w:sz w:val="18"/>
                <w:szCs w:val="18"/>
                <w:lang w:val="en-US" w:eastAsia="zh-CN" w:bidi="ar-SA"/>
              </w:rPr>
            </w:pPr>
            <w:r>
              <w:rPr>
                <w:rFonts w:hint="eastAsia" w:ascii="等线" w:hAnsi="等线" w:eastAsia="等线"/>
                <w:color w:val="000000"/>
                <w:sz w:val="18"/>
                <w:szCs w:val="18"/>
              </w:rPr>
              <w:t>刘雨薇</w:t>
            </w:r>
          </w:p>
        </w:tc>
        <w:tc>
          <w:tcPr>
            <w:tcW w:w="6646" w:type="dxa"/>
            <w:shd w:val="clear" w:color="auto" w:fill="auto"/>
            <w:noWrap/>
            <w:tcMar>
              <w:top w:w="0" w:type="dxa"/>
              <w:left w:w="108" w:type="dxa"/>
              <w:bottom w:w="0" w:type="dxa"/>
              <w:right w:w="108" w:type="dxa"/>
            </w:tcMar>
            <w:vAlign w:val="center"/>
          </w:tcPr>
          <w:p w14:paraId="0C51D279">
            <w:pPr>
              <w:rPr>
                <w:rFonts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负责试验数据归集和分析，相关标准信息和市场信息的收集；</w:t>
            </w:r>
          </w:p>
        </w:tc>
      </w:tr>
      <w:tr w14:paraId="5A490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shd w:val="clear"/>
            <w:noWrap/>
            <w:tcMar>
              <w:top w:w="0" w:type="dxa"/>
              <w:left w:w="108" w:type="dxa"/>
              <w:bottom w:w="0" w:type="dxa"/>
              <w:right w:w="108" w:type="dxa"/>
            </w:tcMar>
            <w:vAlign w:val="center"/>
          </w:tcPr>
          <w:p w14:paraId="5EA78312">
            <w:pPr>
              <w:jc w:val="center"/>
              <w:rPr>
                <w:rFonts w:hint="eastAsia" w:ascii="等线" w:hAnsi="等线" w:cs="宋体" w:eastAsiaTheme="minorEastAsia"/>
                <w:color w:val="000000"/>
                <w:kern w:val="2"/>
                <w:sz w:val="18"/>
                <w:szCs w:val="18"/>
                <w:lang w:val="en-US" w:eastAsia="zh-CN" w:bidi="ar-SA"/>
              </w:rPr>
            </w:pPr>
            <w:r>
              <w:rPr>
                <w:rFonts w:hint="eastAsia" w:ascii="等线" w:hAnsi="等线"/>
                <w:color w:val="000000"/>
                <w:sz w:val="18"/>
                <w:szCs w:val="18"/>
                <w:lang w:val="en-US" w:eastAsia="zh-CN"/>
              </w:rPr>
              <w:t>10</w:t>
            </w:r>
          </w:p>
        </w:tc>
        <w:tc>
          <w:tcPr>
            <w:tcW w:w="1229" w:type="dxa"/>
            <w:shd w:val="clear" w:color="auto" w:fill="auto"/>
            <w:noWrap/>
            <w:tcMar>
              <w:top w:w="0" w:type="dxa"/>
              <w:left w:w="108" w:type="dxa"/>
              <w:bottom w:w="0" w:type="dxa"/>
              <w:right w:w="108" w:type="dxa"/>
            </w:tcMar>
            <w:vAlign w:val="center"/>
          </w:tcPr>
          <w:p w14:paraId="07B84E6E">
            <w:pPr>
              <w:pStyle w:val="9"/>
              <w:spacing w:before="0" w:beforeAutospacing="0" w:after="0" w:afterAutospacing="0" w:line="320" w:lineRule="exact"/>
              <w:rPr>
                <w:rFonts w:hint="eastAsia" w:ascii="等线" w:hAnsi="等线" w:eastAsia="等线" w:cs="宋体"/>
                <w:color w:val="000000"/>
                <w:kern w:val="0"/>
                <w:sz w:val="18"/>
                <w:szCs w:val="18"/>
                <w:lang w:val="en-US" w:eastAsia="zh-CN" w:bidi="ar-SA"/>
              </w:rPr>
            </w:pPr>
            <w:r>
              <w:rPr>
                <w:rFonts w:hint="eastAsia" w:ascii="等线" w:hAnsi="等线" w:eastAsia="等线"/>
                <w:color w:val="000000"/>
                <w:sz w:val="18"/>
                <w:szCs w:val="18"/>
              </w:rPr>
              <w:t>王菲</w:t>
            </w:r>
          </w:p>
        </w:tc>
        <w:tc>
          <w:tcPr>
            <w:tcW w:w="6646" w:type="dxa"/>
            <w:shd w:val="clear" w:color="auto" w:fill="auto"/>
            <w:noWrap/>
            <w:tcMar>
              <w:top w:w="0" w:type="dxa"/>
              <w:left w:w="108" w:type="dxa"/>
              <w:bottom w:w="0" w:type="dxa"/>
              <w:right w:w="108" w:type="dxa"/>
            </w:tcMar>
            <w:vAlign w:val="center"/>
          </w:tcPr>
          <w:p w14:paraId="568E19CA">
            <w:pPr>
              <w:rPr>
                <w:rFonts w:hint="eastAsia"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负责流通纪念币数据收集和验证、参加标准的讨论、预审核审定；</w:t>
            </w:r>
          </w:p>
        </w:tc>
      </w:tr>
      <w:tr w14:paraId="431152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noWrap/>
            <w:tcMar>
              <w:top w:w="0" w:type="dxa"/>
              <w:left w:w="108" w:type="dxa"/>
              <w:bottom w:w="0" w:type="dxa"/>
              <w:right w:w="108" w:type="dxa"/>
            </w:tcMar>
            <w:vAlign w:val="center"/>
          </w:tcPr>
          <w:p w14:paraId="05DFD5E1">
            <w:pPr>
              <w:jc w:val="center"/>
              <w:rPr>
                <w:rFonts w:hint="default" w:ascii="等线" w:hAnsi="等线" w:cs="宋体" w:eastAsiaTheme="minorEastAsia"/>
                <w:color w:val="000000"/>
                <w:sz w:val="18"/>
                <w:szCs w:val="18"/>
                <w:lang w:val="en-US" w:eastAsia="zh-CN"/>
              </w:rPr>
            </w:pPr>
            <w:r>
              <w:rPr>
                <w:rFonts w:hint="eastAsia" w:ascii="等线" w:hAnsi="等线"/>
                <w:color w:val="000000"/>
                <w:sz w:val="18"/>
                <w:szCs w:val="18"/>
                <w:lang w:val="en-US" w:eastAsia="zh-CN"/>
              </w:rPr>
              <w:t>11</w:t>
            </w:r>
          </w:p>
        </w:tc>
        <w:tc>
          <w:tcPr>
            <w:tcW w:w="1229" w:type="dxa"/>
            <w:shd w:val="clear" w:color="auto" w:fill="auto"/>
            <w:noWrap/>
            <w:tcMar>
              <w:top w:w="0" w:type="dxa"/>
              <w:left w:w="108" w:type="dxa"/>
              <w:bottom w:w="0" w:type="dxa"/>
              <w:right w:w="108" w:type="dxa"/>
            </w:tcMar>
            <w:vAlign w:val="center"/>
          </w:tcPr>
          <w:p w14:paraId="100F1817">
            <w:pPr>
              <w:pStyle w:val="9"/>
              <w:spacing w:before="0" w:beforeAutospacing="0" w:after="0" w:afterAutospacing="0" w:line="320" w:lineRule="exact"/>
              <w:rPr>
                <w:rFonts w:ascii="等线" w:hAnsi="等线" w:eastAsia="等线" w:cs="宋体"/>
                <w:color w:val="000000"/>
                <w:kern w:val="0"/>
                <w:sz w:val="18"/>
                <w:szCs w:val="18"/>
                <w:lang w:val="en-US" w:eastAsia="zh-CN" w:bidi="ar-SA"/>
              </w:rPr>
            </w:pPr>
            <w:r>
              <w:rPr>
                <w:rFonts w:hint="eastAsia" w:ascii="等线" w:hAnsi="等线" w:eastAsia="等线"/>
                <w:color w:val="000000"/>
                <w:sz w:val="18"/>
                <w:szCs w:val="18"/>
              </w:rPr>
              <w:t>郭泉忠</w:t>
            </w:r>
          </w:p>
        </w:tc>
        <w:tc>
          <w:tcPr>
            <w:tcW w:w="6646" w:type="dxa"/>
            <w:shd w:val="clear" w:color="auto" w:fill="auto"/>
            <w:noWrap/>
            <w:tcMar>
              <w:top w:w="0" w:type="dxa"/>
              <w:left w:w="108" w:type="dxa"/>
              <w:bottom w:w="0" w:type="dxa"/>
              <w:right w:w="108" w:type="dxa"/>
            </w:tcMar>
            <w:vAlign w:val="center"/>
          </w:tcPr>
          <w:p w14:paraId="5184313C">
            <w:pPr>
              <w:rPr>
                <w:rFonts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负责试验数据归集和分析，相关标准信息和市场信息的收集；</w:t>
            </w:r>
          </w:p>
        </w:tc>
      </w:tr>
      <w:tr w14:paraId="3BC1F8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shd w:val="clear"/>
            <w:noWrap/>
            <w:tcMar>
              <w:top w:w="0" w:type="dxa"/>
              <w:left w:w="108" w:type="dxa"/>
              <w:bottom w:w="0" w:type="dxa"/>
              <w:right w:w="108" w:type="dxa"/>
            </w:tcMar>
            <w:vAlign w:val="center"/>
          </w:tcPr>
          <w:p w14:paraId="517D3956">
            <w:pPr>
              <w:jc w:val="center"/>
              <w:rPr>
                <w:rFonts w:hint="default" w:ascii="等线" w:hAnsi="等线" w:cs="宋体" w:eastAsiaTheme="minorEastAsia"/>
                <w:color w:val="000000"/>
                <w:kern w:val="2"/>
                <w:sz w:val="18"/>
                <w:szCs w:val="18"/>
                <w:lang w:val="en-US" w:eastAsia="zh-CN" w:bidi="ar-SA"/>
              </w:rPr>
            </w:pPr>
            <w:r>
              <w:rPr>
                <w:rFonts w:hint="eastAsia" w:ascii="等线" w:hAnsi="等线"/>
                <w:color w:val="000000"/>
                <w:sz w:val="18"/>
                <w:szCs w:val="18"/>
                <w:lang w:val="en-US" w:eastAsia="zh-CN"/>
              </w:rPr>
              <w:t>12</w:t>
            </w:r>
          </w:p>
        </w:tc>
        <w:tc>
          <w:tcPr>
            <w:tcW w:w="1229" w:type="dxa"/>
            <w:shd w:val="clear" w:color="auto" w:fill="auto"/>
            <w:noWrap/>
            <w:tcMar>
              <w:top w:w="0" w:type="dxa"/>
              <w:left w:w="108" w:type="dxa"/>
              <w:bottom w:w="0" w:type="dxa"/>
              <w:right w:w="108" w:type="dxa"/>
            </w:tcMar>
            <w:vAlign w:val="center"/>
          </w:tcPr>
          <w:p w14:paraId="49FA8F65">
            <w:pPr>
              <w:pStyle w:val="9"/>
              <w:spacing w:before="0" w:beforeAutospacing="0" w:after="0" w:afterAutospacing="0" w:line="320" w:lineRule="exact"/>
              <w:rPr>
                <w:rFonts w:hint="eastAsia" w:ascii="等线" w:hAnsi="等线" w:eastAsia="等线" w:cs="宋体"/>
                <w:color w:val="000000"/>
                <w:kern w:val="0"/>
                <w:sz w:val="18"/>
                <w:szCs w:val="18"/>
                <w:lang w:val="en-US" w:eastAsia="zh-CN" w:bidi="ar-SA"/>
              </w:rPr>
            </w:pPr>
            <w:r>
              <w:rPr>
                <w:rFonts w:ascii="等线" w:hAnsi="等线" w:eastAsia="等线"/>
                <w:color w:val="000000"/>
                <w:sz w:val="18"/>
                <w:szCs w:val="18"/>
              </w:rPr>
              <w:t>韩秋水</w:t>
            </w:r>
          </w:p>
        </w:tc>
        <w:tc>
          <w:tcPr>
            <w:tcW w:w="6646" w:type="dxa"/>
            <w:shd w:val="clear" w:color="auto" w:fill="auto"/>
            <w:noWrap/>
            <w:tcMar>
              <w:top w:w="0" w:type="dxa"/>
              <w:left w:w="108" w:type="dxa"/>
              <w:bottom w:w="0" w:type="dxa"/>
              <w:right w:w="108" w:type="dxa"/>
            </w:tcMar>
            <w:vAlign w:val="top"/>
          </w:tcPr>
          <w:p w14:paraId="0D45753B">
            <w:pPr>
              <w:spacing w:line="320" w:lineRule="exact"/>
              <w:rPr>
                <w:rFonts w:ascii="等线" w:hAnsi="等线" w:cs="宋体" w:eastAsiaTheme="minorEastAsia"/>
                <w:color w:val="000000"/>
                <w:kern w:val="2"/>
                <w:sz w:val="18"/>
                <w:szCs w:val="18"/>
                <w:lang w:val="en-US" w:eastAsia="zh-CN" w:bidi="ar-SA"/>
              </w:rPr>
            </w:pPr>
            <w:r>
              <w:rPr>
                <w:rFonts w:hint="eastAsia" w:ascii="等线" w:hAnsi="等线" w:cs="宋体"/>
                <w:color w:val="000000"/>
                <w:sz w:val="18"/>
                <w:szCs w:val="18"/>
              </w:rPr>
              <w:t>负责广东龙丰精密铜管有限公司数据收集和验证，参加标准的讨论、预审、审定；</w:t>
            </w:r>
          </w:p>
        </w:tc>
      </w:tr>
      <w:tr w14:paraId="1C5A98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noWrap/>
            <w:tcMar>
              <w:top w:w="0" w:type="dxa"/>
              <w:left w:w="108" w:type="dxa"/>
              <w:bottom w:w="0" w:type="dxa"/>
              <w:right w:w="108" w:type="dxa"/>
            </w:tcMar>
            <w:vAlign w:val="center"/>
          </w:tcPr>
          <w:p w14:paraId="41A0F9C0">
            <w:pPr>
              <w:jc w:val="center"/>
              <w:rPr>
                <w:rFonts w:hint="default" w:ascii="等线" w:hAnsi="等线" w:cs="宋体" w:eastAsiaTheme="minorEastAsia"/>
                <w:color w:val="000000"/>
                <w:sz w:val="18"/>
                <w:szCs w:val="18"/>
                <w:lang w:val="en-US" w:eastAsia="zh-CN"/>
              </w:rPr>
            </w:pPr>
            <w:r>
              <w:rPr>
                <w:rFonts w:hint="eastAsia" w:ascii="等线" w:hAnsi="等线" w:cs="宋体"/>
                <w:color w:val="000000"/>
                <w:sz w:val="18"/>
                <w:szCs w:val="18"/>
                <w:lang w:val="en-US" w:eastAsia="zh-CN"/>
              </w:rPr>
              <w:t>13</w:t>
            </w:r>
          </w:p>
        </w:tc>
        <w:tc>
          <w:tcPr>
            <w:tcW w:w="1229" w:type="dxa"/>
            <w:shd w:val="clear" w:color="auto" w:fill="auto"/>
            <w:noWrap/>
            <w:tcMar>
              <w:top w:w="0" w:type="dxa"/>
              <w:left w:w="108" w:type="dxa"/>
              <w:bottom w:w="0" w:type="dxa"/>
              <w:right w:w="108" w:type="dxa"/>
            </w:tcMar>
            <w:vAlign w:val="center"/>
          </w:tcPr>
          <w:p w14:paraId="43BB413C">
            <w:pPr>
              <w:pStyle w:val="9"/>
              <w:spacing w:before="0" w:beforeAutospacing="0" w:after="0" w:afterAutospacing="0" w:line="320" w:lineRule="exact"/>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姜凯旋</w:t>
            </w:r>
          </w:p>
        </w:tc>
        <w:tc>
          <w:tcPr>
            <w:tcW w:w="6646" w:type="dxa"/>
            <w:shd w:val="clear" w:color="auto" w:fill="auto"/>
            <w:noWrap/>
            <w:tcMar>
              <w:top w:w="0" w:type="dxa"/>
              <w:left w:w="108" w:type="dxa"/>
              <w:bottom w:w="0" w:type="dxa"/>
              <w:right w:w="108" w:type="dxa"/>
            </w:tcMar>
            <w:vAlign w:val="center"/>
          </w:tcPr>
          <w:p w14:paraId="60DD357F">
            <w:pPr>
              <w:rPr>
                <w:rFonts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负责中铝洛阳铜数据收集和验证，参加标准的讨论、预审核审定；</w:t>
            </w:r>
          </w:p>
        </w:tc>
      </w:tr>
      <w:tr w14:paraId="5DB7BB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noWrap/>
            <w:tcMar>
              <w:top w:w="0" w:type="dxa"/>
              <w:left w:w="108" w:type="dxa"/>
              <w:bottom w:w="0" w:type="dxa"/>
              <w:right w:w="108" w:type="dxa"/>
            </w:tcMar>
            <w:vAlign w:val="center"/>
          </w:tcPr>
          <w:p w14:paraId="14D94472">
            <w:pPr>
              <w:jc w:val="center"/>
              <w:rPr>
                <w:rFonts w:hint="default" w:ascii="等线" w:hAnsi="等线" w:cs="宋体" w:eastAsiaTheme="minorEastAsia"/>
                <w:color w:val="000000"/>
                <w:sz w:val="18"/>
                <w:szCs w:val="18"/>
                <w:lang w:val="en-US" w:eastAsia="zh-CN"/>
              </w:rPr>
            </w:pPr>
            <w:r>
              <w:rPr>
                <w:rFonts w:hint="eastAsia" w:ascii="等线" w:hAnsi="等线"/>
                <w:color w:val="000000"/>
                <w:sz w:val="18"/>
                <w:szCs w:val="18"/>
                <w:lang w:val="en-US" w:eastAsia="zh-CN"/>
              </w:rPr>
              <w:t>14</w:t>
            </w:r>
          </w:p>
        </w:tc>
        <w:tc>
          <w:tcPr>
            <w:tcW w:w="1229" w:type="dxa"/>
            <w:shd w:val="clear" w:color="auto" w:fill="auto"/>
            <w:noWrap/>
            <w:tcMar>
              <w:top w:w="0" w:type="dxa"/>
              <w:left w:w="108" w:type="dxa"/>
              <w:bottom w:w="0" w:type="dxa"/>
              <w:right w:w="108" w:type="dxa"/>
            </w:tcMar>
            <w:vAlign w:val="center"/>
          </w:tcPr>
          <w:p w14:paraId="416A0C5F">
            <w:pPr>
              <w:pStyle w:val="9"/>
              <w:spacing w:before="0" w:beforeAutospacing="0" w:after="0" w:afterAutospacing="0" w:line="320" w:lineRule="exact"/>
              <w:rPr>
                <w:rFonts w:ascii="等线" w:hAnsi="等线" w:eastAsia="等线" w:cs="宋体"/>
                <w:color w:val="000000"/>
                <w:kern w:val="0"/>
                <w:sz w:val="18"/>
                <w:szCs w:val="18"/>
                <w:lang w:val="en-US" w:eastAsia="zh-CN" w:bidi="ar-SA"/>
              </w:rPr>
            </w:pPr>
            <w:r>
              <w:rPr>
                <w:rFonts w:hint="eastAsia" w:ascii="等线" w:hAnsi="等线" w:eastAsia="等线"/>
                <w:color w:val="000000"/>
                <w:sz w:val="18"/>
                <w:szCs w:val="18"/>
              </w:rPr>
              <w:t>张晓男</w:t>
            </w:r>
          </w:p>
        </w:tc>
        <w:tc>
          <w:tcPr>
            <w:tcW w:w="6646" w:type="dxa"/>
            <w:shd w:val="clear" w:color="auto" w:fill="auto"/>
            <w:noWrap/>
            <w:tcMar>
              <w:top w:w="0" w:type="dxa"/>
              <w:left w:w="108" w:type="dxa"/>
              <w:bottom w:w="0" w:type="dxa"/>
              <w:right w:w="108" w:type="dxa"/>
            </w:tcMar>
            <w:vAlign w:val="center"/>
          </w:tcPr>
          <w:p w14:paraId="2C30A7F4">
            <w:pPr>
              <w:rPr>
                <w:rFonts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负责流通纪念币试验数据的收集，相关标准信息和市场信息的收集；</w:t>
            </w:r>
          </w:p>
        </w:tc>
      </w:tr>
      <w:tr w14:paraId="6C475C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noWrap/>
            <w:tcMar>
              <w:top w:w="0" w:type="dxa"/>
              <w:left w:w="108" w:type="dxa"/>
              <w:bottom w:w="0" w:type="dxa"/>
              <w:right w:w="108" w:type="dxa"/>
            </w:tcMar>
            <w:vAlign w:val="center"/>
          </w:tcPr>
          <w:p w14:paraId="59663FC6">
            <w:pPr>
              <w:jc w:val="center"/>
              <w:rPr>
                <w:rFonts w:hint="default" w:ascii="等线" w:hAnsi="等线" w:cs="宋体" w:eastAsiaTheme="minorEastAsia"/>
                <w:color w:val="000000"/>
                <w:sz w:val="18"/>
                <w:szCs w:val="18"/>
                <w:lang w:val="en-US" w:eastAsia="zh-CN"/>
              </w:rPr>
            </w:pPr>
            <w:r>
              <w:rPr>
                <w:rFonts w:hint="eastAsia" w:ascii="等线" w:hAnsi="等线"/>
                <w:color w:val="000000"/>
                <w:sz w:val="18"/>
                <w:szCs w:val="18"/>
                <w:lang w:val="en-US" w:eastAsia="zh-CN"/>
              </w:rPr>
              <w:t>15</w:t>
            </w:r>
          </w:p>
        </w:tc>
        <w:tc>
          <w:tcPr>
            <w:tcW w:w="1229" w:type="dxa"/>
            <w:shd w:val="clear" w:color="auto" w:fill="auto"/>
            <w:noWrap/>
            <w:tcMar>
              <w:top w:w="0" w:type="dxa"/>
              <w:left w:w="108" w:type="dxa"/>
              <w:bottom w:w="0" w:type="dxa"/>
              <w:right w:w="108" w:type="dxa"/>
            </w:tcMar>
            <w:vAlign w:val="center"/>
          </w:tcPr>
          <w:p w14:paraId="6FD5CF9C">
            <w:pPr>
              <w:pStyle w:val="9"/>
              <w:spacing w:before="0" w:beforeAutospacing="0" w:after="0" w:afterAutospacing="0" w:line="320" w:lineRule="exact"/>
              <w:rPr>
                <w:rFonts w:hint="eastAsia" w:ascii="等线" w:hAnsi="等线" w:eastAsia="等线" w:cs="宋体"/>
                <w:color w:val="000000"/>
                <w:kern w:val="0"/>
                <w:sz w:val="18"/>
                <w:szCs w:val="18"/>
                <w:lang w:val="en-US" w:eastAsia="zh-CN" w:bidi="ar-SA"/>
              </w:rPr>
            </w:pPr>
            <w:r>
              <w:rPr>
                <w:rFonts w:ascii="等线" w:hAnsi="等线" w:eastAsia="等线"/>
                <w:color w:val="000000"/>
                <w:sz w:val="18"/>
                <w:szCs w:val="18"/>
              </w:rPr>
              <w:t>胡宽雨</w:t>
            </w:r>
          </w:p>
        </w:tc>
        <w:tc>
          <w:tcPr>
            <w:tcW w:w="6646" w:type="dxa"/>
            <w:shd w:val="clear" w:color="auto" w:fill="auto"/>
            <w:noWrap/>
            <w:tcMar>
              <w:top w:w="0" w:type="dxa"/>
              <w:left w:w="108" w:type="dxa"/>
              <w:bottom w:w="0" w:type="dxa"/>
              <w:right w:w="108" w:type="dxa"/>
            </w:tcMar>
            <w:vAlign w:val="center"/>
          </w:tcPr>
          <w:p w14:paraId="50DD5CB8">
            <w:pPr>
              <w:spacing w:line="320" w:lineRule="exact"/>
              <w:rPr>
                <w:rFonts w:ascii="等线" w:hAnsi="等线" w:eastAsiaTheme="minorEastAsia" w:cstheme="minorBidi"/>
                <w:color w:val="000000"/>
                <w:kern w:val="2"/>
                <w:sz w:val="18"/>
                <w:szCs w:val="18"/>
                <w:lang w:val="en-US" w:eastAsia="zh-CN" w:bidi="ar-SA"/>
              </w:rPr>
            </w:pPr>
            <w:r>
              <w:rPr>
                <w:rFonts w:hint="eastAsia" w:ascii="等线" w:hAnsi="等线" w:cs="宋体"/>
                <w:color w:val="000000"/>
                <w:sz w:val="18"/>
                <w:szCs w:val="18"/>
              </w:rPr>
              <w:t>负责广东龙丰精密铜管有限公司协调管理，参加标准的讨论、预审、审定；</w:t>
            </w:r>
          </w:p>
        </w:tc>
      </w:tr>
      <w:tr w14:paraId="357D3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shd w:val="clear"/>
            <w:noWrap/>
            <w:tcMar>
              <w:top w:w="0" w:type="dxa"/>
              <w:left w:w="108" w:type="dxa"/>
              <w:bottom w:w="0" w:type="dxa"/>
              <w:right w:w="108" w:type="dxa"/>
            </w:tcMar>
            <w:vAlign w:val="center"/>
          </w:tcPr>
          <w:p w14:paraId="2A4FFBD8">
            <w:pPr>
              <w:jc w:val="center"/>
              <w:rPr>
                <w:rFonts w:hint="eastAsia" w:ascii="等线" w:hAnsi="等线" w:eastAsiaTheme="minorEastAsia" w:cstheme="minorBidi"/>
                <w:color w:val="000000"/>
                <w:kern w:val="2"/>
                <w:sz w:val="18"/>
                <w:szCs w:val="18"/>
                <w:lang w:val="en-US" w:eastAsia="zh-CN" w:bidi="ar-SA"/>
              </w:rPr>
            </w:pPr>
            <w:r>
              <w:rPr>
                <w:rFonts w:hint="eastAsia" w:ascii="等线" w:hAnsi="等线"/>
                <w:color w:val="000000"/>
                <w:sz w:val="18"/>
                <w:szCs w:val="18"/>
              </w:rPr>
              <w:t>1</w:t>
            </w:r>
            <w:r>
              <w:rPr>
                <w:rFonts w:hint="eastAsia" w:ascii="等线" w:hAnsi="等线"/>
                <w:color w:val="000000"/>
                <w:sz w:val="18"/>
                <w:szCs w:val="18"/>
                <w:lang w:val="en-US" w:eastAsia="zh-CN"/>
              </w:rPr>
              <w:t>6</w:t>
            </w:r>
          </w:p>
        </w:tc>
        <w:tc>
          <w:tcPr>
            <w:tcW w:w="1229" w:type="dxa"/>
            <w:shd w:val="clear" w:color="auto" w:fill="auto"/>
            <w:noWrap/>
            <w:tcMar>
              <w:top w:w="0" w:type="dxa"/>
              <w:left w:w="108" w:type="dxa"/>
              <w:bottom w:w="0" w:type="dxa"/>
              <w:right w:w="108" w:type="dxa"/>
            </w:tcMar>
            <w:vAlign w:val="center"/>
          </w:tcPr>
          <w:p w14:paraId="4E8C3ECC">
            <w:pPr>
              <w:pStyle w:val="9"/>
              <w:spacing w:before="0" w:beforeAutospacing="0" w:after="0" w:afterAutospacing="0" w:line="320" w:lineRule="exact"/>
              <w:rPr>
                <w:rFonts w:ascii="等线" w:hAnsi="等线" w:eastAsia="等线" w:cs="宋体"/>
                <w:color w:val="000000"/>
                <w:kern w:val="0"/>
                <w:sz w:val="18"/>
                <w:szCs w:val="18"/>
                <w:lang w:val="en-US" w:eastAsia="zh-CN" w:bidi="ar-SA"/>
              </w:rPr>
            </w:pPr>
            <w:r>
              <w:rPr>
                <w:rFonts w:ascii="等线" w:hAnsi="等线" w:eastAsia="等线"/>
                <w:color w:val="000000"/>
                <w:sz w:val="18"/>
                <w:szCs w:val="18"/>
              </w:rPr>
              <w:t>齐文娟</w:t>
            </w:r>
          </w:p>
        </w:tc>
        <w:tc>
          <w:tcPr>
            <w:tcW w:w="6646" w:type="dxa"/>
            <w:shd w:val="clear" w:color="auto" w:fill="auto"/>
            <w:noWrap/>
            <w:tcMar>
              <w:top w:w="0" w:type="dxa"/>
              <w:left w:w="108" w:type="dxa"/>
              <w:bottom w:w="0" w:type="dxa"/>
              <w:right w:w="108" w:type="dxa"/>
            </w:tcMar>
            <w:vAlign w:val="center"/>
          </w:tcPr>
          <w:p w14:paraId="2D931446">
            <w:pPr>
              <w:spacing w:line="320" w:lineRule="exact"/>
              <w:rPr>
                <w:rFonts w:hint="eastAsia" w:ascii="等线" w:hAnsi="等线" w:cs="宋体" w:eastAsiaTheme="minorEastAsia"/>
                <w:color w:val="000000"/>
                <w:kern w:val="2"/>
                <w:sz w:val="18"/>
                <w:szCs w:val="18"/>
                <w:lang w:val="en-US" w:eastAsia="zh-CN" w:bidi="ar-SA"/>
              </w:rPr>
            </w:pPr>
            <w:r>
              <w:rPr>
                <w:rFonts w:hint="eastAsia" w:ascii="等线" w:hAnsi="等线" w:cs="宋体"/>
                <w:color w:val="000000"/>
                <w:sz w:val="18"/>
                <w:szCs w:val="18"/>
              </w:rPr>
              <w:t>负责广东龙丰精密铜管有限公司数据收集和验证，参加标准的讨论、预审、审定；</w:t>
            </w:r>
          </w:p>
        </w:tc>
      </w:tr>
      <w:tr w14:paraId="19DE9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noWrap/>
            <w:tcMar>
              <w:top w:w="0" w:type="dxa"/>
              <w:left w:w="108" w:type="dxa"/>
              <w:bottom w:w="0" w:type="dxa"/>
              <w:right w:w="108" w:type="dxa"/>
            </w:tcMar>
            <w:vAlign w:val="center"/>
          </w:tcPr>
          <w:p w14:paraId="23D4397A">
            <w:pPr>
              <w:jc w:val="center"/>
              <w:rPr>
                <w:rFonts w:hint="default" w:ascii="等线" w:hAnsi="等线" w:cs="宋体" w:eastAsiaTheme="minorEastAsia"/>
                <w:color w:val="000000"/>
                <w:sz w:val="18"/>
                <w:szCs w:val="18"/>
                <w:lang w:val="en-US" w:eastAsia="zh-CN"/>
              </w:rPr>
            </w:pPr>
            <w:r>
              <w:rPr>
                <w:rFonts w:hint="eastAsia" w:ascii="等线" w:hAnsi="等线" w:cs="宋体"/>
                <w:color w:val="000000"/>
                <w:sz w:val="18"/>
                <w:szCs w:val="18"/>
                <w:lang w:val="en-US" w:eastAsia="zh-CN"/>
              </w:rPr>
              <w:t>17</w:t>
            </w:r>
          </w:p>
        </w:tc>
        <w:tc>
          <w:tcPr>
            <w:tcW w:w="1229" w:type="dxa"/>
            <w:shd w:val="clear" w:color="auto" w:fill="auto"/>
            <w:noWrap/>
            <w:tcMar>
              <w:top w:w="0" w:type="dxa"/>
              <w:left w:w="108" w:type="dxa"/>
              <w:bottom w:w="0" w:type="dxa"/>
              <w:right w:w="108" w:type="dxa"/>
            </w:tcMar>
            <w:vAlign w:val="center"/>
          </w:tcPr>
          <w:p w14:paraId="35D50A5F">
            <w:pPr>
              <w:pStyle w:val="9"/>
              <w:spacing w:before="0" w:beforeAutospacing="0" w:after="0" w:afterAutospacing="0" w:line="320" w:lineRule="exact"/>
              <w:rPr>
                <w:rFonts w:hint="default" w:ascii="等线" w:hAnsi="等线" w:eastAsia="等线" w:cs="宋体"/>
                <w:color w:val="000000"/>
                <w:kern w:val="0"/>
                <w:sz w:val="18"/>
                <w:szCs w:val="18"/>
                <w:lang w:val="en-US" w:eastAsia="zh-CN" w:bidi="ar-SA"/>
              </w:rPr>
            </w:pPr>
            <w:r>
              <w:rPr>
                <w:rFonts w:hint="eastAsia" w:ascii="等线" w:hAnsi="等线" w:eastAsia="等线" w:cs="宋体"/>
                <w:color w:val="000000"/>
                <w:kern w:val="0"/>
                <w:sz w:val="18"/>
                <w:szCs w:val="18"/>
                <w:lang w:val="en-US" w:eastAsia="zh-CN" w:bidi="ar-SA"/>
              </w:rPr>
              <w:t>王绪</w:t>
            </w:r>
          </w:p>
        </w:tc>
        <w:tc>
          <w:tcPr>
            <w:tcW w:w="6646" w:type="dxa"/>
            <w:shd w:val="clear" w:color="auto" w:fill="auto"/>
            <w:noWrap/>
            <w:tcMar>
              <w:top w:w="0" w:type="dxa"/>
              <w:left w:w="108" w:type="dxa"/>
              <w:bottom w:w="0" w:type="dxa"/>
              <w:right w:w="108" w:type="dxa"/>
            </w:tcMar>
            <w:vAlign w:val="top"/>
          </w:tcPr>
          <w:p w14:paraId="596E1D37">
            <w:pPr>
              <w:spacing w:line="320" w:lineRule="exact"/>
              <w:rPr>
                <w:rFonts w:ascii="等线" w:hAnsi="等线" w:cs="宋体" w:eastAsiaTheme="minorEastAsia"/>
                <w:color w:val="000000"/>
                <w:kern w:val="2"/>
                <w:sz w:val="18"/>
                <w:szCs w:val="18"/>
                <w:lang w:val="en-US" w:eastAsia="zh-CN" w:bidi="ar-SA"/>
              </w:rPr>
            </w:pPr>
            <w:r>
              <w:rPr>
                <w:rFonts w:hint="eastAsia" w:ascii="等线" w:hAnsi="等线"/>
                <w:color w:val="000000"/>
                <w:sz w:val="18"/>
                <w:szCs w:val="18"/>
              </w:rPr>
              <w:t>负责中铝洛阳铜数据收集和验证，参加标准的讨论、预审核审定；</w:t>
            </w:r>
          </w:p>
        </w:tc>
      </w:tr>
      <w:tr w14:paraId="044D8E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noWrap/>
            <w:tcMar>
              <w:top w:w="0" w:type="dxa"/>
              <w:left w:w="108" w:type="dxa"/>
              <w:bottom w:w="0" w:type="dxa"/>
              <w:right w:w="108" w:type="dxa"/>
            </w:tcMar>
            <w:vAlign w:val="center"/>
          </w:tcPr>
          <w:p w14:paraId="706AA203">
            <w:pPr>
              <w:jc w:val="center"/>
              <w:rPr>
                <w:rFonts w:hint="default" w:ascii="等线" w:hAnsi="等线" w:eastAsiaTheme="minorEastAsia"/>
                <w:color w:val="000000"/>
                <w:sz w:val="18"/>
                <w:szCs w:val="18"/>
                <w:lang w:val="en-US" w:eastAsia="zh-CN"/>
              </w:rPr>
            </w:pPr>
            <w:r>
              <w:rPr>
                <w:rFonts w:hint="eastAsia" w:ascii="等线" w:hAnsi="等线"/>
                <w:color w:val="000000"/>
                <w:sz w:val="18"/>
                <w:szCs w:val="18"/>
                <w:lang w:val="en-US" w:eastAsia="zh-CN"/>
              </w:rPr>
              <w:t>18</w:t>
            </w:r>
          </w:p>
        </w:tc>
        <w:tc>
          <w:tcPr>
            <w:tcW w:w="1229" w:type="dxa"/>
            <w:shd w:val="clear" w:color="auto" w:fill="auto"/>
            <w:noWrap/>
            <w:tcMar>
              <w:top w:w="0" w:type="dxa"/>
              <w:left w:w="108" w:type="dxa"/>
              <w:bottom w:w="0" w:type="dxa"/>
              <w:right w:w="108" w:type="dxa"/>
            </w:tcMar>
            <w:vAlign w:val="center"/>
          </w:tcPr>
          <w:p w14:paraId="3E2060A2">
            <w:pPr>
              <w:pStyle w:val="9"/>
              <w:spacing w:before="0" w:beforeAutospacing="0" w:after="0" w:afterAutospacing="0" w:line="320" w:lineRule="exact"/>
              <w:rPr>
                <w:rFonts w:ascii="等线" w:hAnsi="等线" w:eastAsia="等线" w:cs="宋体"/>
                <w:color w:val="000000"/>
                <w:kern w:val="0"/>
                <w:sz w:val="18"/>
                <w:szCs w:val="18"/>
                <w:lang w:val="en-US" w:eastAsia="zh-CN" w:bidi="ar-SA"/>
              </w:rPr>
            </w:pPr>
            <w:r>
              <w:rPr>
                <w:rFonts w:ascii="等线" w:hAnsi="等线" w:eastAsia="等线"/>
                <w:color w:val="000000"/>
                <w:sz w:val="18"/>
                <w:szCs w:val="18"/>
              </w:rPr>
              <w:t>苗志强</w:t>
            </w:r>
          </w:p>
        </w:tc>
        <w:tc>
          <w:tcPr>
            <w:tcW w:w="6646" w:type="dxa"/>
            <w:shd w:val="clear" w:color="auto" w:fill="auto"/>
            <w:noWrap/>
            <w:tcMar>
              <w:top w:w="0" w:type="dxa"/>
              <w:left w:w="108" w:type="dxa"/>
              <w:bottom w:w="0" w:type="dxa"/>
              <w:right w:w="108" w:type="dxa"/>
            </w:tcMar>
            <w:vAlign w:val="top"/>
          </w:tcPr>
          <w:p w14:paraId="69158BB0">
            <w:pPr>
              <w:rPr>
                <w:rFonts w:ascii="等线" w:hAnsi="等线" w:eastAsia="等线" w:cstheme="minorBidi"/>
                <w:color w:val="000000"/>
                <w:kern w:val="2"/>
                <w:sz w:val="18"/>
                <w:szCs w:val="18"/>
                <w:lang w:val="en-US" w:eastAsia="zh-CN" w:bidi="ar-SA"/>
              </w:rPr>
            </w:pPr>
            <w:r>
              <w:rPr>
                <w:rFonts w:hint="eastAsia" w:ascii="等线" w:hAnsi="等线"/>
                <w:color w:val="000000"/>
                <w:sz w:val="18"/>
                <w:szCs w:val="18"/>
              </w:rPr>
              <w:t>负责广东龙丰精密铜管有限公司数据收集和验证，参加标准的讨论、预审、审定；</w:t>
            </w:r>
          </w:p>
        </w:tc>
      </w:tr>
      <w:tr w14:paraId="251002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284" w:hRule="atLeast"/>
          <w:jc w:val="center"/>
        </w:trPr>
        <w:tc>
          <w:tcPr>
            <w:tcW w:w="687" w:type="dxa"/>
            <w:noWrap/>
            <w:tcMar>
              <w:top w:w="0" w:type="dxa"/>
              <w:left w:w="108" w:type="dxa"/>
              <w:bottom w:w="0" w:type="dxa"/>
              <w:right w:w="108" w:type="dxa"/>
            </w:tcMar>
            <w:vAlign w:val="center"/>
          </w:tcPr>
          <w:p w14:paraId="07621F63">
            <w:pPr>
              <w:jc w:val="center"/>
              <w:rPr>
                <w:rFonts w:hint="default" w:ascii="等线" w:hAnsi="等线" w:eastAsiaTheme="minorEastAsia"/>
                <w:color w:val="000000"/>
                <w:sz w:val="18"/>
                <w:szCs w:val="18"/>
                <w:lang w:val="en-US" w:eastAsia="zh-CN"/>
              </w:rPr>
            </w:pPr>
            <w:r>
              <w:rPr>
                <w:rFonts w:hint="eastAsia" w:ascii="等线" w:hAnsi="等线"/>
                <w:color w:val="000000"/>
                <w:sz w:val="18"/>
                <w:szCs w:val="18"/>
                <w:lang w:val="en-US" w:eastAsia="zh-CN"/>
              </w:rPr>
              <w:t>19</w:t>
            </w:r>
            <w:bookmarkStart w:id="9" w:name="_GoBack"/>
            <w:bookmarkEnd w:id="9"/>
          </w:p>
        </w:tc>
        <w:tc>
          <w:tcPr>
            <w:tcW w:w="1229" w:type="dxa"/>
            <w:noWrap/>
            <w:tcMar>
              <w:top w:w="0" w:type="dxa"/>
              <w:left w:w="108" w:type="dxa"/>
              <w:bottom w:w="0" w:type="dxa"/>
              <w:right w:w="108" w:type="dxa"/>
            </w:tcMar>
            <w:vAlign w:val="center"/>
          </w:tcPr>
          <w:p w14:paraId="71960953">
            <w:pPr>
              <w:pStyle w:val="9"/>
              <w:spacing w:before="0" w:beforeAutospacing="0" w:after="0" w:afterAutospacing="0" w:line="320" w:lineRule="exact"/>
              <w:rPr>
                <w:rFonts w:hint="eastAsia" w:ascii="等线" w:hAnsi="等线" w:eastAsia="等线"/>
                <w:color w:val="000000"/>
                <w:sz w:val="18"/>
                <w:szCs w:val="18"/>
                <w:lang w:val="en-US" w:eastAsia="zh-CN"/>
              </w:rPr>
            </w:pPr>
            <w:r>
              <w:rPr>
                <w:rFonts w:hint="eastAsia" w:ascii="等线" w:hAnsi="等线" w:eastAsia="等线"/>
                <w:color w:val="000000"/>
                <w:sz w:val="18"/>
                <w:szCs w:val="18"/>
                <w:lang w:val="en-US" w:eastAsia="zh-CN"/>
              </w:rPr>
              <w:t>郭闻政</w:t>
            </w:r>
          </w:p>
        </w:tc>
        <w:tc>
          <w:tcPr>
            <w:tcW w:w="6646" w:type="dxa"/>
            <w:noWrap/>
            <w:tcMar>
              <w:top w:w="0" w:type="dxa"/>
              <w:left w:w="108" w:type="dxa"/>
              <w:bottom w:w="0" w:type="dxa"/>
              <w:right w:w="108" w:type="dxa"/>
            </w:tcMar>
            <w:vAlign w:val="top"/>
          </w:tcPr>
          <w:p w14:paraId="63BBA625">
            <w:pPr>
              <w:rPr>
                <w:rFonts w:ascii="等线" w:hAnsi="等线" w:eastAsia="等线"/>
                <w:color w:val="000000"/>
                <w:sz w:val="18"/>
                <w:szCs w:val="18"/>
              </w:rPr>
            </w:pPr>
            <w:r>
              <w:rPr>
                <w:rFonts w:hint="eastAsia" w:ascii="等线" w:hAnsi="等线"/>
                <w:color w:val="000000"/>
                <w:sz w:val="18"/>
                <w:szCs w:val="18"/>
              </w:rPr>
              <w:t>负责广东龙丰精密铜管有限公司数据收集和验证，参加标准的讨论、预审、审定；</w:t>
            </w:r>
          </w:p>
        </w:tc>
      </w:tr>
    </w:tbl>
    <w:p w14:paraId="117F420B">
      <w:pPr>
        <w:ind w:firstLine="420" w:firstLineChars="200"/>
        <w:rPr>
          <w:rFonts w:hint="eastAsia" w:eastAsiaTheme="minorEastAsia"/>
          <w:lang w:val="en-US" w:eastAsia="zh-CN"/>
        </w:rPr>
      </w:pPr>
    </w:p>
    <w:p w14:paraId="69F60A27">
      <w:pPr>
        <w:ind w:firstLine="420" w:firstLineChars="200"/>
        <w:rPr>
          <w:rFonts w:hint="eastAsia" w:eastAsiaTheme="minorEastAsia"/>
          <w:lang w:val="en-US" w:eastAsia="zh-CN"/>
        </w:rPr>
      </w:pPr>
    </w:p>
    <w:p w14:paraId="28A7A372">
      <w:pPr>
        <w:ind w:firstLine="420" w:firstLineChars="200"/>
        <w:rPr>
          <w:rFonts w:hint="eastAsia" w:eastAsiaTheme="minorEastAsia"/>
          <w:lang w:val="en-US" w:eastAsia="zh-CN"/>
        </w:rPr>
      </w:pPr>
    </w:p>
    <w:p w14:paraId="67492C66">
      <w:pPr>
        <w:pStyle w:val="17"/>
        <w:keepNext w:val="0"/>
        <w:keepLines w:val="0"/>
        <w:pageBreakBefore w:val="0"/>
        <w:kinsoku/>
        <w:wordWrap/>
        <w:overflowPunct/>
        <w:topLinePunct w:val="0"/>
        <w:autoSpaceDE/>
        <w:autoSpaceDN/>
        <w:bidi w:val="0"/>
        <w:adjustRightInd/>
        <w:snapToGrid/>
        <w:spacing w:beforeLines="0" w:afterLines="0" w:line="440" w:lineRule="exact"/>
        <w:ind w:firstLine="420"/>
        <w:textAlignment w:val="auto"/>
        <w:outlineLvl w:val="9"/>
        <w:rPr>
          <w:rFonts w:hint="eastAsia" w:hAnsi="黑体" w:cs="黑体"/>
          <w:color w:val="auto"/>
          <w:sz w:val="21"/>
          <w:szCs w:val="21"/>
        </w:rPr>
      </w:pPr>
      <w:r>
        <w:rPr>
          <w:rFonts w:hint="eastAsia" w:hAnsi="黑体" w:cs="黑体"/>
          <w:color w:val="auto"/>
          <w:sz w:val="21"/>
          <w:szCs w:val="21"/>
        </w:rPr>
        <w:t>1.4 主要工作过程</w:t>
      </w:r>
    </w:p>
    <w:p w14:paraId="326E0BC2">
      <w:pPr>
        <w:rPr>
          <w:rFonts w:hint="default" w:eastAsiaTheme="minorEastAsia"/>
          <w:color w:val="C00000"/>
          <w:lang w:val="en-US" w:eastAsia="zh-CN"/>
        </w:rPr>
      </w:pPr>
    </w:p>
    <w:p w14:paraId="71E1FD77">
      <w:pPr>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1.4.1预研阶段</w:t>
      </w:r>
    </w:p>
    <w:p w14:paraId="5B28145B">
      <w:pPr>
        <w:ind w:firstLine="420" w:firstLineChars="200"/>
        <w:rPr>
          <w:rFonts w:hint="eastAsia" w:eastAsiaTheme="minorEastAsia"/>
          <w:lang w:val="en-US" w:eastAsia="zh-CN"/>
        </w:rPr>
      </w:pPr>
      <w:r>
        <w:rPr>
          <w:rFonts w:hint="eastAsia" w:eastAsiaTheme="minorEastAsia"/>
          <w:lang w:val="en-US" w:eastAsia="zh-CN"/>
        </w:rPr>
        <w:t>在国内，对于铜合金变色评价标准及评价体系标准的研究和制定相对较少。目前主要是根据使用需求和行业标准进行评价，如建筑行业对于铜合金表面氧化的要求，以及家居用品领域对于铜合金表面色泽的要求等。此外，一些企业也会根据自身产品的特点和市场需求制定相应的评价标准和体系。国外主要集中在铜合金耐蚀性能评价标准及评价体系标准的研究和制定方面相对较为成熟。例如，国际标准化组织ISO发布了一些与金属表面处理相关的标准，如ISO 15719-1:2006金属和合金的电化学腐蚀测试-评价铜和铜合金的耐腐蚀性能；ISO 4521:2008 金属和合金的电镀和电化学涂层-评价涂层的抗腐蚀性能等。此外，一些国际性的行业组织和协会也发布了与铜合金变色评价相关的标准和指南，如美国化学协会（ACS）发布的关于铜合金表面氧化的评价标准。</w:t>
      </w:r>
      <w:r>
        <w:rPr>
          <w:rFonts w:hint="eastAsia"/>
          <w:lang w:val="en-US" w:eastAsia="zh-CN"/>
        </w:rPr>
        <w:t>但是，此类标准仅给出了铜合金腐蚀量的试样方法对铜合金抗变色性及评价方法尚无统一的标准体系。</w:t>
      </w:r>
    </w:p>
    <w:p w14:paraId="22093A6C">
      <w:pPr>
        <w:ind w:firstLine="420" w:firstLineChars="200"/>
        <w:rPr>
          <w:rFonts w:hint="eastAsia" w:eastAsiaTheme="minorEastAsia"/>
          <w:lang w:val="en-US" w:eastAsia="zh-CN"/>
        </w:rPr>
      </w:pPr>
      <w:r>
        <w:rPr>
          <w:rFonts w:hint="eastAsia"/>
          <w:lang w:val="en-US" w:eastAsia="zh-CN"/>
        </w:rPr>
        <w:t>综上所述</w:t>
      </w:r>
      <w:r>
        <w:rPr>
          <w:rFonts w:hint="eastAsia" w:eastAsiaTheme="minorEastAsia"/>
          <w:lang w:val="en-US" w:eastAsia="zh-CN"/>
        </w:rPr>
        <w:t>，目前国内外对于铜合金变色评价标准及评价体系标准的研究和制定还相对较少，还需要进一步加强相关研究和标准的制定工作。</w:t>
      </w:r>
    </w:p>
    <w:p w14:paraId="6DC2DEC8">
      <w:pPr>
        <w:ind w:firstLine="420" w:firstLineChars="200"/>
        <w:rPr>
          <w:rFonts w:hint="eastAsia" w:eastAsiaTheme="minorEastAsia"/>
          <w:lang w:val="en-US" w:eastAsia="zh-CN"/>
        </w:rPr>
      </w:pPr>
      <w:r>
        <w:rPr>
          <w:rFonts w:hint="eastAsia" w:eastAsiaTheme="minorEastAsia"/>
          <w:lang w:val="en-US" w:eastAsia="zh-CN"/>
        </w:rPr>
        <w:t>本文件相关试验已为沈币、上币和南币的多种铜合金铸币产品开展抗变色性评价。针对五种铜合金变色行为开展11种腐蚀因素模拟加速试验，并在全国范围内6种大气腐蚀环境中开展了铜合金的变色研究，得到不同铜合金的变色方式及变色时间，结合加速试验评价结果建立铜合金抗变色评价可靠性。将来需要为不同生产工艺流程的产品进行评价，确认铜合金产品生产工艺可行性。</w:t>
      </w:r>
    </w:p>
    <w:p w14:paraId="6F6A1AFA">
      <w:pPr>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1.4.2标准立项</w:t>
      </w:r>
    </w:p>
    <w:p w14:paraId="39FEE4D5">
      <w:pPr>
        <w:pStyle w:val="4"/>
        <w:ind w:firstLine="420" w:firstLineChars="200"/>
        <w:rPr>
          <w:rFonts w:hint="eastAsia" w:ascii="宋体" w:hAnsi="宋体"/>
          <w:color w:val="000000"/>
          <w:sz w:val="21"/>
          <w:szCs w:val="21"/>
        </w:rPr>
      </w:pPr>
      <w:r>
        <w:rPr>
          <w:rFonts w:hint="eastAsia" w:asciiTheme="minorHAnsi" w:hAnsiTheme="minorHAnsi" w:eastAsiaTheme="minorEastAsia" w:cstheme="minorBidi"/>
          <w:kern w:val="2"/>
          <w:sz w:val="21"/>
          <w:szCs w:val="22"/>
          <w:lang w:val="en-US" w:eastAsia="zh-CN" w:bidi="ar-SA"/>
        </w:rPr>
        <w:t>中色协科字[2024] 36 号《关于下达2024年第三批协会团体标准制修订计划的通知》下发了制定团体标准《铜合金的变色腐蚀试验方法及抗变色能力评价方法》的通知，协会文件为中色协科字[2021]88号，计划号2024-030-T/CNIA，标准制订计划任务正式下达后，立即成立了标准编制组，并落实起草任务，确定标准的主要起草人（详见表1），拟定该标准的工作计划。具体分工为：中国科学院金属研究所，试验方案确定、市场和铜加工行业信息收集、资料汇总分析及执笔；沈阳造币有限公司、中铝洛阳铜加工有限公司和广东龙丰精密铜管有限公司等单位负责补充市场信息和标准数据的验证。各单位分工明确，紧密合作，共同完成标准的修订工作。</w:t>
      </w:r>
    </w:p>
    <w:p w14:paraId="1AA890DC">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1.4.3起草阶段</w:t>
      </w:r>
    </w:p>
    <w:p w14:paraId="3B682A23">
      <w:pPr>
        <w:pStyle w:val="4"/>
        <w:ind w:firstLine="420" w:firstLineChars="200"/>
        <w:rPr>
          <w:rFonts w:hint="eastAsia" w:hAnsi="黑体" w:cs="黑体"/>
          <w:color w:val="auto"/>
          <w:sz w:val="21"/>
          <w:szCs w:val="21"/>
          <w:lang w:val="en-US" w:eastAsia="zh-CN"/>
        </w:rPr>
      </w:pPr>
      <w:r>
        <w:rPr>
          <w:rFonts w:hint="eastAsia" w:hAnsi="黑体" w:cs="黑体"/>
          <w:color w:val="auto"/>
          <w:sz w:val="21"/>
          <w:szCs w:val="21"/>
          <w:lang w:val="en-US" w:eastAsia="zh-CN"/>
        </w:rPr>
        <w:t>召开工作会议（草案讨论会、预审会均成为工作会议，按第一次工作会议、第二次工作会议的方式描述，对应标准稿统称为征求意见1稿、征求意见2稿）的时间、地点和会议情况。</w:t>
      </w:r>
    </w:p>
    <w:p w14:paraId="2032C974">
      <w:pPr>
        <w:pStyle w:val="4"/>
        <w:ind w:firstLine="420" w:firstLineChars="200"/>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第一次工作会议：2024年6月12日在北京召开任务落实会议，会议对《铜合金的变色腐蚀试验方法及抗变色能力评价方法》标准进行审定，形成征求意见1稿。</w:t>
      </w:r>
    </w:p>
    <w:p w14:paraId="7DBF6E42">
      <w:pPr>
        <w:pStyle w:val="4"/>
        <w:ind w:firstLine="420" w:firstLineChars="200"/>
        <w:rPr>
          <w:rFonts w:hint="eastAsia" w:asciiTheme="minorHAnsi" w:hAnsiTheme="minorHAnsi" w:eastAsiaTheme="minorEastAsia" w:cstheme="minorBidi"/>
          <w:kern w:val="2"/>
          <w:sz w:val="21"/>
          <w:szCs w:val="22"/>
          <w:lang w:val="en-US" w:eastAsia="zh-CN" w:bidi="ar-SA"/>
        </w:rPr>
      </w:pPr>
      <w:r>
        <w:rPr>
          <w:rFonts w:hint="eastAsia" w:eastAsiaTheme="minorEastAsia" w:cstheme="minorBidi"/>
          <w:kern w:val="2"/>
          <w:sz w:val="21"/>
          <w:szCs w:val="22"/>
          <w:lang w:val="en-US" w:eastAsia="zh-CN" w:bidi="ar-SA"/>
        </w:rPr>
        <w:t>第二次工作会议：2025年3月24日在韶关召开预审会议，会议对</w:t>
      </w:r>
      <w:r>
        <w:rPr>
          <w:rFonts w:hint="eastAsia" w:asciiTheme="minorHAnsi" w:hAnsiTheme="minorHAnsi" w:eastAsiaTheme="minorEastAsia" w:cstheme="minorBidi"/>
          <w:kern w:val="2"/>
          <w:sz w:val="21"/>
          <w:szCs w:val="22"/>
          <w:lang w:val="en-US" w:eastAsia="zh-CN" w:bidi="ar-SA"/>
        </w:rPr>
        <w:t>《铜合金的变色腐蚀试验方法及抗变色能力评价方法》标准进行</w:t>
      </w:r>
      <w:r>
        <w:rPr>
          <w:rFonts w:hint="eastAsia" w:eastAsiaTheme="minorEastAsia" w:cstheme="minorBidi"/>
          <w:kern w:val="2"/>
          <w:sz w:val="21"/>
          <w:szCs w:val="22"/>
          <w:lang w:val="en-US" w:eastAsia="zh-CN" w:bidi="ar-SA"/>
        </w:rPr>
        <w:t>预审</w:t>
      </w:r>
      <w:r>
        <w:rPr>
          <w:rFonts w:hint="eastAsia" w:asciiTheme="minorHAnsi" w:hAnsiTheme="minorHAnsi" w:eastAsiaTheme="minorEastAsia" w:cstheme="minorBidi"/>
          <w:kern w:val="2"/>
          <w:sz w:val="21"/>
          <w:szCs w:val="22"/>
          <w:lang w:val="en-US" w:eastAsia="zh-CN" w:bidi="ar-SA"/>
        </w:rPr>
        <w:t>，形成征求意见</w:t>
      </w:r>
      <w:r>
        <w:rPr>
          <w:rFonts w:hint="eastAsia" w:eastAsiaTheme="minorEastAsia" w:cstheme="minorBidi"/>
          <w:kern w:val="2"/>
          <w:sz w:val="21"/>
          <w:szCs w:val="22"/>
          <w:lang w:val="en-US" w:eastAsia="zh-CN" w:bidi="ar-SA"/>
        </w:rPr>
        <w:t>2</w:t>
      </w:r>
      <w:r>
        <w:rPr>
          <w:rFonts w:hint="eastAsia" w:asciiTheme="minorHAnsi" w:hAnsiTheme="minorHAnsi" w:eastAsiaTheme="minorEastAsia" w:cstheme="minorBidi"/>
          <w:kern w:val="2"/>
          <w:sz w:val="21"/>
          <w:szCs w:val="22"/>
          <w:lang w:val="en-US" w:eastAsia="zh-CN" w:bidi="ar-SA"/>
        </w:rPr>
        <w:t>稿。</w:t>
      </w:r>
    </w:p>
    <w:p w14:paraId="7D2AC3CC">
      <w:pPr>
        <w:pStyle w:val="4"/>
        <w:ind w:firstLine="420" w:firstLineChars="200"/>
        <w:rPr>
          <w:rFonts w:hint="default" w:asciiTheme="minorHAnsi" w:hAnsiTheme="minorHAnsi" w:eastAsiaTheme="minorEastAsia" w:cstheme="minorBidi"/>
          <w:kern w:val="2"/>
          <w:sz w:val="21"/>
          <w:szCs w:val="22"/>
          <w:lang w:val="en-US" w:eastAsia="zh-CN" w:bidi="ar-SA"/>
        </w:rPr>
      </w:pPr>
      <w:r>
        <w:rPr>
          <w:rFonts w:hint="eastAsia" w:eastAsiaTheme="minorEastAsia" w:cstheme="minorBidi"/>
          <w:kern w:val="2"/>
          <w:sz w:val="21"/>
          <w:szCs w:val="22"/>
          <w:lang w:val="en-US" w:eastAsia="zh-CN" w:bidi="ar-SA"/>
        </w:rPr>
        <w:t>第三次工作会议：2025年6月17日在石河子召开审会议，会议对</w:t>
      </w:r>
      <w:r>
        <w:rPr>
          <w:rFonts w:hint="eastAsia" w:asciiTheme="minorHAnsi" w:hAnsiTheme="minorHAnsi" w:eastAsiaTheme="minorEastAsia" w:cstheme="minorBidi"/>
          <w:kern w:val="2"/>
          <w:sz w:val="21"/>
          <w:szCs w:val="22"/>
          <w:lang w:val="en-US" w:eastAsia="zh-CN" w:bidi="ar-SA"/>
        </w:rPr>
        <w:t>《铜合金的变色腐蚀试验方法及抗变色能力评价方法》标准进行</w:t>
      </w:r>
      <w:r>
        <w:rPr>
          <w:rFonts w:hint="eastAsia" w:eastAsiaTheme="minorEastAsia" w:cstheme="minorBidi"/>
          <w:kern w:val="2"/>
          <w:sz w:val="21"/>
          <w:szCs w:val="22"/>
          <w:lang w:val="en-US" w:eastAsia="zh-CN" w:bidi="ar-SA"/>
        </w:rPr>
        <w:t>预审</w:t>
      </w:r>
      <w:r>
        <w:rPr>
          <w:rFonts w:hint="eastAsia" w:asciiTheme="minorHAnsi" w:hAnsiTheme="minorHAnsi" w:eastAsiaTheme="minorEastAsia" w:cstheme="minorBidi"/>
          <w:kern w:val="2"/>
          <w:sz w:val="21"/>
          <w:szCs w:val="22"/>
          <w:lang w:val="en-US" w:eastAsia="zh-CN" w:bidi="ar-SA"/>
        </w:rPr>
        <w:t>，形成征求意见</w:t>
      </w:r>
      <w:r>
        <w:rPr>
          <w:rFonts w:hint="eastAsia" w:eastAsiaTheme="minorEastAsia" w:cstheme="minorBidi"/>
          <w:kern w:val="2"/>
          <w:sz w:val="21"/>
          <w:szCs w:val="22"/>
          <w:lang w:val="en-US" w:eastAsia="zh-CN" w:bidi="ar-SA"/>
        </w:rPr>
        <w:t>3</w:t>
      </w:r>
      <w:r>
        <w:rPr>
          <w:rFonts w:hint="eastAsia" w:asciiTheme="minorHAnsi" w:hAnsiTheme="minorHAnsi" w:eastAsiaTheme="minorEastAsia" w:cstheme="minorBidi"/>
          <w:kern w:val="2"/>
          <w:sz w:val="21"/>
          <w:szCs w:val="22"/>
          <w:lang w:val="en-US" w:eastAsia="zh-CN" w:bidi="ar-SA"/>
        </w:rPr>
        <w:t>稿。</w:t>
      </w:r>
    </w:p>
    <w:p w14:paraId="15CB6E64">
      <w:pPr>
        <w:pStyle w:val="4"/>
        <w:ind w:firstLine="420" w:firstLineChars="200"/>
        <w:rPr>
          <w:rFonts w:hint="eastAsia" w:asciiTheme="minorEastAsia" w:hAnsiTheme="minorEastAsia" w:eastAsiaTheme="minorEastAsia"/>
          <w:bCs/>
          <w:color w:val="auto"/>
          <w:sz w:val="21"/>
          <w:szCs w:val="21"/>
          <w:lang w:eastAsia="zh-CN"/>
        </w:rPr>
      </w:pPr>
      <w:r>
        <w:rPr>
          <w:rFonts w:hint="eastAsia" w:asciiTheme="minorEastAsia" w:hAnsiTheme="minorEastAsia"/>
          <w:bCs/>
          <w:color w:val="auto"/>
          <w:sz w:val="21"/>
          <w:szCs w:val="21"/>
          <w:lang w:eastAsia="zh-CN"/>
        </w:rPr>
        <w:t>【</w:t>
      </w:r>
      <w:r>
        <w:rPr>
          <w:rFonts w:hint="eastAsia" w:asciiTheme="minorEastAsia" w:hAnsiTheme="minorEastAsia"/>
          <w:bCs/>
          <w:color w:val="auto"/>
          <w:sz w:val="21"/>
          <w:szCs w:val="21"/>
          <w:lang w:val="en-US" w:eastAsia="zh-CN"/>
        </w:rPr>
        <w:t>最终形成了征求意见稿</w:t>
      </w:r>
      <w:r>
        <w:rPr>
          <w:rFonts w:hint="eastAsia" w:asciiTheme="minorEastAsia" w:hAnsiTheme="minorEastAsia"/>
          <w:bCs/>
          <w:color w:val="auto"/>
          <w:sz w:val="21"/>
          <w:szCs w:val="21"/>
          <w:lang w:eastAsia="zh-CN"/>
        </w:rPr>
        <w:t>】</w:t>
      </w:r>
    </w:p>
    <w:p w14:paraId="0A33DB53">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1.4.4征求意见阶段</w:t>
      </w:r>
    </w:p>
    <w:p w14:paraId="101D0BCF">
      <w:pPr>
        <w:pStyle w:val="4"/>
        <w:ind w:firstLine="420" w:firstLineChars="200"/>
        <w:rPr>
          <w:rFonts w:hint="eastAsia" w:hAnsi="黑体" w:cs="黑体"/>
          <w:color w:val="C00000"/>
          <w:sz w:val="21"/>
          <w:szCs w:val="21"/>
          <w:lang w:val="en-US" w:eastAsia="zh-CN"/>
        </w:rPr>
      </w:pPr>
      <w:r>
        <w:rPr>
          <w:rFonts w:hint="eastAsia" w:hAnsi="黑体" w:cs="黑体"/>
          <w:color w:val="auto"/>
          <w:sz w:val="21"/>
          <w:szCs w:val="21"/>
          <w:lang w:val="en-US" w:eastAsia="zh-CN"/>
        </w:rPr>
        <w:t>征求意见稿发送（包括工作会议发送和函送、电话、微信等）的单位</w:t>
      </w:r>
      <w:r>
        <w:rPr>
          <w:rFonts w:hint="eastAsia" w:hAnsi="黑体" w:cs="黑体"/>
          <w:color w:val="C00000"/>
          <w:sz w:val="21"/>
          <w:szCs w:val="21"/>
          <w:lang w:val="en-US" w:eastAsia="zh-CN"/>
        </w:rPr>
        <w:t>（需阐述发放单位总数，并说明发放非委员单位总数及其中的用户、科研、其他单位所占比例【重要！】）</w:t>
      </w:r>
      <w:r>
        <w:rPr>
          <w:rFonts w:hint="eastAsia" w:hAnsi="黑体" w:cs="黑体"/>
          <w:color w:val="auto"/>
          <w:sz w:val="21"/>
          <w:szCs w:val="21"/>
          <w:lang w:val="en-US" w:eastAsia="zh-CN"/>
        </w:rPr>
        <w:t>、收到的意见数量，处理情况等。送审稿完成日期</w:t>
      </w:r>
      <w:r>
        <w:rPr>
          <w:rFonts w:hint="eastAsia" w:hAnsi="黑体" w:cs="黑体"/>
          <w:color w:val="C00000"/>
          <w:sz w:val="21"/>
          <w:szCs w:val="21"/>
          <w:lang w:val="en-US" w:eastAsia="zh-CN"/>
        </w:rPr>
        <w:t>【内容与意见汇总处理表完全一致！不应早于征求意见汇总处理表填表日期，迟于审定会日期】</w:t>
      </w:r>
    </w:p>
    <w:p w14:paraId="1EF13099">
      <w:pPr>
        <w:pStyle w:val="4"/>
        <w:ind w:firstLine="422" w:firstLineChars="200"/>
        <w:rPr>
          <w:rFonts w:hint="eastAsia" w:hAnsi="黑体" w:cs="黑体"/>
          <w:b/>
          <w:bCs/>
          <w:color w:val="auto"/>
          <w:sz w:val="21"/>
          <w:szCs w:val="21"/>
          <w:lang w:val="en-US" w:eastAsia="zh-CN"/>
        </w:rPr>
      </w:pPr>
      <w:r>
        <w:rPr>
          <w:rFonts w:hint="eastAsia" w:hAnsi="黑体" w:cs="黑体"/>
          <w:b/>
          <w:bCs/>
          <w:color w:val="auto"/>
          <w:sz w:val="21"/>
          <w:szCs w:val="21"/>
          <w:lang w:val="en-US" w:eastAsia="zh-CN"/>
        </w:rPr>
        <w:t>在开展公平竞争审查过程中，经对照，没有发现限制或者变相限制市场准入和退出，没有限制商品要素的自由流动、不影响生产经营成本以及生产经营行为。同时填写《公平竞争审查表》</w:t>
      </w:r>
    </w:p>
    <w:p w14:paraId="5BE702CD">
      <w:pPr>
        <w:pStyle w:val="4"/>
        <w:ind w:firstLine="420" w:firstLineChars="200"/>
        <w:rPr>
          <w:rFonts w:hint="eastAsia" w:hAnsi="黑体" w:cs="黑体"/>
          <w:color w:val="C00000"/>
          <w:sz w:val="21"/>
          <w:szCs w:val="21"/>
          <w:lang w:val="en-US" w:eastAsia="zh-CN"/>
        </w:rPr>
      </w:pPr>
      <w:r>
        <w:rPr>
          <w:rFonts w:hint="eastAsia" w:hAnsi="黑体" w:cs="黑体"/>
          <w:color w:val="C00000"/>
          <w:sz w:val="21"/>
          <w:szCs w:val="21"/>
          <w:lang w:val="en-US" w:eastAsia="zh-CN"/>
        </w:rPr>
        <w:t>【形成征求意见稿后，开展公平竞争审查。如有可能影响市场竞争的具体内容，应逐项说明并分析是否存在违反规定的情况】</w:t>
      </w:r>
    </w:p>
    <w:p w14:paraId="213D873B">
      <w:pPr>
        <w:pStyle w:val="4"/>
        <w:ind w:firstLine="420" w:firstLineChars="200"/>
        <w:rPr>
          <w:rFonts w:hint="default" w:hAnsi="黑体" w:cs="黑体"/>
          <w:color w:val="C00000"/>
          <w:sz w:val="21"/>
          <w:szCs w:val="21"/>
          <w:lang w:val="en-US" w:eastAsia="zh-CN"/>
        </w:rPr>
      </w:pPr>
    </w:p>
    <w:p w14:paraId="15A0EBEC">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lang w:val="en-US" w:eastAsia="zh-CN"/>
        </w:rPr>
      </w:pPr>
      <w:r>
        <w:rPr>
          <w:rFonts w:hint="eastAsia" w:hAnsi="黑体" w:cs="黑体"/>
          <w:color w:val="C00000"/>
          <w:sz w:val="21"/>
          <w:szCs w:val="21"/>
          <w:lang w:val="en-US" w:eastAsia="zh-CN"/>
        </w:rPr>
        <w:t>【征求意见的通用写法】</w:t>
      </w:r>
    </w:p>
    <w:p w14:paraId="13C43E72">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bCs/>
          <w:color w:val="auto"/>
          <w:sz w:val="21"/>
          <w:szCs w:val="21"/>
        </w:rPr>
      </w:pPr>
      <w:r>
        <w:rPr>
          <w:rFonts w:hint="eastAsia" w:ascii="宋体" w:hAnsi="宋体"/>
          <w:color w:val="auto"/>
          <w:sz w:val="21"/>
          <w:szCs w:val="21"/>
        </w:rPr>
        <w:t>编制组</w:t>
      </w:r>
      <w:r>
        <w:rPr>
          <w:rFonts w:hint="eastAsia" w:ascii="宋体" w:hAnsi="宋体"/>
          <w:bCs/>
          <w:color w:val="auto"/>
          <w:sz w:val="21"/>
          <w:szCs w:val="21"/>
        </w:rPr>
        <w:t>根据</w:t>
      </w:r>
      <w:r>
        <w:rPr>
          <w:rFonts w:hint="eastAsia" w:ascii="宋体" w:hAnsi="宋体"/>
          <w:color w:val="auto"/>
          <w:sz w:val="21"/>
          <w:szCs w:val="21"/>
        </w:rPr>
        <w:t>意见，对标准进行修改和完善</w:t>
      </w:r>
      <w:r>
        <w:rPr>
          <w:rFonts w:hint="eastAsia" w:ascii="宋体" w:hAnsi="宋体"/>
          <w:bCs/>
          <w:color w:val="auto"/>
          <w:sz w:val="21"/>
          <w:szCs w:val="21"/>
        </w:rPr>
        <w:t>，形成了标准</w:t>
      </w:r>
      <w:bookmarkStart w:id="0" w:name="OLE_LINK3"/>
      <w:r>
        <w:rPr>
          <w:rFonts w:hint="eastAsia" w:ascii="宋体" w:hAnsi="宋体"/>
          <w:bCs/>
          <w:color w:val="auto"/>
          <w:sz w:val="21"/>
          <w:szCs w:val="21"/>
        </w:rPr>
        <w:t>《</w:t>
      </w:r>
      <w:r>
        <w:rPr>
          <w:rFonts w:hint="eastAsia" w:ascii="宋体" w:hAnsi="宋体"/>
          <w:bCs/>
          <w:color w:val="auto"/>
          <w:sz w:val="21"/>
          <w:szCs w:val="21"/>
          <w:lang w:eastAsia="zh-CN"/>
        </w:rPr>
        <w:t>送</w:t>
      </w:r>
      <w:r>
        <w:rPr>
          <w:rFonts w:hint="eastAsia" w:ascii="宋体" w:hAnsi="宋体"/>
          <w:bCs/>
          <w:color w:val="auto"/>
          <w:sz w:val="21"/>
          <w:szCs w:val="21"/>
        </w:rPr>
        <w:t>审稿》</w:t>
      </w:r>
      <w:r>
        <w:rPr>
          <w:rFonts w:hint="eastAsia" w:asciiTheme="minorEastAsia" w:hAnsiTheme="minorEastAsia" w:eastAsiaTheme="minorEastAsia"/>
          <w:bCs/>
          <w:color w:val="auto"/>
          <w:sz w:val="21"/>
          <w:szCs w:val="21"/>
        </w:rPr>
        <w:t>及《编制说明》</w:t>
      </w:r>
      <w:bookmarkEnd w:id="0"/>
      <w:r>
        <w:rPr>
          <w:rFonts w:hint="eastAsia" w:asciiTheme="minorEastAsia" w:hAnsiTheme="minorEastAsia" w:eastAsiaTheme="minorEastAsia"/>
          <w:bCs/>
          <w:color w:val="auto"/>
          <w:sz w:val="21"/>
          <w:szCs w:val="21"/>
        </w:rPr>
        <w:t>。</w:t>
      </w:r>
    </w:p>
    <w:p w14:paraId="64EDC2FE">
      <w:pPr>
        <w:pStyle w:val="4"/>
        <w:rPr>
          <w:rFonts w:hint="eastAsia" w:hAnsi="黑体" w:cs="黑体"/>
          <w:color w:val="C00000"/>
          <w:sz w:val="21"/>
          <w:szCs w:val="21"/>
          <w:lang w:val="en-US" w:eastAsia="zh-CN"/>
        </w:rPr>
      </w:pPr>
    </w:p>
    <w:p w14:paraId="37F66EE5">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1.4.5审查阶段</w:t>
      </w:r>
    </w:p>
    <w:p w14:paraId="73134CC3">
      <w:pPr>
        <w:pStyle w:val="4"/>
        <w:numPr>
          <w:ilvl w:val="0"/>
          <w:numId w:val="1"/>
        </w:numPr>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技术专家审查</w:t>
      </w:r>
    </w:p>
    <w:p w14:paraId="357FF26E">
      <w:pPr>
        <w:pStyle w:val="4"/>
        <w:numPr>
          <w:ilvl w:val="0"/>
          <w:numId w:val="0"/>
        </w:numPr>
        <w:ind w:firstLine="420" w:firstLineChars="200"/>
        <w:rPr>
          <w:rFonts w:hint="eastAsia" w:ascii="宋体" w:hAnsi="宋体" w:eastAsiaTheme="minorEastAsia" w:cstheme="minorBidi"/>
          <w:color w:val="auto"/>
          <w:kern w:val="2"/>
          <w:sz w:val="21"/>
          <w:szCs w:val="21"/>
          <w:lang w:val="en-US" w:eastAsia="zh-CN" w:bidi="ar-SA"/>
        </w:rPr>
      </w:pPr>
      <w:bookmarkStart w:id="1" w:name="OLE_LINK5"/>
      <w:r>
        <w:rPr>
          <w:rFonts w:hint="eastAsia" w:ascii="宋体" w:hAnsi="宋体" w:eastAsiaTheme="minorEastAsia" w:cstheme="minorBidi"/>
          <w:color w:val="C00000"/>
          <w:kern w:val="2"/>
          <w:sz w:val="21"/>
          <w:szCs w:val="21"/>
          <w:lang w:val="en-US" w:eastAsia="zh-CN" w:bidi="ar-SA"/>
        </w:rPr>
        <w:t>2022年X月XX～XX日在XX省XX市</w:t>
      </w:r>
      <w:r>
        <w:rPr>
          <w:rFonts w:hint="eastAsia" w:ascii="宋体" w:hAnsi="宋体" w:eastAsiaTheme="minorEastAsia" w:cstheme="minorBidi"/>
          <w:color w:val="auto"/>
          <w:kern w:val="2"/>
          <w:sz w:val="21"/>
          <w:szCs w:val="21"/>
          <w:lang w:val="en-US" w:eastAsia="zh-CN" w:bidi="ar-SA"/>
        </w:rPr>
        <w:t>，由全国有色金属标准化技术委员会主持，召开了</w:t>
      </w:r>
      <w:r>
        <w:rPr>
          <w:rFonts w:hint="eastAsia" w:ascii="宋体" w:hAnsi="宋体" w:eastAsiaTheme="minorEastAsia" w:cstheme="minorBidi"/>
          <w:color w:val="C00000"/>
          <w:kern w:val="2"/>
          <w:sz w:val="21"/>
          <w:szCs w:val="21"/>
          <w:lang w:val="en-US" w:eastAsia="zh-CN" w:bidi="ar-SA"/>
        </w:rPr>
        <w:t>《XXX》</w:t>
      </w:r>
      <w:r>
        <w:rPr>
          <w:rFonts w:hint="eastAsia" w:ascii="宋体" w:hAnsi="宋体" w:eastAsiaTheme="minorEastAsia" w:cstheme="minorBidi"/>
          <w:color w:val="auto"/>
          <w:kern w:val="2"/>
          <w:sz w:val="21"/>
          <w:szCs w:val="21"/>
          <w:lang w:val="en-US" w:eastAsia="zh-CN" w:bidi="ar-SA"/>
        </w:rPr>
        <w:t>标准审定会，共有</w:t>
      </w:r>
      <w:r>
        <w:rPr>
          <w:rFonts w:hint="eastAsia" w:ascii="宋体" w:hAnsi="宋体" w:eastAsiaTheme="minorEastAsia" w:cstheme="minorBidi"/>
          <w:color w:val="C00000"/>
          <w:kern w:val="2"/>
          <w:sz w:val="21"/>
          <w:szCs w:val="21"/>
          <w:lang w:val="en-US" w:eastAsia="zh-CN" w:bidi="ar-SA"/>
        </w:rPr>
        <w:t>xx</w:t>
      </w:r>
      <w:r>
        <w:rPr>
          <w:rFonts w:hint="eastAsia" w:ascii="宋体" w:hAnsi="宋体" w:eastAsiaTheme="minorEastAsia" w:cstheme="minorBidi"/>
          <w:color w:val="auto"/>
          <w:kern w:val="2"/>
          <w:sz w:val="21"/>
          <w:szCs w:val="21"/>
          <w:lang w:val="en-US" w:eastAsia="zh-CN" w:bidi="ar-SA"/>
        </w:rPr>
        <w:t>个单位的</w:t>
      </w:r>
      <w:r>
        <w:rPr>
          <w:rFonts w:hint="eastAsia" w:ascii="宋体" w:hAnsi="宋体" w:eastAsiaTheme="minorEastAsia" w:cstheme="minorBidi"/>
          <w:color w:val="C00000"/>
          <w:kern w:val="2"/>
          <w:sz w:val="21"/>
          <w:szCs w:val="21"/>
          <w:lang w:val="en-US" w:eastAsia="zh-CN" w:bidi="ar-SA"/>
        </w:rPr>
        <w:t>xx</w:t>
      </w:r>
      <w:r>
        <w:rPr>
          <w:rFonts w:hint="eastAsia" w:ascii="宋体" w:hAnsi="宋体" w:eastAsiaTheme="minorEastAsia" w:cstheme="minorBidi"/>
          <w:color w:val="auto"/>
          <w:kern w:val="2"/>
          <w:sz w:val="21"/>
          <w:szCs w:val="21"/>
          <w:lang w:val="en-US" w:eastAsia="zh-CN" w:bidi="ar-SA"/>
        </w:rPr>
        <w:t>名专家（</w:t>
      </w:r>
      <w:r>
        <w:rPr>
          <w:rFonts w:hint="eastAsia" w:ascii="宋体" w:hAnsi="宋体" w:eastAsiaTheme="minorEastAsia" w:cstheme="minorBidi"/>
          <w:color w:val="C00000"/>
          <w:kern w:val="2"/>
          <w:sz w:val="21"/>
          <w:szCs w:val="21"/>
          <w:lang w:val="en-US" w:eastAsia="zh-CN" w:bidi="ar-SA"/>
        </w:rPr>
        <w:t>详见有色金属标准审定会专家签名表</w:t>
      </w:r>
      <w:r>
        <w:rPr>
          <w:rFonts w:hint="eastAsia" w:ascii="宋体" w:hAnsi="宋体" w:eastAsiaTheme="minorEastAsia" w:cstheme="minorBidi"/>
          <w:color w:val="auto"/>
          <w:kern w:val="2"/>
          <w:sz w:val="21"/>
          <w:szCs w:val="21"/>
          <w:lang w:val="en-US" w:eastAsia="zh-CN" w:bidi="ar-SA"/>
        </w:rPr>
        <w:t>）参加了会议。【这个单位数和专家数，是审定会上的那张专家签字表，不要数错了】</w:t>
      </w:r>
    </w:p>
    <w:p w14:paraId="7A7CDB79">
      <w:pPr>
        <w:pStyle w:val="4"/>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 xml:space="preserve">与会专家对 </w:t>
      </w:r>
      <w:bookmarkStart w:id="2" w:name="OLE_LINK4"/>
      <w:r>
        <w:rPr>
          <w:rFonts w:hint="eastAsia" w:ascii="宋体" w:hAnsi="宋体" w:eastAsiaTheme="minorEastAsia" w:cstheme="minorBidi"/>
          <w:color w:val="C00000"/>
          <w:kern w:val="2"/>
          <w:sz w:val="21"/>
          <w:szCs w:val="21"/>
          <w:lang w:val="en-US" w:eastAsia="zh-CN" w:bidi="ar-SA"/>
        </w:rPr>
        <w:t>《XXXX》</w:t>
      </w:r>
      <w:bookmarkEnd w:id="2"/>
      <w:r>
        <w:rPr>
          <w:rFonts w:hint="eastAsia" w:ascii="宋体" w:hAnsi="宋体" w:eastAsiaTheme="minorEastAsia" w:cstheme="minorBidi"/>
          <w:color w:val="auto"/>
          <w:kern w:val="2"/>
          <w:sz w:val="21"/>
          <w:szCs w:val="21"/>
          <w:lang w:val="en-US" w:eastAsia="zh-CN" w:bidi="ar-SA"/>
        </w:rPr>
        <w:t>标准的送审稿进行了认真审定，提出了</w:t>
      </w:r>
      <w:r>
        <w:rPr>
          <w:rFonts w:hint="eastAsia" w:ascii="宋体" w:hAnsi="宋体" w:eastAsiaTheme="minorEastAsia" w:cstheme="minorBidi"/>
          <w:color w:val="C00000"/>
          <w:kern w:val="2"/>
          <w:sz w:val="21"/>
          <w:szCs w:val="21"/>
          <w:lang w:val="en-US" w:eastAsia="zh-CN" w:bidi="ar-SA"/>
        </w:rPr>
        <w:t>xx</w:t>
      </w:r>
      <w:r>
        <w:rPr>
          <w:rFonts w:hint="eastAsia" w:ascii="宋体" w:hAnsi="宋体" w:eastAsiaTheme="minorEastAsia" w:cstheme="minorBidi"/>
          <w:color w:val="auto"/>
          <w:kern w:val="2"/>
          <w:sz w:val="21"/>
          <w:szCs w:val="21"/>
          <w:lang w:val="en-US" w:eastAsia="zh-CN" w:bidi="ar-SA"/>
        </w:rPr>
        <w:t>条修改意见，编制小组会后按照专家的修改意见进行了修改，完善了《送审稿》及《送审稿编制说明》。</w:t>
      </w:r>
    </w:p>
    <w:bookmarkEnd w:id="1"/>
    <w:p w14:paraId="46681F5B">
      <w:pPr>
        <w:pStyle w:val="4"/>
        <w:numPr>
          <w:ilvl w:val="0"/>
          <w:numId w:val="1"/>
        </w:numPr>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委员审查</w:t>
      </w:r>
    </w:p>
    <w:p w14:paraId="5B5401BE">
      <w:pPr>
        <w:pStyle w:val="9"/>
        <w:pageBreakBefore w:val="0"/>
        <w:shd w:val="clear" w:color="auto" w:fill="FFFFFF"/>
        <w:kinsoku/>
        <w:wordWrap/>
        <w:overflowPunct/>
        <w:topLinePunct w:val="0"/>
        <w:bidi w:val="0"/>
        <w:adjustRightInd/>
        <w:snapToGrid/>
        <w:spacing w:before="0" w:beforeAutospacing="0" w:after="0" w:afterAutospacing="0" w:line="380" w:lineRule="exact"/>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20</w:t>
      </w:r>
      <w:r>
        <w:rPr>
          <w:rFonts w:hint="eastAsia" w:eastAsiaTheme="minorEastAsia" w:cstheme="minorBidi"/>
          <w:color w:val="auto"/>
          <w:kern w:val="2"/>
          <w:sz w:val="21"/>
          <w:szCs w:val="21"/>
          <w:lang w:val="en-US" w:eastAsia="zh-CN" w:bidi="ar-SA"/>
        </w:rPr>
        <w:t>xx</w:t>
      </w:r>
      <w:r>
        <w:rPr>
          <w:rFonts w:hint="eastAsia" w:ascii="宋体" w:hAnsi="宋体" w:eastAsiaTheme="minorEastAsia" w:cstheme="minorBidi"/>
          <w:color w:val="auto"/>
          <w:kern w:val="2"/>
          <w:sz w:val="21"/>
          <w:szCs w:val="21"/>
          <w:lang w:val="en-US" w:eastAsia="zh-CN" w:bidi="ar-SA"/>
        </w:rPr>
        <w:t>年</w:t>
      </w:r>
      <w:r>
        <w:rPr>
          <w:rFonts w:hint="eastAsia" w:eastAsiaTheme="minorEastAsia" w:cstheme="minorBidi"/>
          <w:color w:val="auto"/>
          <w:kern w:val="2"/>
          <w:sz w:val="21"/>
          <w:szCs w:val="21"/>
          <w:lang w:val="en-US" w:eastAsia="zh-CN" w:bidi="ar-SA"/>
        </w:rPr>
        <w:t>xx</w:t>
      </w:r>
      <w:r>
        <w:rPr>
          <w:rFonts w:hint="eastAsia" w:ascii="宋体" w:hAnsi="宋体" w:eastAsiaTheme="minorEastAsia" w:cstheme="minorBidi"/>
          <w:color w:val="auto"/>
          <w:kern w:val="2"/>
          <w:sz w:val="21"/>
          <w:szCs w:val="21"/>
          <w:lang w:val="en-US" w:eastAsia="zh-CN" w:bidi="ar-SA"/>
        </w:rPr>
        <w:t>月</w:t>
      </w:r>
      <w:r>
        <w:rPr>
          <w:rFonts w:hint="eastAsia" w:eastAsiaTheme="minorEastAsia" w:cstheme="minorBidi"/>
          <w:color w:val="auto"/>
          <w:kern w:val="2"/>
          <w:sz w:val="21"/>
          <w:szCs w:val="21"/>
          <w:lang w:val="en-US" w:eastAsia="zh-CN" w:bidi="ar-SA"/>
        </w:rPr>
        <w:t>xx</w:t>
      </w:r>
      <w:r>
        <w:rPr>
          <w:rFonts w:hint="eastAsia" w:ascii="宋体" w:hAnsi="宋体" w:eastAsiaTheme="minorEastAsia" w:cstheme="minorBidi"/>
          <w:color w:val="auto"/>
          <w:kern w:val="2"/>
          <w:sz w:val="21"/>
          <w:szCs w:val="21"/>
          <w:lang w:val="en-US" w:eastAsia="zh-CN" w:bidi="ar-SA"/>
        </w:rPr>
        <w:t>日，全国有色金属标准化技术委员会在XX省XX市召开了全体委员会议。全国有色金属标准化技术委员会重金属分技术委员会（SAC/TC243/SC2）全体委员共计 66名，实际参与投票工作 XX名。会议经过认真的讨论，对《</w:t>
      </w:r>
      <w:r>
        <w:rPr>
          <w:rFonts w:hint="eastAsia" w:eastAsiaTheme="minorEastAsia" w:cstheme="minorBidi"/>
          <w:color w:val="auto"/>
          <w:kern w:val="2"/>
          <w:sz w:val="21"/>
          <w:szCs w:val="21"/>
          <w:lang w:val="en-US" w:eastAsia="zh-CN" w:bidi="ar-SA"/>
        </w:rPr>
        <w:t>xxxx</w:t>
      </w:r>
      <w:r>
        <w:rPr>
          <w:rFonts w:hint="eastAsia" w:ascii="宋体" w:hAnsi="宋体" w:eastAsiaTheme="minorEastAsia" w:cstheme="minorBidi"/>
          <w:color w:val="auto"/>
          <w:kern w:val="2"/>
          <w:sz w:val="21"/>
          <w:szCs w:val="21"/>
          <w:lang w:val="en-US" w:eastAsia="zh-CN" w:bidi="ar-SA"/>
        </w:rPr>
        <w:t>》标准制修订程序、征求意见的过程以及技术内容的确定等多方面进行了仔细审查。与会XX名委员全体投票通过，同意该标准《送审稿》及和《送审稿编制说明》通过审查，无修改意见，表决通过率为100%。</w:t>
      </w:r>
    </w:p>
    <w:p w14:paraId="0C953339">
      <w:pPr>
        <w:pStyle w:val="9"/>
        <w:pageBreakBefore w:val="0"/>
        <w:numPr>
          <w:ilvl w:val="0"/>
          <w:numId w:val="1"/>
        </w:numPr>
        <w:shd w:val="clear" w:color="auto" w:fill="FFFFFF"/>
        <w:kinsoku/>
        <w:wordWrap/>
        <w:overflowPunct/>
        <w:topLinePunct w:val="0"/>
        <w:bidi w:val="0"/>
        <w:adjustRightInd/>
        <w:snapToGrid/>
        <w:spacing w:before="0" w:beforeAutospacing="0" w:after="0" w:afterAutospacing="0" w:line="380" w:lineRule="exact"/>
        <w:ind w:left="0" w:leftChars="0" w:firstLine="0" w:firstLineChars="0"/>
        <w:textAlignment w:val="auto"/>
        <w:rPr>
          <w:rFonts w:hint="default" w:ascii="宋体" w:hAnsi="宋体" w:eastAsiaTheme="minorEastAsia" w:cstheme="minorBidi"/>
          <w:color w:val="auto"/>
          <w:kern w:val="2"/>
          <w:sz w:val="21"/>
          <w:szCs w:val="21"/>
          <w:lang w:val="en-US" w:eastAsia="zh-CN" w:bidi="ar-SA"/>
        </w:rPr>
      </w:pPr>
      <w:r>
        <w:rPr>
          <w:rFonts w:hint="eastAsia" w:eastAsiaTheme="minorEastAsia" w:cstheme="minorBidi"/>
          <w:color w:val="auto"/>
          <w:kern w:val="2"/>
          <w:sz w:val="21"/>
          <w:szCs w:val="21"/>
          <w:lang w:val="en-US" w:eastAsia="zh-CN" w:bidi="ar-SA"/>
        </w:rPr>
        <w:t>委员电子投票【国标写，其他不写】</w:t>
      </w:r>
    </w:p>
    <w:p w14:paraId="27597256">
      <w:pPr>
        <w:pStyle w:val="9"/>
        <w:pageBreakBefore w:val="0"/>
        <w:numPr>
          <w:ilvl w:val="0"/>
          <w:numId w:val="0"/>
        </w:numPr>
        <w:shd w:val="clear" w:color="auto" w:fill="FFFFFF"/>
        <w:kinsoku/>
        <w:wordWrap/>
        <w:overflowPunct/>
        <w:topLinePunct w:val="0"/>
        <w:bidi w:val="0"/>
        <w:adjustRightInd/>
        <w:snapToGrid/>
        <w:spacing w:before="0" w:beforeAutospacing="0" w:after="0" w:afterAutospacing="0" w:line="380" w:lineRule="exact"/>
        <w:ind w:leftChars="0" w:firstLine="420" w:firstLineChars="200"/>
        <w:textAlignment w:val="auto"/>
        <w:rPr>
          <w:rFonts w:hint="default" w:ascii="宋体" w:hAnsi="宋体" w:eastAsiaTheme="minorEastAsia" w:cstheme="minorBidi"/>
          <w:color w:val="auto"/>
          <w:kern w:val="2"/>
          <w:sz w:val="21"/>
          <w:szCs w:val="21"/>
          <w:lang w:val="en-US" w:eastAsia="zh-CN" w:bidi="ar-SA"/>
        </w:rPr>
      </w:pPr>
      <w:r>
        <w:rPr>
          <w:rFonts w:hint="default" w:ascii="宋体" w:hAnsi="宋体" w:eastAsiaTheme="minorEastAsia" w:cstheme="minorBidi"/>
          <w:color w:val="auto"/>
          <w:kern w:val="2"/>
          <w:sz w:val="21"/>
          <w:szCs w:val="21"/>
          <w:lang w:val="en-US" w:eastAsia="zh-CN" w:bidi="ar-SA"/>
        </w:rPr>
        <w:t>20XX 年X月X 日至X 月X 日，由全国有色重金属标准化分技术委员会在全国专业标准化技术委员会工作平台发起了《XX》报批稿及编制说明委员投票，该委员会有委员 66人，xx 人投赞成票，不赞成为零和弃权票为0，其余未投票，投赞成票率为 xx%。</w:t>
      </w:r>
    </w:p>
    <w:p w14:paraId="07E8B0DD">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1.4.6报批阶段</w:t>
      </w:r>
    </w:p>
    <w:p w14:paraId="5A4A7852">
      <w:pPr>
        <w:pageBreakBefore w:val="0"/>
        <w:kinsoku/>
        <w:wordWrap/>
        <w:overflowPunct/>
        <w:topLinePunct w:val="0"/>
        <w:bidi w:val="0"/>
        <w:adjustRightInd/>
        <w:snapToGrid/>
        <w:spacing w:line="380" w:lineRule="exact"/>
        <w:ind w:firstLine="420" w:firstLineChars="200"/>
        <w:textAlignment w:val="auto"/>
        <w:rPr>
          <w:rFonts w:hint="default" w:ascii="宋体" w:hAnsi="宋体" w:eastAsiaTheme="minorEastAsia" w:cstheme="minorBidi"/>
          <w:color w:val="auto"/>
          <w:kern w:val="2"/>
          <w:sz w:val="21"/>
          <w:szCs w:val="21"/>
          <w:lang w:val="en-US" w:eastAsia="zh-CN" w:bidi="ar-SA"/>
        </w:rPr>
      </w:pPr>
      <w:bookmarkStart w:id="3" w:name="OLE_LINK6"/>
      <w:r>
        <w:rPr>
          <w:rFonts w:hint="eastAsia" w:ascii="宋体" w:hAnsi="宋体" w:eastAsiaTheme="minorEastAsia" w:cstheme="minorBidi"/>
          <w:color w:val="auto"/>
          <w:kern w:val="2"/>
          <w:sz w:val="21"/>
          <w:szCs w:val="21"/>
          <w:lang w:val="en-US" w:eastAsia="zh-CN" w:bidi="ar-SA"/>
        </w:rPr>
        <w:t>标准编制组对标准文本和编制说明进行完善，形成标准报批稿报送至全国有色金属标准化技术委员会（SAC/TC243）秘书处，上报至</w:t>
      </w:r>
      <w:r>
        <w:rPr>
          <w:rFonts w:hint="eastAsia" w:ascii="宋体" w:hAnsi="宋体" w:eastAsiaTheme="minorEastAsia" w:cstheme="minorBidi"/>
          <w:color w:val="C00000"/>
          <w:kern w:val="2"/>
          <w:sz w:val="21"/>
          <w:szCs w:val="21"/>
          <w:lang w:val="en-US" w:eastAsia="zh-CN" w:bidi="ar-SA"/>
        </w:rPr>
        <w:t>国家标准化管理委员会</w:t>
      </w:r>
      <w:r>
        <w:rPr>
          <w:rFonts w:hint="eastAsia" w:ascii="宋体" w:hAnsi="宋体" w:cstheme="minorBidi"/>
          <w:color w:val="C00000"/>
          <w:kern w:val="2"/>
          <w:sz w:val="21"/>
          <w:szCs w:val="21"/>
          <w:lang w:val="en-US" w:eastAsia="zh-CN" w:bidi="ar-SA"/>
        </w:rPr>
        <w:t>【行标为：工业和信息化部、团标为：中国有色金属工业协会】</w:t>
      </w:r>
      <w:r>
        <w:rPr>
          <w:rFonts w:hint="eastAsia" w:ascii="宋体" w:hAnsi="宋体" w:eastAsiaTheme="minorEastAsia" w:cstheme="minorBidi"/>
          <w:color w:val="auto"/>
          <w:kern w:val="2"/>
          <w:sz w:val="21"/>
          <w:szCs w:val="21"/>
          <w:lang w:val="en-US" w:eastAsia="zh-CN" w:bidi="ar-SA"/>
        </w:rPr>
        <w:t>审批、发布。</w:t>
      </w:r>
    </w:p>
    <w:bookmarkEnd w:id="3"/>
    <w:p w14:paraId="61D971DE">
      <w:pPr>
        <w:pStyle w:val="4"/>
        <w:numPr>
          <w:ilvl w:val="0"/>
          <w:numId w:val="0"/>
        </w:numPr>
        <w:rPr>
          <w:rFonts w:hint="default" w:hAnsi="黑体" w:cs="黑体"/>
          <w:color w:val="C00000"/>
          <w:sz w:val="21"/>
          <w:szCs w:val="21"/>
          <w:lang w:val="en-US" w:eastAsia="zh-CN"/>
        </w:rPr>
      </w:pPr>
    </w:p>
    <w:p w14:paraId="76E2D1DB">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rPr>
        <w:t>二、编制原则</w:t>
      </w:r>
      <w:r>
        <w:rPr>
          <w:rFonts w:hint="eastAsia" w:ascii="黑体" w:eastAsia="黑体" w:cs="Arial"/>
          <w:color w:val="auto"/>
          <w:sz w:val="21"/>
          <w:szCs w:val="21"/>
          <w:lang w:eastAsia="zh-CN"/>
        </w:rPr>
        <w:t>、</w:t>
      </w:r>
      <w:r>
        <w:rPr>
          <w:rFonts w:hint="eastAsia" w:ascii="黑体" w:eastAsia="黑体" w:cs="Arial"/>
          <w:color w:val="auto"/>
          <w:sz w:val="21"/>
          <w:szCs w:val="21"/>
          <w:lang w:val="en-US" w:eastAsia="zh-CN"/>
        </w:rPr>
        <w:t>主要内容及其确定依据、</w:t>
      </w:r>
      <w:r>
        <w:rPr>
          <w:rFonts w:hint="eastAsia" w:ascii="黑体" w:eastAsia="黑体" w:cs="Arial"/>
          <w:color w:val="0000FF"/>
          <w:sz w:val="21"/>
          <w:szCs w:val="21"/>
          <w:lang w:val="en-US" w:eastAsia="zh-CN"/>
        </w:rPr>
        <w:t>修订前后技术内容的对比（修订时有）</w:t>
      </w:r>
    </w:p>
    <w:p w14:paraId="677447D3">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bookmarkStart w:id="4" w:name="OLE_LINK7"/>
      <w:r>
        <w:rPr>
          <w:rFonts w:hint="eastAsia" w:ascii="黑体" w:eastAsia="黑体" w:cs="Arial"/>
          <w:color w:val="auto"/>
          <w:sz w:val="21"/>
          <w:szCs w:val="21"/>
          <w:lang w:val="en-US" w:eastAsia="zh-CN"/>
        </w:rPr>
        <w:t>1、编制原则</w:t>
      </w:r>
    </w:p>
    <w:p w14:paraId="6B3CCA3C">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color w:val="auto"/>
          <w:sz w:val="21"/>
          <w:szCs w:val="21"/>
          <w:lang w:val="en-US" w:eastAsia="zh-CN"/>
        </w:rPr>
      </w:pPr>
      <w:r>
        <w:rPr>
          <w:rFonts w:hint="eastAsia"/>
          <w:color w:val="auto"/>
          <w:sz w:val="21"/>
          <w:szCs w:val="21"/>
          <w:lang w:val="en-US" w:eastAsia="zh-CN"/>
        </w:rPr>
        <w:t>起草符合GB/T 1.1的编写要求；</w:t>
      </w:r>
    </w:p>
    <w:bookmarkEnd w:id="4"/>
    <w:p w14:paraId="3F0CDBB7">
      <w:pPr>
        <w:pStyle w:val="9"/>
        <w:pageBreakBefore w:val="0"/>
        <w:shd w:val="clear" w:color="auto" w:fill="FFFFFF"/>
        <w:kinsoku/>
        <w:wordWrap/>
        <w:overflowPunct/>
        <w:topLinePunct w:val="0"/>
        <w:bidi w:val="0"/>
        <w:adjustRightInd/>
        <w:snapToGrid/>
        <w:spacing w:before="0" w:beforeAutospacing="0" w:after="0" w:afterAutospacing="0" w:line="380" w:lineRule="exact"/>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对于新材料和新产品耐腐蚀性的鉴定，通常需要在产品设计工作中采用加速腐蚀试验。</w:t>
      </w:r>
      <w:r>
        <w:rPr>
          <w:rFonts w:hint="eastAsia" w:eastAsiaTheme="minorEastAsia" w:cstheme="minorBidi"/>
          <w:color w:val="auto"/>
          <w:kern w:val="2"/>
          <w:sz w:val="21"/>
          <w:szCs w:val="21"/>
          <w:lang w:val="en-US" w:eastAsia="zh-CN" w:bidi="ar-SA"/>
        </w:rPr>
        <w:t>针对铜合金表面腐蚀变色的特征性行为，要求</w:t>
      </w:r>
      <w:r>
        <w:rPr>
          <w:rFonts w:hint="eastAsia" w:ascii="宋体" w:hAnsi="宋体" w:eastAsiaTheme="minorEastAsia" w:cstheme="minorBidi"/>
          <w:color w:val="auto"/>
          <w:kern w:val="2"/>
          <w:sz w:val="21"/>
          <w:szCs w:val="21"/>
          <w:lang w:val="en-US" w:eastAsia="zh-CN" w:bidi="ar-SA"/>
        </w:rPr>
        <w:t>腐蚀试验</w:t>
      </w:r>
      <w:r>
        <w:rPr>
          <w:rFonts w:hint="eastAsia" w:eastAsiaTheme="minorEastAsia" w:cstheme="minorBidi"/>
          <w:color w:val="auto"/>
          <w:kern w:val="2"/>
          <w:sz w:val="21"/>
          <w:szCs w:val="21"/>
          <w:lang w:val="en-US" w:eastAsia="zh-CN" w:bidi="ar-SA"/>
        </w:rPr>
        <w:t>具有模拟腐蚀因子全面性和模拟试验时间短时性，以增加对铜合金产品耐蚀性评价的可靠性</w:t>
      </w:r>
      <w:r>
        <w:rPr>
          <w:rFonts w:hint="eastAsia" w:ascii="宋体" w:hAnsi="宋体" w:eastAsiaTheme="minorEastAsia" w:cstheme="minorBidi"/>
          <w:color w:val="auto"/>
          <w:kern w:val="2"/>
          <w:sz w:val="21"/>
          <w:szCs w:val="21"/>
          <w:lang w:val="en-US" w:eastAsia="zh-CN" w:bidi="ar-SA"/>
        </w:rPr>
        <w:t>。因此，为产品鉴定而设计的加速腐蚀试验，具有重要的实际意义。</w:t>
      </w:r>
    </w:p>
    <w:p w14:paraId="3A53FAED">
      <w:pPr>
        <w:pStyle w:val="9"/>
        <w:pageBreakBefore w:val="0"/>
        <w:shd w:val="clear" w:color="auto" w:fill="FFFFFF"/>
        <w:kinsoku/>
        <w:wordWrap/>
        <w:overflowPunct/>
        <w:topLinePunct w:val="0"/>
        <w:bidi w:val="0"/>
        <w:adjustRightInd/>
        <w:snapToGrid/>
        <w:spacing w:before="0" w:beforeAutospacing="0" w:after="0" w:afterAutospacing="0" w:line="380" w:lineRule="exact"/>
        <w:ind w:firstLine="420" w:firstLineChars="200"/>
        <w:textAlignment w:val="auto"/>
        <w:rPr>
          <w:rFonts w:hint="eastAsia" w:ascii="黑体" w:eastAsia="黑体" w:cs="Arial"/>
          <w:color w:val="auto"/>
          <w:sz w:val="21"/>
          <w:szCs w:val="21"/>
          <w:lang w:val="en-US" w:eastAsia="zh-CN"/>
        </w:rPr>
      </w:pPr>
      <w:r>
        <w:rPr>
          <w:rFonts w:hint="eastAsia" w:ascii="宋体" w:hAnsi="宋体" w:eastAsiaTheme="minorEastAsia" w:cstheme="minorBidi"/>
          <w:color w:val="auto"/>
          <w:kern w:val="2"/>
          <w:sz w:val="21"/>
          <w:szCs w:val="21"/>
          <w:lang w:val="en-US" w:eastAsia="zh-CN" w:bidi="ar-SA"/>
        </w:rPr>
        <w:t>本文件在制定过程中，遵循“面向市场、服务产业、自主制定、适时退出、及时修订、不断完善”的原则，注重标准制定与技术创新、试验验证、产业推进、应用推广相结合，本着先进性、科学性、合理性和可操作性以及标准的目标性、统一性、协调性、适用性、一致性和规范性的原则来进行本文件的制定工作。可靠性原则。标准规定的检测方法在同一实验室检测结果具有长期稳定性，不同实验室之间的检测结果具有一致性，能有效地规范铜及铜合金变色腐蚀试验方法及抗变色能力评价方法。适用性原则。根据国内铜及铜合金生产和下游客户的具体情况，突出标准的实用性。对试验设备及试验条件提出了明确要求，完善试验条件及试验步骤、检测范围能普遍满足行业对铜及铜合金变色腐蚀试验方法及抗变色能力评价方法测试的要求。协调一致性原则。本标准在制订过程中，充分考虑铜及铜合金产品标准的相关内容要求，保证了标准的协调性与一致性。</w:t>
      </w:r>
    </w:p>
    <w:p w14:paraId="4CBA8220">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2、</w:t>
      </w:r>
      <w:r>
        <w:rPr>
          <w:rFonts w:hint="eastAsia" w:ascii="黑体" w:eastAsia="黑体" w:cs="Arial"/>
          <w:color w:val="auto"/>
          <w:sz w:val="21"/>
          <w:szCs w:val="21"/>
        </w:rPr>
        <w:t>标准主要技术内容</w:t>
      </w:r>
      <w:r>
        <w:rPr>
          <w:rFonts w:hint="eastAsia" w:ascii="黑体" w:eastAsia="黑体" w:cs="Arial"/>
          <w:color w:val="auto"/>
          <w:sz w:val="21"/>
          <w:szCs w:val="21"/>
          <w:lang w:val="en-US" w:eastAsia="zh-CN"/>
        </w:rPr>
        <w:t>的确定依据</w:t>
      </w:r>
    </w:p>
    <w:p w14:paraId="5C3E1714">
      <w:p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文件为首次编制文件。主要技术内容包括前言、范围、规范性引用文件、术语和定义、符号和缩写、试样、模拟加速腐蚀试验、不同种类试验及其适用性的推荐应用领域和试验设备等。其中前言、范围、规范性引用文件、术语和定义、符号和缩写的编写按照GB/T 1.1－2020的要求编写。第5章试样内容为满足试验要求的试样规格及取样规则，并且试验制备方法普遍具有广泛性。第6章至9章内容分别对应了真实大气环境中引起铜合金变色行为的大气腐蚀因子，通过在全国范围内真实大气环境下暴晒得到铜合金变色数据建立每章不同腐蚀因子模拟试验内容，建立铜合金在不同腐蚀因子下变色行为的评价体系。（如图一所示）第10章内容以不同铜合金腐蚀变色机理，即腐蚀开始及发展的迁变过程为依据，分析不同腐蚀因子模拟试验（第6章至9章内容）引发的铜合金腐蚀变色行为严苛程度。（如图二所示）建立铜合金腐蚀优先级别，并通过可加合权重比系数开展评价级别的数值确认工作。以真实大气环境下铜合金腐蚀变色时间为不同级别区分依据，反向带入权重比系数数值。确保铜合金抗变色性能结果与实际对应。</w:t>
      </w:r>
      <w:r>
        <w:rPr>
          <w:rFonts w:hint="eastAsia" w:ascii="宋体" w:hAnsi="宋体" w:cstheme="minorBidi"/>
          <w:color w:val="auto"/>
          <w:kern w:val="2"/>
          <w:sz w:val="21"/>
          <w:szCs w:val="21"/>
          <w:lang w:val="en-US" w:eastAsia="zh-CN" w:bidi="ar-SA"/>
        </w:rPr>
        <w:t>建立方法及过程如图三所示。</w:t>
      </w:r>
    </w:p>
    <w:p w14:paraId="30AD9ECC">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Theme="minorEastAsia" w:cstheme="minorBidi"/>
          <w:color w:val="auto"/>
          <w:kern w:val="2"/>
          <w:sz w:val="21"/>
          <w:szCs w:val="21"/>
          <w:lang w:val="en-US" w:eastAsia="zh-CN" w:bidi="ar-SA"/>
        </w:rPr>
      </w:pPr>
    </w:p>
    <w:p w14:paraId="6A324F85">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szCs w:val="21"/>
          <w:lang w:val="en-US" w:eastAsia="zh-CN"/>
        </w:rPr>
      </w:pPr>
    </w:p>
    <w:p w14:paraId="4F1FD8C4">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szCs w:val="21"/>
          <w:lang w:val="en-US" w:eastAsia="zh-CN"/>
        </w:rPr>
      </w:pPr>
    </w:p>
    <w:p w14:paraId="7D0ABE42">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szCs w:val="21"/>
          <w:lang w:val="en-US" w:eastAsia="zh-CN"/>
        </w:rPr>
      </w:pPr>
    </w:p>
    <w:p w14:paraId="6C731A42">
      <w:pPr>
        <w:keepNext w:val="0"/>
        <w:keepLines w:val="0"/>
        <w:pageBreakBefore w:val="0"/>
        <w:widowControl w:val="0"/>
        <w:kinsoku/>
        <w:wordWrap/>
        <w:overflowPunct/>
        <w:topLinePunct w:val="0"/>
        <w:autoSpaceDE/>
        <w:autoSpaceDN/>
        <w:bidi w:val="0"/>
        <w:adjustRightInd/>
        <w:snapToGrid w:val="0"/>
        <w:textAlignment w:val="auto"/>
        <w:rPr>
          <w:rFonts w:hint="eastAsia" w:ascii="宋体" w:hAnsi="宋体"/>
          <w:szCs w:val="21"/>
          <w:lang w:val="en-US" w:eastAsia="zh-CN"/>
        </w:rPr>
      </w:pPr>
      <w:r>
        <w:rPr>
          <w:rFonts w:hint="eastAsia" w:ascii="宋体" w:hAnsi="宋体" w:cs="宋体"/>
          <w:color w:val="auto"/>
          <w:sz w:val="21"/>
          <w:szCs w:val="21"/>
          <w:lang w:eastAsia="zh-CN"/>
        </w:rPr>
        <w:drawing>
          <wp:inline distT="0" distB="0" distL="114300" distR="114300">
            <wp:extent cx="5290820" cy="3518535"/>
            <wp:effectExtent l="0" t="0" r="5080" b="5715"/>
            <wp:docPr id="1" name="图片 1" descr="图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一"/>
                    <pic:cNvPicPr>
                      <a:picLocks noChangeAspect="1"/>
                    </pic:cNvPicPr>
                  </pic:nvPicPr>
                  <pic:blipFill>
                    <a:blip r:embed="rId4"/>
                    <a:stretch>
                      <a:fillRect/>
                    </a:stretch>
                  </pic:blipFill>
                  <pic:spPr>
                    <a:xfrm>
                      <a:off x="0" y="0"/>
                      <a:ext cx="5290820" cy="3518535"/>
                    </a:xfrm>
                    <a:prstGeom prst="rect">
                      <a:avLst/>
                    </a:prstGeom>
                  </pic:spPr>
                </pic:pic>
              </a:graphicData>
            </a:graphic>
          </wp:inline>
        </w:drawing>
      </w:r>
    </w:p>
    <w:p w14:paraId="18DE1E24">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eastAsia="zh-CN"/>
        </w:rPr>
        <w:t>图一</w:t>
      </w:r>
      <w:r>
        <w:rPr>
          <w:rFonts w:hint="eastAsia" w:ascii="宋体" w:hAnsi="宋体" w:cs="宋体"/>
          <w:color w:val="auto"/>
          <w:sz w:val="21"/>
          <w:szCs w:val="21"/>
          <w:lang w:val="en-US" w:eastAsia="zh-CN"/>
        </w:rPr>
        <w:t xml:space="preserve"> 5种铜合金全国6地点棚下暴晒变色情况</w:t>
      </w:r>
    </w:p>
    <w:p w14:paraId="73B69026">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3B80F28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sz w:val="21"/>
          <w:szCs w:val="21"/>
          <w:lang w:eastAsia="zh-CN"/>
        </w:rPr>
      </w:pPr>
      <w:r>
        <w:rPr>
          <w:rFonts w:hint="eastAsia" w:ascii="宋体" w:hAnsi="宋体" w:cs="宋体"/>
          <w:color w:val="auto"/>
          <w:sz w:val="21"/>
          <w:szCs w:val="21"/>
          <w:lang w:eastAsia="zh-CN"/>
        </w:rPr>
        <w:drawing>
          <wp:inline distT="0" distB="0" distL="114300" distR="114300">
            <wp:extent cx="5295265" cy="3004820"/>
            <wp:effectExtent l="0" t="0" r="635" b="5080"/>
            <wp:docPr id="2" name="图片 2"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二"/>
                    <pic:cNvPicPr>
                      <a:picLocks noChangeAspect="1"/>
                    </pic:cNvPicPr>
                  </pic:nvPicPr>
                  <pic:blipFill>
                    <a:blip r:embed="rId5"/>
                    <a:stretch>
                      <a:fillRect/>
                    </a:stretch>
                  </pic:blipFill>
                  <pic:spPr>
                    <a:xfrm>
                      <a:off x="0" y="0"/>
                      <a:ext cx="5295265" cy="3004820"/>
                    </a:xfrm>
                    <a:prstGeom prst="rect">
                      <a:avLst/>
                    </a:prstGeom>
                  </pic:spPr>
                </pic:pic>
              </a:graphicData>
            </a:graphic>
          </wp:inline>
        </w:drawing>
      </w:r>
    </w:p>
    <w:p w14:paraId="2304DC01">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eastAsia="zh-CN"/>
        </w:rPr>
        <w:t>图二</w:t>
      </w:r>
      <w:r>
        <w:rPr>
          <w:rFonts w:hint="eastAsia" w:ascii="宋体" w:hAnsi="宋体" w:cs="宋体"/>
          <w:color w:val="auto"/>
          <w:sz w:val="21"/>
          <w:szCs w:val="21"/>
          <w:lang w:val="en-US" w:eastAsia="zh-CN"/>
        </w:rPr>
        <w:t xml:space="preserve"> 5种铜合金全国4种加速试验变色情况</w:t>
      </w:r>
    </w:p>
    <w:p w14:paraId="366F29A0">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7FC9CE5F">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0EBADDE7">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5AB3C912">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51F1FC0A">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2548BB6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drawing>
          <wp:inline distT="0" distB="0" distL="114300" distR="114300">
            <wp:extent cx="5290820" cy="3129915"/>
            <wp:effectExtent l="0" t="0" r="5080" b="13335"/>
            <wp:docPr id="3" name="图片 3" descr="图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三"/>
                    <pic:cNvPicPr>
                      <a:picLocks noChangeAspect="1"/>
                    </pic:cNvPicPr>
                  </pic:nvPicPr>
                  <pic:blipFill>
                    <a:blip r:embed="rId6"/>
                    <a:stretch>
                      <a:fillRect/>
                    </a:stretch>
                  </pic:blipFill>
                  <pic:spPr>
                    <a:xfrm>
                      <a:off x="0" y="0"/>
                      <a:ext cx="5290820" cy="3129915"/>
                    </a:xfrm>
                    <a:prstGeom prst="rect">
                      <a:avLst/>
                    </a:prstGeom>
                  </pic:spPr>
                </pic:pic>
              </a:graphicData>
            </a:graphic>
          </wp:inline>
        </w:drawing>
      </w:r>
    </w:p>
    <w:p w14:paraId="34EFD50D">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图三 铜合金抗变色等级评价依据</w:t>
      </w:r>
    </w:p>
    <w:p w14:paraId="79DB4289">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26D2B8CE">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679A9316">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6C5A1724">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lang w:val="en-US" w:eastAsia="zh-CN"/>
        </w:rPr>
      </w:pPr>
    </w:p>
    <w:p w14:paraId="6FEE09B2">
      <w:pPr>
        <w:pStyle w:val="4"/>
        <w:numPr>
          <w:ilvl w:val="0"/>
          <w:numId w:val="2"/>
        </w:numPr>
        <w:rPr>
          <w:rFonts w:hint="eastAsia" w:ascii="黑体" w:eastAsia="黑体" w:cs="Arial"/>
          <w:color w:val="0000FF"/>
          <w:sz w:val="21"/>
          <w:szCs w:val="21"/>
          <w:lang w:val="en-US" w:eastAsia="zh-CN"/>
        </w:rPr>
      </w:pPr>
      <w:r>
        <w:rPr>
          <w:rFonts w:hint="eastAsia" w:ascii="黑体" w:eastAsia="黑体" w:cs="Arial"/>
          <w:color w:val="0000FF"/>
          <w:sz w:val="21"/>
          <w:szCs w:val="21"/>
          <w:lang w:val="en-US" w:eastAsia="zh-CN"/>
        </w:rPr>
        <w:t>修订前后技术内容的对比（修订时有）</w:t>
      </w:r>
    </w:p>
    <w:p w14:paraId="36B640C1">
      <w:pPr>
        <w:pStyle w:val="4"/>
        <w:numPr>
          <w:ilvl w:val="0"/>
          <w:numId w:val="0"/>
        </w:numPr>
        <w:ind w:firstLine="420" w:firstLineChars="200"/>
        <w:rPr>
          <w:rFonts w:hint="eastAsia" w:ascii="宋体" w:hAnsi="宋体" w:eastAsiaTheme="minorEastAsia" w:cstheme="minorBidi"/>
          <w:b/>
          <w:bCs/>
          <w:color w:val="C00000"/>
          <w:kern w:val="2"/>
          <w:sz w:val="21"/>
          <w:szCs w:val="21"/>
          <w:lang w:val="en-US" w:eastAsia="zh-CN" w:bidi="ar-SA"/>
        </w:rPr>
      </w:pPr>
      <w:r>
        <w:rPr>
          <w:rFonts w:hint="eastAsia" w:ascii="宋体" w:hAnsi="宋体" w:eastAsiaTheme="minorEastAsia" w:cstheme="minorBidi"/>
          <w:color w:val="C00000"/>
          <w:kern w:val="2"/>
          <w:sz w:val="21"/>
          <w:szCs w:val="21"/>
          <w:lang w:val="en-US" w:eastAsia="zh-CN" w:bidi="ar-SA"/>
        </w:rPr>
        <w:t>修订标准，应详细说明对原有技术指标或试验方法进行修改的依据，并列出新旧标准水平对比表。</w:t>
      </w:r>
      <w:r>
        <w:rPr>
          <w:rFonts w:hint="eastAsia" w:ascii="宋体" w:hAnsi="宋体" w:eastAsiaTheme="minorEastAsia" w:cstheme="minorBidi"/>
          <w:b/>
          <w:bCs/>
          <w:color w:val="C00000"/>
          <w:kern w:val="2"/>
          <w:sz w:val="21"/>
          <w:szCs w:val="21"/>
          <w:lang w:val="en-US" w:eastAsia="zh-CN" w:bidi="ar-SA"/>
        </w:rPr>
        <w:t>没有修改的条款也应有说明。</w:t>
      </w:r>
    </w:p>
    <w:p w14:paraId="567EAB28">
      <w:pPr>
        <w:pStyle w:val="4"/>
        <w:numPr>
          <w:ilvl w:val="0"/>
          <w:numId w:val="0"/>
        </w:numPr>
        <w:ind w:firstLine="422" w:firstLineChars="200"/>
        <w:rPr>
          <w:rFonts w:hint="eastAsia" w:ascii="宋体" w:hAnsi="宋体" w:eastAsiaTheme="minorEastAsia" w:cstheme="minorBidi"/>
          <w:b/>
          <w:bCs/>
          <w:color w:val="C00000"/>
          <w:kern w:val="2"/>
          <w:sz w:val="21"/>
          <w:szCs w:val="21"/>
          <w:lang w:val="en-US" w:eastAsia="zh-CN" w:bidi="ar-SA"/>
        </w:rPr>
      </w:pPr>
    </w:p>
    <w:p w14:paraId="485505E6">
      <w:pPr>
        <w:pStyle w:val="4"/>
        <w:numPr>
          <w:ilvl w:val="0"/>
          <w:numId w:val="0"/>
        </w:numPr>
        <w:ind w:firstLine="422" w:firstLineChars="200"/>
        <w:rPr>
          <w:rFonts w:hint="default" w:ascii="宋体" w:hAnsi="宋体" w:eastAsiaTheme="minorEastAsia" w:cstheme="minorBidi"/>
          <w:b/>
          <w:bCs/>
          <w:color w:val="C00000"/>
          <w:kern w:val="2"/>
          <w:sz w:val="21"/>
          <w:szCs w:val="21"/>
          <w:lang w:val="en-US" w:eastAsia="zh-CN" w:bidi="ar-SA"/>
        </w:rPr>
      </w:pPr>
    </w:p>
    <w:p w14:paraId="075EFE8C">
      <w:pPr>
        <w:pStyle w:val="9"/>
        <w:keepNext w:val="0"/>
        <w:keepLines w:val="0"/>
        <w:pageBreakBefore w:val="0"/>
        <w:numPr>
          <w:ilvl w:val="0"/>
          <w:numId w:val="3"/>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试验验证分析、综述报告、技术经济论证、预期达到的经济效益、社会效益和生态效益</w:t>
      </w:r>
    </w:p>
    <w:p w14:paraId="178BE281">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1、试验验证分析和综述报告</w:t>
      </w:r>
    </w:p>
    <w:p w14:paraId="522A9624">
      <w:pPr>
        <w:pStyle w:val="4"/>
        <w:numPr>
          <w:ilvl w:val="0"/>
          <w:numId w:val="4"/>
        </w:numPr>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项目的必要性阐述</w:t>
      </w:r>
    </w:p>
    <w:p w14:paraId="1AD299EF">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铜合金作为一种重要的金属材料，在多个工业领域具有广泛的应用。然而，铜合金在特定环境条件下容易发生变色和腐蚀，这不仅影响其美观性，还可能降低其机械性能和使用寿命。因此，建立一套科学、系统的铜合金变色腐蚀试验方法及抗变色能力评价方法具有极高的必要性。该项目旨在通过规范化的试验流程，准确评估铜合金的抗变色能力，为材料选择、工艺优化及产品质量控制提供科学依据，从而保障铜合金产品的可靠性和耐久性，满足市场和用户的多样化需求。</w:t>
      </w:r>
    </w:p>
    <w:p w14:paraId="33419AC2">
      <w:pPr>
        <w:pStyle w:val="4"/>
        <w:numPr>
          <w:ilvl w:val="0"/>
          <w:numId w:val="4"/>
        </w:numPr>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项目的可行性阐述</w:t>
      </w:r>
    </w:p>
    <w:p w14:paraId="3CE58838">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文件由具有深厚科研背景和丰富实践经验的企业和科研机构共同参与，如中国科学院金属研究所、沈阳造币有限公司、中铝洛阳铜加工有限公司和广东龙丰精密铜管有限公司等。这些单位在金属材料的研发、生产和检测方面积累了大量的技术储备，拥有高水平的技术团队和先进的实验设备，能够确保项目的顺利实施。</w:t>
      </w:r>
    </w:p>
    <w:p w14:paraId="6FA88F46">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铜合金作为一种成熟的金属材料，已经实现了广泛的产业化应用。随着工业技术的不断进步和市场需求的持续增长，铜合金的产业规模不断扩大。本项目的实施将进一步完善铜合金的性能评价体系，有助于提升铜合金产品的市场竞争力，促进相关产业的健康发展。</w:t>
      </w:r>
    </w:p>
    <w:p w14:paraId="77C95C29">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通过建立科学的铜合金变色腐蚀试验方法及抗变色能力评价方法，可以为用户提供更加准确、可靠的材料性能数据，帮助用户更好地选择和使用铜合金产品。这不仅可以满足用户对高质量产品的需求，还可以提高用户的使用满意度和信任度。</w:t>
      </w:r>
    </w:p>
    <w:p w14:paraId="1E784EB3">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随着制造业的快速发展和消费升级的趋势，对高质量铜合金产品的需求日益增长。据市场研究机构预测，未来几年内铜合金市场规模将持续扩大。本项目的实施将有望推动铜合金行业的技术创新和产业升级，进一步拓展市场空间。</w:t>
      </w:r>
    </w:p>
    <w:p w14:paraId="459E7753">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目前，铜合金变色腐蚀试验方法及抗变色能力评价缺乏统一的标准和规范，导致不同实验室之间的试验结果存在较大的差异性和不可比性。本项目旨在解决这一问题，通过制定科学的试验方法和评价标准，提高试验结果的准确性和可重复性。</w:t>
      </w:r>
    </w:p>
    <w:p w14:paraId="1154D162">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虽然国内外已经存在一些关于金属材料腐蚀试验的标准和规范，但针对铜合金变色腐蚀试验及抗变色能力评价的标准尚不完善。本项目的实施将填补这一空白，为铜合金行业的标准化发展提供有力支持。</w:t>
      </w:r>
    </w:p>
    <w:p w14:paraId="1FFE9EC0">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当前铜合金变色腐蚀试验及评价过程中存在试验方法不统一、评价标准不明确等问题，导致试验结果的可比性和可靠性受到影响。此外，随着新材料和新工艺的不断涌现，对铜合金抗变色能力的要求也越来越高，需要更加科学、系统的评价方法来满足这些需求。</w:t>
      </w:r>
    </w:p>
    <w:p w14:paraId="4AE1B36A">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制定科学的铜合金变色腐蚀试验方法及抗变色能力评价标准，对于提高铜合金产品的质量、推动技术创新和产业升级具有重要意义。同时，该标准的实施将有助于规范市场秩序，保护消费者权益，促进铜合金行业的可持续发展</w:t>
      </w:r>
    </w:p>
    <w:p w14:paraId="745C401D">
      <w:pPr>
        <w:pStyle w:val="4"/>
        <w:numPr>
          <w:ilvl w:val="0"/>
          <w:numId w:val="4"/>
        </w:numPr>
        <w:ind w:left="0" w:leftChars="0" w:firstLine="0" w:firstLineChars="0"/>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w:t>
      </w:r>
    </w:p>
    <w:p w14:paraId="3CB152CE">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编制了试验方案，明确样品的要求、试验方法及步骤，对标准检测的一致性进行分析评价。对镍白铜、铝青铜、镍黄铜、锌白铜和锡白铜共五大类铜合金十余种牌号进行检测，不同单位试验结果抗变色性评级一致，按照标准方案进行试验检测结果一致性较好。（试验结果见附页）</w:t>
      </w:r>
    </w:p>
    <w:p w14:paraId="7A8585F2">
      <w:pPr>
        <w:pStyle w:val="4"/>
        <w:numPr>
          <w:ilvl w:val="0"/>
          <w:numId w:val="4"/>
        </w:numPr>
        <w:ind w:left="0" w:leftChars="0" w:firstLine="0" w:firstLineChars="0"/>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标准的先进性、创新性、标准实施后预期产生的经济效益和社会效益</w:t>
      </w:r>
    </w:p>
    <w:p w14:paraId="1514DCBD">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4.1先进性、创新性</w:t>
      </w:r>
    </w:p>
    <w:p w14:paraId="26F1A97A">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概述标准的先进性和创新性，并针对第一条“立项目的”预期标准实施后对国家产业政策和规划的支撑作用（对促进质量提升，替代XXX领域产品进口，满足高端制造业对基础原材料的需求，消化国内有色金属部分过剩产能，促进XXX产业健康发展和规范XXXX市场秩序所发挥的所用）。</w:t>
      </w:r>
    </w:p>
    <w:p w14:paraId="13758D1B">
      <w:pPr>
        <w:pStyle w:val="4"/>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kern w:val="2"/>
          <w:sz w:val="21"/>
          <w:szCs w:val="21"/>
          <w:lang w:val="en-US" w:eastAsia="zh-CN" w:bidi="ar-SA"/>
        </w:rPr>
        <w:t>本文件所制定的铜合金变色腐蚀试验方法及抗变色能力评价标准，借鉴了国内外最新的科研成果和实践经验，采用了先进的试验技术和评价方法，确保了标准的科学性和先进性。与现有标准相比，本项目在试验方法的优化、评价指标的完善以及试验流程的规范化等方面进行了创新，填补了铜合金变色腐蚀试验及评价领域的空白，具有显著的创新性。并且可作为高端制造业对基础原材料选择的依据。同时，为铜合金新材料研发过程中，耐蚀性提升作为判定依据。降低材料定型后由腐蚀引发的铜合金变色引发的服役寿命缺失风险。</w:t>
      </w:r>
    </w:p>
    <w:p w14:paraId="50AF659D">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4.2经济效益</w:t>
      </w:r>
    </w:p>
    <w:p w14:paraId="6382ECCD">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标准的实施将有助于提高铜合金产品的质量和市场竞争力，降低因材料性能不达标而导致的退货和维修成本。同时，标准的统一将促进铜合金行业的规范化发展，提高行业整体效益。据初步估算，标准实施后有望为企业带来显著的经济效益。</w:t>
      </w:r>
    </w:p>
    <w:p w14:paraId="3C8228E5">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4.3社会效益</w:t>
      </w:r>
    </w:p>
    <w:p w14:paraId="1C511160">
      <w:pPr>
        <w:pStyle w:val="4"/>
        <w:numPr>
          <w:ilvl w:val="0"/>
          <w:numId w:val="0"/>
        </w:numPr>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通过制定和实施科学的铜合金变色腐蚀试验方法及抗变色能力评价标准，可以保障消费者的合法权益，提高用户对铜合金产品的信任度和满意度。此外，该标准的实施还将有助于推动铜合金行业的绿色发展和可持续发展，为社会带来更多的环境效益和社会效益。</w:t>
      </w:r>
    </w:p>
    <w:p w14:paraId="14F14ECF">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4.4 生态效益</w:t>
      </w:r>
    </w:p>
    <w:p w14:paraId="616D970E">
      <w:pPr>
        <w:pStyle w:val="4"/>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暂无。</w:t>
      </w:r>
    </w:p>
    <w:p w14:paraId="73918671">
      <w:pPr>
        <w:pStyle w:val="4"/>
        <w:numPr>
          <w:ilvl w:val="0"/>
          <w:numId w:val="0"/>
        </w:numPr>
        <w:rPr>
          <w:rFonts w:hint="default" w:ascii="黑体" w:hAnsi="宋体" w:eastAsia="黑体" w:cs="宋体"/>
          <w:bCs/>
          <w:color w:val="auto"/>
          <w:sz w:val="21"/>
          <w:szCs w:val="21"/>
          <w:lang w:val="en-US"/>
        </w:rPr>
      </w:pPr>
      <w:r>
        <w:rPr>
          <w:rFonts w:hint="eastAsia" w:ascii="黑体" w:hAnsi="宋体" w:eastAsia="黑体" w:cs="宋体"/>
          <w:bCs/>
          <w:color w:val="auto"/>
          <w:sz w:val="21"/>
          <w:szCs w:val="21"/>
          <w:lang w:val="en-US" w:eastAsia="zh-CN"/>
        </w:rPr>
        <w:t>四、与国际标准和国外先进标准技术内容的对比</w:t>
      </w:r>
    </w:p>
    <w:p w14:paraId="39B37FE9">
      <w:pPr>
        <w:pStyle w:val="4"/>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文件是第一次制定。文件充分纳入和反映了当今新产品、新技术、新工艺的先进技术成果，保证标准的时效性，为指导和规范金属材料生产和验收提供了依据，有利于提高产品的技术性能、安全可靠性及环保性能。通过标准的发布实施，有利于促进技术创新，增强产品的国内外市场竞争力。</w:t>
      </w:r>
    </w:p>
    <w:p w14:paraId="3BE611F1">
      <w:pPr>
        <w:pStyle w:val="4"/>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国际标准化组织ISO发布了一些与金属表面处理相关的标准，如ISO 15719-1:2006金属和合金的电化学腐蚀测试-评价铜和铜合金的耐腐蚀性能；ISO 4521:2008 金属和合金的电镀和电化学涂层-评价涂层的抗腐蚀性能等。此外，一些国际性的行业组织和协会也发布了与铜合金变色评价相关的标准和指南，如美国化学协会（ACS）发布的关于铜合金表面氧化的评价标准。</w:t>
      </w:r>
    </w:p>
    <w:p w14:paraId="384A44B5">
      <w:pPr>
        <w:keepNext w:val="0"/>
        <w:keepLines w:val="0"/>
        <w:pageBreakBefore w:val="0"/>
        <w:numPr>
          <w:ilvl w:val="0"/>
          <w:numId w:val="5"/>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r>
        <w:rPr>
          <w:rFonts w:hint="eastAsia" w:ascii="黑体" w:hAnsi="宋体" w:eastAsia="黑体" w:cs="宋体"/>
          <w:bCs/>
          <w:color w:val="auto"/>
          <w:sz w:val="21"/>
          <w:szCs w:val="21"/>
          <w:lang w:val="en-US" w:eastAsia="zh-CN"/>
        </w:rPr>
        <w:t>以国际标准为基础的起草情况以及是否合规采用国际国外标准、未采用国际标准的原因</w:t>
      </w:r>
    </w:p>
    <w:p w14:paraId="21D5E72C">
      <w:pPr>
        <w:pStyle w:val="4"/>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暂无。</w:t>
      </w:r>
    </w:p>
    <w:p w14:paraId="5EDE5AA9">
      <w:pPr>
        <w:keepNext w:val="0"/>
        <w:keepLines w:val="0"/>
        <w:pageBreakBefore w:val="0"/>
        <w:numPr>
          <w:ilvl w:val="0"/>
          <w:numId w:val="5"/>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r>
        <w:rPr>
          <w:rFonts w:hint="eastAsia" w:ascii="黑体" w:hAnsi="宋体" w:eastAsia="黑体" w:cs="宋体"/>
          <w:bCs/>
          <w:color w:val="auto"/>
          <w:sz w:val="21"/>
          <w:szCs w:val="21"/>
        </w:rPr>
        <w:t>与</w:t>
      </w:r>
      <w:r>
        <w:rPr>
          <w:rFonts w:hint="eastAsia" w:ascii="黑体" w:hAnsi="宋体" w:eastAsia="黑体" w:cs="宋体"/>
          <w:bCs/>
          <w:color w:val="auto"/>
          <w:sz w:val="21"/>
          <w:szCs w:val="21"/>
          <w:lang w:val="en-US" w:eastAsia="zh-CN"/>
        </w:rPr>
        <w:t>有关</w:t>
      </w:r>
      <w:r>
        <w:rPr>
          <w:rFonts w:hint="eastAsia" w:ascii="黑体" w:hAnsi="宋体" w:eastAsia="黑体" w:cs="宋体"/>
          <w:bCs/>
          <w:color w:val="auto"/>
          <w:sz w:val="21"/>
          <w:szCs w:val="21"/>
        </w:rPr>
        <w:t>法律、</w:t>
      </w:r>
      <w:r>
        <w:rPr>
          <w:rFonts w:hint="eastAsia" w:ascii="黑体" w:hAnsi="宋体" w:eastAsia="黑体" w:cs="宋体"/>
          <w:bCs/>
          <w:color w:val="auto"/>
          <w:sz w:val="21"/>
          <w:szCs w:val="21"/>
          <w:lang w:val="en-US" w:eastAsia="zh-CN"/>
        </w:rPr>
        <w:t>行政</w:t>
      </w:r>
      <w:r>
        <w:rPr>
          <w:rFonts w:hint="eastAsia" w:ascii="黑体" w:hAnsi="宋体" w:eastAsia="黑体" w:cs="宋体"/>
          <w:bCs/>
          <w:color w:val="auto"/>
          <w:sz w:val="21"/>
          <w:szCs w:val="21"/>
        </w:rPr>
        <w:t>法规及相关标准</w:t>
      </w:r>
      <w:r>
        <w:rPr>
          <w:rFonts w:hint="eastAsia" w:ascii="黑体" w:hAnsi="宋体" w:eastAsia="黑体" w:cs="宋体"/>
          <w:bCs/>
          <w:color w:val="auto"/>
          <w:sz w:val="21"/>
          <w:szCs w:val="21"/>
          <w:lang w:val="en-US" w:eastAsia="zh-CN"/>
        </w:rPr>
        <w:t>的关系</w:t>
      </w:r>
    </w:p>
    <w:p w14:paraId="6E528D9E">
      <w:pPr>
        <w:pStyle w:val="4"/>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本标准符合现行法律、法规的要求，并与其他同类国家标准、国家J用标准、行业标准无冲突、重叠和不协调之处。</w:t>
      </w:r>
    </w:p>
    <w:p w14:paraId="64DA2FDF">
      <w:pPr>
        <w:keepNext w:val="0"/>
        <w:keepLines w:val="0"/>
        <w:pageBreakBefore w:val="0"/>
        <w:numPr>
          <w:ilvl w:val="0"/>
          <w:numId w:val="5"/>
        </w:numPr>
        <w:kinsoku/>
        <w:wordWrap/>
        <w:overflowPunct/>
        <w:topLinePunct w:val="0"/>
        <w:bidi w:val="0"/>
        <w:snapToGrid/>
        <w:spacing w:beforeLines="50" w:afterLines="50" w:line="440" w:lineRule="exact"/>
        <w:ind w:left="0" w:leftChars="0" w:firstLine="0" w:firstLineChars="0"/>
        <w:textAlignment w:val="auto"/>
        <w:rPr>
          <w:rFonts w:hint="eastAsia"/>
          <w:lang w:val="en-US" w:eastAsia="zh-CN"/>
        </w:rPr>
      </w:pPr>
      <w:bookmarkStart w:id="5" w:name="_Toc32100"/>
      <w:r>
        <w:rPr>
          <w:rFonts w:hint="eastAsia" w:ascii="黑体" w:hAnsi="宋体" w:eastAsia="黑体" w:cs="宋体"/>
          <w:bCs/>
          <w:color w:val="auto"/>
          <w:sz w:val="21"/>
          <w:szCs w:val="21"/>
          <w:lang w:val="en-US" w:eastAsia="zh-CN"/>
        </w:rPr>
        <w:t>重大分歧意见的处理经过和依据</w:t>
      </w:r>
    </w:p>
    <w:p w14:paraId="27C01A9E">
      <w:pPr>
        <w:pStyle w:val="4"/>
        <w:ind w:firstLine="420" w:firstLineChars="20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暂无。</w:t>
      </w:r>
    </w:p>
    <w:p w14:paraId="71C50F35">
      <w:pPr>
        <w:keepNext w:val="0"/>
        <w:keepLines w:val="0"/>
        <w:pageBreakBefore w:val="0"/>
        <w:numPr>
          <w:ilvl w:val="0"/>
          <w:numId w:val="0"/>
        </w:numPr>
        <w:kinsoku/>
        <w:wordWrap/>
        <w:overflowPunct/>
        <w:topLinePunct w:val="0"/>
        <w:bidi w:val="0"/>
        <w:snapToGrid/>
        <w:spacing w:beforeLines="50" w:afterLines="50" w:line="440" w:lineRule="exact"/>
        <w:ind w:leftChars="0"/>
        <w:textAlignment w:val="auto"/>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八、涉及专利的有关说明</w:t>
      </w:r>
    </w:p>
    <w:p w14:paraId="5D347207">
      <w:pPr>
        <w:pStyle w:val="4"/>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本标准不涉及专利问题。（若标准中涉及专利，需要在附件中提供必要专利信息披露表、已披露的专利清单、必要专利实施许可声明表等材料。）</w:t>
      </w:r>
    </w:p>
    <w:bookmarkEnd w:id="5"/>
    <w:p w14:paraId="108A9374">
      <w:pPr>
        <w:keepNext w:val="0"/>
        <w:keepLines w:val="0"/>
        <w:pageBreakBefore w:val="0"/>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bookmarkStart w:id="6" w:name="_Toc15989"/>
      <w:r>
        <w:rPr>
          <w:rFonts w:hint="eastAsia" w:ascii="黑体" w:hAnsi="宋体" w:eastAsia="黑体" w:cs="宋体"/>
          <w:bCs/>
          <w:color w:val="auto"/>
          <w:sz w:val="21"/>
          <w:szCs w:val="21"/>
          <w:lang w:val="en-US" w:eastAsia="zh-CN"/>
        </w:rPr>
        <w:t>九</w:t>
      </w:r>
      <w:r>
        <w:rPr>
          <w:rFonts w:hint="eastAsia" w:ascii="黑体" w:hAnsi="宋体" w:eastAsia="黑体" w:cs="宋体"/>
          <w:bCs/>
          <w:color w:val="auto"/>
          <w:sz w:val="21"/>
          <w:szCs w:val="21"/>
        </w:rPr>
        <w:t>、</w:t>
      </w:r>
      <w:r>
        <w:rPr>
          <w:rFonts w:hint="eastAsia" w:ascii="黑体" w:hAnsi="宋体" w:eastAsia="黑体" w:cs="宋体"/>
          <w:bCs/>
          <w:color w:val="auto"/>
          <w:sz w:val="21"/>
          <w:szCs w:val="21"/>
          <w:lang w:val="en-US" w:eastAsia="zh-CN"/>
        </w:rPr>
        <w:t>实施国家标准的要求以及组织措施、技术措施、过渡期和实施日期的建议等措施建议</w:t>
      </w:r>
      <w:bookmarkEnd w:id="6"/>
    </w:p>
    <w:p w14:paraId="4555D66C">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本</w:t>
      </w:r>
      <w:r>
        <w:rPr>
          <w:rFonts w:hint="eastAsia" w:ascii="宋体" w:hAnsi="宋体" w:eastAsia="宋体" w:cs="宋体"/>
          <w:color w:val="auto"/>
          <w:sz w:val="21"/>
          <w:szCs w:val="21"/>
          <w:lang w:eastAsia="zh-CN"/>
        </w:rPr>
        <w:t>文件</w:t>
      </w:r>
      <w:r>
        <w:rPr>
          <w:rFonts w:hint="eastAsia" w:ascii="宋体" w:hAnsi="宋体" w:eastAsia="宋体" w:cs="宋体"/>
          <w:color w:val="auto"/>
          <w:sz w:val="21"/>
          <w:szCs w:val="21"/>
        </w:rPr>
        <w:t>建议作为</w:t>
      </w:r>
      <w:r>
        <w:rPr>
          <w:rFonts w:hint="eastAsia" w:ascii="宋体" w:hAnsi="宋体" w:eastAsia="宋体" w:cs="宋体"/>
          <w:color w:val="C00000"/>
          <w:sz w:val="21"/>
          <w:szCs w:val="21"/>
        </w:rPr>
        <w:t>推荐性</w:t>
      </w:r>
      <w:r>
        <w:rPr>
          <w:rFonts w:hint="eastAsia" w:ascii="宋体" w:hAnsi="宋体" w:eastAsia="宋体" w:cs="宋体"/>
          <w:color w:val="auto"/>
          <w:sz w:val="21"/>
          <w:szCs w:val="21"/>
          <w:lang w:val="en-US" w:eastAsia="zh-CN"/>
        </w:rPr>
        <w:t>团体标准</w:t>
      </w:r>
      <w:r>
        <w:rPr>
          <w:rFonts w:hint="eastAsia" w:ascii="宋体" w:hAnsi="宋体" w:eastAsia="宋体" w:cs="宋体"/>
          <w:color w:val="auto"/>
          <w:sz w:val="21"/>
          <w:szCs w:val="21"/>
        </w:rPr>
        <w:t>发布。</w:t>
      </w:r>
      <w:r>
        <w:rPr>
          <w:rFonts w:hint="eastAsia" w:ascii="宋体" w:hAnsi="宋体" w:eastAsia="宋体" w:cs="宋体"/>
          <w:color w:val="auto"/>
          <w:sz w:val="21"/>
          <w:szCs w:val="21"/>
          <w:lang w:eastAsia="zh-CN"/>
        </w:rPr>
        <w:t>本标准为首次制定在颁布实施后需收集执行意见，已为更好的完善文件内容。</w:t>
      </w:r>
      <w:bookmarkStart w:id="7" w:name="_Toc15588"/>
    </w:p>
    <w:bookmarkEnd w:id="7"/>
    <w:p w14:paraId="6F9810AA">
      <w:pPr>
        <w:keepNext w:val="0"/>
        <w:keepLines w:val="0"/>
        <w:pageBreakBefore w:val="0"/>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bookmarkStart w:id="8" w:name="_Toc22451"/>
      <w:r>
        <w:rPr>
          <w:rFonts w:hint="eastAsia" w:ascii="黑体" w:hAnsi="宋体" w:eastAsia="黑体" w:cs="宋体"/>
          <w:bCs/>
          <w:color w:val="auto"/>
          <w:sz w:val="21"/>
          <w:szCs w:val="21"/>
        </w:rPr>
        <w:t>十、其他</w:t>
      </w:r>
      <w:r>
        <w:rPr>
          <w:rFonts w:hint="eastAsia" w:ascii="黑体" w:hAnsi="宋体" w:eastAsia="黑体" w:cs="宋体"/>
          <w:bCs/>
          <w:color w:val="auto"/>
          <w:sz w:val="21"/>
          <w:szCs w:val="21"/>
          <w:lang w:val="en-US" w:eastAsia="zh-CN"/>
        </w:rPr>
        <w:t>应当说明的事项</w:t>
      </w:r>
      <w:r>
        <w:rPr>
          <w:rFonts w:hint="eastAsia" w:ascii="黑体" w:hAnsi="宋体" w:eastAsia="黑体" w:cs="宋体"/>
          <w:bCs/>
          <w:color w:val="auto"/>
          <w:sz w:val="21"/>
          <w:szCs w:val="21"/>
        </w:rPr>
        <w:t>。</w:t>
      </w:r>
      <w:bookmarkEnd w:id="8"/>
    </w:p>
    <w:p w14:paraId="091F4987">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cs="宋体" w:eastAsiaTheme="minorEastAsia"/>
          <w:color w:val="auto"/>
          <w:sz w:val="21"/>
          <w:szCs w:val="21"/>
          <w:lang w:eastAsia="zh-CN"/>
        </w:rPr>
      </w:pPr>
      <w:r>
        <w:rPr>
          <w:rFonts w:hint="eastAsia" w:ascii="宋体" w:hAnsi="宋体" w:cs="宋体"/>
          <w:color w:val="auto"/>
          <w:sz w:val="21"/>
          <w:szCs w:val="21"/>
        </w:rPr>
        <w:t>无。</w:t>
      </w:r>
    </w:p>
    <w:p w14:paraId="55607B84">
      <w:pPr>
        <w:keepNext w:val="0"/>
        <w:keepLines w:val="0"/>
        <w:pageBreakBefore w:val="0"/>
        <w:kinsoku/>
        <w:wordWrap/>
        <w:overflowPunct/>
        <w:topLinePunct w:val="0"/>
        <w:bidi w:val="0"/>
        <w:snapToGrid/>
        <w:spacing w:line="440" w:lineRule="exact"/>
        <w:jc w:val="right"/>
        <w:textAlignment w:val="auto"/>
        <w:rPr>
          <w:rFonts w:ascii="宋体" w:hAnsi="宋体" w:eastAsia="宋体"/>
          <w:color w:val="auto"/>
          <w:sz w:val="21"/>
          <w:szCs w:val="21"/>
        </w:rPr>
      </w:pPr>
      <w:r>
        <w:rPr>
          <w:rFonts w:hint="eastAsia"/>
          <w:color w:val="auto"/>
          <w:sz w:val="21"/>
          <w:szCs w:val="21"/>
        </w:rPr>
        <w:t xml:space="preserve">                             《</w:t>
      </w:r>
      <w:r>
        <w:rPr>
          <w:rFonts w:hint="eastAsia"/>
          <w:color w:val="auto"/>
          <w:sz w:val="21"/>
          <w:szCs w:val="21"/>
          <w:lang w:val="en-US" w:eastAsia="zh-CN"/>
        </w:rPr>
        <w:t>铜合金的变色腐蚀试验方法及抗变色能力评价方法</w:t>
      </w:r>
      <w:r>
        <w:rPr>
          <w:rFonts w:hint="eastAsia"/>
          <w:color w:val="auto"/>
          <w:sz w:val="21"/>
          <w:szCs w:val="21"/>
        </w:rPr>
        <w:t>》</w:t>
      </w:r>
      <w:r>
        <w:rPr>
          <w:rFonts w:hint="eastAsia" w:ascii="宋体" w:hAnsi="宋体" w:eastAsia="宋体"/>
          <w:color w:val="auto"/>
          <w:sz w:val="21"/>
          <w:szCs w:val="21"/>
        </w:rPr>
        <w:t>编制组</w:t>
      </w:r>
    </w:p>
    <w:p w14:paraId="5EDE8193">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rPr>
        <w:t xml:space="preserve">                             20</w:t>
      </w:r>
      <w:r>
        <w:rPr>
          <w:rFonts w:hint="eastAsia" w:ascii="宋体" w:hAnsi="宋体" w:eastAsia="宋体"/>
          <w:color w:val="auto"/>
          <w:sz w:val="21"/>
          <w:szCs w:val="21"/>
          <w:lang w:val="en-US" w:eastAsia="zh-CN"/>
        </w:rPr>
        <w:t>25</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06</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16</w:t>
      </w:r>
      <w:r>
        <w:rPr>
          <w:rFonts w:hint="eastAsia" w:ascii="宋体" w:hAnsi="宋体" w:eastAsia="宋体"/>
          <w:color w:val="auto"/>
          <w:sz w:val="21"/>
          <w:szCs w:val="21"/>
        </w:rPr>
        <w:t>日</w:t>
      </w:r>
      <w:r>
        <w:rPr>
          <w:rFonts w:hint="eastAsia" w:ascii="宋体" w:hAnsi="宋体" w:eastAsia="宋体"/>
          <w:color w:val="auto"/>
          <w:sz w:val="21"/>
          <w:szCs w:val="21"/>
          <w:lang w:val="en-US" w:eastAsia="zh-CN"/>
        </w:rPr>
        <w:t>【报批稿形成之日】</w:t>
      </w:r>
    </w:p>
    <w:p w14:paraId="42B44916">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722BF4C8">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5F5CE5CB">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4FFB91B9">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3B039A1F">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120EE367">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3D5B1FF3">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5E994FE1">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31DE8C65">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050CFD40">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25B3F7AC">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173AD713">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0BA6A390">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60F13C98">
      <w:pPr>
        <w:keepNext w:val="0"/>
        <w:keepLines w:val="0"/>
        <w:pageBreakBefore w:val="0"/>
        <w:kinsoku/>
        <w:wordWrap/>
        <w:overflowPunct/>
        <w:topLinePunct w:val="0"/>
        <w:bidi w:val="0"/>
        <w:snapToGrid/>
        <w:spacing w:beforeLines="100" w:line="440" w:lineRule="exact"/>
        <w:jc w:val="right"/>
        <w:textAlignment w:val="auto"/>
        <w:rPr>
          <w:rFonts w:hint="eastAsia" w:ascii="宋体" w:hAnsi="宋体" w:eastAsia="宋体"/>
          <w:color w:val="auto"/>
          <w:sz w:val="21"/>
          <w:szCs w:val="21"/>
          <w:lang w:val="en-US" w:eastAsia="zh-CN"/>
        </w:rPr>
      </w:pPr>
    </w:p>
    <w:p w14:paraId="3F44F57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附页    验证试验结果</w:t>
      </w:r>
    </w:p>
    <w:p w14:paraId="4963D9A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验证试验选取镍白铜、铝青铜、镍黄铜、锌白铜和锡白铜共五大类铜合金，不同牌号试样开展验证性试验。选取科研院所，生产厂家和材料使用方，三家单位按照标准文件开展铜合金抗变色性评价。最终，汇总试验结果，以对铜合金抗变色性评价结果是否一致确定本标准可行性。</w:t>
      </w:r>
    </w:p>
    <w:p w14:paraId="4FB06AB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中国科学院金属研究所试验结果：</w:t>
      </w:r>
    </w:p>
    <w:p w14:paraId="1435673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一、人工汗液腐蚀试验</w:t>
      </w:r>
    </w:p>
    <w:p w14:paraId="171229C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1、试验方法</w:t>
      </w:r>
    </w:p>
    <w:p w14:paraId="0A47BAA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使用密封的有机玻璃箱，试样垂直固定在箱内，试样距溶液表面50mm。试验条件为模拟人工汗液（具体成分见表二）的加速腐蚀试验，具体试验参数为：试验箱温度40℃，相对湿度100%、总实验时间为24小时。</w:t>
      </w:r>
    </w:p>
    <w:p w14:paraId="13AB648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表二人工汗液成分</w:t>
      </w:r>
    </w:p>
    <w:tbl>
      <w:tblPr>
        <w:tblStyle w:val="10"/>
        <w:tblW w:w="9464" w:type="dxa"/>
        <w:tblInd w:w="113" w:type="dxa"/>
        <w:tblLayout w:type="fixed"/>
        <w:tblCellMar>
          <w:top w:w="0" w:type="dxa"/>
          <w:left w:w="108" w:type="dxa"/>
          <w:bottom w:w="0" w:type="dxa"/>
          <w:right w:w="108" w:type="dxa"/>
        </w:tblCellMar>
      </w:tblPr>
      <w:tblGrid>
        <w:gridCol w:w="1447"/>
        <w:gridCol w:w="919"/>
        <w:gridCol w:w="1183"/>
        <w:gridCol w:w="1183"/>
        <w:gridCol w:w="1183"/>
        <w:gridCol w:w="1183"/>
        <w:gridCol w:w="1183"/>
        <w:gridCol w:w="1183"/>
      </w:tblGrid>
      <w:tr w14:paraId="4CE27268">
        <w:tblPrEx>
          <w:tblCellMar>
            <w:top w:w="0" w:type="dxa"/>
            <w:left w:w="108" w:type="dxa"/>
            <w:bottom w:w="0" w:type="dxa"/>
            <w:right w:w="108" w:type="dxa"/>
          </w:tblCellMar>
        </w:tblPrEx>
        <w:trPr>
          <w:trHeight w:val="525" w:hRule="atLeast"/>
        </w:trPr>
        <w:tc>
          <w:tcPr>
            <w:tcW w:w="1447" w:type="dxa"/>
            <w:tcBorders>
              <w:top w:val="single" w:color="auto" w:sz="4" w:space="0"/>
              <w:left w:val="single" w:color="auto" w:sz="4" w:space="0"/>
              <w:bottom w:val="single" w:color="auto" w:sz="4" w:space="0"/>
              <w:right w:val="single" w:color="auto" w:sz="4" w:space="0"/>
            </w:tcBorders>
            <w:noWrap/>
            <w:vAlign w:val="center"/>
          </w:tcPr>
          <w:p w14:paraId="36B6BA0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w:t>
            </w:r>
          </w:p>
        </w:tc>
        <w:tc>
          <w:tcPr>
            <w:tcW w:w="919" w:type="dxa"/>
            <w:tcBorders>
              <w:top w:val="single" w:color="auto" w:sz="4" w:space="0"/>
              <w:left w:val="nil"/>
              <w:bottom w:val="single" w:color="auto" w:sz="4" w:space="0"/>
              <w:right w:val="single" w:color="auto" w:sz="4" w:space="0"/>
            </w:tcBorders>
            <w:noWrap/>
            <w:vAlign w:val="center"/>
          </w:tcPr>
          <w:p w14:paraId="2472B6C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NaCl</w:t>
            </w:r>
          </w:p>
        </w:tc>
        <w:tc>
          <w:tcPr>
            <w:tcW w:w="1183" w:type="dxa"/>
            <w:tcBorders>
              <w:top w:val="single" w:color="auto" w:sz="4" w:space="0"/>
              <w:left w:val="nil"/>
              <w:bottom w:val="single" w:color="auto" w:sz="4" w:space="0"/>
              <w:right w:val="single" w:color="auto" w:sz="4" w:space="0"/>
            </w:tcBorders>
            <w:noWrap/>
            <w:vAlign w:val="center"/>
          </w:tcPr>
          <w:p w14:paraId="4CC3828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NH4Cl</w:t>
            </w:r>
          </w:p>
        </w:tc>
        <w:tc>
          <w:tcPr>
            <w:tcW w:w="1183" w:type="dxa"/>
            <w:tcBorders>
              <w:top w:val="single" w:color="auto" w:sz="4" w:space="0"/>
              <w:left w:val="nil"/>
              <w:bottom w:val="single" w:color="auto" w:sz="4" w:space="0"/>
              <w:right w:val="single" w:color="auto" w:sz="4" w:space="0"/>
            </w:tcBorders>
            <w:noWrap/>
            <w:vAlign w:val="center"/>
          </w:tcPr>
          <w:p w14:paraId="1D5E5D0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尿素</w:t>
            </w:r>
          </w:p>
        </w:tc>
        <w:tc>
          <w:tcPr>
            <w:tcW w:w="1183" w:type="dxa"/>
            <w:tcBorders>
              <w:top w:val="single" w:color="auto" w:sz="4" w:space="0"/>
              <w:left w:val="nil"/>
              <w:bottom w:val="single" w:color="auto" w:sz="4" w:space="0"/>
              <w:right w:val="single" w:color="auto" w:sz="4" w:space="0"/>
            </w:tcBorders>
            <w:noWrap/>
            <w:vAlign w:val="center"/>
          </w:tcPr>
          <w:p w14:paraId="5FD4947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乳酸</w:t>
            </w:r>
          </w:p>
        </w:tc>
        <w:tc>
          <w:tcPr>
            <w:tcW w:w="1183" w:type="dxa"/>
            <w:tcBorders>
              <w:top w:val="single" w:color="auto" w:sz="4" w:space="0"/>
              <w:left w:val="nil"/>
              <w:bottom w:val="single" w:color="auto" w:sz="4" w:space="0"/>
              <w:right w:val="single" w:color="auto" w:sz="4" w:space="0"/>
            </w:tcBorders>
            <w:noWrap/>
            <w:vAlign w:val="center"/>
          </w:tcPr>
          <w:p w14:paraId="4020D79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乙酸</w:t>
            </w:r>
          </w:p>
        </w:tc>
        <w:tc>
          <w:tcPr>
            <w:tcW w:w="1183" w:type="dxa"/>
            <w:tcBorders>
              <w:top w:val="single" w:color="auto" w:sz="4" w:space="0"/>
              <w:left w:val="nil"/>
              <w:bottom w:val="single" w:color="auto" w:sz="4" w:space="0"/>
              <w:right w:val="single" w:color="auto" w:sz="4" w:space="0"/>
            </w:tcBorders>
            <w:noWrap/>
            <w:vAlign w:val="center"/>
          </w:tcPr>
          <w:p w14:paraId="53DF057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NaOH</w:t>
            </w:r>
          </w:p>
        </w:tc>
        <w:tc>
          <w:tcPr>
            <w:tcW w:w="1183" w:type="dxa"/>
            <w:tcBorders>
              <w:top w:val="single" w:color="auto" w:sz="4" w:space="0"/>
              <w:left w:val="nil"/>
              <w:bottom w:val="single" w:color="auto" w:sz="4" w:space="0"/>
              <w:right w:val="single" w:color="auto" w:sz="4" w:space="0"/>
            </w:tcBorders>
            <w:noWrap/>
            <w:vAlign w:val="center"/>
          </w:tcPr>
          <w:p w14:paraId="03FA914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PH</w:t>
            </w:r>
          </w:p>
        </w:tc>
      </w:tr>
      <w:tr w14:paraId="069439AF">
        <w:tblPrEx>
          <w:tblCellMar>
            <w:top w:w="0" w:type="dxa"/>
            <w:left w:w="108" w:type="dxa"/>
            <w:bottom w:w="0" w:type="dxa"/>
            <w:right w:w="108" w:type="dxa"/>
          </w:tblCellMar>
        </w:tblPrEx>
        <w:trPr>
          <w:trHeight w:val="525" w:hRule="atLeast"/>
        </w:trPr>
        <w:tc>
          <w:tcPr>
            <w:tcW w:w="1447" w:type="dxa"/>
            <w:tcBorders>
              <w:top w:val="nil"/>
              <w:left w:val="single" w:color="auto" w:sz="4" w:space="0"/>
              <w:bottom w:val="single" w:color="auto" w:sz="4" w:space="0"/>
              <w:right w:val="single" w:color="auto" w:sz="4" w:space="0"/>
            </w:tcBorders>
            <w:noWrap/>
            <w:vAlign w:val="center"/>
          </w:tcPr>
          <w:p w14:paraId="22FE93D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人造汗液</w:t>
            </w:r>
          </w:p>
        </w:tc>
        <w:tc>
          <w:tcPr>
            <w:tcW w:w="919" w:type="dxa"/>
            <w:tcBorders>
              <w:top w:val="nil"/>
              <w:left w:val="nil"/>
              <w:bottom w:val="single" w:color="auto" w:sz="4" w:space="0"/>
              <w:right w:val="single" w:color="auto" w:sz="4" w:space="0"/>
            </w:tcBorders>
            <w:noWrap/>
            <w:vAlign w:val="center"/>
          </w:tcPr>
          <w:p w14:paraId="07BB2FC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20g</w:t>
            </w:r>
          </w:p>
        </w:tc>
        <w:tc>
          <w:tcPr>
            <w:tcW w:w="1183" w:type="dxa"/>
            <w:tcBorders>
              <w:top w:val="nil"/>
              <w:left w:val="nil"/>
              <w:bottom w:val="single" w:color="auto" w:sz="4" w:space="0"/>
              <w:right w:val="single" w:color="auto" w:sz="4" w:space="0"/>
            </w:tcBorders>
            <w:noWrap/>
            <w:vAlign w:val="center"/>
          </w:tcPr>
          <w:p w14:paraId="23AB555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17.5g</w:t>
            </w:r>
          </w:p>
        </w:tc>
        <w:tc>
          <w:tcPr>
            <w:tcW w:w="1183" w:type="dxa"/>
            <w:tcBorders>
              <w:top w:val="nil"/>
              <w:left w:val="nil"/>
              <w:bottom w:val="single" w:color="auto" w:sz="4" w:space="0"/>
              <w:right w:val="single" w:color="auto" w:sz="4" w:space="0"/>
            </w:tcBorders>
            <w:noWrap/>
            <w:vAlign w:val="center"/>
          </w:tcPr>
          <w:p w14:paraId="3573558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5g</w:t>
            </w:r>
          </w:p>
        </w:tc>
        <w:tc>
          <w:tcPr>
            <w:tcW w:w="1183" w:type="dxa"/>
            <w:tcBorders>
              <w:top w:val="nil"/>
              <w:left w:val="nil"/>
              <w:bottom w:val="single" w:color="auto" w:sz="4" w:space="0"/>
              <w:right w:val="single" w:color="auto" w:sz="4" w:space="0"/>
            </w:tcBorders>
            <w:noWrap/>
            <w:vAlign w:val="center"/>
          </w:tcPr>
          <w:p w14:paraId="4DF313A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15g</w:t>
            </w:r>
          </w:p>
        </w:tc>
        <w:tc>
          <w:tcPr>
            <w:tcW w:w="1183" w:type="dxa"/>
            <w:tcBorders>
              <w:top w:val="nil"/>
              <w:left w:val="nil"/>
              <w:bottom w:val="single" w:color="auto" w:sz="4" w:space="0"/>
              <w:right w:val="single" w:color="auto" w:sz="4" w:space="0"/>
            </w:tcBorders>
            <w:noWrap/>
            <w:vAlign w:val="center"/>
          </w:tcPr>
          <w:p w14:paraId="7987CEE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25g</w:t>
            </w:r>
          </w:p>
        </w:tc>
        <w:tc>
          <w:tcPr>
            <w:tcW w:w="1183" w:type="dxa"/>
            <w:tcBorders>
              <w:top w:val="nil"/>
              <w:left w:val="nil"/>
              <w:bottom w:val="single" w:color="auto" w:sz="4" w:space="0"/>
              <w:right w:val="single" w:color="auto" w:sz="4" w:space="0"/>
            </w:tcBorders>
            <w:noWrap/>
            <w:vAlign w:val="center"/>
          </w:tcPr>
          <w:p w14:paraId="3329DB4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5g</w:t>
            </w:r>
          </w:p>
        </w:tc>
        <w:tc>
          <w:tcPr>
            <w:tcW w:w="1183" w:type="dxa"/>
            <w:tcBorders>
              <w:top w:val="nil"/>
              <w:left w:val="nil"/>
              <w:bottom w:val="single" w:color="auto" w:sz="4" w:space="0"/>
              <w:right w:val="single" w:color="auto" w:sz="4" w:space="0"/>
            </w:tcBorders>
            <w:noWrap/>
            <w:vAlign w:val="center"/>
          </w:tcPr>
          <w:p w14:paraId="211D901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4.77</w:t>
            </w:r>
          </w:p>
        </w:tc>
      </w:tr>
    </w:tbl>
    <w:p w14:paraId="713E01E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2、试验结果与判定</w:t>
      </w:r>
    </w:p>
    <w:p w14:paraId="02C2225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连续进行人工汗液模拟试验50分钟，按10分钟为一检查周期，对试样表面状态的改变进行观察。发现：在进行10分钟后，{7211、Al6Ni2}试样表面局部失光。在进行20分钟后，{HNi70-3、北欧金}试样表面失光出现黑色腐蚀点，{2-6、2-7 }试样表面无腐蚀点处有金属光泽，局部出现黑色腐蚀点。对试验样品进行人工汗液模拟腐蚀实验耐蚀性排序（耐蚀性顺序从高到低排列），结果如下：</w:t>
      </w:r>
    </w:p>
    <w:p w14:paraId="5D02FA5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2-7&gt;2-6&gt;北欧金&gt;Al6Ni2&gt;7211&gt;HNi70-3</w:t>
      </w:r>
    </w:p>
    <w:p w14:paraId="0F879A2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试样评级表</w:t>
      </w:r>
    </w:p>
    <w:tbl>
      <w:tblPr>
        <w:tblStyle w:val="10"/>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43C41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1" w:hRule="atLeast"/>
        </w:trPr>
        <w:tc>
          <w:tcPr>
            <w:tcW w:w="1320" w:type="dxa"/>
            <w:noWrap w:val="0"/>
            <w:vAlign w:val="top"/>
          </w:tcPr>
          <w:p w14:paraId="41895D3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28B8D80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0927B7A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43B27DC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7BFFBED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5153761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2A670C1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64CE7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2869E65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6C72CBF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2</w:t>
            </w:r>
          </w:p>
        </w:tc>
        <w:tc>
          <w:tcPr>
            <w:tcW w:w="1320" w:type="dxa"/>
            <w:noWrap w:val="0"/>
            <w:vAlign w:val="top"/>
          </w:tcPr>
          <w:p w14:paraId="4922C36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2</w:t>
            </w:r>
          </w:p>
        </w:tc>
        <w:tc>
          <w:tcPr>
            <w:tcW w:w="1320" w:type="dxa"/>
            <w:noWrap w:val="0"/>
            <w:vAlign w:val="top"/>
          </w:tcPr>
          <w:p w14:paraId="01F855A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2*</w:t>
            </w:r>
          </w:p>
        </w:tc>
        <w:tc>
          <w:tcPr>
            <w:tcW w:w="1320" w:type="dxa"/>
            <w:noWrap w:val="0"/>
            <w:vAlign w:val="top"/>
          </w:tcPr>
          <w:p w14:paraId="7A2B6E9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1*</w:t>
            </w:r>
          </w:p>
        </w:tc>
        <w:tc>
          <w:tcPr>
            <w:tcW w:w="1320" w:type="dxa"/>
            <w:noWrap w:val="0"/>
            <w:vAlign w:val="top"/>
          </w:tcPr>
          <w:p w14:paraId="7B523F0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1*</w:t>
            </w:r>
          </w:p>
        </w:tc>
        <w:tc>
          <w:tcPr>
            <w:tcW w:w="1321" w:type="dxa"/>
            <w:noWrap w:val="0"/>
            <w:vAlign w:val="top"/>
          </w:tcPr>
          <w:p w14:paraId="1443F1D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2**</w:t>
            </w:r>
          </w:p>
        </w:tc>
      </w:tr>
    </w:tbl>
    <w:p w14:paraId="401E1D4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225104E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二、SO2气体腐蚀试验</w:t>
      </w:r>
    </w:p>
    <w:p w14:paraId="075C13A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1、试验方法</w:t>
      </w:r>
    </w:p>
    <w:p w14:paraId="416F0A4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使用容积18L的干燥器作为密封容器，试验条件按照《GB/T9789-2008通常凝露状态下的二氧化硫腐蚀试验》中给出的SO2气源（亚硫酸钠与硫酸反应），在恒温条件下进行(3小时)为一周期的SO2腐蚀试验。每一周期观测后更换SO2气源。具体试验参数为：</w:t>
      </w:r>
    </w:p>
    <w:p w14:paraId="02BC7CD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⑴试验箱中SO2总含量0.012L，</w:t>
      </w:r>
    </w:p>
    <w:p w14:paraId="23280D0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⑵试验箱温度40℃，</w:t>
      </w:r>
    </w:p>
    <w:p w14:paraId="4783AB1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⑶试验箱底部沉积0.12L电导率132μs/m的去离子水，</w:t>
      </w:r>
    </w:p>
    <w:p w14:paraId="373B1F5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⑷试样印字面垂直于试验箱底面。</w:t>
      </w:r>
    </w:p>
    <w:p w14:paraId="371840C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2、试验结果与判定</w:t>
      </w:r>
    </w:p>
    <w:p w14:paraId="6D3B234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连续进行SO2腐蚀试验9小时，按3小时为一检查周期，对试样表面状态的改变进行观察。发现：在进行6小时后，{2-7、HNi70-3、7211、北欧金}试样表面出现随机分布的暗红色腐蚀点。在进行9小时后，{2-6、Al6Ni2}试样表面出现随机分布的暗红色腐蚀点，此时所有试样表面发生锈蚀现象。对试验样品进行SO2气体腐蚀实验耐蚀性排序（耐蚀性顺序从高到低排列），结果如下：</w:t>
      </w:r>
    </w:p>
    <w:p w14:paraId="65BBF94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2-6&gt;Al6Ni2&gt;2-7&gt;北欧金&gt;HNi70-3&gt;7211</w:t>
      </w:r>
    </w:p>
    <w:p w14:paraId="258E142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试样评级表</w:t>
      </w:r>
    </w:p>
    <w:tbl>
      <w:tblPr>
        <w:tblStyle w:val="10"/>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7ACE9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1" w:hRule="atLeast"/>
        </w:trPr>
        <w:tc>
          <w:tcPr>
            <w:tcW w:w="1320" w:type="dxa"/>
            <w:noWrap w:val="0"/>
            <w:vAlign w:val="top"/>
          </w:tcPr>
          <w:p w14:paraId="5222E95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77BD4BE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7249E22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4B0C525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5C72847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704FB9F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5E7C4E6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58447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0C74786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29BAF64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2</w:t>
            </w:r>
          </w:p>
        </w:tc>
        <w:tc>
          <w:tcPr>
            <w:tcW w:w="1320" w:type="dxa"/>
            <w:noWrap w:val="0"/>
            <w:vAlign w:val="top"/>
          </w:tcPr>
          <w:p w14:paraId="482CEB4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3</w:t>
            </w:r>
          </w:p>
        </w:tc>
        <w:tc>
          <w:tcPr>
            <w:tcW w:w="1320" w:type="dxa"/>
            <w:noWrap w:val="0"/>
            <w:vAlign w:val="top"/>
          </w:tcPr>
          <w:p w14:paraId="0D83A60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2*</w:t>
            </w:r>
          </w:p>
        </w:tc>
        <w:tc>
          <w:tcPr>
            <w:tcW w:w="1320" w:type="dxa"/>
            <w:noWrap w:val="0"/>
            <w:vAlign w:val="top"/>
          </w:tcPr>
          <w:p w14:paraId="42430F2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3</w:t>
            </w:r>
          </w:p>
        </w:tc>
        <w:tc>
          <w:tcPr>
            <w:tcW w:w="1320" w:type="dxa"/>
            <w:noWrap w:val="0"/>
            <w:vAlign w:val="top"/>
          </w:tcPr>
          <w:p w14:paraId="48DBFEB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2</w:t>
            </w:r>
          </w:p>
        </w:tc>
        <w:tc>
          <w:tcPr>
            <w:tcW w:w="1321" w:type="dxa"/>
            <w:noWrap w:val="0"/>
            <w:vAlign w:val="top"/>
          </w:tcPr>
          <w:p w14:paraId="2ADC8D5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2</w:t>
            </w:r>
          </w:p>
        </w:tc>
      </w:tr>
    </w:tbl>
    <w:p w14:paraId="20EDC1F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00B9E14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66CAF1C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三、含有Cl-的紫外老化试验</w:t>
      </w:r>
    </w:p>
    <w:p w14:paraId="2CF0224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1、试验方法</w:t>
      </w:r>
    </w:p>
    <w:p w14:paraId="7AA45FB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使用设备为美国Q-fog盐水喷雾试验机，具体试验参数为：</w:t>
      </w:r>
    </w:p>
    <w:p w14:paraId="7DFC532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（1）5%NaCl溶液PH=6.77。</w:t>
      </w:r>
    </w:p>
    <w:p w14:paraId="12E246F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（2）试验箱温度45℃，辐照当量0.68 W/m2、试验时间为30 min。</w:t>
      </w:r>
    </w:p>
    <w:p w14:paraId="594842E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（3）试验箱温度45 ℃，黑箱干燥、试验时间为20 min。</w:t>
      </w:r>
    </w:p>
    <w:p w14:paraId="4278619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（4）试样测试面向上与试验箱底面成45度角。</w:t>
      </w:r>
    </w:p>
    <w:p w14:paraId="7FC9E21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2、试验结果与判定</w:t>
      </w:r>
    </w:p>
    <w:p w14:paraId="2AEB222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连续进行含有Cl-的紫外老化试验6小时，按50分钟为一检查周期，对试样表面状态的改变进行观察。发现：在进行50分钟后，{Al6Ni2、北欧金、2-7、2-6}试样表面出现白色腐蚀点。在进行100分钟后，{HNi70-3、7211}试样表面出现白色腐蚀点，{北欧金、Al6Ni2}试样表面出现暗红色锈点。对试验样品进行盐雾交变实验耐蚀性排序（耐蚀性顺序从高到低排列），结果如下</w:t>
      </w:r>
    </w:p>
    <w:p w14:paraId="44E00A2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HNi70-3&gt;7211&gt;2-7&gt;2-6&gt;北欧金&gt;Al6Ni2</w:t>
      </w:r>
    </w:p>
    <w:p w14:paraId="0572401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试样评级表</w:t>
      </w:r>
    </w:p>
    <w:tbl>
      <w:tblPr>
        <w:tblStyle w:val="10"/>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443B3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1" w:hRule="atLeast"/>
        </w:trPr>
        <w:tc>
          <w:tcPr>
            <w:tcW w:w="1320" w:type="dxa"/>
            <w:noWrap w:val="0"/>
            <w:vAlign w:val="top"/>
          </w:tcPr>
          <w:p w14:paraId="1B352C1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67A1745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2CA420A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7DA3CCD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76B3064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7F5CCE2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5B09F8A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4751C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572AFBD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6E97679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1*</w:t>
            </w:r>
          </w:p>
        </w:tc>
        <w:tc>
          <w:tcPr>
            <w:tcW w:w="1320" w:type="dxa"/>
            <w:noWrap w:val="0"/>
            <w:vAlign w:val="top"/>
          </w:tcPr>
          <w:p w14:paraId="3EF4001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1*</w:t>
            </w:r>
          </w:p>
        </w:tc>
        <w:tc>
          <w:tcPr>
            <w:tcW w:w="1320" w:type="dxa"/>
            <w:noWrap w:val="0"/>
            <w:vAlign w:val="top"/>
          </w:tcPr>
          <w:p w14:paraId="380B2DB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1***</w:t>
            </w:r>
          </w:p>
        </w:tc>
        <w:tc>
          <w:tcPr>
            <w:tcW w:w="1320" w:type="dxa"/>
            <w:noWrap w:val="0"/>
            <w:vAlign w:val="top"/>
          </w:tcPr>
          <w:p w14:paraId="799EC37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1***</w:t>
            </w:r>
          </w:p>
        </w:tc>
        <w:tc>
          <w:tcPr>
            <w:tcW w:w="1320" w:type="dxa"/>
            <w:noWrap w:val="0"/>
            <w:vAlign w:val="top"/>
          </w:tcPr>
          <w:p w14:paraId="1E91A0C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2*</w:t>
            </w:r>
          </w:p>
        </w:tc>
        <w:tc>
          <w:tcPr>
            <w:tcW w:w="1321" w:type="dxa"/>
            <w:noWrap w:val="0"/>
            <w:vAlign w:val="top"/>
          </w:tcPr>
          <w:p w14:paraId="5E3B77C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2</w:t>
            </w:r>
          </w:p>
        </w:tc>
      </w:tr>
    </w:tbl>
    <w:p w14:paraId="79E34B0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28E3382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四、恒温高湿试验</w:t>
      </w:r>
    </w:p>
    <w:p w14:paraId="50A548C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1、试验方法</w:t>
      </w:r>
    </w:p>
    <w:p w14:paraId="0BF3511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使用设备为德国C4-180 PRO高低温湿热试验机，具体试验参数为：</w:t>
      </w:r>
    </w:p>
    <w:p w14:paraId="5B2AC3E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⑴试验箱温度40℃，试验箱相对湿度95%。</w:t>
      </w:r>
    </w:p>
    <w:p w14:paraId="45BD32C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⑵试样测试面向上平行于试验箱底面。</w:t>
      </w:r>
    </w:p>
    <w:p w14:paraId="7C1C302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2、试验结果与判定</w:t>
      </w:r>
    </w:p>
    <w:p w14:paraId="1086DEA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连续进行恒温高湿腐蚀试验72小时，按24小时为一检查周期，对试样表面状态的改变进行观察。发现：在进行24小时后，Al6Ni2表面出现大量黑色腐蚀点，2-7试样表面变红出现个别腐蚀点，2-6试验表面局部出现暗红色腐蚀点。局部出现黑色点蚀。48小时后，北欧金试样表面出现暗红色腐蚀点，{HNi70-3、7211}试样表面出现轻微暗红色腐蚀点。试验进行72小时后（见图四），对试验样品进行循环盐雾腐蚀实验耐蚀性排序（耐蚀性顺序从高到低排列），结果如下：</w:t>
      </w:r>
    </w:p>
    <w:p w14:paraId="4C4F679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HNi70-3&gt;7211 &gt;北欧金&gt;2-6&gt;2-7&gt;Al6Ni2</w:t>
      </w:r>
    </w:p>
    <w:p w14:paraId="7A020E1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369F521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4634C1B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7BF750F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试样评级表</w:t>
      </w:r>
    </w:p>
    <w:tbl>
      <w:tblPr>
        <w:tblStyle w:val="10"/>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62549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1" w:hRule="atLeast"/>
        </w:trPr>
        <w:tc>
          <w:tcPr>
            <w:tcW w:w="1320" w:type="dxa"/>
            <w:noWrap w:val="0"/>
            <w:vAlign w:val="top"/>
          </w:tcPr>
          <w:p w14:paraId="36F145C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60DB04B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145548E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416CEC2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315758E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7871F9F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0F23907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50D90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472478C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60699AD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 1</w:t>
            </w:r>
          </w:p>
        </w:tc>
        <w:tc>
          <w:tcPr>
            <w:tcW w:w="1320" w:type="dxa"/>
            <w:noWrap w:val="0"/>
            <w:vAlign w:val="top"/>
          </w:tcPr>
          <w:p w14:paraId="728C753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 1</w:t>
            </w:r>
          </w:p>
        </w:tc>
        <w:tc>
          <w:tcPr>
            <w:tcW w:w="1320" w:type="dxa"/>
            <w:noWrap w:val="0"/>
            <w:vAlign w:val="top"/>
          </w:tcPr>
          <w:p w14:paraId="747912B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 2</w:t>
            </w:r>
          </w:p>
        </w:tc>
        <w:tc>
          <w:tcPr>
            <w:tcW w:w="1320" w:type="dxa"/>
            <w:noWrap w:val="0"/>
            <w:vAlign w:val="top"/>
          </w:tcPr>
          <w:p w14:paraId="0D9984E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 1***</w:t>
            </w:r>
          </w:p>
        </w:tc>
        <w:tc>
          <w:tcPr>
            <w:tcW w:w="1320" w:type="dxa"/>
            <w:noWrap w:val="0"/>
            <w:vAlign w:val="top"/>
          </w:tcPr>
          <w:p w14:paraId="1D016FD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H2*</w:t>
            </w:r>
          </w:p>
        </w:tc>
        <w:tc>
          <w:tcPr>
            <w:tcW w:w="1321" w:type="dxa"/>
            <w:noWrap w:val="0"/>
            <w:vAlign w:val="top"/>
          </w:tcPr>
          <w:p w14:paraId="2869D84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H2</w:t>
            </w:r>
          </w:p>
        </w:tc>
      </w:tr>
    </w:tbl>
    <w:p w14:paraId="7ED69C0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五、综合评价</w:t>
      </w:r>
    </w:p>
    <w:p w14:paraId="2ADDAE7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对于造币用功能型铜合金材料进行评价，按人工汗液腐蚀试验、SO2气体腐蚀试验、含有Cl-的紫外老化试验和恒温高湿腐蚀试验四种加速试验结果进行比较。在四种加速模拟实验结果基础上，以N=（H 1-H 5）×H+（R 1-R 5）×R+（S 1-S 5）×S+（C 1-C 5）×C对样品耐蚀性进行综合性评价（耐蚀性顺序从高到低排列），结果如下：</w:t>
      </w:r>
    </w:p>
    <w:p w14:paraId="02A58FA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HNi70-3&gt;7211&gt;2-7&gt;北欧金&gt;2-6&gt;Al6Ni2</w:t>
      </w:r>
    </w:p>
    <w:p w14:paraId="5579507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试样评级表</w:t>
      </w:r>
    </w:p>
    <w:tbl>
      <w:tblPr>
        <w:tblStyle w:val="10"/>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55D24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1" w:hRule="atLeast"/>
        </w:trPr>
        <w:tc>
          <w:tcPr>
            <w:tcW w:w="1320" w:type="dxa"/>
            <w:noWrap w:val="0"/>
            <w:vAlign w:val="top"/>
          </w:tcPr>
          <w:p w14:paraId="01983E4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4BA376B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169138D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0836F7F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2E799FD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1A280BD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6133505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2A3BB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3EC7198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65ABD44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9.86</w:t>
            </w:r>
          </w:p>
        </w:tc>
        <w:tc>
          <w:tcPr>
            <w:tcW w:w="1320" w:type="dxa"/>
            <w:noWrap w:val="0"/>
            <w:vAlign w:val="top"/>
          </w:tcPr>
          <w:p w14:paraId="3849929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12.11</w:t>
            </w:r>
          </w:p>
        </w:tc>
        <w:tc>
          <w:tcPr>
            <w:tcW w:w="1320" w:type="dxa"/>
            <w:noWrap w:val="0"/>
            <w:vAlign w:val="top"/>
          </w:tcPr>
          <w:p w14:paraId="0336C4E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11.03</w:t>
            </w:r>
          </w:p>
        </w:tc>
        <w:tc>
          <w:tcPr>
            <w:tcW w:w="1320" w:type="dxa"/>
            <w:noWrap w:val="0"/>
            <w:vAlign w:val="top"/>
          </w:tcPr>
          <w:p w14:paraId="7372EAD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9.4</w:t>
            </w:r>
          </w:p>
        </w:tc>
        <w:tc>
          <w:tcPr>
            <w:tcW w:w="1320" w:type="dxa"/>
            <w:noWrap w:val="0"/>
            <w:vAlign w:val="top"/>
          </w:tcPr>
          <w:p w14:paraId="4646BC7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12.15</w:t>
            </w:r>
          </w:p>
        </w:tc>
        <w:tc>
          <w:tcPr>
            <w:tcW w:w="1321" w:type="dxa"/>
            <w:noWrap w:val="0"/>
            <w:vAlign w:val="top"/>
          </w:tcPr>
          <w:p w14:paraId="363B047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14.4</w:t>
            </w:r>
          </w:p>
        </w:tc>
      </w:tr>
      <w:tr w14:paraId="1A522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1012A85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抗变色等级</w:t>
            </w:r>
          </w:p>
        </w:tc>
        <w:tc>
          <w:tcPr>
            <w:tcW w:w="1320" w:type="dxa"/>
            <w:noWrap w:val="0"/>
            <w:vAlign w:val="top"/>
          </w:tcPr>
          <w:p w14:paraId="7103963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0" w:type="dxa"/>
            <w:noWrap w:val="0"/>
            <w:vAlign w:val="top"/>
          </w:tcPr>
          <w:p w14:paraId="06F9670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0" w:type="dxa"/>
            <w:noWrap w:val="0"/>
            <w:vAlign w:val="top"/>
          </w:tcPr>
          <w:p w14:paraId="3581EF4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0" w:type="dxa"/>
            <w:noWrap w:val="0"/>
            <w:vAlign w:val="top"/>
          </w:tcPr>
          <w:p w14:paraId="5E5B560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0" w:type="dxa"/>
            <w:noWrap w:val="0"/>
            <w:vAlign w:val="top"/>
          </w:tcPr>
          <w:p w14:paraId="16725E1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1" w:type="dxa"/>
            <w:noWrap w:val="0"/>
            <w:vAlign w:val="top"/>
          </w:tcPr>
          <w:p w14:paraId="20E3C1E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r>
    </w:tbl>
    <w:p w14:paraId="2A86398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3B25C97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36E6AEA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627CA77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77E7175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1F42957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71B0631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5B803FA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中铝洛阳铜加工有限公司试验结果：</w:t>
      </w:r>
    </w:p>
    <w:p w14:paraId="29274CC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SO2气体腐蚀试验：</w:t>
      </w:r>
    </w:p>
    <w:p w14:paraId="1094A30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在恒温条件下进行(3小时)为一周期的SO2腐蚀试验。每一周期观测后更换SO2气源。具体试验参数为：</w:t>
      </w:r>
    </w:p>
    <w:p w14:paraId="1F1F031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⑴试验箱中SO2总含量0.012L，</w:t>
      </w:r>
    </w:p>
    <w:p w14:paraId="7EBE438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⑵试验箱温度40℃，</w:t>
      </w:r>
    </w:p>
    <w:p w14:paraId="373DA61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⑶试验箱底部沉积0.12L电导率132μs/m的去离子水，</w:t>
      </w:r>
    </w:p>
    <w:p w14:paraId="5357D63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连续进行SO2腐蚀试验24小时，按3小时为一检查周期，对试样表面状态的改变进行观察。发现：在进行6小时后，{2-7、HNi70-3、7211、北欧金}试样表面出现随机分布的暗红色腐蚀点。在进行9小时后，此时所有试样表面发生锈蚀现象。试验进行24小时后，结果如下：</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6A8D7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1" w:hRule="atLeast"/>
        </w:trPr>
        <w:tc>
          <w:tcPr>
            <w:tcW w:w="1320" w:type="dxa"/>
            <w:noWrap w:val="0"/>
            <w:vAlign w:val="top"/>
          </w:tcPr>
          <w:p w14:paraId="34AC19B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7D08B75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0D4054D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390EEA9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7CEB2B2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7B2BCEC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115B4D4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2EF81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57BF431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7203755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2</w:t>
            </w:r>
          </w:p>
        </w:tc>
        <w:tc>
          <w:tcPr>
            <w:tcW w:w="1320" w:type="dxa"/>
            <w:noWrap w:val="0"/>
            <w:vAlign w:val="top"/>
          </w:tcPr>
          <w:p w14:paraId="23C2EF0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3</w:t>
            </w:r>
          </w:p>
        </w:tc>
        <w:tc>
          <w:tcPr>
            <w:tcW w:w="1320" w:type="dxa"/>
            <w:noWrap w:val="0"/>
            <w:vAlign w:val="top"/>
          </w:tcPr>
          <w:p w14:paraId="3B4CCCB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2**</w:t>
            </w:r>
          </w:p>
        </w:tc>
        <w:tc>
          <w:tcPr>
            <w:tcW w:w="1320" w:type="dxa"/>
            <w:noWrap w:val="0"/>
            <w:vAlign w:val="top"/>
          </w:tcPr>
          <w:p w14:paraId="1163B23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3</w:t>
            </w:r>
          </w:p>
        </w:tc>
        <w:tc>
          <w:tcPr>
            <w:tcW w:w="1320" w:type="dxa"/>
            <w:noWrap w:val="0"/>
            <w:vAlign w:val="top"/>
          </w:tcPr>
          <w:p w14:paraId="1FD7811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2</w:t>
            </w:r>
          </w:p>
        </w:tc>
        <w:tc>
          <w:tcPr>
            <w:tcW w:w="1321" w:type="dxa"/>
            <w:noWrap w:val="0"/>
            <w:vAlign w:val="top"/>
          </w:tcPr>
          <w:p w14:paraId="410A4B9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 2</w:t>
            </w:r>
          </w:p>
        </w:tc>
      </w:tr>
    </w:tbl>
    <w:p w14:paraId="6612621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7387A79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人工汗液模拟试验：</w:t>
      </w:r>
    </w:p>
    <w:p w14:paraId="7D54649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使用密封的有机玻璃箱，试样垂直固定在箱内，试样距溶液表面50mm。试验条件为模拟人工汗液（具体成分见表二）的加速腐蚀试验，具体试验参数为：试验箱温度40℃，相对湿度100%、总实验时间为24小时。连续进行人工汗液模拟试验24小时，按1小时为一检查周期，对试样表面状态的改变进行观察。发现：在进行1小时后，1试样表面失光，{7211、Al6Ni2}试样表面局部失光。在进行2小时后，{HNi70-3、2、北欧金}试样表面失光出现黑色腐蚀点，{2-6、2-7}试样表面无腐蚀点处有金属光泽，局部出现黑色腐蚀点。试验进行24小时后，结果如下：</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7DFE3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1" w:hRule="atLeast"/>
        </w:trPr>
        <w:tc>
          <w:tcPr>
            <w:tcW w:w="1320" w:type="dxa"/>
            <w:noWrap w:val="0"/>
            <w:vAlign w:val="top"/>
          </w:tcPr>
          <w:p w14:paraId="0EB5500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667A9E9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26E5AE0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3214BF8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345A6CA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52542EE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0AC8A3C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3F840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4458A35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6EE88E0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2</w:t>
            </w:r>
          </w:p>
        </w:tc>
        <w:tc>
          <w:tcPr>
            <w:tcW w:w="1320" w:type="dxa"/>
            <w:noWrap w:val="0"/>
            <w:vAlign w:val="top"/>
          </w:tcPr>
          <w:p w14:paraId="696263A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2</w:t>
            </w:r>
          </w:p>
        </w:tc>
        <w:tc>
          <w:tcPr>
            <w:tcW w:w="1320" w:type="dxa"/>
            <w:noWrap w:val="0"/>
            <w:vAlign w:val="top"/>
          </w:tcPr>
          <w:p w14:paraId="7AB34A8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2*</w:t>
            </w:r>
          </w:p>
        </w:tc>
        <w:tc>
          <w:tcPr>
            <w:tcW w:w="1320" w:type="dxa"/>
            <w:noWrap w:val="0"/>
            <w:vAlign w:val="top"/>
          </w:tcPr>
          <w:p w14:paraId="31A9989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1*</w:t>
            </w:r>
          </w:p>
        </w:tc>
        <w:tc>
          <w:tcPr>
            <w:tcW w:w="1320" w:type="dxa"/>
            <w:noWrap w:val="0"/>
            <w:vAlign w:val="top"/>
          </w:tcPr>
          <w:p w14:paraId="1FE05E8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1*</w:t>
            </w:r>
          </w:p>
        </w:tc>
        <w:tc>
          <w:tcPr>
            <w:tcW w:w="1321" w:type="dxa"/>
            <w:noWrap w:val="0"/>
            <w:vAlign w:val="top"/>
          </w:tcPr>
          <w:p w14:paraId="03D7A00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 2**</w:t>
            </w:r>
          </w:p>
        </w:tc>
      </w:tr>
    </w:tbl>
    <w:p w14:paraId="6E329A3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2F70F85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含有Cl-的紫外老化试验</w:t>
      </w:r>
    </w:p>
    <w:p w14:paraId="2A51303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使用紫外辐照试验机，具体试验参数为：</w:t>
      </w:r>
    </w:p>
    <w:p w14:paraId="60E40BE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（1）5%NaCl溶液PH=6.77。</w:t>
      </w:r>
    </w:p>
    <w:p w14:paraId="609630C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（2）试验箱温度45℃，辐照当量0.68 W/m2、试验时间为30 min。</w:t>
      </w:r>
    </w:p>
    <w:p w14:paraId="4786ABC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（3）试验箱温度45 ℃，黑箱干燥、试验时间为20 min。</w:t>
      </w:r>
    </w:p>
    <w:p w14:paraId="0593E91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（4）试样测试面向上与试验箱底面成45度角。</w:t>
      </w:r>
    </w:p>
    <w:p w14:paraId="3ED6168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连续进行盐雾交变试验12小时，按50分钟为一检查周期，对试样表面状态的改变进行观察。发现：在进行50分钟后，{Al6Ni2、北欧金、2-7、2-6、W11、L11、X11、}试样表面出现白色腐蚀点。在进行1小时后，{HNi70-3、7211}试样表面出现白色腐蚀点，{北欧金、Al6Ni2}试样表面出现暗红色锈点。试验进行8小时后，结果如下：</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62A61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1" w:hRule="atLeast"/>
        </w:trPr>
        <w:tc>
          <w:tcPr>
            <w:tcW w:w="1320" w:type="dxa"/>
            <w:noWrap w:val="0"/>
            <w:vAlign w:val="top"/>
          </w:tcPr>
          <w:p w14:paraId="239E5B2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65FDD23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339B600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712013F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248105D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0C29280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0CA7E36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3ADE4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1C47A11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32626B7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1</w:t>
            </w:r>
          </w:p>
        </w:tc>
        <w:tc>
          <w:tcPr>
            <w:tcW w:w="1320" w:type="dxa"/>
            <w:noWrap w:val="0"/>
            <w:vAlign w:val="top"/>
          </w:tcPr>
          <w:p w14:paraId="7185BE4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1</w:t>
            </w:r>
          </w:p>
        </w:tc>
        <w:tc>
          <w:tcPr>
            <w:tcW w:w="1320" w:type="dxa"/>
            <w:noWrap w:val="0"/>
            <w:vAlign w:val="top"/>
          </w:tcPr>
          <w:p w14:paraId="1B61E21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1**</w:t>
            </w:r>
          </w:p>
        </w:tc>
        <w:tc>
          <w:tcPr>
            <w:tcW w:w="1320" w:type="dxa"/>
            <w:noWrap w:val="0"/>
            <w:vAlign w:val="top"/>
          </w:tcPr>
          <w:p w14:paraId="08746F6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1**</w:t>
            </w:r>
          </w:p>
        </w:tc>
        <w:tc>
          <w:tcPr>
            <w:tcW w:w="1320" w:type="dxa"/>
            <w:noWrap w:val="0"/>
            <w:vAlign w:val="top"/>
          </w:tcPr>
          <w:p w14:paraId="1F235DE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2</w:t>
            </w:r>
          </w:p>
        </w:tc>
        <w:tc>
          <w:tcPr>
            <w:tcW w:w="1321" w:type="dxa"/>
            <w:noWrap w:val="0"/>
            <w:vAlign w:val="top"/>
          </w:tcPr>
          <w:p w14:paraId="540F671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 2</w:t>
            </w:r>
          </w:p>
        </w:tc>
      </w:tr>
    </w:tbl>
    <w:p w14:paraId="5DDE538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恒温高湿试验</w:t>
      </w:r>
    </w:p>
    <w:p w14:paraId="4DBFB43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使用设备为德国C4-180 PRO高低温湿热试验机，具体试验参数为：</w:t>
      </w:r>
    </w:p>
    <w:p w14:paraId="44AEE75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（1）试验箱温度40℃，试验箱相对湿度95%。</w:t>
      </w:r>
    </w:p>
    <w:p w14:paraId="45252B4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（2）试样测试面向上平行于试验箱底面</w:t>
      </w:r>
    </w:p>
    <w:p w14:paraId="6AAA0DF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连续进行恒温高湿腐蚀试验72小时，按24小时为一检查周期，对试样表面状态的改变进行观察。在进行24小时后，Al6Ni2表面出现大量黑色腐蚀点， 2-7试样表面变红出现个别腐蚀点， 2-6试验表面局部出现暗红色腐蚀点。局部出现黑色点蚀。48小时后，北欧金试样表面出现暗红色腐蚀点，{HNi70-3、7211}试样表面出现轻微暗红色腐蚀点。试验进行72小时后，结果如下：</w:t>
      </w:r>
    </w:p>
    <w:tbl>
      <w:tblPr>
        <w:tblStyle w:val="10"/>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5071F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1" w:hRule="atLeast"/>
        </w:trPr>
        <w:tc>
          <w:tcPr>
            <w:tcW w:w="1320" w:type="dxa"/>
            <w:noWrap w:val="0"/>
            <w:vAlign w:val="top"/>
          </w:tcPr>
          <w:p w14:paraId="12C6B2C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1EB3404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0935852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14C2B6D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3D55308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7245B38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0AA481D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63BD2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1DE172E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3176A36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 1</w:t>
            </w:r>
          </w:p>
        </w:tc>
        <w:tc>
          <w:tcPr>
            <w:tcW w:w="1320" w:type="dxa"/>
            <w:noWrap w:val="0"/>
            <w:vAlign w:val="top"/>
          </w:tcPr>
          <w:p w14:paraId="35463B4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 1</w:t>
            </w:r>
          </w:p>
        </w:tc>
        <w:tc>
          <w:tcPr>
            <w:tcW w:w="1320" w:type="dxa"/>
            <w:noWrap w:val="0"/>
            <w:vAlign w:val="top"/>
          </w:tcPr>
          <w:p w14:paraId="692C86E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 2</w:t>
            </w:r>
          </w:p>
        </w:tc>
        <w:tc>
          <w:tcPr>
            <w:tcW w:w="1320" w:type="dxa"/>
            <w:noWrap w:val="0"/>
            <w:vAlign w:val="top"/>
          </w:tcPr>
          <w:p w14:paraId="5EE2B1C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 1***</w:t>
            </w:r>
          </w:p>
        </w:tc>
        <w:tc>
          <w:tcPr>
            <w:tcW w:w="1320" w:type="dxa"/>
            <w:noWrap w:val="0"/>
            <w:vAlign w:val="top"/>
          </w:tcPr>
          <w:p w14:paraId="49DBBDC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H2*</w:t>
            </w:r>
          </w:p>
        </w:tc>
        <w:tc>
          <w:tcPr>
            <w:tcW w:w="1321" w:type="dxa"/>
            <w:noWrap w:val="0"/>
            <w:vAlign w:val="top"/>
          </w:tcPr>
          <w:p w14:paraId="7510CF8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H2</w:t>
            </w:r>
          </w:p>
        </w:tc>
      </w:tr>
    </w:tbl>
    <w:p w14:paraId="29F8E18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按照N=（H 1-H 5）×H+（R 1-R 5）×R+（S 1-S 5）×S+（C 1-C 5）×C对样品耐蚀性进行综合性评价如下：</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0"/>
        <w:gridCol w:w="1320"/>
        <w:gridCol w:w="1320"/>
        <w:gridCol w:w="1320"/>
        <w:gridCol w:w="1320"/>
        <w:gridCol w:w="1320"/>
        <w:gridCol w:w="1321"/>
      </w:tblGrid>
      <w:tr w14:paraId="0873A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1" w:hRule="atLeast"/>
        </w:trPr>
        <w:tc>
          <w:tcPr>
            <w:tcW w:w="1320" w:type="dxa"/>
            <w:noWrap w:val="0"/>
            <w:vAlign w:val="top"/>
          </w:tcPr>
          <w:p w14:paraId="7B24AA1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编号</w:t>
            </w:r>
          </w:p>
        </w:tc>
        <w:tc>
          <w:tcPr>
            <w:tcW w:w="1320" w:type="dxa"/>
            <w:noWrap w:val="0"/>
            <w:vAlign w:val="top"/>
          </w:tcPr>
          <w:p w14:paraId="5614B2F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320" w:type="dxa"/>
            <w:noWrap w:val="0"/>
            <w:vAlign w:val="top"/>
          </w:tcPr>
          <w:p w14:paraId="70AFFA3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320" w:type="dxa"/>
            <w:noWrap w:val="0"/>
            <w:vAlign w:val="top"/>
          </w:tcPr>
          <w:p w14:paraId="0DA83BA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320" w:type="dxa"/>
            <w:noWrap w:val="0"/>
            <w:vAlign w:val="top"/>
          </w:tcPr>
          <w:p w14:paraId="27AD673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320" w:type="dxa"/>
            <w:noWrap w:val="0"/>
            <w:vAlign w:val="top"/>
          </w:tcPr>
          <w:p w14:paraId="48D66C0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321" w:type="dxa"/>
            <w:noWrap w:val="0"/>
            <w:vAlign w:val="top"/>
          </w:tcPr>
          <w:p w14:paraId="7C106CD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r>
      <w:tr w14:paraId="255E5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556C207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评级</w:t>
            </w:r>
          </w:p>
        </w:tc>
        <w:tc>
          <w:tcPr>
            <w:tcW w:w="1320" w:type="dxa"/>
            <w:noWrap w:val="0"/>
            <w:vAlign w:val="top"/>
          </w:tcPr>
          <w:p w14:paraId="18BA355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10</w:t>
            </w:r>
          </w:p>
        </w:tc>
        <w:tc>
          <w:tcPr>
            <w:tcW w:w="1320" w:type="dxa"/>
            <w:noWrap w:val="0"/>
            <w:vAlign w:val="top"/>
          </w:tcPr>
          <w:p w14:paraId="0BBEA23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12.25</w:t>
            </w:r>
          </w:p>
        </w:tc>
        <w:tc>
          <w:tcPr>
            <w:tcW w:w="1320" w:type="dxa"/>
            <w:noWrap w:val="0"/>
            <w:vAlign w:val="top"/>
          </w:tcPr>
          <w:p w14:paraId="76911D3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10.72</w:t>
            </w:r>
          </w:p>
        </w:tc>
        <w:tc>
          <w:tcPr>
            <w:tcW w:w="1320" w:type="dxa"/>
            <w:noWrap w:val="0"/>
            <w:vAlign w:val="top"/>
          </w:tcPr>
          <w:p w14:paraId="7E396BE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9.54</w:t>
            </w:r>
          </w:p>
        </w:tc>
        <w:tc>
          <w:tcPr>
            <w:tcW w:w="1320" w:type="dxa"/>
            <w:noWrap w:val="0"/>
            <w:vAlign w:val="top"/>
          </w:tcPr>
          <w:p w14:paraId="23A134B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12.57</w:t>
            </w:r>
          </w:p>
        </w:tc>
        <w:tc>
          <w:tcPr>
            <w:tcW w:w="1321" w:type="dxa"/>
            <w:noWrap w:val="0"/>
            <w:vAlign w:val="top"/>
          </w:tcPr>
          <w:p w14:paraId="0DD40D1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14.4</w:t>
            </w:r>
          </w:p>
        </w:tc>
      </w:tr>
      <w:tr w14:paraId="66ECF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320" w:type="dxa"/>
            <w:noWrap w:val="0"/>
            <w:vAlign w:val="top"/>
          </w:tcPr>
          <w:p w14:paraId="212D5B2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抗变色等级</w:t>
            </w:r>
          </w:p>
        </w:tc>
        <w:tc>
          <w:tcPr>
            <w:tcW w:w="1320" w:type="dxa"/>
            <w:noWrap w:val="0"/>
            <w:vAlign w:val="top"/>
          </w:tcPr>
          <w:p w14:paraId="6636011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0" w:type="dxa"/>
            <w:noWrap w:val="0"/>
            <w:vAlign w:val="top"/>
          </w:tcPr>
          <w:p w14:paraId="49F6FDE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0" w:type="dxa"/>
            <w:noWrap w:val="0"/>
            <w:vAlign w:val="top"/>
          </w:tcPr>
          <w:p w14:paraId="28F7EE3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0" w:type="dxa"/>
            <w:noWrap w:val="0"/>
            <w:vAlign w:val="top"/>
          </w:tcPr>
          <w:p w14:paraId="5F57171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0" w:type="dxa"/>
            <w:noWrap w:val="0"/>
            <w:vAlign w:val="top"/>
          </w:tcPr>
          <w:p w14:paraId="3647684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321" w:type="dxa"/>
            <w:noWrap w:val="0"/>
            <w:vAlign w:val="top"/>
          </w:tcPr>
          <w:p w14:paraId="74CA48B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r>
    </w:tbl>
    <w:p w14:paraId="0DE5B49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47AAC08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0D8C266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3BB160E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38F0284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05CE856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3B9FBDC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0D747BA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1460A15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36433A6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沈阳造币有限公司试验结果：</w:t>
      </w:r>
    </w:p>
    <w:p w14:paraId="10C3300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tbl>
      <w:tblPr>
        <w:tblStyle w:val="10"/>
        <w:tblW w:w="9639" w:type="dxa"/>
        <w:tblInd w:w="-459"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14:paraId="6BCDBA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9639" w:type="dxa"/>
            <w:tcBorders>
              <w:bottom w:val="single" w:color="auto" w:sz="4" w:space="0"/>
            </w:tcBorders>
            <w:noWrap w:val="0"/>
            <w:tcMar>
              <w:top w:w="0" w:type="dxa"/>
              <w:left w:w="108" w:type="dxa"/>
              <w:bottom w:w="0" w:type="dxa"/>
              <w:right w:w="108" w:type="dxa"/>
            </w:tcMar>
            <w:vAlign w:val="top"/>
          </w:tcPr>
          <w:p w14:paraId="39333FD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检测结果：</w:t>
            </w:r>
          </w:p>
          <w:p w14:paraId="5E1C32D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一、试样制备：</w:t>
            </w:r>
          </w:p>
          <w:p w14:paraId="4F3E73D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共2-7#、2-6#、HNi70-3、7211、Al6Ni2、北欧金，6种试样，每种试样3枚，共18枚。</w:t>
            </w:r>
          </w:p>
          <w:p w14:paraId="3C7B91C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二、人工汗液腐蚀试验</w:t>
            </w:r>
          </w:p>
          <w:p w14:paraId="0B4F30F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1、试验方法</w:t>
            </w:r>
          </w:p>
          <w:p w14:paraId="6FCE263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使用设备为透明有机玻璃密封箱，试验条件为模拟有汗液作为腐蚀因子的腐蚀试验环境，具体试验参数为：</w:t>
            </w:r>
          </w:p>
          <w:p w14:paraId="5CFF18E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⑴、将试样测试面均匀沉积配置好的人工汗液后，将垂直固定在试样架上，保证沉积人工汗液不会聚集或流淌；</w:t>
            </w:r>
          </w:p>
          <w:p w14:paraId="4B7E10E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⑵、试验箱内沉积高度为5mm的人工汗液（成分见表1）； </w:t>
            </w:r>
          </w:p>
          <w:p w14:paraId="090AC5C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⑶、试样与溶液水平面的距离为10mm；</w:t>
            </w:r>
          </w:p>
          <w:p w14:paraId="3F5C529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⑷、装有人工汗液的容器应进行密封；</w:t>
            </w:r>
          </w:p>
          <w:p w14:paraId="6C00B91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⑸、再将该容器放置于40℃的环境中。</w:t>
            </w:r>
          </w:p>
          <w:p w14:paraId="47B96C5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表1 人工汗液成分(1L溶液）</w:t>
            </w:r>
          </w:p>
          <w:tbl>
            <w:tblPr>
              <w:tblStyle w:val="10"/>
              <w:tblW w:w="9464" w:type="dxa"/>
              <w:tblInd w:w="0" w:type="dxa"/>
              <w:tblLayout w:type="fixed"/>
              <w:tblCellMar>
                <w:top w:w="0" w:type="dxa"/>
                <w:left w:w="108" w:type="dxa"/>
                <w:bottom w:w="0" w:type="dxa"/>
                <w:right w:w="108" w:type="dxa"/>
              </w:tblCellMar>
            </w:tblPr>
            <w:tblGrid>
              <w:gridCol w:w="1447"/>
              <w:gridCol w:w="919"/>
              <w:gridCol w:w="1183"/>
              <w:gridCol w:w="1183"/>
              <w:gridCol w:w="1183"/>
              <w:gridCol w:w="1183"/>
              <w:gridCol w:w="1183"/>
              <w:gridCol w:w="1183"/>
            </w:tblGrid>
            <w:tr w14:paraId="23446AEE">
              <w:tblPrEx>
                <w:tblCellMar>
                  <w:top w:w="0" w:type="dxa"/>
                  <w:left w:w="108" w:type="dxa"/>
                  <w:bottom w:w="0" w:type="dxa"/>
                  <w:right w:w="108" w:type="dxa"/>
                </w:tblCellMar>
              </w:tblPrEx>
              <w:trPr>
                <w:trHeight w:val="525" w:hRule="atLeast"/>
              </w:trPr>
              <w:tc>
                <w:tcPr>
                  <w:tcW w:w="1447" w:type="dxa"/>
                  <w:tcBorders>
                    <w:top w:val="single" w:color="auto" w:sz="4" w:space="0"/>
                    <w:left w:val="single" w:color="auto" w:sz="4" w:space="0"/>
                    <w:bottom w:val="single" w:color="auto" w:sz="4" w:space="0"/>
                    <w:right w:val="single" w:color="auto" w:sz="4" w:space="0"/>
                  </w:tcBorders>
                  <w:noWrap/>
                  <w:vAlign w:val="center"/>
                </w:tcPr>
                <w:p w14:paraId="1A4DE8F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w:t>
                  </w:r>
                </w:p>
              </w:tc>
              <w:tc>
                <w:tcPr>
                  <w:tcW w:w="919" w:type="dxa"/>
                  <w:tcBorders>
                    <w:top w:val="single" w:color="auto" w:sz="4" w:space="0"/>
                    <w:left w:val="nil"/>
                    <w:bottom w:val="single" w:color="auto" w:sz="4" w:space="0"/>
                    <w:right w:val="single" w:color="auto" w:sz="4" w:space="0"/>
                  </w:tcBorders>
                  <w:noWrap/>
                  <w:vAlign w:val="center"/>
                </w:tcPr>
                <w:p w14:paraId="060BF68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NaCl</w:t>
                  </w:r>
                </w:p>
              </w:tc>
              <w:tc>
                <w:tcPr>
                  <w:tcW w:w="1183" w:type="dxa"/>
                  <w:tcBorders>
                    <w:top w:val="single" w:color="auto" w:sz="4" w:space="0"/>
                    <w:left w:val="nil"/>
                    <w:bottom w:val="single" w:color="auto" w:sz="4" w:space="0"/>
                    <w:right w:val="single" w:color="auto" w:sz="4" w:space="0"/>
                  </w:tcBorders>
                  <w:noWrap/>
                  <w:vAlign w:val="center"/>
                </w:tcPr>
                <w:p w14:paraId="70859B2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NH4Cl</w:t>
                  </w:r>
                </w:p>
              </w:tc>
              <w:tc>
                <w:tcPr>
                  <w:tcW w:w="1183" w:type="dxa"/>
                  <w:tcBorders>
                    <w:top w:val="single" w:color="auto" w:sz="4" w:space="0"/>
                    <w:left w:val="nil"/>
                    <w:bottom w:val="single" w:color="auto" w:sz="4" w:space="0"/>
                    <w:right w:val="single" w:color="auto" w:sz="4" w:space="0"/>
                  </w:tcBorders>
                  <w:noWrap/>
                  <w:vAlign w:val="center"/>
                </w:tcPr>
                <w:p w14:paraId="5E60F88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尿素</w:t>
                  </w:r>
                </w:p>
              </w:tc>
              <w:tc>
                <w:tcPr>
                  <w:tcW w:w="1183" w:type="dxa"/>
                  <w:tcBorders>
                    <w:top w:val="single" w:color="auto" w:sz="4" w:space="0"/>
                    <w:left w:val="nil"/>
                    <w:bottom w:val="single" w:color="auto" w:sz="4" w:space="0"/>
                    <w:right w:val="single" w:color="auto" w:sz="4" w:space="0"/>
                  </w:tcBorders>
                  <w:noWrap/>
                  <w:vAlign w:val="center"/>
                </w:tcPr>
                <w:p w14:paraId="33DDAFB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乳酸</w:t>
                  </w:r>
                </w:p>
              </w:tc>
              <w:tc>
                <w:tcPr>
                  <w:tcW w:w="1183" w:type="dxa"/>
                  <w:tcBorders>
                    <w:top w:val="single" w:color="auto" w:sz="4" w:space="0"/>
                    <w:left w:val="nil"/>
                    <w:bottom w:val="single" w:color="auto" w:sz="4" w:space="0"/>
                    <w:right w:val="single" w:color="auto" w:sz="4" w:space="0"/>
                  </w:tcBorders>
                  <w:noWrap/>
                  <w:vAlign w:val="center"/>
                </w:tcPr>
                <w:p w14:paraId="600E624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乙酸</w:t>
                  </w:r>
                </w:p>
              </w:tc>
              <w:tc>
                <w:tcPr>
                  <w:tcW w:w="1183" w:type="dxa"/>
                  <w:tcBorders>
                    <w:top w:val="single" w:color="auto" w:sz="4" w:space="0"/>
                    <w:left w:val="nil"/>
                    <w:bottom w:val="single" w:color="auto" w:sz="4" w:space="0"/>
                    <w:right w:val="single" w:color="auto" w:sz="4" w:space="0"/>
                  </w:tcBorders>
                  <w:noWrap/>
                  <w:vAlign w:val="center"/>
                </w:tcPr>
                <w:p w14:paraId="46A95A9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NaOH</w:t>
                  </w:r>
                </w:p>
              </w:tc>
              <w:tc>
                <w:tcPr>
                  <w:tcW w:w="1183" w:type="dxa"/>
                  <w:tcBorders>
                    <w:top w:val="single" w:color="auto" w:sz="4" w:space="0"/>
                    <w:left w:val="nil"/>
                    <w:bottom w:val="single" w:color="auto" w:sz="4" w:space="0"/>
                    <w:right w:val="single" w:color="auto" w:sz="4" w:space="0"/>
                  </w:tcBorders>
                  <w:noWrap/>
                  <w:vAlign w:val="center"/>
                </w:tcPr>
                <w:p w14:paraId="118DBD9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PH</w:t>
                  </w:r>
                </w:p>
              </w:tc>
            </w:tr>
            <w:tr w14:paraId="78969B2A">
              <w:tblPrEx>
                <w:tblCellMar>
                  <w:top w:w="0" w:type="dxa"/>
                  <w:left w:w="108" w:type="dxa"/>
                  <w:bottom w:w="0" w:type="dxa"/>
                  <w:right w:w="108" w:type="dxa"/>
                </w:tblCellMar>
              </w:tblPrEx>
              <w:trPr>
                <w:trHeight w:val="525" w:hRule="atLeast"/>
              </w:trPr>
              <w:tc>
                <w:tcPr>
                  <w:tcW w:w="1447" w:type="dxa"/>
                  <w:tcBorders>
                    <w:top w:val="nil"/>
                    <w:left w:val="single" w:color="auto" w:sz="4" w:space="0"/>
                    <w:bottom w:val="single" w:color="auto" w:sz="4" w:space="0"/>
                    <w:right w:val="single" w:color="auto" w:sz="4" w:space="0"/>
                  </w:tcBorders>
                  <w:noWrap/>
                  <w:vAlign w:val="center"/>
                </w:tcPr>
                <w:p w14:paraId="60A8D38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人工汗液</w:t>
                  </w:r>
                </w:p>
              </w:tc>
              <w:tc>
                <w:tcPr>
                  <w:tcW w:w="919" w:type="dxa"/>
                  <w:tcBorders>
                    <w:top w:val="nil"/>
                    <w:left w:val="nil"/>
                    <w:bottom w:val="single" w:color="auto" w:sz="4" w:space="0"/>
                    <w:right w:val="single" w:color="auto" w:sz="4" w:space="0"/>
                  </w:tcBorders>
                  <w:noWrap/>
                  <w:vAlign w:val="center"/>
                </w:tcPr>
                <w:p w14:paraId="64D2456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20g</w:t>
                  </w:r>
                </w:p>
              </w:tc>
              <w:tc>
                <w:tcPr>
                  <w:tcW w:w="1183" w:type="dxa"/>
                  <w:tcBorders>
                    <w:top w:val="nil"/>
                    <w:left w:val="nil"/>
                    <w:bottom w:val="single" w:color="auto" w:sz="4" w:space="0"/>
                    <w:right w:val="single" w:color="auto" w:sz="4" w:space="0"/>
                  </w:tcBorders>
                  <w:noWrap/>
                  <w:vAlign w:val="center"/>
                </w:tcPr>
                <w:p w14:paraId="133BA43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17.5g</w:t>
                  </w:r>
                </w:p>
              </w:tc>
              <w:tc>
                <w:tcPr>
                  <w:tcW w:w="1183" w:type="dxa"/>
                  <w:tcBorders>
                    <w:top w:val="nil"/>
                    <w:left w:val="nil"/>
                    <w:bottom w:val="single" w:color="auto" w:sz="4" w:space="0"/>
                    <w:right w:val="single" w:color="auto" w:sz="4" w:space="0"/>
                  </w:tcBorders>
                  <w:noWrap/>
                  <w:vAlign w:val="center"/>
                </w:tcPr>
                <w:p w14:paraId="5E78F7C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5g</w:t>
                  </w:r>
                </w:p>
              </w:tc>
              <w:tc>
                <w:tcPr>
                  <w:tcW w:w="1183" w:type="dxa"/>
                  <w:tcBorders>
                    <w:top w:val="nil"/>
                    <w:left w:val="nil"/>
                    <w:bottom w:val="single" w:color="auto" w:sz="4" w:space="0"/>
                    <w:right w:val="single" w:color="auto" w:sz="4" w:space="0"/>
                  </w:tcBorders>
                  <w:noWrap/>
                  <w:vAlign w:val="center"/>
                </w:tcPr>
                <w:p w14:paraId="1C4E5E1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15g</w:t>
                  </w:r>
                </w:p>
              </w:tc>
              <w:tc>
                <w:tcPr>
                  <w:tcW w:w="1183" w:type="dxa"/>
                  <w:tcBorders>
                    <w:top w:val="nil"/>
                    <w:left w:val="nil"/>
                    <w:bottom w:val="single" w:color="auto" w:sz="4" w:space="0"/>
                    <w:right w:val="single" w:color="auto" w:sz="4" w:space="0"/>
                  </w:tcBorders>
                  <w:noWrap/>
                  <w:vAlign w:val="center"/>
                </w:tcPr>
                <w:p w14:paraId="5F5153C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2.5g</w:t>
                  </w:r>
                </w:p>
              </w:tc>
              <w:tc>
                <w:tcPr>
                  <w:tcW w:w="1183" w:type="dxa"/>
                  <w:tcBorders>
                    <w:top w:val="nil"/>
                    <w:left w:val="nil"/>
                    <w:bottom w:val="single" w:color="auto" w:sz="4" w:space="0"/>
                    <w:right w:val="single" w:color="auto" w:sz="4" w:space="0"/>
                  </w:tcBorders>
                  <w:noWrap/>
                  <w:vAlign w:val="center"/>
                </w:tcPr>
                <w:p w14:paraId="5C4A48E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5g</w:t>
                  </w:r>
                </w:p>
              </w:tc>
              <w:tc>
                <w:tcPr>
                  <w:tcW w:w="1183" w:type="dxa"/>
                  <w:tcBorders>
                    <w:top w:val="nil"/>
                    <w:left w:val="nil"/>
                    <w:bottom w:val="single" w:color="auto" w:sz="4" w:space="0"/>
                    <w:right w:val="single" w:color="auto" w:sz="4" w:space="0"/>
                  </w:tcBorders>
                  <w:noWrap/>
                  <w:vAlign w:val="center"/>
                </w:tcPr>
                <w:p w14:paraId="1BCA637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4.58</w:t>
                  </w:r>
                </w:p>
              </w:tc>
            </w:tr>
          </w:tbl>
          <w:p w14:paraId="3AE31C0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2、试验结果</w:t>
            </w:r>
          </w:p>
          <w:p w14:paraId="1966C01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持续时间为8小时人工汗液腐蚀试验，按10分钟、20分钟、30分钟、40分钟和50分钟为取样周期，每周期取3枚平行试样。取出一组试样与原始样进行对比评价。</w:t>
            </w:r>
          </w:p>
          <w:tbl>
            <w:tblPr>
              <w:tblStyle w:val="10"/>
              <w:tblpPr w:leftFromText="180" w:rightFromText="180" w:vertAnchor="text" w:horzAnchor="page" w:tblpXSpec="center" w:tblpY="289"/>
              <w:tblOverlap w:val="never"/>
              <w:tblW w:w="47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2756"/>
              <w:gridCol w:w="1867"/>
              <w:gridCol w:w="1633"/>
            </w:tblGrid>
            <w:tr w14:paraId="6590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68" w:type="pct"/>
                  <w:noWrap w:val="0"/>
                  <w:vAlign w:val="center"/>
                </w:tcPr>
                <w:p w14:paraId="6296C4B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品名</w:t>
                  </w:r>
                </w:p>
              </w:tc>
              <w:tc>
                <w:tcPr>
                  <w:tcW w:w="1556" w:type="pct"/>
                  <w:noWrap w:val="0"/>
                  <w:vAlign w:val="center"/>
                </w:tcPr>
                <w:p w14:paraId="5860692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2-7#、2-6#、HNi70-3、7211、Al6Ni2、北欧金</w:t>
                  </w:r>
                </w:p>
              </w:tc>
              <w:tc>
                <w:tcPr>
                  <w:tcW w:w="1054" w:type="pct"/>
                  <w:noWrap w:val="0"/>
                  <w:vAlign w:val="center"/>
                </w:tcPr>
                <w:p w14:paraId="0BC72C6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产品类型</w:t>
                  </w:r>
                </w:p>
              </w:tc>
              <w:tc>
                <w:tcPr>
                  <w:tcW w:w="922" w:type="pct"/>
                  <w:noWrap w:val="0"/>
                  <w:vAlign w:val="center"/>
                </w:tcPr>
                <w:p w14:paraId="0858EF1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单色圆形</w:t>
                  </w:r>
                </w:p>
              </w:tc>
            </w:tr>
            <w:tr w14:paraId="6198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3024" w:type="pct"/>
                  <w:gridSpan w:val="2"/>
                  <w:noWrap w:val="0"/>
                  <w:vAlign w:val="center"/>
                </w:tcPr>
                <w:p w14:paraId="40E4CAE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平行样数量</w:t>
                  </w:r>
                </w:p>
              </w:tc>
              <w:tc>
                <w:tcPr>
                  <w:tcW w:w="1976" w:type="pct"/>
                  <w:gridSpan w:val="2"/>
                  <w:noWrap w:val="0"/>
                  <w:vAlign w:val="center"/>
                </w:tcPr>
                <w:p w14:paraId="227BDE2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3枚</w:t>
                  </w:r>
                </w:p>
              </w:tc>
            </w:tr>
            <w:tr w14:paraId="1D03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468" w:type="pct"/>
                  <w:noWrap w:val="0"/>
                  <w:vAlign w:val="center"/>
                </w:tcPr>
                <w:p w14:paraId="77931DA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试验项目</w:t>
                  </w:r>
                </w:p>
              </w:tc>
              <w:tc>
                <w:tcPr>
                  <w:tcW w:w="3532" w:type="pct"/>
                  <w:gridSpan w:val="3"/>
                  <w:noWrap w:val="0"/>
                  <w:vAlign w:val="center"/>
                </w:tcPr>
                <w:p w14:paraId="76CABFA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人工汗液腐蚀试验</w:t>
                  </w:r>
                </w:p>
              </w:tc>
            </w:tr>
            <w:tr w14:paraId="21A7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7A17FB9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牌号</w:t>
                  </w:r>
                </w:p>
              </w:tc>
              <w:tc>
                <w:tcPr>
                  <w:tcW w:w="3532" w:type="pct"/>
                  <w:gridSpan w:val="3"/>
                  <w:noWrap w:val="0"/>
                  <w:vAlign w:val="center"/>
                </w:tcPr>
                <w:p w14:paraId="73A81DA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评价结果</w:t>
                  </w:r>
                </w:p>
              </w:tc>
            </w:tr>
            <w:tr w14:paraId="6244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6FAB051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556" w:type="pct"/>
                  <w:noWrap w:val="0"/>
                  <w:vAlign w:val="center"/>
                </w:tcPr>
                <w:p w14:paraId="70C39AF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R2</w:t>
                  </w:r>
                </w:p>
              </w:tc>
              <w:tc>
                <w:tcPr>
                  <w:tcW w:w="1976" w:type="pct"/>
                  <w:gridSpan w:val="2"/>
                  <w:noWrap w:val="0"/>
                  <w:vAlign w:val="center"/>
                </w:tcPr>
                <w:p w14:paraId="0938044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r w14:paraId="130D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62824B3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556" w:type="pct"/>
                  <w:noWrap w:val="0"/>
                  <w:vAlign w:val="center"/>
                </w:tcPr>
                <w:p w14:paraId="1454596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R2</w:t>
                  </w:r>
                </w:p>
              </w:tc>
              <w:tc>
                <w:tcPr>
                  <w:tcW w:w="1976" w:type="pct"/>
                  <w:gridSpan w:val="2"/>
                  <w:noWrap w:val="0"/>
                  <w:vAlign w:val="center"/>
                </w:tcPr>
                <w:p w14:paraId="783C45A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r w14:paraId="7B31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38D6DDA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c>
                <w:tcPr>
                  <w:tcW w:w="1556" w:type="pct"/>
                  <w:noWrap w:val="0"/>
                  <w:vAlign w:val="center"/>
                </w:tcPr>
                <w:p w14:paraId="2F5BB1C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R2*</w:t>
                  </w:r>
                </w:p>
              </w:tc>
              <w:tc>
                <w:tcPr>
                  <w:tcW w:w="1976" w:type="pct"/>
                  <w:gridSpan w:val="2"/>
                  <w:noWrap w:val="0"/>
                  <w:vAlign w:val="center"/>
                </w:tcPr>
                <w:p w14:paraId="1F5945A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2.4</w:t>
                  </w:r>
                </w:p>
              </w:tc>
            </w:tr>
            <w:tr w14:paraId="2F24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418C11C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556" w:type="pct"/>
                  <w:noWrap w:val="0"/>
                  <w:vAlign w:val="center"/>
                </w:tcPr>
                <w:p w14:paraId="1A6CB34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R1</w:t>
                  </w:r>
                </w:p>
              </w:tc>
              <w:tc>
                <w:tcPr>
                  <w:tcW w:w="1976" w:type="pct"/>
                  <w:gridSpan w:val="2"/>
                  <w:noWrap w:val="0"/>
                  <w:vAlign w:val="center"/>
                </w:tcPr>
                <w:p w14:paraId="4092541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w:t>
                  </w:r>
                </w:p>
              </w:tc>
            </w:tr>
            <w:tr w14:paraId="355C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176978C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556" w:type="pct"/>
                  <w:noWrap w:val="0"/>
                  <w:vAlign w:val="center"/>
                </w:tcPr>
                <w:p w14:paraId="397EA79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R1*</w:t>
                  </w:r>
                </w:p>
              </w:tc>
              <w:tc>
                <w:tcPr>
                  <w:tcW w:w="1976" w:type="pct"/>
                  <w:gridSpan w:val="2"/>
                  <w:noWrap w:val="0"/>
                  <w:vAlign w:val="center"/>
                </w:tcPr>
                <w:p w14:paraId="08AFF18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0.9</w:t>
                  </w:r>
                </w:p>
              </w:tc>
            </w:tr>
            <w:tr w14:paraId="663F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77E3BE4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556" w:type="pct"/>
                  <w:noWrap w:val="0"/>
                  <w:vAlign w:val="center"/>
                </w:tcPr>
                <w:p w14:paraId="080A3D1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R2</w:t>
                  </w:r>
                </w:p>
              </w:tc>
              <w:tc>
                <w:tcPr>
                  <w:tcW w:w="1976" w:type="pct"/>
                  <w:gridSpan w:val="2"/>
                  <w:noWrap w:val="0"/>
                  <w:vAlign w:val="center"/>
                </w:tcPr>
                <w:p w14:paraId="0B3D19D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bl>
          <w:p w14:paraId="71D857A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三、SO2气体腐蚀试验</w:t>
            </w:r>
          </w:p>
          <w:p w14:paraId="1BFDE6C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1、试验方法</w:t>
            </w:r>
          </w:p>
          <w:p w14:paraId="7C6F3FD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使用干燥器作为密封容器，试验条件按照《GB/T9789-2008通常凝露状态下的二氧化硫腐蚀试验》中给出的二氧化硫气源（亚硫酸钠加浓硫酸反应），在恒温条件下进行二氧化硫气体腐蚀试验。每一周期观测后更换二氧化硫气源。具体试验参数为：</w:t>
            </w:r>
          </w:p>
          <w:p w14:paraId="288CDE2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⑴试验箱中SO2总含量0.012L；</w:t>
            </w:r>
          </w:p>
          <w:p w14:paraId="10887BB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⑵试验箱温度40℃；</w:t>
            </w:r>
          </w:p>
          <w:p w14:paraId="448BBDC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⑶试验箱底部沉积0.12L电导率12.2μs/sm的去离子水；</w:t>
            </w:r>
          </w:p>
          <w:p w14:paraId="3396BF7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⑷试样印字面垂直于试验箱底面。</w:t>
            </w:r>
          </w:p>
          <w:p w14:paraId="2185958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2、试验结果与判定</w:t>
            </w:r>
          </w:p>
          <w:p w14:paraId="27E6CB6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连续进行9小时SO2气体腐蚀试验，按3h、6h和9h为取样周期，每周期取3枚平行试样。取出一组试样与原始样进行对比评价。</w:t>
            </w:r>
          </w:p>
          <w:tbl>
            <w:tblPr>
              <w:tblStyle w:val="10"/>
              <w:tblpPr w:leftFromText="180" w:rightFromText="180" w:vertAnchor="text" w:horzAnchor="page" w:tblpXSpec="center" w:tblpY="289"/>
              <w:tblOverlap w:val="never"/>
              <w:tblW w:w="47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2756"/>
              <w:gridCol w:w="1867"/>
              <w:gridCol w:w="1633"/>
            </w:tblGrid>
            <w:tr w14:paraId="5D98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68" w:type="pct"/>
                  <w:noWrap w:val="0"/>
                  <w:vAlign w:val="center"/>
                </w:tcPr>
                <w:p w14:paraId="7ACFEBF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品名</w:t>
                  </w:r>
                </w:p>
              </w:tc>
              <w:tc>
                <w:tcPr>
                  <w:tcW w:w="1556" w:type="pct"/>
                  <w:noWrap w:val="0"/>
                  <w:vAlign w:val="center"/>
                </w:tcPr>
                <w:p w14:paraId="41A9F4E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2-7#、2-6#、HNi70-3、7211、Al6Ni2、北欧金</w:t>
                  </w:r>
                </w:p>
              </w:tc>
              <w:tc>
                <w:tcPr>
                  <w:tcW w:w="1054" w:type="pct"/>
                  <w:noWrap w:val="0"/>
                  <w:vAlign w:val="center"/>
                </w:tcPr>
                <w:p w14:paraId="20CFF18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产品类型</w:t>
                  </w:r>
                </w:p>
              </w:tc>
              <w:tc>
                <w:tcPr>
                  <w:tcW w:w="922" w:type="pct"/>
                  <w:noWrap w:val="0"/>
                  <w:vAlign w:val="center"/>
                </w:tcPr>
                <w:p w14:paraId="2E6D37B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单色圆形</w:t>
                  </w:r>
                </w:p>
              </w:tc>
            </w:tr>
            <w:tr w14:paraId="0920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3024" w:type="pct"/>
                  <w:gridSpan w:val="2"/>
                  <w:noWrap w:val="0"/>
                  <w:vAlign w:val="center"/>
                </w:tcPr>
                <w:p w14:paraId="316D75E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平行样数量</w:t>
                  </w:r>
                </w:p>
              </w:tc>
              <w:tc>
                <w:tcPr>
                  <w:tcW w:w="1976" w:type="pct"/>
                  <w:gridSpan w:val="2"/>
                  <w:noWrap w:val="0"/>
                  <w:vAlign w:val="center"/>
                </w:tcPr>
                <w:p w14:paraId="2D10E96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3枚</w:t>
                  </w:r>
                </w:p>
              </w:tc>
            </w:tr>
            <w:tr w14:paraId="5A6A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468" w:type="pct"/>
                  <w:noWrap w:val="0"/>
                  <w:vAlign w:val="center"/>
                </w:tcPr>
                <w:p w14:paraId="49EF594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试验项目</w:t>
                  </w:r>
                </w:p>
              </w:tc>
              <w:tc>
                <w:tcPr>
                  <w:tcW w:w="3532" w:type="pct"/>
                  <w:gridSpan w:val="3"/>
                  <w:noWrap w:val="0"/>
                  <w:vAlign w:val="center"/>
                </w:tcPr>
                <w:p w14:paraId="1F3A7BC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SO2气体腐蚀试验</w:t>
                  </w:r>
                </w:p>
              </w:tc>
            </w:tr>
            <w:tr w14:paraId="7354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390EC29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牌号</w:t>
                  </w:r>
                </w:p>
              </w:tc>
              <w:tc>
                <w:tcPr>
                  <w:tcW w:w="3532" w:type="pct"/>
                  <w:gridSpan w:val="3"/>
                  <w:noWrap w:val="0"/>
                  <w:vAlign w:val="center"/>
                </w:tcPr>
                <w:p w14:paraId="7E79E31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评价结果</w:t>
                  </w:r>
                </w:p>
              </w:tc>
            </w:tr>
            <w:tr w14:paraId="50DC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7E83D29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556" w:type="pct"/>
                  <w:noWrap w:val="0"/>
                  <w:vAlign w:val="center"/>
                </w:tcPr>
                <w:p w14:paraId="41CA821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S2</w:t>
                  </w:r>
                </w:p>
              </w:tc>
              <w:tc>
                <w:tcPr>
                  <w:tcW w:w="1976" w:type="pct"/>
                  <w:gridSpan w:val="2"/>
                  <w:noWrap w:val="0"/>
                  <w:vAlign w:val="center"/>
                </w:tcPr>
                <w:p w14:paraId="2118D84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r w14:paraId="63EA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557D08C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556" w:type="pct"/>
                  <w:noWrap w:val="0"/>
                  <w:vAlign w:val="center"/>
                </w:tcPr>
                <w:p w14:paraId="57D1FB0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S3</w:t>
                  </w:r>
                </w:p>
              </w:tc>
              <w:tc>
                <w:tcPr>
                  <w:tcW w:w="1976" w:type="pct"/>
                  <w:gridSpan w:val="2"/>
                  <w:noWrap w:val="0"/>
                  <w:vAlign w:val="center"/>
                </w:tcPr>
                <w:p w14:paraId="6AD963B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4.5</w:t>
                  </w:r>
                </w:p>
              </w:tc>
            </w:tr>
            <w:tr w14:paraId="748F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6C7FAF4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c>
                <w:tcPr>
                  <w:tcW w:w="1556" w:type="pct"/>
                  <w:noWrap w:val="0"/>
                  <w:vAlign w:val="center"/>
                </w:tcPr>
                <w:p w14:paraId="46D9BB1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S2*</w:t>
                  </w:r>
                </w:p>
              </w:tc>
              <w:tc>
                <w:tcPr>
                  <w:tcW w:w="1976" w:type="pct"/>
                  <w:gridSpan w:val="2"/>
                  <w:noWrap w:val="0"/>
                  <w:vAlign w:val="center"/>
                </w:tcPr>
                <w:p w14:paraId="0AE9181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r>
            <w:tr w14:paraId="437F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7BFA861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556" w:type="pct"/>
                  <w:noWrap w:val="0"/>
                  <w:vAlign w:val="center"/>
                </w:tcPr>
                <w:p w14:paraId="7307C80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S2</w:t>
                  </w:r>
                </w:p>
              </w:tc>
              <w:tc>
                <w:tcPr>
                  <w:tcW w:w="1976" w:type="pct"/>
                  <w:gridSpan w:val="2"/>
                  <w:noWrap w:val="0"/>
                  <w:vAlign w:val="center"/>
                </w:tcPr>
                <w:p w14:paraId="40B89F2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r w14:paraId="6CAB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2094490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556" w:type="pct"/>
                  <w:noWrap w:val="0"/>
                  <w:vAlign w:val="center"/>
                </w:tcPr>
                <w:p w14:paraId="15D5794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S3</w:t>
                  </w:r>
                </w:p>
              </w:tc>
              <w:tc>
                <w:tcPr>
                  <w:tcW w:w="1976" w:type="pct"/>
                  <w:gridSpan w:val="2"/>
                  <w:noWrap w:val="0"/>
                  <w:vAlign w:val="center"/>
                </w:tcPr>
                <w:p w14:paraId="59C5BFE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4.5</w:t>
                  </w:r>
                </w:p>
              </w:tc>
            </w:tr>
            <w:tr w14:paraId="0429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0DFF8FD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556" w:type="pct"/>
                  <w:noWrap w:val="0"/>
                  <w:vAlign w:val="center"/>
                </w:tcPr>
                <w:p w14:paraId="4C62C41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S2</w:t>
                  </w:r>
                </w:p>
              </w:tc>
              <w:tc>
                <w:tcPr>
                  <w:tcW w:w="1976" w:type="pct"/>
                  <w:gridSpan w:val="2"/>
                  <w:noWrap w:val="0"/>
                  <w:vAlign w:val="center"/>
                </w:tcPr>
                <w:p w14:paraId="18B775B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bl>
          <w:p w14:paraId="28C298C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412D7DA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四、含有Cl-的紫外老化试验</w:t>
            </w:r>
          </w:p>
          <w:p w14:paraId="2B1BE5E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1、试验方法</w:t>
            </w:r>
          </w:p>
          <w:p w14:paraId="7C53F3C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使用设备为紫外辐照试验机，试验步骤为：</w:t>
            </w:r>
          </w:p>
          <w:p w14:paraId="44B72F8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（1）5%NaCl溶液PH=6.77。</w:t>
            </w:r>
          </w:p>
          <w:p w14:paraId="21D668C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（2）试验箱温度45℃，辐照当量0.68 W/m2、试验时间为30 min。</w:t>
            </w:r>
          </w:p>
          <w:p w14:paraId="21C5EB8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（3）试验箱温度45 ℃，黑箱干燥、试验时间为20 min。</w:t>
            </w:r>
          </w:p>
          <w:p w14:paraId="0627078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（4）试样测试面向上与试验箱底面成45度角。</w:t>
            </w:r>
          </w:p>
          <w:p w14:paraId="2FCCEE4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2、试验结果与判定</w:t>
            </w:r>
          </w:p>
          <w:p w14:paraId="21112B1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连续进行含有Cl-的紫外老化试验6小时，按50分钟、100分钟、150分钟和200分钟为取样周期，每周期取3枚平行试样。取出一组试样与原始样进行对比评价。</w:t>
            </w:r>
          </w:p>
          <w:tbl>
            <w:tblPr>
              <w:tblStyle w:val="10"/>
              <w:tblpPr w:leftFromText="180" w:rightFromText="180" w:vertAnchor="text" w:horzAnchor="page" w:tblpXSpec="center" w:tblpY="289"/>
              <w:tblOverlap w:val="never"/>
              <w:tblW w:w="47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2756"/>
              <w:gridCol w:w="1867"/>
              <w:gridCol w:w="1633"/>
            </w:tblGrid>
            <w:tr w14:paraId="6D18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68" w:type="pct"/>
                  <w:noWrap w:val="0"/>
                  <w:vAlign w:val="center"/>
                </w:tcPr>
                <w:p w14:paraId="5AE13AE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品名</w:t>
                  </w:r>
                </w:p>
              </w:tc>
              <w:tc>
                <w:tcPr>
                  <w:tcW w:w="1556" w:type="pct"/>
                  <w:noWrap w:val="0"/>
                  <w:vAlign w:val="center"/>
                </w:tcPr>
                <w:p w14:paraId="2F3DF00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2-7#、2-6#、HNi70-3、7211、Al6Ni2、北欧金</w:t>
                  </w:r>
                </w:p>
              </w:tc>
              <w:tc>
                <w:tcPr>
                  <w:tcW w:w="1054" w:type="pct"/>
                  <w:noWrap w:val="0"/>
                  <w:vAlign w:val="center"/>
                </w:tcPr>
                <w:p w14:paraId="1402D6B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产品类型</w:t>
                  </w:r>
                </w:p>
              </w:tc>
              <w:tc>
                <w:tcPr>
                  <w:tcW w:w="922" w:type="pct"/>
                  <w:noWrap w:val="0"/>
                  <w:vAlign w:val="center"/>
                </w:tcPr>
                <w:p w14:paraId="1A74F2B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单色圆形</w:t>
                  </w:r>
                </w:p>
              </w:tc>
            </w:tr>
            <w:tr w14:paraId="56A1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3024" w:type="pct"/>
                  <w:gridSpan w:val="2"/>
                  <w:noWrap w:val="0"/>
                  <w:vAlign w:val="center"/>
                </w:tcPr>
                <w:p w14:paraId="1EDB74D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平行样数量</w:t>
                  </w:r>
                </w:p>
              </w:tc>
              <w:tc>
                <w:tcPr>
                  <w:tcW w:w="1976" w:type="pct"/>
                  <w:gridSpan w:val="2"/>
                  <w:noWrap w:val="0"/>
                  <w:vAlign w:val="center"/>
                </w:tcPr>
                <w:p w14:paraId="409EEE5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3枚</w:t>
                  </w:r>
                </w:p>
              </w:tc>
            </w:tr>
            <w:tr w14:paraId="3EE5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468" w:type="pct"/>
                  <w:noWrap w:val="0"/>
                  <w:vAlign w:val="center"/>
                </w:tcPr>
                <w:p w14:paraId="00DD85F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试验项目</w:t>
                  </w:r>
                </w:p>
              </w:tc>
              <w:tc>
                <w:tcPr>
                  <w:tcW w:w="3532" w:type="pct"/>
                  <w:gridSpan w:val="3"/>
                  <w:noWrap w:val="0"/>
                  <w:vAlign w:val="center"/>
                </w:tcPr>
                <w:p w14:paraId="1794085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含有Cl-的紫外老化试验</w:t>
                  </w:r>
                </w:p>
              </w:tc>
            </w:tr>
            <w:tr w14:paraId="66B2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2B376AE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牌号</w:t>
                  </w:r>
                </w:p>
              </w:tc>
              <w:tc>
                <w:tcPr>
                  <w:tcW w:w="3532" w:type="pct"/>
                  <w:gridSpan w:val="3"/>
                  <w:noWrap w:val="0"/>
                  <w:vAlign w:val="center"/>
                </w:tcPr>
                <w:p w14:paraId="181DE96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评价结果</w:t>
                  </w:r>
                </w:p>
              </w:tc>
            </w:tr>
            <w:tr w14:paraId="2E10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7A0D572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556" w:type="pct"/>
                  <w:noWrap w:val="0"/>
                  <w:vAlign w:val="center"/>
                </w:tcPr>
                <w:p w14:paraId="2BFFAF9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C1</w:t>
                  </w:r>
                </w:p>
              </w:tc>
              <w:tc>
                <w:tcPr>
                  <w:tcW w:w="1976" w:type="pct"/>
                  <w:gridSpan w:val="2"/>
                  <w:noWrap w:val="0"/>
                  <w:vAlign w:val="center"/>
                </w:tcPr>
                <w:p w14:paraId="13A86D8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w:t>
                  </w:r>
                </w:p>
              </w:tc>
            </w:tr>
            <w:tr w14:paraId="5DDD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5DF1AC7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556" w:type="pct"/>
                  <w:noWrap w:val="0"/>
                  <w:vAlign w:val="center"/>
                </w:tcPr>
                <w:p w14:paraId="6D231E4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C1</w:t>
                  </w:r>
                </w:p>
              </w:tc>
              <w:tc>
                <w:tcPr>
                  <w:tcW w:w="1976" w:type="pct"/>
                  <w:gridSpan w:val="2"/>
                  <w:noWrap w:val="0"/>
                  <w:vAlign w:val="center"/>
                </w:tcPr>
                <w:p w14:paraId="2A33072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w:t>
                  </w:r>
                </w:p>
              </w:tc>
            </w:tr>
            <w:tr w14:paraId="5551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13AD63D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c>
                <w:tcPr>
                  <w:tcW w:w="1556" w:type="pct"/>
                  <w:noWrap w:val="0"/>
                  <w:vAlign w:val="center"/>
                </w:tcPr>
                <w:p w14:paraId="5DEA219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C2</w:t>
                  </w:r>
                </w:p>
              </w:tc>
              <w:tc>
                <w:tcPr>
                  <w:tcW w:w="1976" w:type="pct"/>
                  <w:gridSpan w:val="2"/>
                  <w:noWrap w:val="0"/>
                  <w:vAlign w:val="center"/>
                </w:tcPr>
                <w:p w14:paraId="1FBFE43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r w14:paraId="42BC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118E4DE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556" w:type="pct"/>
                  <w:noWrap w:val="0"/>
                  <w:vAlign w:val="center"/>
                </w:tcPr>
                <w:p w14:paraId="7F5E08D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C2</w:t>
                  </w:r>
                </w:p>
              </w:tc>
              <w:tc>
                <w:tcPr>
                  <w:tcW w:w="1976" w:type="pct"/>
                  <w:gridSpan w:val="2"/>
                  <w:noWrap w:val="0"/>
                  <w:vAlign w:val="center"/>
                </w:tcPr>
                <w:p w14:paraId="3607720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r w14:paraId="2E41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584DDF7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556" w:type="pct"/>
                  <w:noWrap w:val="0"/>
                  <w:vAlign w:val="center"/>
                </w:tcPr>
                <w:p w14:paraId="458A18E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C1**</w:t>
                  </w:r>
                </w:p>
              </w:tc>
              <w:tc>
                <w:tcPr>
                  <w:tcW w:w="1976" w:type="pct"/>
                  <w:gridSpan w:val="2"/>
                  <w:noWrap w:val="0"/>
                  <w:vAlign w:val="center"/>
                </w:tcPr>
                <w:p w14:paraId="389CD19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0.8</w:t>
                  </w:r>
                </w:p>
              </w:tc>
            </w:tr>
            <w:tr w14:paraId="37F7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33FDB2F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556" w:type="pct"/>
                  <w:noWrap w:val="0"/>
                  <w:vAlign w:val="center"/>
                </w:tcPr>
                <w:p w14:paraId="396D51D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C1**</w:t>
                  </w:r>
                </w:p>
              </w:tc>
              <w:tc>
                <w:tcPr>
                  <w:tcW w:w="1976" w:type="pct"/>
                  <w:gridSpan w:val="2"/>
                  <w:noWrap w:val="0"/>
                  <w:vAlign w:val="center"/>
                </w:tcPr>
                <w:p w14:paraId="68E77F3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0.8</w:t>
                  </w:r>
                </w:p>
              </w:tc>
            </w:tr>
          </w:tbl>
          <w:p w14:paraId="114512A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1B48127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3AFE83A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五、恒温高湿试验</w:t>
            </w:r>
          </w:p>
          <w:p w14:paraId="55BEDE2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1、试验方法</w:t>
            </w:r>
          </w:p>
          <w:p w14:paraId="593981E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使用设备为高低温湿热试验机，具体试验步骤为：</w:t>
            </w:r>
          </w:p>
          <w:p w14:paraId="5AA5315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⑴试验箱温度40℃，试验箱相对湿度95%。</w:t>
            </w:r>
          </w:p>
          <w:p w14:paraId="34C11E5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⑵试样测试面向上平行于试验箱底面。</w:t>
            </w:r>
          </w:p>
          <w:p w14:paraId="2CA78E6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2、试验结果与判定</w:t>
            </w:r>
          </w:p>
          <w:p w14:paraId="5C4D921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连续进行恒温高湿腐蚀试验96小时，按24小时、48小时、72小时和96小时为取样周期，每周期取3枚平行试样。取出一组试样与原始样进行对比评价。</w:t>
            </w:r>
          </w:p>
          <w:tbl>
            <w:tblPr>
              <w:tblStyle w:val="10"/>
              <w:tblpPr w:leftFromText="180" w:rightFromText="180" w:vertAnchor="text" w:horzAnchor="page" w:tblpXSpec="center" w:tblpY="289"/>
              <w:tblOverlap w:val="never"/>
              <w:tblW w:w="47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2756"/>
              <w:gridCol w:w="1867"/>
              <w:gridCol w:w="1633"/>
            </w:tblGrid>
            <w:tr w14:paraId="2CD9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68" w:type="pct"/>
                  <w:noWrap w:val="0"/>
                  <w:vAlign w:val="center"/>
                </w:tcPr>
                <w:p w14:paraId="39ADF74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品名</w:t>
                  </w:r>
                </w:p>
              </w:tc>
              <w:tc>
                <w:tcPr>
                  <w:tcW w:w="1556" w:type="pct"/>
                  <w:noWrap w:val="0"/>
                  <w:vAlign w:val="center"/>
                </w:tcPr>
                <w:p w14:paraId="1EBA094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2-7#、2-6#、HNi70-3、7211、Al6Ni2、北欧金</w:t>
                  </w:r>
                </w:p>
              </w:tc>
              <w:tc>
                <w:tcPr>
                  <w:tcW w:w="1054" w:type="pct"/>
                  <w:noWrap w:val="0"/>
                  <w:vAlign w:val="center"/>
                </w:tcPr>
                <w:p w14:paraId="0BC5E72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产品类型</w:t>
                  </w:r>
                </w:p>
              </w:tc>
              <w:tc>
                <w:tcPr>
                  <w:tcW w:w="922" w:type="pct"/>
                  <w:noWrap w:val="0"/>
                  <w:vAlign w:val="center"/>
                </w:tcPr>
                <w:p w14:paraId="3F55FE2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单色圆形</w:t>
                  </w:r>
                </w:p>
              </w:tc>
            </w:tr>
            <w:tr w14:paraId="35DF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3024" w:type="pct"/>
                  <w:gridSpan w:val="2"/>
                  <w:noWrap w:val="0"/>
                  <w:vAlign w:val="center"/>
                </w:tcPr>
                <w:p w14:paraId="3A073DB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平行样数量</w:t>
                  </w:r>
                </w:p>
              </w:tc>
              <w:tc>
                <w:tcPr>
                  <w:tcW w:w="1976" w:type="pct"/>
                  <w:gridSpan w:val="2"/>
                  <w:noWrap w:val="0"/>
                  <w:vAlign w:val="center"/>
                </w:tcPr>
                <w:p w14:paraId="756F0C0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3枚</w:t>
                  </w:r>
                </w:p>
              </w:tc>
            </w:tr>
            <w:tr w14:paraId="395E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468" w:type="pct"/>
                  <w:noWrap w:val="0"/>
                  <w:vAlign w:val="center"/>
                </w:tcPr>
                <w:p w14:paraId="3633A98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试验项目</w:t>
                  </w:r>
                </w:p>
              </w:tc>
              <w:tc>
                <w:tcPr>
                  <w:tcW w:w="3532" w:type="pct"/>
                  <w:gridSpan w:val="3"/>
                  <w:noWrap w:val="0"/>
                  <w:vAlign w:val="center"/>
                </w:tcPr>
                <w:p w14:paraId="7A78A79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恒温高湿试验</w:t>
                  </w:r>
                </w:p>
              </w:tc>
            </w:tr>
            <w:tr w14:paraId="04B0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6C6917B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牌号</w:t>
                  </w:r>
                </w:p>
              </w:tc>
              <w:tc>
                <w:tcPr>
                  <w:tcW w:w="3532" w:type="pct"/>
                  <w:gridSpan w:val="3"/>
                  <w:noWrap w:val="0"/>
                  <w:vAlign w:val="center"/>
                </w:tcPr>
                <w:p w14:paraId="6F20A3A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评价结果</w:t>
                  </w:r>
                </w:p>
              </w:tc>
            </w:tr>
            <w:tr w14:paraId="3082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72C33F7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556" w:type="pct"/>
                  <w:noWrap w:val="0"/>
                  <w:vAlign w:val="center"/>
                </w:tcPr>
                <w:p w14:paraId="0E0D708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H1</w:t>
                  </w:r>
                </w:p>
              </w:tc>
              <w:tc>
                <w:tcPr>
                  <w:tcW w:w="1976" w:type="pct"/>
                  <w:gridSpan w:val="2"/>
                  <w:noWrap w:val="0"/>
                  <w:vAlign w:val="center"/>
                </w:tcPr>
                <w:p w14:paraId="64F04BC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w:t>
                  </w:r>
                </w:p>
              </w:tc>
            </w:tr>
            <w:tr w14:paraId="7B5A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5673D05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556" w:type="pct"/>
                  <w:noWrap w:val="0"/>
                  <w:vAlign w:val="center"/>
                </w:tcPr>
                <w:p w14:paraId="7EA3EA7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H1</w:t>
                  </w:r>
                </w:p>
              </w:tc>
              <w:tc>
                <w:tcPr>
                  <w:tcW w:w="1976" w:type="pct"/>
                  <w:gridSpan w:val="2"/>
                  <w:noWrap w:val="0"/>
                  <w:vAlign w:val="center"/>
                </w:tcPr>
                <w:p w14:paraId="0BB6D5C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w:t>
                  </w:r>
                </w:p>
              </w:tc>
            </w:tr>
            <w:tr w14:paraId="2561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4DAFB7C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c>
                <w:tcPr>
                  <w:tcW w:w="1556" w:type="pct"/>
                  <w:noWrap w:val="0"/>
                  <w:vAlign w:val="center"/>
                </w:tcPr>
                <w:p w14:paraId="41087AB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H2</w:t>
                  </w:r>
                </w:p>
              </w:tc>
              <w:tc>
                <w:tcPr>
                  <w:tcW w:w="1976" w:type="pct"/>
                  <w:gridSpan w:val="2"/>
                  <w:noWrap w:val="0"/>
                  <w:vAlign w:val="center"/>
                </w:tcPr>
                <w:p w14:paraId="04D841B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r w14:paraId="2F27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270383F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556" w:type="pct"/>
                  <w:noWrap w:val="0"/>
                  <w:vAlign w:val="center"/>
                </w:tcPr>
                <w:p w14:paraId="225F559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H2</w:t>
                  </w:r>
                </w:p>
              </w:tc>
              <w:tc>
                <w:tcPr>
                  <w:tcW w:w="1976" w:type="pct"/>
                  <w:gridSpan w:val="2"/>
                  <w:noWrap w:val="0"/>
                  <w:vAlign w:val="center"/>
                </w:tcPr>
                <w:p w14:paraId="1329B39D">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r w14:paraId="554D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4C985D1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556" w:type="pct"/>
                  <w:noWrap w:val="0"/>
                  <w:vAlign w:val="center"/>
                </w:tcPr>
                <w:p w14:paraId="2B0F734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H1</w:t>
                  </w:r>
                </w:p>
              </w:tc>
              <w:tc>
                <w:tcPr>
                  <w:tcW w:w="1976" w:type="pct"/>
                  <w:gridSpan w:val="2"/>
                  <w:noWrap w:val="0"/>
                  <w:vAlign w:val="center"/>
                </w:tcPr>
                <w:p w14:paraId="77C06E9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w:t>
                  </w:r>
                </w:p>
              </w:tc>
            </w:tr>
            <w:tr w14:paraId="1A0A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2EE340F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556" w:type="pct"/>
                  <w:noWrap w:val="0"/>
                  <w:vAlign w:val="center"/>
                </w:tcPr>
                <w:p w14:paraId="3E1B07AA">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H2</w:t>
                  </w:r>
                </w:p>
              </w:tc>
              <w:tc>
                <w:tcPr>
                  <w:tcW w:w="1976" w:type="pct"/>
                  <w:gridSpan w:val="2"/>
                  <w:noWrap w:val="0"/>
                  <w:vAlign w:val="center"/>
                </w:tcPr>
                <w:p w14:paraId="1E71F1B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r>
          </w:tbl>
          <w:p w14:paraId="378EB80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0A397DA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六、评价结果</w:t>
            </w:r>
          </w:p>
          <w:p w14:paraId="3F61A9F0">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对6种试样经过人工汗液腐蚀试验、SO2气体腐蚀试验、含有Cl-的紫外老化试验和恒温高湿腐蚀试验后，按沈币公司提供的《铜合金产品抗变色性能对比试验方法及评价要求》对各样品进行评价，评价结果表示如下</w:t>
            </w:r>
          </w:p>
          <w:tbl>
            <w:tblPr>
              <w:tblStyle w:val="10"/>
              <w:tblpPr w:leftFromText="180" w:rightFromText="180" w:vertAnchor="text" w:horzAnchor="page" w:tblpXSpec="center" w:tblpY="289"/>
              <w:tblOverlap w:val="never"/>
              <w:tblW w:w="47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2756"/>
              <w:gridCol w:w="1867"/>
              <w:gridCol w:w="1633"/>
            </w:tblGrid>
            <w:tr w14:paraId="553A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68" w:type="pct"/>
                  <w:noWrap w:val="0"/>
                  <w:vAlign w:val="center"/>
                </w:tcPr>
                <w:p w14:paraId="4C6F07B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品名</w:t>
                  </w:r>
                </w:p>
              </w:tc>
              <w:tc>
                <w:tcPr>
                  <w:tcW w:w="1556" w:type="pct"/>
                  <w:noWrap w:val="0"/>
                  <w:vAlign w:val="center"/>
                </w:tcPr>
                <w:p w14:paraId="63BB938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2-7#、2-6#、HNi70-3、7211、Al6Ni2、北欧金</w:t>
                  </w:r>
                </w:p>
              </w:tc>
              <w:tc>
                <w:tcPr>
                  <w:tcW w:w="1054" w:type="pct"/>
                  <w:noWrap w:val="0"/>
                  <w:vAlign w:val="center"/>
                </w:tcPr>
                <w:p w14:paraId="44F72189">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产品类型</w:t>
                  </w:r>
                </w:p>
              </w:tc>
              <w:tc>
                <w:tcPr>
                  <w:tcW w:w="922" w:type="pct"/>
                  <w:noWrap w:val="0"/>
                  <w:vAlign w:val="center"/>
                </w:tcPr>
                <w:p w14:paraId="686F363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单色圆形</w:t>
                  </w:r>
                </w:p>
              </w:tc>
            </w:tr>
            <w:tr w14:paraId="4533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3024" w:type="pct"/>
                  <w:gridSpan w:val="2"/>
                  <w:noWrap w:val="0"/>
                  <w:vAlign w:val="center"/>
                </w:tcPr>
                <w:p w14:paraId="7C927B21">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平行样数量</w:t>
                  </w:r>
                </w:p>
              </w:tc>
              <w:tc>
                <w:tcPr>
                  <w:tcW w:w="1976" w:type="pct"/>
                  <w:gridSpan w:val="2"/>
                  <w:noWrap w:val="0"/>
                  <w:vAlign w:val="center"/>
                </w:tcPr>
                <w:p w14:paraId="007F223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3枚</w:t>
                  </w:r>
                </w:p>
              </w:tc>
            </w:tr>
            <w:tr w14:paraId="2D78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468" w:type="pct"/>
                  <w:noWrap w:val="0"/>
                  <w:vAlign w:val="center"/>
                </w:tcPr>
                <w:p w14:paraId="1F4BC49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试验项目</w:t>
                  </w:r>
                </w:p>
              </w:tc>
              <w:tc>
                <w:tcPr>
                  <w:tcW w:w="3532" w:type="pct"/>
                  <w:gridSpan w:val="3"/>
                  <w:noWrap w:val="0"/>
                  <w:vAlign w:val="center"/>
                </w:tcPr>
                <w:p w14:paraId="0786F6F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综合</w:t>
                  </w:r>
                </w:p>
              </w:tc>
            </w:tr>
            <w:tr w14:paraId="4D8E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31255C66">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牌号</w:t>
                  </w:r>
                </w:p>
              </w:tc>
              <w:tc>
                <w:tcPr>
                  <w:tcW w:w="3532" w:type="pct"/>
                  <w:gridSpan w:val="3"/>
                  <w:noWrap w:val="0"/>
                  <w:vAlign w:val="center"/>
                </w:tcPr>
                <w:p w14:paraId="667F710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评价结果</w:t>
                  </w:r>
                </w:p>
              </w:tc>
            </w:tr>
            <w:tr w14:paraId="5423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703BDA4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2-7</w:t>
                  </w:r>
                </w:p>
              </w:tc>
              <w:tc>
                <w:tcPr>
                  <w:tcW w:w="1556" w:type="pct"/>
                  <w:noWrap w:val="0"/>
                  <w:vAlign w:val="center"/>
                </w:tcPr>
                <w:p w14:paraId="00316D6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976" w:type="pct"/>
                  <w:gridSpan w:val="2"/>
                  <w:noWrap w:val="0"/>
                  <w:vAlign w:val="center"/>
                </w:tcPr>
                <w:p w14:paraId="283BC2E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10</w:t>
                  </w:r>
                </w:p>
              </w:tc>
            </w:tr>
            <w:tr w14:paraId="2F2B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48725A75">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2-6</w:t>
                  </w:r>
                </w:p>
              </w:tc>
              <w:tc>
                <w:tcPr>
                  <w:tcW w:w="1556" w:type="pct"/>
                  <w:noWrap w:val="0"/>
                  <w:vAlign w:val="center"/>
                </w:tcPr>
                <w:p w14:paraId="6A33304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976" w:type="pct"/>
                  <w:gridSpan w:val="2"/>
                  <w:noWrap w:val="0"/>
                  <w:vAlign w:val="center"/>
                </w:tcPr>
                <w:p w14:paraId="41C5E8A7">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12.25</w:t>
                  </w:r>
                </w:p>
              </w:tc>
            </w:tr>
            <w:tr w14:paraId="694B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4D78134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HNi70-3</w:t>
                  </w:r>
                </w:p>
              </w:tc>
              <w:tc>
                <w:tcPr>
                  <w:tcW w:w="1556" w:type="pct"/>
                  <w:noWrap w:val="0"/>
                  <w:vAlign w:val="center"/>
                </w:tcPr>
                <w:p w14:paraId="2378468E">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976" w:type="pct"/>
                  <w:gridSpan w:val="2"/>
                  <w:noWrap w:val="0"/>
                  <w:vAlign w:val="center"/>
                </w:tcPr>
                <w:p w14:paraId="4D6D74D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13.95</w:t>
                  </w:r>
                </w:p>
              </w:tc>
            </w:tr>
            <w:tr w14:paraId="0DB0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41D38A7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7211</w:t>
                  </w:r>
                </w:p>
              </w:tc>
              <w:tc>
                <w:tcPr>
                  <w:tcW w:w="1556" w:type="pct"/>
                  <w:noWrap w:val="0"/>
                  <w:vAlign w:val="center"/>
                </w:tcPr>
                <w:p w14:paraId="65D3995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976" w:type="pct"/>
                  <w:gridSpan w:val="2"/>
                  <w:noWrap w:val="0"/>
                  <w:vAlign w:val="center"/>
                </w:tcPr>
                <w:p w14:paraId="411E303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13</w:t>
                  </w:r>
                </w:p>
              </w:tc>
            </w:tr>
            <w:tr w14:paraId="4182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7762C76C">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Al6Ni2</w:t>
                  </w:r>
                </w:p>
              </w:tc>
              <w:tc>
                <w:tcPr>
                  <w:tcW w:w="1556" w:type="pct"/>
                  <w:noWrap w:val="0"/>
                  <w:vAlign w:val="center"/>
                </w:tcPr>
                <w:p w14:paraId="5CE5BFDB">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976" w:type="pct"/>
                  <w:gridSpan w:val="2"/>
                  <w:noWrap w:val="0"/>
                  <w:vAlign w:val="center"/>
                </w:tcPr>
                <w:p w14:paraId="2C84C2C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9.87</w:t>
                  </w:r>
                </w:p>
              </w:tc>
            </w:tr>
            <w:tr w14:paraId="5345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68" w:type="pct"/>
                  <w:noWrap w:val="0"/>
                  <w:vAlign w:val="center"/>
                </w:tcPr>
                <w:p w14:paraId="0FCDE4D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北欧金</w:t>
                  </w:r>
                </w:p>
              </w:tc>
              <w:tc>
                <w:tcPr>
                  <w:tcW w:w="1556" w:type="pct"/>
                  <w:noWrap w:val="0"/>
                  <w:vAlign w:val="center"/>
                </w:tcPr>
                <w:p w14:paraId="494689DF">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N1</w:t>
                  </w:r>
                </w:p>
              </w:tc>
              <w:tc>
                <w:tcPr>
                  <w:tcW w:w="1976" w:type="pct"/>
                  <w:gridSpan w:val="2"/>
                  <w:noWrap w:val="0"/>
                  <w:vAlign w:val="center"/>
                </w:tcPr>
                <w:p w14:paraId="40E9A453">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11.92</w:t>
                  </w:r>
                </w:p>
              </w:tc>
            </w:tr>
          </w:tbl>
          <w:p w14:paraId="75B55A6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tc>
      </w:tr>
    </w:tbl>
    <w:p w14:paraId="76149DD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5093CB98">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105AA454">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437BBF72">
      <w:pPr>
        <w:keepNext w:val="0"/>
        <w:keepLines w:val="0"/>
        <w:pageBreakBefore w:val="0"/>
        <w:kinsoku/>
        <w:wordWrap/>
        <w:overflowPunct/>
        <w:topLinePunct w:val="0"/>
        <w:bidi w:val="0"/>
        <w:snapToGrid/>
        <w:spacing w:beforeLines="100" w:line="440" w:lineRule="exact"/>
        <w:jc w:val="left"/>
        <w:textAlignment w:val="auto"/>
        <w:rPr>
          <w:rFonts w:hint="eastAsia" w:ascii="宋体" w:hAnsi="宋体" w:eastAsia="宋体"/>
          <w:color w:val="auto"/>
          <w:sz w:val="21"/>
          <w:szCs w:val="21"/>
          <w:lang w:val="en-US" w:eastAsia="zh-CN"/>
        </w:rPr>
      </w:pPr>
    </w:p>
    <w:p w14:paraId="7E4185D3">
      <w:pPr>
        <w:keepNext w:val="0"/>
        <w:keepLines w:val="0"/>
        <w:pageBreakBefore w:val="0"/>
        <w:kinsoku/>
        <w:wordWrap/>
        <w:overflowPunct/>
        <w:topLinePunct w:val="0"/>
        <w:bidi w:val="0"/>
        <w:snapToGrid/>
        <w:spacing w:beforeLines="100" w:line="440" w:lineRule="exact"/>
        <w:jc w:val="right"/>
        <w:textAlignment w:val="auto"/>
        <w:rPr>
          <w:rFonts w:hint="default" w:ascii="宋体" w:hAnsi="宋体" w:eastAsia="宋体"/>
          <w:color w:val="auto"/>
          <w:sz w:val="21"/>
          <w:szCs w:val="21"/>
          <w:lang w:val="en-US" w:eastAsia="zh-CN"/>
        </w:rPr>
      </w:pPr>
    </w:p>
    <w:sectPr>
      <w:pgSz w:w="11906" w:h="16838"/>
      <w:pgMar w:top="1440" w:right="1780" w:bottom="1440" w:left="17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F0784"/>
    <w:multiLevelType w:val="singleLevel"/>
    <w:tmpl w:val="DA9F0784"/>
    <w:lvl w:ilvl="0" w:tentative="0">
      <w:start w:val="5"/>
      <w:numFmt w:val="chineseCounting"/>
      <w:suff w:val="nothing"/>
      <w:lvlText w:val="%1、"/>
      <w:lvlJc w:val="left"/>
      <w:rPr>
        <w:rFonts w:hint="eastAsia"/>
      </w:rPr>
    </w:lvl>
  </w:abstractNum>
  <w:abstractNum w:abstractNumId="1">
    <w:nsid w:val="F116BB8D"/>
    <w:multiLevelType w:val="singleLevel"/>
    <w:tmpl w:val="F116BB8D"/>
    <w:lvl w:ilvl="0" w:tentative="0">
      <w:start w:val="1"/>
      <w:numFmt w:val="chineseCounting"/>
      <w:suff w:val="nothing"/>
      <w:lvlText w:val="（%1）"/>
      <w:lvlJc w:val="left"/>
      <w:rPr>
        <w:rFonts w:hint="eastAsia"/>
      </w:rPr>
    </w:lvl>
  </w:abstractNum>
  <w:abstractNum w:abstractNumId="2">
    <w:nsid w:val="0E2B40FB"/>
    <w:multiLevelType w:val="singleLevel"/>
    <w:tmpl w:val="0E2B40FB"/>
    <w:lvl w:ilvl="0" w:tentative="0">
      <w:start w:val="1"/>
      <w:numFmt w:val="upperLetter"/>
      <w:lvlText w:val="%1."/>
      <w:lvlJc w:val="left"/>
      <w:pPr>
        <w:tabs>
          <w:tab w:val="left" w:pos="312"/>
        </w:tabs>
      </w:pPr>
    </w:lvl>
  </w:abstractNum>
  <w:abstractNum w:abstractNumId="3">
    <w:nsid w:val="4916F4FC"/>
    <w:multiLevelType w:val="singleLevel"/>
    <w:tmpl w:val="4916F4FC"/>
    <w:lvl w:ilvl="0" w:tentative="0">
      <w:start w:val="3"/>
      <w:numFmt w:val="chineseCounting"/>
      <w:suff w:val="nothing"/>
      <w:lvlText w:val="%1、"/>
      <w:lvlJc w:val="left"/>
      <w:rPr>
        <w:rFonts w:hint="eastAsia"/>
      </w:rPr>
    </w:lvl>
  </w:abstractNum>
  <w:abstractNum w:abstractNumId="4">
    <w:nsid w:val="75657C17"/>
    <w:multiLevelType w:val="singleLevel"/>
    <w:tmpl w:val="75657C17"/>
    <w:lvl w:ilvl="0" w:tentative="0">
      <w:start w:val="3"/>
      <w:numFmt w:val="decimal"/>
      <w:suff w:val="nothing"/>
      <w:lvlText w:val="%1、"/>
      <w:lvlJc w:val="left"/>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1CB0"/>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70B5632"/>
    <w:rsid w:val="0A2D1E53"/>
    <w:rsid w:val="0C482343"/>
    <w:rsid w:val="160074AB"/>
    <w:rsid w:val="16A9459E"/>
    <w:rsid w:val="16D05547"/>
    <w:rsid w:val="18704CB4"/>
    <w:rsid w:val="192E28F8"/>
    <w:rsid w:val="1BD63B55"/>
    <w:rsid w:val="22C80A1D"/>
    <w:rsid w:val="234A45D7"/>
    <w:rsid w:val="23CF4BA9"/>
    <w:rsid w:val="25365B0B"/>
    <w:rsid w:val="259E2C70"/>
    <w:rsid w:val="28E92B74"/>
    <w:rsid w:val="2AF42FD1"/>
    <w:rsid w:val="2CF17ED9"/>
    <w:rsid w:val="2D491F9E"/>
    <w:rsid w:val="2DD6396D"/>
    <w:rsid w:val="2EE3075D"/>
    <w:rsid w:val="2F20599A"/>
    <w:rsid w:val="2F5F0E32"/>
    <w:rsid w:val="2FE50BA9"/>
    <w:rsid w:val="310035B2"/>
    <w:rsid w:val="317F0BCA"/>
    <w:rsid w:val="32832A04"/>
    <w:rsid w:val="32B11E20"/>
    <w:rsid w:val="36AE17F5"/>
    <w:rsid w:val="391C28EE"/>
    <w:rsid w:val="3A6C3919"/>
    <w:rsid w:val="3B7A0F58"/>
    <w:rsid w:val="3C672EE2"/>
    <w:rsid w:val="3E1E6E10"/>
    <w:rsid w:val="4758493B"/>
    <w:rsid w:val="48960B41"/>
    <w:rsid w:val="493733B5"/>
    <w:rsid w:val="49EC224C"/>
    <w:rsid w:val="4C4C62F7"/>
    <w:rsid w:val="4D2C0BB1"/>
    <w:rsid w:val="4FD37F56"/>
    <w:rsid w:val="50CC54A1"/>
    <w:rsid w:val="50CE10DD"/>
    <w:rsid w:val="518F0997"/>
    <w:rsid w:val="535966BE"/>
    <w:rsid w:val="56F40B9A"/>
    <w:rsid w:val="58DD1125"/>
    <w:rsid w:val="5B8D3163"/>
    <w:rsid w:val="61E82C8C"/>
    <w:rsid w:val="63F7386F"/>
    <w:rsid w:val="65197197"/>
    <w:rsid w:val="6AD379A6"/>
    <w:rsid w:val="6B3E697D"/>
    <w:rsid w:val="6B6D4417"/>
    <w:rsid w:val="6E3C6504"/>
    <w:rsid w:val="6E9466AA"/>
    <w:rsid w:val="6F3335BA"/>
    <w:rsid w:val="72346D32"/>
    <w:rsid w:val="765C2C38"/>
    <w:rsid w:val="76A76695"/>
    <w:rsid w:val="76E521D9"/>
    <w:rsid w:val="7A241826"/>
    <w:rsid w:val="7B164DDA"/>
    <w:rsid w:val="7B82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qFormat/>
    <w:uiPriority w:val="0"/>
    <w:pPr>
      <w:spacing w:line="360" w:lineRule="auto"/>
      <w:jc w:val="left"/>
    </w:pPr>
    <w:rPr>
      <w:rFonts w:ascii="宋体" w:hAnsi="宋体" w:eastAsia="宋体" w:cs="Times New Roman"/>
      <w:szCs w:val="24"/>
    </w:rPr>
  </w:style>
  <w:style w:type="paragraph" w:styleId="4">
    <w:name w:val="Body Text"/>
    <w:basedOn w:val="1"/>
    <w:unhideWhenUsed/>
    <w:qFormat/>
    <w:uiPriority w:val="99"/>
    <w:pPr>
      <w:spacing w:after="120"/>
    </w:pPr>
    <w:rPr>
      <w:rFonts w:eastAsia="仿宋_GB2312"/>
    </w:rPr>
  </w:style>
  <w:style w:type="paragraph" w:styleId="5">
    <w:name w:val="Body Text Indent"/>
    <w:basedOn w:val="1"/>
    <w:link w:val="18"/>
    <w:qFormat/>
    <w:uiPriority w:val="0"/>
    <w:pPr>
      <w:ind w:firstLine="420"/>
    </w:pPr>
    <w:rPr>
      <w:rFonts w:ascii="Times New Roman" w:hAnsi="Times New Roman" w:eastAsia="宋体" w:cs="Times New Roman"/>
      <w:sz w:val="24"/>
      <w:szCs w:val="24"/>
    </w:rPr>
  </w:style>
  <w:style w:type="paragraph" w:styleId="6">
    <w:name w:val="Balloon Text"/>
    <w:basedOn w:val="1"/>
    <w:link w:val="14"/>
    <w:semiHidden/>
    <w:unhideWhenUsed/>
    <w:qFormat/>
    <w:uiPriority w:val="99"/>
    <w:rPr>
      <w:sz w:val="18"/>
      <w:szCs w:val="18"/>
    </w:r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page number"/>
    <w:qFormat/>
    <w:uiPriority w:val="99"/>
  </w:style>
  <w:style w:type="character" w:customStyle="1" w:styleId="14">
    <w:name w:val="批注框文本 Char"/>
    <w:basedOn w:val="12"/>
    <w:link w:val="6"/>
    <w:semiHidden/>
    <w:qFormat/>
    <w:uiPriority w:val="99"/>
    <w:rPr>
      <w:sz w:val="18"/>
      <w:szCs w:val="18"/>
    </w:rPr>
  </w:style>
  <w:style w:type="character" w:customStyle="1" w:styleId="15">
    <w:name w:val="页眉 Char"/>
    <w:basedOn w:val="12"/>
    <w:link w:val="8"/>
    <w:semiHidden/>
    <w:qFormat/>
    <w:uiPriority w:val="99"/>
    <w:rPr>
      <w:sz w:val="18"/>
      <w:szCs w:val="18"/>
    </w:rPr>
  </w:style>
  <w:style w:type="character" w:customStyle="1" w:styleId="16">
    <w:name w:val="页脚 Char"/>
    <w:basedOn w:val="12"/>
    <w:link w:val="7"/>
    <w:semiHidden/>
    <w:qFormat/>
    <w:uiPriority w:val="99"/>
    <w:rPr>
      <w:sz w:val="18"/>
      <w:szCs w:val="18"/>
    </w:rPr>
  </w:style>
  <w:style w:type="paragraph" w:customStyle="1" w:styleId="17">
    <w:name w:val="章标题"/>
    <w:next w:val="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character" w:customStyle="1" w:styleId="18">
    <w:name w:val="正文文本缩进 Char"/>
    <w:basedOn w:val="12"/>
    <w:link w:val="5"/>
    <w:qFormat/>
    <w:uiPriority w:val="0"/>
    <w:rPr>
      <w:rFonts w:ascii="Times New Roman" w:hAnsi="Times New Roman" w:eastAsia="宋体" w:cs="Times New Roman"/>
      <w:sz w:val="24"/>
      <w:szCs w:val="24"/>
    </w:rPr>
  </w:style>
  <w:style w:type="character" w:customStyle="1" w:styleId="19">
    <w:name w:val="批注文字 Char"/>
    <w:basedOn w:val="12"/>
    <w:link w:val="3"/>
    <w:qFormat/>
    <w:uiPriority w:val="0"/>
    <w:rPr>
      <w:rFonts w:ascii="宋体" w:hAnsi="宋体" w:eastAsia="宋体" w:cs="Times New Roman"/>
      <w:szCs w:val="24"/>
    </w:rPr>
  </w:style>
  <w:style w:type="paragraph" w:styleId="20">
    <w:name w:val="List Paragraph"/>
    <w:basedOn w:val="1"/>
    <w:qFormat/>
    <w:uiPriority w:val="34"/>
    <w:pPr>
      <w:ind w:firstLine="420" w:firstLineChars="200"/>
    </w:pPr>
  </w:style>
  <w:style w:type="paragraph" w:customStyle="1" w:styleId="21">
    <w:name w:val="段"/>
    <w:link w:val="22"/>
    <w:qFormat/>
    <w:uiPriority w:val="0"/>
    <w:pPr>
      <w:autoSpaceDE w:val="0"/>
      <w:autoSpaceDN w:val="0"/>
      <w:ind w:firstLine="200" w:firstLineChars="200"/>
      <w:jc w:val="both"/>
    </w:pPr>
    <w:rPr>
      <w:rFonts w:ascii="宋体" w:hAnsi="Times New Roman" w:eastAsia="宋体" w:cs="Times New Roman"/>
      <w:kern w:val="0"/>
      <w:sz w:val="21"/>
      <w:szCs w:val="22"/>
      <w:lang w:val="en-US" w:eastAsia="zh-CN" w:bidi="ar-SA"/>
    </w:rPr>
  </w:style>
  <w:style w:type="character" w:customStyle="1" w:styleId="22">
    <w:name w:val="段 Char"/>
    <w:link w:val="21"/>
    <w:qFormat/>
    <w:uiPriority w:val="0"/>
    <w:rPr>
      <w:rFonts w:ascii="宋体" w:hAnsi="Times New Roman" w:eastAsia="宋体" w:cs="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27</Pages>
  <Words>3774</Words>
  <Characters>3883</Characters>
  <Lines>68</Lines>
  <Paragraphs>19</Paragraphs>
  <TotalTime>6</TotalTime>
  <ScaleCrop>false</ScaleCrop>
  <LinksUpToDate>false</LinksUpToDate>
  <CharactersWithSpaces>3897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Administrator</cp:lastModifiedBy>
  <dcterms:modified xsi:type="dcterms:W3CDTF">2025-08-06T13:48:01Z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73794E7302A54839BDCAFCC345F79FFD</vt:lpwstr>
  </property>
  <property fmtid="{D5CDD505-2E9C-101B-9397-08002B2CF9AE}" pid="4" name="KSOTemplateDocerSaveRecord">
    <vt:lpwstr>eyJoZGlkIjoiOTMyMjEwMmExZjkwNTQyMTRjYTUyOTY4OTY3MTdjZWUifQ==</vt:lpwstr>
  </property>
</Properties>
</file>